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029"/>
        <w:gridCol w:w="2878"/>
      </w:tblGrid>
      <w:tr w:rsidR="00C22852" w:rsidRPr="00617A89" w14:paraId="7A7108A6" w14:textId="77777777" w:rsidTr="00E37470">
        <w:trPr>
          <w:cnfStyle w:val="100000000000" w:firstRow="1" w:lastRow="0" w:firstColumn="0" w:lastColumn="0" w:oddVBand="0" w:evenVBand="0" w:oddHBand="0" w:evenHBand="0" w:firstRowFirstColumn="0" w:firstRowLastColumn="0" w:lastRowFirstColumn="0" w:lastRowLastColumn="0"/>
          <w:trHeight w:hRule="exact" w:val="1505"/>
          <w:tblHeader/>
        </w:trPr>
        <w:tc>
          <w:tcPr>
            <w:tcW w:w="9029" w:type="dxa"/>
          </w:tcPr>
          <w:p w14:paraId="04B97AC8" w14:textId="77777777" w:rsidR="003F1FCA" w:rsidRPr="00617A89" w:rsidRDefault="003F1FCA" w:rsidP="00E37470">
            <w:pPr>
              <w:pStyle w:val="Body"/>
              <w:tabs>
                <w:tab w:val="right" w:pos="11085"/>
              </w:tabs>
              <w:spacing w:before="0" w:after="0" w:line="240" w:lineRule="auto"/>
              <w:ind w:left="397" w:right="397"/>
            </w:pPr>
            <w:bookmarkStart w:id="0" w:name="_Hlk119606448"/>
            <w:r w:rsidRPr="00617A89">
              <w:rPr>
                <w:noProof/>
              </w:rPr>
              <w:drawing>
                <wp:inline distT="0" distB="0" distL="0" distR="0" wp14:anchorId="5DFC1FB8" wp14:editId="3A257375">
                  <wp:extent cx="1685925" cy="664152"/>
                  <wp:effectExtent l="0" t="0" r="3175" b="0"/>
                  <wp:docPr id="1074525487" name="Picture 1" descr="QILT 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25487" name="Picture 1" descr="QILT main logo"/>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1685925" cy="664152"/>
                          </a:xfrm>
                          <a:prstGeom prst="rect">
                            <a:avLst/>
                          </a:prstGeom>
                        </pic:spPr>
                      </pic:pic>
                    </a:graphicData>
                  </a:graphic>
                </wp:inline>
              </w:drawing>
            </w:r>
          </w:p>
        </w:tc>
        <w:tc>
          <w:tcPr>
            <w:tcW w:w="2878" w:type="dxa"/>
          </w:tcPr>
          <w:p w14:paraId="5AA80267" w14:textId="77777777" w:rsidR="003F1FCA" w:rsidRPr="00617A89" w:rsidRDefault="003F1FCA" w:rsidP="00E37470">
            <w:pPr>
              <w:pStyle w:val="Body"/>
              <w:tabs>
                <w:tab w:val="right" w:pos="11085"/>
              </w:tabs>
              <w:spacing w:before="0" w:after="0" w:line="240" w:lineRule="auto"/>
              <w:ind w:right="397"/>
              <w:jc w:val="right"/>
              <w:rPr>
                <w:noProof/>
              </w:rPr>
            </w:pPr>
            <w:r w:rsidRPr="00617A89">
              <w:rPr>
                <w:noProof/>
              </w:rPr>
              <w:drawing>
                <wp:inline distT="0" distB="0" distL="0" distR="0" wp14:anchorId="0898B408" wp14:editId="096817CA">
                  <wp:extent cx="1457325" cy="485775"/>
                  <wp:effectExtent l="0" t="0" r="3175" b="0"/>
                  <wp:docPr id="2083311158" name="Picture 1"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1158" name="Picture 1" descr="The Social Research Centre logo"/>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1457325" cy="485775"/>
                          </a:xfrm>
                          <a:prstGeom prst="rect">
                            <a:avLst/>
                          </a:prstGeom>
                        </pic:spPr>
                      </pic:pic>
                    </a:graphicData>
                  </a:graphic>
                </wp:inline>
              </w:drawing>
            </w:r>
          </w:p>
        </w:tc>
      </w:tr>
    </w:tbl>
    <w:p w14:paraId="5D65C356" w14:textId="043EDA23" w:rsidR="003F1FCA" w:rsidRPr="00617A89" w:rsidRDefault="00244416" w:rsidP="00911273">
      <w:pPr>
        <w:pStyle w:val="Title"/>
        <w:spacing w:after="120"/>
        <w:ind w:right="397"/>
        <w:rPr>
          <w:color w:val="000000" w:themeColor="text1"/>
          <w:sz w:val="72"/>
          <w:szCs w:val="72"/>
        </w:rPr>
      </w:pPr>
      <w:r w:rsidRPr="00617A89">
        <w:rPr>
          <w:color w:val="000000" w:themeColor="text1"/>
          <w:sz w:val="72"/>
          <w:szCs w:val="72"/>
        </w:rPr>
        <w:t xml:space="preserve">2025 Graduate Outcomes Survey </w:t>
      </w:r>
      <w:r w:rsidR="00034502" w:rsidRPr="00617A89">
        <w:rPr>
          <w:color w:val="000000" w:themeColor="text1"/>
          <w:sz w:val="72"/>
          <w:szCs w:val="72"/>
        </w:rPr>
        <w:t xml:space="preserve">– </w:t>
      </w:r>
      <w:r w:rsidRPr="00617A89">
        <w:rPr>
          <w:color w:val="000000" w:themeColor="text1"/>
          <w:sz w:val="72"/>
          <w:szCs w:val="72"/>
        </w:rPr>
        <w:t>Longitudinal (GOS-L)</w:t>
      </w:r>
    </w:p>
    <w:p w14:paraId="24039DF9" w14:textId="77777777" w:rsidR="003F1FCA" w:rsidRPr="00617A89" w:rsidRDefault="003F1FCA" w:rsidP="00911273">
      <w:pPr>
        <w:pStyle w:val="Body"/>
        <w:spacing w:before="0" w:after="360" w:line="240" w:lineRule="auto"/>
        <w:ind w:left="397"/>
        <w:rPr>
          <w:b/>
          <w:bCs/>
          <w:color w:val="000000" w:themeColor="text1"/>
        </w:rPr>
      </w:pPr>
      <w:r w:rsidRPr="00617A89">
        <w:rPr>
          <w:bCs/>
          <w:noProof/>
          <w:color w:val="000000" w:themeColor="text1"/>
        </w:rPr>
        <mc:AlternateContent>
          <mc:Choice Requires="wps">
            <w:drawing>
              <wp:inline distT="0" distB="0" distL="0" distR="0" wp14:anchorId="4AF82209" wp14:editId="2C3E9BB9">
                <wp:extent cx="540000" cy="0"/>
                <wp:effectExtent l="0" t="0" r="0" b="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8FC6BA"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" strokecolor="#b7d432 [3204]" strokeweight="1.5pt">
                <v:stroke joinstyle="miter"/>
                <w10:anchorlock/>
              </v:line>
            </w:pict>
          </mc:Fallback>
        </mc:AlternateContent>
      </w:r>
    </w:p>
    <w:p w14:paraId="7D0F8AA6" w14:textId="77777777" w:rsidR="00244416" w:rsidRPr="00617A89" w:rsidRDefault="00244416" w:rsidP="00911273">
      <w:pPr>
        <w:pStyle w:val="Body"/>
        <w:spacing w:before="80" w:line="240" w:lineRule="auto"/>
        <w:ind w:left="397"/>
        <w:rPr>
          <w:bCs/>
          <w:color w:val="000000" w:themeColor="text1"/>
          <w:sz w:val="40"/>
          <w:szCs w:val="40"/>
        </w:rPr>
      </w:pPr>
      <w:r w:rsidRPr="00617A89">
        <w:rPr>
          <w:bCs/>
          <w:color w:val="000000" w:themeColor="text1"/>
          <w:sz w:val="40"/>
          <w:szCs w:val="40"/>
        </w:rPr>
        <w:t>National Report</w:t>
      </w:r>
    </w:p>
    <w:p w14:paraId="01F0EBEF" w14:textId="6441861F" w:rsidR="003F1FCA" w:rsidRPr="00617A89" w:rsidRDefault="00E6219B" w:rsidP="00911273">
      <w:pPr>
        <w:pStyle w:val="Body"/>
        <w:spacing w:before="80" w:line="240" w:lineRule="auto"/>
        <w:ind w:left="397"/>
        <w:rPr>
          <w:b/>
          <w:bCs/>
          <w:color w:val="000000" w:themeColor="text1"/>
        </w:rPr>
      </w:pPr>
      <w:r w:rsidRPr="00617A89">
        <w:rPr>
          <w:bCs/>
          <w:color w:val="000000" w:themeColor="text1"/>
          <w:sz w:val="28"/>
          <w:szCs w:val="28"/>
        </w:rPr>
        <w:t>Ma</w:t>
      </w:r>
      <w:r w:rsidR="00347A5A" w:rsidRPr="00617A89">
        <w:rPr>
          <w:bCs/>
          <w:color w:val="000000" w:themeColor="text1"/>
          <w:sz w:val="28"/>
          <w:szCs w:val="28"/>
        </w:rPr>
        <w:t xml:space="preserve">y </w:t>
      </w:r>
      <w:r w:rsidRPr="00617A89">
        <w:rPr>
          <w:bCs/>
          <w:color w:val="000000" w:themeColor="text1"/>
          <w:sz w:val="28"/>
          <w:szCs w:val="28"/>
        </w:rPr>
        <w:t>202</w:t>
      </w:r>
      <w:r w:rsidR="00945F9D" w:rsidRPr="00617A89">
        <w:rPr>
          <w:bCs/>
          <w:color w:val="000000" w:themeColor="text1"/>
          <w:sz w:val="28"/>
          <w:szCs w:val="28"/>
        </w:rPr>
        <w:t>6</w:t>
      </w:r>
    </w:p>
    <w:p w14:paraId="1297E2C7" w14:textId="77777777" w:rsidR="00C96E9B" w:rsidRPr="00617A89" w:rsidRDefault="001971B4" w:rsidP="003F1FCA">
      <w:pPr>
        <w:pStyle w:val="Body"/>
        <w:spacing w:before="480" w:after="0" w:line="240" w:lineRule="auto"/>
        <w:jc w:val="center"/>
        <w:rPr>
          <w:color w:val="000000" w:themeColor="text1"/>
        </w:rPr>
      </w:pPr>
      <w:r w:rsidRPr="00617A89">
        <w:rPr>
          <w:noProof/>
          <w:color w:val="000000" w:themeColor="text1"/>
        </w:rPr>
        <w:drawing>
          <wp:inline distT="0" distB="0" distL="0" distR="0" wp14:anchorId="78E8C39F" wp14:editId="14A5AC8A">
            <wp:extent cx="7581600" cy="5881689"/>
            <wp:effectExtent l="0" t="0" r="635" b="0"/>
            <wp:docPr id="1839252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5213" name="Picture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7581600" cy="5881689"/>
                    </a:xfrm>
                    <a:prstGeom prst="rect">
                      <a:avLst/>
                    </a:prstGeom>
                  </pic:spPr>
                </pic:pic>
              </a:graphicData>
            </a:graphic>
          </wp:inline>
        </w:drawing>
      </w:r>
    </w:p>
    <w:p w14:paraId="67E3B38D" w14:textId="77777777" w:rsidR="00616E88" w:rsidRPr="00617A89" w:rsidRDefault="008F04A2" w:rsidP="003F1FCA">
      <w:pPr>
        <w:pStyle w:val="Body"/>
        <w:spacing w:before="600" w:after="0" w:line="240" w:lineRule="auto"/>
        <w:ind w:right="397"/>
        <w:jc w:val="right"/>
        <w:rPr>
          <w:color w:val="000000" w:themeColor="text1"/>
        </w:rPr>
      </w:pPr>
      <w:r w:rsidRPr="00617A89">
        <w:rPr>
          <w:noProof/>
          <w:color w:val="000000" w:themeColor="text1"/>
        </w:rPr>
        <w:drawing>
          <wp:inline distT="0" distB="0" distL="0" distR="0" wp14:anchorId="32D8F4B0" wp14:editId="2DA671D9">
            <wp:extent cx="1499641" cy="428468"/>
            <wp:effectExtent l="0" t="0" r="0" b="3810"/>
            <wp:docPr id="558804008" name="Picture 5" descr="GOS-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04008" name="Picture 5" descr="GOS-L logo"/>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1499641" cy="428468"/>
                    </a:xfrm>
                    <a:prstGeom prst="rect">
                      <a:avLst/>
                    </a:prstGeom>
                  </pic:spPr>
                </pic:pic>
              </a:graphicData>
            </a:graphic>
          </wp:inline>
        </w:drawing>
      </w:r>
    </w:p>
    <w:p w14:paraId="256C0F1A" w14:textId="77777777" w:rsidR="00C96E9B" w:rsidRPr="00617A89" w:rsidRDefault="00C96E9B" w:rsidP="002C4499">
      <w:pPr>
        <w:ind w:right="397"/>
        <w:rPr>
          <w:color w:val="000000" w:themeColor="text1"/>
        </w:rPr>
        <w:sectPr w:rsidR="00C96E9B" w:rsidRPr="00617A89" w:rsidSect="004D5841">
          <w:footerReference w:type="default" r:id="rId19"/>
          <w:pgSz w:w="11906" w:h="16838" w:code="9"/>
          <w:pgMar w:top="397" w:right="0" w:bottom="0" w:left="0" w:header="397" w:footer="0" w:gutter="0"/>
          <w:pgNumType w:fmt="lowerRoman" w:start="1"/>
          <w:cols w:space="708"/>
          <w:docGrid w:linePitch="360"/>
        </w:sectPr>
      </w:pPr>
    </w:p>
    <w:p w14:paraId="1AE52503" w14:textId="77777777" w:rsidR="00A01394" w:rsidRPr="00617A89" w:rsidRDefault="00A01394" w:rsidP="00A01394">
      <w:pPr>
        <w:pStyle w:val="Heading1"/>
        <w:numPr>
          <w:ilvl w:val="0"/>
          <w:numId w:val="0"/>
        </w:numPr>
        <w:rPr>
          <w:color w:val="000000" w:themeColor="text1"/>
        </w:rPr>
      </w:pPr>
      <w:bookmarkStart w:id="1" w:name="_Toc343436256"/>
      <w:bookmarkStart w:id="2" w:name="_Toc515594294"/>
      <w:bookmarkStart w:id="3" w:name="_Toc75794924"/>
      <w:bookmarkStart w:id="4" w:name="_Toc79687688"/>
      <w:bookmarkStart w:id="5" w:name="_Toc192179843"/>
      <w:bookmarkStart w:id="6" w:name="_Toc222868429"/>
      <w:r w:rsidRPr="00617A89">
        <w:rPr>
          <w:color w:val="000000" w:themeColor="text1"/>
        </w:rPr>
        <w:lastRenderedPageBreak/>
        <w:t>Acknowledgements</w:t>
      </w:r>
      <w:bookmarkEnd w:id="1"/>
      <w:bookmarkEnd w:id="2"/>
      <w:bookmarkEnd w:id="3"/>
      <w:bookmarkEnd w:id="4"/>
      <w:bookmarkEnd w:id="5"/>
      <w:bookmarkEnd w:id="6"/>
    </w:p>
    <w:p w14:paraId="63C9B0BD" w14:textId="72C07F69" w:rsidR="00A01394" w:rsidRPr="00617A89" w:rsidRDefault="00A01394" w:rsidP="00A01394">
      <w:pPr>
        <w:pStyle w:val="Body"/>
        <w:rPr>
          <w:color w:val="000000" w:themeColor="text1"/>
        </w:rPr>
      </w:pPr>
      <w:bookmarkStart w:id="7" w:name="_Hlk109847944"/>
      <w:r w:rsidRPr="00617A89">
        <w:rPr>
          <w:color w:val="000000" w:themeColor="text1"/>
        </w:rPr>
        <w:t>The Quality Indicators for Learning and Teaching (QILT) survey program, including the 202</w:t>
      </w:r>
      <w:r w:rsidR="006A56FC" w:rsidRPr="00617A89">
        <w:rPr>
          <w:color w:val="000000" w:themeColor="text1"/>
        </w:rPr>
        <w:t>5</w:t>
      </w:r>
      <w:r w:rsidRPr="00617A89">
        <w:rPr>
          <w:color w:val="000000" w:themeColor="text1"/>
        </w:rPr>
        <w:t xml:space="preserve"> Graduate Outcomes Survey </w:t>
      </w:r>
      <w:r w:rsidR="00034502" w:rsidRPr="00617A89">
        <w:rPr>
          <w:color w:val="000000" w:themeColor="text1"/>
        </w:rPr>
        <w:t xml:space="preserve">– </w:t>
      </w:r>
      <w:r w:rsidRPr="00617A89">
        <w:rPr>
          <w:color w:val="000000" w:themeColor="text1"/>
        </w:rPr>
        <w:t>Longitudinal (GOS-L), is funded by the Australian Government Department of Education (Department</w:t>
      </w:r>
      <w:r w:rsidR="00E6219B" w:rsidRPr="00617A89">
        <w:rPr>
          <w:color w:val="000000" w:themeColor="text1"/>
        </w:rPr>
        <w:t xml:space="preserve"> of Education</w:t>
      </w:r>
      <w:r w:rsidRPr="00617A89">
        <w:rPr>
          <w:color w:val="000000" w:themeColor="text1"/>
        </w:rPr>
        <w:t>).</w:t>
      </w:r>
    </w:p>
    <w:p w14:paraId="4B8E3BE5" w14:textId="4E9DDC94" w:rsidR="00A01394" w:rsidRPr="00617A89" w:rsidRDefault="00A01394" w:rsidP="00A01394">
      <w:pPr>
        <w:pStyle w:val="Body"/>
        <w:rPr>
          <w:color w:val="000000" w:themeColor="text1"/>
        </w:rPr>
      </w:pPr>
      <w:r w:rsidRPr="00617A89">
        <w:rPr>
          <w:color w:val="000000" w:themeColor="text1"/>
        </w:rPr>
        <w:t>The Department and the Social Research Centre acknowledge the Traditional Custodians of the lands</w:t>
      </w:r>
      <w:r w:rsidR="00842175" w:rsidRPr="00617A89">
        <w:rPr>
          <w:color w:val="000000" w:themeColor="text1"/>
        </w:rPr>
        <w:t xml:space="preserve"> and</w:t>
      </w:r>
      <w:r w:rsidRPr="00617A89">
        <w:rPr>
          <w:color w:val="000000" w:themeColor="text1"/>
        </w:rPr>
        <w:t xml:space="preserve"> waters on which this research was conducted. We pay our respects to Elders past, present and emerging.</w:t>
      </w:r>
    </w:p>
    <w:bookmarkEnd w:id="7"/>
    <w:p w14:paraId="2A9C95FC" w14:textId="53BD2D85" w:rsidR="00A01394" w:rsidRPr="00617A89" w:rsidRDefault="00A01394" w:rsidP="00A01394">
      <w:pPr>
        <w:pStyle w:val="Body"/>
        <w:rPr>
          <w:color w:val="000000" w:themeColor="text1"/>
        </w:rPr>
      </w:pPr>
      <w:r w:rsidRPr="00617A89">
        <w:rPr>
          <w:color w:val="000000" w:themeColor="text1"/>
        </w:rPr>
        <w:t>The Social Research Centre would especially like to thank the higher education institutions that contributed to the Graduate Outcomes Survey (GOS) in 202</w:t>
      </w:r>
      <w:r w:rsidR="00B23E1D" w:rsidRPr="00617A89">
        <w:rPr>
          <w:color w:val="000000" w:themeColor="text1"/>
        </w:rPr>
        <w:t>2</w:t>
      </w:r>
      <w:r w:rsidRPr="00617A89">
        <w:rPr>
          <w:color w:val="000000" w:themeColor="text1"/>
        </w:rPr>
        <w:t xml:space="preserve"> and the GOS-L in 202</w:t>
      </w:r>
      <w:r w:rsidR="00B23E1D" w:rsidRPr="00617A89">
        <w:rPr>
          <w:color w:val="000000" w:themeColor="text1"/>
        </w:rPr>
        <w:t>5</w:t>
      </w:r>
      <w:r w:rsidRPr="00617A89">
        <w:rPr>
          <w:color w:val="000000" w:themeColor="text1"/>
        </w:rPr>
        <w:t xml:space="preserve">. Without the enthusiastic and committed assistance of the survey managers and institutional </w:t>
      </w:r>
      <w:r w:rsidR="0035060A" w:rsidRPr="00617A89">
        <w:rPr>
          <w:color w:val="000000" w:themeColor="text1"/>
        </w:rPr>
        <w:t>planners</w:t>
      </w:r>
      <w:r w:rsidRPr="00617A89">
        <w:rPr>
          <w:color w:val="000000" w:themeColor="text1"/>
        </w:rPr>
        <w:t>, the 202</w:t>
      </w:r>
      <w:r w:rsidR="0035060A" w:rsidRPr="00617A89">
        <w:rPr>
          <w:color w:val="000000" w:themeColor="text1"/>
        </w:rPr>
        <w:t>5</w:t>
      </w:r>
      <w:r w:rsidRPr="00617A89">
        <w:rPr>
          <w:color w:val="000000" w:themeColor="text1"/>
        </w:rPr>
        <w:t xml:space="preserve"> GOS-L would not have been such a success.</w:t>
      </w:r>
    </w:p>
    <w:p w14:paraId="5432BD90" w14:textId="1F7E2B16" w:rsidR="00A01394" w:rsidRPr="00617A89" w:rsidRDefault="00A01394" w:rsidP="00A01394">
      <w:pPr>
        <w:pStyle w:val="Body"/>
        <w:rPr>
          <w:color w:val="000000" w:themeColor="text1"/>
        </w:rPr>
      </w:pPr>
      <w:r w:rsidRPr="00617A89">
        <w:rPr>
          <w:color w:val="000000" w:themeColor="text1"/>
        </w:rPr>
        <w:t>We are also very grateful to the graduates who took the time to provide valuable feedback about their employment and further study</w:t>
      </w:r>
      <w:r w:rsidR="009F24F0" w:rsidRPr="00617A89">
        <w:rPr>
          <w:color w:val="000000" w:themeColor="text1"/>
        </w:rPr>
        <w:t xml:space="preserve"> outcomes</w:t>
      </w:r>
      <w:r w:rsidRPr="00617A89">
        <w:rPr>
          <w:color w:val="000000" w:themeColor="text1"/>
        </w:rPr>
        <w:t xml:space="preserve">. </w:t>
      </w:r>
      <w:r w:rsidR="006C435A" w:rsidRPr="00617A89">
        <w:rPr>
          <w:color w:val="000000" w:themeColor="text1"/>
        </w:rPr>
        <w:t>I</w:t>
      </w:r>
      <w:r w:rsidRPr="00617A89">
        <w:rPr>
          <w:color w:val="000000" w:themeColor="text1"/>
        </w:rPr>
        <w:t xml:space="preserve">nstitutions </w:t>
      </w:r>
      <w:r w:rsidR="006C435A" w:rsidRPr="00617A89">
        <w:rPr>
          <w:color w:val="000000" w:themeColor="text1"/>
        </w:rPr>
        <w:t xml:space="preserve">use GOS-L data </w:t>
      </w:r>
      <w:r w:rsidRPr="00617A89">
        <w:rPr>
          <w:color w:val="000000" w:themeColor="text1"/>
        </w:rPr>
        <w:t xml:space="preserve">for continuous improvement, </w:t>
      </w:r>
      <w:r w:rsidR="00B75379" w:rsidRPr="00617A89">
        <w:rPr>
          <w:color w:val="000000" w:themeColor="text1"/>
        </w:rPr>
        <w:t xml:space="preserve">including exploring ways </w:t>
      </w:r>
      <w:r w:rsidRPr="00617A89">
        <w:rPr>
          <w:color w:val="000000" w:themeColor="text1"/>
        </w:rPr>
        <w:t>to monitor and improve the labour force outcomes of graduates.</w:t>
      </w:r>
    </w:p>
    <w:p w14:paraId="399F0F0F" w14:textId="64D6BE3C" w:rsidR="00A01394" w:rsidRPr="00617A89" w:rsidRDefault="00A01394" w:rsidP="00A01394">
      <w:pPr>
        <w:pStyle w:val="Body"/>
        <w:rPr>
          <w:color w:val="000000" w:themeColor="text1"/>
        </w:rPr>
      </w:pPr>
      <w:r w:rsidRPr="00617A89">
        <w:rPr>
          <w:color w:val="000000" w:themeColor="text1"/>
        </w:rPr>
        <w:t>The 202</w:t>
      </w:r>
      <w:r w:rsidR="00B72F05" w:rsidRPr="00617A89">
        <w:rPr>
          <w:color w:val="000000" w:themeColor="text1"/>
        </w:rPr>
        <w:t>5</w:t>
      </w:r>
      <w:r w:rsidRPr="00617A89">
        <w:rPr>
          <w:color w:val="000000" w:themeColor="text1"/>
        </w:rPr>
        <w:t xml:space="preserve"> GOS-L was led by Graham Challice and the project team consisted of Lauren Spencer, Vicky Tong, </w:t>
      </w:r>
      <w:r w:rsidR="00B72F05" w:rsidRPr="00617A89">
        <w:rPr>
          <w:color w:val="000000" w:themeColor="text1"/>
        </w:rPr>
        <w:t>Michael Allan</w:t>
      </w:r>
      <w:r w:rsidRPr="00617A89">
        <w:rPr>
          <w:color w:val="000000" w:themeColor="text1"/>
        </w:rPr>
        <w:t xml:space="preserve">, Cynthia Kim, Dr Gabriel Ong, </w:t>
      </w:r>
      <w:r w:rsidR="00592F59" w:rsidRPr="00617A89">
        <w:rPr>
          <w:color w:val="000000" w:themeColor="text1"/>
        </w:rPr>
        <w:t xml:space="preserve">Willem </w:t>
      </w:r>
      <w:r w:rsidR="004254B1" w:rsidRPr="00617A89">
        <w:rPr>
          <w:color w:val="000000" w:themeColor="text1"/>
        </w:rPr>
        <w:t>McKenzie</w:t>
      </w:r>
      <w:r w:rsidRPr="00617A89">
        <w:rPr>
          <w:color w:val="000000" w:themeColor="text1"/>
        </w:rPr>
        <w:t xml:space="preserve">, Joe Feng, </w:t>
      </w:r>
      <w:r w:rsidR="004254B1" w:rsidRPr="00617A89">
        <w:rPr>
          <w:color w:val="000000" w:themeColor="text1"/>
        </w:rPr>
        <w:t xml:space="preserve">Erika Sitnai, </w:t>
      </w:r>
      <w:r w:rsidRPr="00617A89">
        <w:rPr>
          <w:color w:val="000000" w:themeColor="text1"/>
        </w:rPr>
        <w:t>Rawan Habibeh, Josh Bach and Serena Kim.</w:t>
      </w:r>
    </w:p>
    <w:p w14:paraId="66D22708" w14:textId="6D9E8D97" w:rsidR="006A1804" w:rsidRPr="00617A89" w:rsidRDefault="00A01394" w:rsidP="00A01394">
      <w:pPr>
        <w:pStyle w:val="Bodycopy"/>
        <w:rPr>
          <w:rFonts w:ascii="Arial" w:hAnsi="Arial" w:cs="Arial"/>
          <w:color w:val="000000" w:themeColor="text1"/>
        </w:rPr>
      </w:pPr>
      <w:r w:rsidRPr="00617A89">
        <w:rPr>
          <w:color w:val="000000" w:themeColor="text1"/>
        </w:rPr>
        <w:t>For more information about the 202</w:t>
      </w:r>
      <w:r w:rsidR="004254B1" w:rsidRPr="00617A89">
        <w:rPr>
          <w:color w:val="000000" w:themeColor="text1"/>
        </w:rPr>
        <w:t>5</w:t>
      </w:r>
      <w:r w:rsidRPr="00617A89">
        <w:rPr>
          <w:color w:val="000000" w:themeColor="text1"/>
        </w:rPr>
        <w:t xml:space="preserve"> GOS-L, including how it was conducted, </w:t>
      </w:r>
      <w:r w:rsidRPr="00617A89">
        <w:rPr>
          <w:rFonts w:ascii="Arial" w:hAnsi="Arial" w:cs="Arial"/>
          <w:color w:val="000000" w:themeColor="text1"/>
        </w:rPr>
        <w:t xml:space="preserve">visit the </w:t>
      </w:r>
      <w:hyperlink r:id="rId20">
        <w:r w:rsidR="00EF3AD2" w:rsidRPr="00617A89">
          <w:rPr>
            <w:rStyle w:val="Hyperlink"/>
            <w:rFonts w:ascii="Arial" w:hAnsi="Arial" w:cs="Arial"/>
            <w:lang w:val="en-AU"/>
          </w:rPr>
          <w:t>QILT website</w:t>
        </w:r>
      </w:hyperlink>
      <w:r w:rsidR="00262E51" w:rsidRPr="00617A89">
        <w:rPr>
          <w:rFonts w:ascii="Arial" w:hAnsi="Arial" w:cs="Arial"/>
          <w:color w:val="000000" w:themeColor="text1"/>
          <w:lang w:val="en-AU"/>
        </w:rPr>
        <w:t>.</w:t>
      </w:r>
    </w:p>
    <w:p w14:paraId="0B39D94F" w14:textId="77777777" w:rsidR="00A01394" w:rsidRPr="00617A89" w:rsidRDefault="00A01394" w:rsidP="00A01394">
      <w:pPr>
        <w:pStyle w:val="Bodycopy"/>
        <w:rPr>
          <w:rStyle w:val="Hyperlink"/>
          <w:rFonts w:cs="Arial"/>
        </w:rPr>
      </w:pPr>
      <w:r w:rsidRPr="00617A89">
        <w:rPr>
          <w:rFonts w:ascii="Arial" w:hAnsi="Arial" w:cs="Arial"/>
          <w:color w:val="000000" w:themeColor="text1"/>
        </w:rPr>
        <w:t xml:space="preserve">Email the QILT team at </w:t>
      </w:r>
      <w:hyperlink r:id="rId21" w:history="1">
        <w:r w:rsidRPr="00617A89">
          <w:rPr>
            <w:rStyle w:val="Hyperlink"/>
            <w:rFonts w:cs="Arial"/>
          </w:rPr>
          <w:t>qilt@srcentre.com.au</w:t>
        </w:r>
      </w:hyperlink>
    </w:p>
    <w:p w14:paraId="45525177" w14:textId="77777777" w:rsidR="00A01394" w:rsidRPr="00617A89" w:rsidRDefault="00A01394" w:rsidP="00A01394">
      <w:pPr>
        <w:pStyle w:val="Body"/>
        <w:rPr>
          <w:color w:val="000000" w:themeColor="text1"/>
        </w:rPr>
      </w:pPr>
    </w:p>
    <w:p w14:paraId="020C0AB1" w14:textId="77777777" w:rsidR="00A01394" w:rsidRPr="00617A89" w:rsidRDefault="00A01394" w:rsidP="00472DD2">
      <w:pPr>
        <w:pStyle w:val="SubHeading1"/>
        <w:rPr>
          <w:color w:val="000000" w:themeColor="text1"/>
        </w:rPr>
      </w:pPr>
      <w:r w:rsidRPr="00617A89">
        <w:rPr>
          <w:color w:val="000000" w:themeColor="text1"/>
        </w:rPr>
        <w:t xml:space="preserve">Terminology </w:t>
      </w:r>
    </w:p>
    <w:p w14:paraId="2302CE37" w14:textId="77777777" w:rsidR="00A01394" w:rsidRPr="00617A89" w:rsidRDefault="00A01394" w:rsidP="00A01394">
      <w:pPr>
        <w:pStyle w:val="SubHeading20"/>
        <w:rPr>
          <w:color w:val="000000" w:themeColor="text1"/>
          <w:lang w:val="en-GB" w:eastAsia="en-GB"/>
        </w:rPr>
      </w:pPr>
      <w:r w:rsidRPr="00617A89">
        <w:rPr>
          <w:color w:val="000000" w:themeColor="text1"/>
          <w:lang w:val="en-GB" w:eastAsia="en-GB"/>
        </w:rPr>
        <w:t>‘First Nations’</w:t>
      </w:r>
    </w:p>
    <w:p w14:paraId="3DADEA60" w14:textId="77777777" w:rsidR="00A01394" w:rsidRPr="00617A89" w:rsidRDefault="00A01394" w:rsidP="00A01394">
      <w:pPr>
        <w:pStyle w:val="Body"/>
        <w:rPr>
          <w:color w:val="000000" w:themeColor="text1"/>
        </w:rPr>
      </w:pPr>
      <w:r w:rsidRPr="00617A89">
        <w:rPr>
          <w:color w:val="000000" w:themeColor="text1"/>
        </w:rPr>
        <w:t>In recognition of the national scope of this research, this report uses the term ‘First Nations’ to encompass both Aboriginal and Torres Strait Islander peoples.</w:t>
      </w:r>
    </w:p>
    <w:p w14:paraId="54053FE9" w14:textId="77777777" w:rsidR="00A01394" w:rsidRPr="00617A89" w:rsidRDefault="00A01394" w:rsidP="00A01394">
      <w:pPr>
        <w:pStyle w:val="Body"/>
        <w:rPr>
          <w:color w:val="000000" w:themeColor="text1"/>
        </w:rPr>
      </w:pPr>
      <w:r w:rsidRPr="00617A89">
        <w:rPr>
          <w:color w:val="000000" w:themeColor="text1"/>
        </w:rPr>
        <w:t>We deeply respect the rich diversity of communities, identities and clans among First Nations peoples and acknowledge there may be preferences to be known by a specific group name or Country, or as Traditional Owners and Custodians.</w:t>
      </w:r>
    </w:p>
    <w:p w14:paraId="74365961" w14:textId="67FF0996" w:rsidR="005436B2" w:rsidRPr="00617A89" w:rsidRDefault="00E6219B" w:rsidP="005436B2">
      <w:pPr>
        <w:pStyle w:val="Body"/>
        <w:rPr>
          <w:bCs/>
          <w:color w:val="000000" w:themeColor="text1"/>
        </w:rPr>
      </w:pPr>
      <w:r w:rsidRPr="00617A89">
        <w:rPr>
          <w:color w:val="000000" w:themeColor="text1"/>
        </w:rPr>
        <w:t>The terminology used in this report reflects a considered and deliberate approach to be inclusive by using ‘non-Indigenous graduates</w:t>
      </w:r>
      <w:r w:rsidR="0018058F" w:rsidRPr="00617A89">
        <w:rPr>
          <w:color w:val="000000" w:themeColor="text1"/>
        </w:rPr>
        <w:t>’</w:t>
      </w:r>
      <w:r w:rsidRPr="00617A89">
        <w:rPr>
          <w:color w:val="000000" w:themeColor="text1"/>
        </w:rPr>
        <w:t xml:space="preserve"> when referring to graduates who do not identify as an Aboriginal and/or Torres Strait Islander person in Australia. This does not infer any disrespect to those who identify as an indigenous person from another country</w:t>
      </w:r>
      <w:r w:rsidR="00A01394" w:rsidRPr="00617A89">
        <w:rPr>
          <w:color w:val="000000" w:themeColor="text1"/>
        </w:rPr>
        <w:t>.</w:t>
      </w:r>
    </w:p>
    <w:p w14:paraId="6F2F83CE" w14:textId="5BEED38B" w:rsidR="00A01394" w:rsidRPr="00617A89" w:rsidRDefault="00A01394" w:rsidP="00A01394">
      <w:pPr>
        <w:pStyle w:val="SubHeading20"/>
        <w:rPr>
          <w:color w:val="000000" w:themeColor="text1"/>
          <w:lang w:val="en-GB" w:eastAsia="en-GB"/>
        </w:rPr>
      </w:pPr>
      <w:r w:rsidRPr="00617A89">
        <w:rPr>
          <w:color w:val="000000" w:themeColor="text1"/>
          <w:lang w:val="en-GB" w:eastAsia="en-GB"/>
        </w:rPr>
        <w:t>‘Undergraduate’</w:t>
      </w:r>
    </w:p>
    <w:p w14:paraId="0CE0706C" w14:textId="77777777" w:rsidR="00A01394" w:rsidRPr="00617A89" w:rsidRDefault="00A01394" w:rsidP="00A01394">
      <w:pPr>
        <w:pStyle w:val="Body"/>
        <w:rPr>
          <w:color w:val="000000" w:themeColor="text1"/>
          <w:lang w:val="en-GB" w:eastAsia="en-GB"/>
        </w:rPr>
      </w:pPr>
      <w:r w:rsidRPr="00617A89">
        <w:rPr>
          <w:color w:val="000000" w:themeColor="text1"/>
          <w:lang w:val="en-GB" w:eastAsia="en-GB"/>
        </w:rPr>
        <w:t xml:space="preserve">This report uses the shorthand ‘undergraduate’ to refer to a respondent to the GOS-L who had </w:t>
      </w:r>
      <w:r w:rsidRPr="00617A89">
        <w:rPr>
          <w:b/>
          <w:bCs/>
          <w:i/>
          <w:iCs/>
          <w:color w:val="000000" w:themeColor="text1"/>
          <w:lang w:val="en-GB" w:eastAsia="en-GB"/>
        </w:rPr>
        <w:t>completed</w:t>
      </w:r>
      <w:r w:rsidRPr="00617A89">
        <w:rPr>
          <w:i/>
          <w:iCs/>
          <w:color w:val="000000" w:themeColor="text1"/>
          <w:lang w:val="en-GB" w:eastAsia="en-GB"/>
        </w:rPr>
        <w:t xml:space="preserve"> </w:t>
      </w:r>
      <w:r w:rsidRPr="00617A89">
        <w:rPr>
          <w:color w:val="000000" w:themeColor="text1"/>
          <w:lang w:val="en-GB" w:eastAsia="en-GB"/>
        </w:rPr>
        <w:t>an undergraduate qualification approximately 3 years earlier. This differs from the usual sense of ‘undergraduate’: a student who has not yet completed their first degree.</w:t>
      </w:r>
    </w:p>
    <w:p w14:paraId="07B55EDC" w14:textId="77777777" w:rsidR="004D2951" w:rsidRPr="00617A89" w:rsidRDefault="004D2951" w:rsidP="00297ABC">
      <w:pPr>
        <w:rPr>
          <w:rFonts w:cs="Arial"/>
          <w:color w:val="000000" w:themeColor="text1"/>
          <w:szCs w:val="20"/>
        </w:rPr>
        <w:sectPr w:rsidR="004D2951" w:rsidRPr="00617A89" w:rsidSect="00864E62">
          <w:headerReference w:type="even" r:id="rId22"/>
          <w:headerReference w:type="default" r:id="rId23"/>
          <w:footerReference w:type="default" r:id="rId24"/>
          <w:headerReference w:type="first" r:id="rId25"/>
          <w:pgSz w:w="11906" w:h="16838" w:code="9"/>
          <w:pgMar w:top="1134" w:right="1134" w:bottom="1134" w:left="1134" w:header="567" w:footer="567" w:gutter="0"/>
          <w:pgNumType w:fmt="lowerRoman" w:start="1"/>
          <w:cols w:space="708"/>
          <w:docGrid w:linePitch="360"/>
        </w:sectPr>
      </w:pPr>
    </w:p>
    <w:p w14:paraId="7B5719D4" w14:textId="77777777" w:rsidR="00244416" w:rsidRPr="00617A89" w:rsidRDefault="00244416" w:rsidP="00244416">
      <w:pPr>
        <w:pStyle w:val="MajorHeading"/>
        <w:rPr>
          <w:color w:val="000000" w:themeColor="text1"/>
        </w:rPr>
      </w:pPr>
      <w:bookmarkStart w:id="8" w:name="_Toc115109848"/>
      <w:bookmarkStart w:id="9" w:name="_Toc222868430"/>
      <w:bookmarkStart w:id="10" w:name="_Hlk113616757"/>
      <w:r w:rsidRPr="00617A89">
        <w:rPr>
          <w:color w:val="000000" w:themeColor="text1"/>
        </w:rPr>
        <w:lastRenderedPageBreak/>
        <w:t>Executive summary</w:t>
      </w:r>
      <w:bookmarkEnd w:id="8"/>
      <w:bookmarkEnd w:id="9"/>
    </w:p>
    <w:p w14:paraId="5B3E603D" w14:textId="31CEFB67" w:rsidR="00085412" w:rsidRPr="00617A89" w:rsidRDefault="00085412" w:rsidP="00085412">
      <w:pPr>
        <w:pStyle w:val="Body"/>
        <w:rPr>
          <w:color w:val="000000" w:themeColor="text1"/>
        </w:rPr>
      </w:pPr>
      <w:r w:rsidRPr="00617A89">
        <w:rPr>
          <w:color w:val="000000" w:themeColor="text1"/>
        </w:rPr>
        <w:t>The Graduate Outcomes Survey – Longitudinal (GOS-L) is a key component of the Quality Indicators for Learning and Teaching (QILT) survey suite, capturing medium-term labour market and further study outcomes for higher education graduates. Graduates who took part in the Graduate Outcomes Survey (GOS) 4 to 6 months after course completion are invited to take part in the GOS-L 3 years later, allowing for short</w:t>
      </w:r>
      <w:r w:rsidR="002013A6" w:rsidRPr="00617A89">
        <w:rPr>
          <w:color w:val="000000" w:themeColor="text1"/>
        </w:rPr>
        <w:t>-</w:t>
      </w:r>
      <w:r w:rsidRPr="00617A89">
        <w:rPr>
          <w:color w:val="000000" w:themeColor="text1"/>
        </w:rPr>
        <w:t xml:space="preserve"> and medium-term comparisons in employment and further study activities. The 2025 GOS-L National Report presents findings for graduates who completed the GOS in 2022 and the GOS-L in 2025.</w:t>
      </w:r>
    </w:p>
    <w:p w14:paraId="02FEDE61" w14:textId="77777777" w:rsidR="00085412" w:rsidRPr="00617A89" w:rsidRDefault="00085412" w:rsidP="00085412">
      <w:pPr>
        <w:pStyle w:val="Body"/>
        <w:rPr>
          <w:color w:val="000000" w:themeColor="text1"/>
        </w:rPr>
      </w:pPr>
      <w:r w:rsidRPr="00617A89">
        <w:rPr>
          <w:color w:val="000000" w:themeColor="text1"/>
        </w:rPr>
        <w:t>In 2025, more than 48,000 graduates from 127 higher education institutions – including all 43 Australian universities – participated in the GOS-L.</w:t>
      </w:r>
    </w:p>
    <w:p w14:paraId="5CD7AF16" w14:textId="2160D1B4" w:rsidR="00105B03" w:rsidRPr="00617A89" w:rsidRDefault="00105B03" w:rsidP="00CE6D4A">
      <w:pPr>
        <w:pStyle w:val="SubHeading1"/>
        <w:rPr>
          <w:color w:val="000000" w:themeColor="text1"/>
        </w:rPr>
      </w:pPr>
      <w:r w:rsidRPr="00617A89">
        <w:rPr>
          <w:color w:val="000000" w:themeColor="text1"/>
        </w:rPr>
        <w:t>Domestic graduate results</w:t>
      </w:r>
    </w:p>
    <w:p w14:paraId="35F9C8AC" w14:textId="6871C7BD" w:rsidR="00CE6D4A" w:rsidRPr="00617A89" w:rsidRDefault="00643AE5" w:rsidP="00BB1ECB">
      <w:pPr>
        <w:pStyle w:val="SubHeading20"/>
        <w:rPr>
          <w:color w:val="000000" w:themeColor="text1"/>
        </w:rPr>
      </w:pPr>
      <w:r w:rsidRPr="00617A89">
        <w:rPr>
          <w:color w:val="000000" w:themeColor="text1"/>
        </w:rPr>
        <w:t>Labour force participation</w:t>
      </w:r>
    </w:p>
    <w:p w14:paraId="3F343EC0" w14:textId="5493A3AE" w:rsidR="00E6219B" w:rsidRPr="00617A89" w:rsidRDefault="00E6219B" w:rsidP="00E6219B">
      <w:pPr>
        <w:pStyle w:val="Body"/>
        <w:rPr>
          <w:color w:val="000000" w:themeColor="text1"/>
        </w:rPr>
      </w:pPr>
      <w:r w:rsidRPr="00617A89">
        <w:rPr>
          <w:color w:val="000000" w:themeColor="text1"/>
        </w:rPr>
        <w:t>The labour force participation rate has remained relatively stable across study levels since the GOS and GOS-L commenced. However, in the 2025 GOS-L, there was a notable decrease in the medium</w:t>
      </w:r>
      <w:r w:rsidR="0018058F" w:rsidRPr="00617A89">
        <w:rPr>
          <w:color w:val="000000" w:themeColor="text1"/>
        </w:rPr>
        <w:t>-</w:t>
      </w:r>
      <w:r w:rsidRPr="00617A89">
        <w:rPr>
          <w:color w:val="000000" w:themeColor="text1"/>
        </w:rPr>
        <w:t xml:space="preserve">term labour force participation rate across all study levels. This decrease can be attributed to a change to the way this metric is calculated (see </w:t>
      </w:r>
      <w:r w:rsidRPr="00617A89">
        <w:rPr>
          <w:b/>
          <w:bCs/>
          <w:color w:val="000000" w:themeColor="text1"/>
        </w:rPr>
        <w:t>Appendix 1</w:t>
      </w:r>
      <w:r w:rsidRPr="00617A89">
        <w:rPr>
          <w:color w:val="000000" w:themeColor="text1"/>
        </w:rPr>
        <w:t xml:space="preserve"> for further information).</w:t>
      </w:r>
    </w:p>
    <w:p w14:paraId="273F250E" w14:textId="5A764FED" w:rsidR="00E6219B" w:rsidRPr="00617A89" w:rsidRDefault="00E6219B" w:rsidP="00E6219B">
      <w:pPr>
        <w:pStyle w:val="Body"/>
        <w:rPr>
          <w:color w:val="000000" w:themeColor="text1"/>
        </w:rPr>
      </w:pPr>
      <w:r w:rsidRPr="00617A89">
        <w:rPr>
          <w:color w:val="000000" w:themeColor="text1"/>
        </w:rPr>
        <w:t>Department of Education analysis indicates this change resulted in downward pressure on labour force participation rates of less than 1 percentage point for domestic undergraduates and postgraduate coursework graduates, and downward pressure of around 1.5</w:t>
      </w:r>
      <w:r w:rsidR="0018058F" w:rsidRPr="00617A89">
        <w:rPr>
          <w:color w:val="000000" w:themeColor="text1"/>
        </w:rPr>
        <w:t>-</w:t>
      </w:r>
      <w:r w:rsidRPr="00617A89">
        <w:rPr>
          <w:color w:val="000000" w:themeColor="text1"/>
        </w:rPr>
        <w:t>2.5 percentage points for domestic postgraduate research graduates. The relatively higher impact on domestic postgraduate research graduates reflects their higher propensity to report looking for work passively in the GOS-L in 2025. The change in methodology also affected the full time and overall employment rates presented in this report, and has implications on the comparability of 2025 medium-term data with historical data. Caution should be exercised when interpreting differences between 2025 medium-term results, and the short</w:t>
      </w:r>
      <w:r w:rsidR="0018058F" w:rsidRPr="00617A89">
        <w:rPr>
          <w:color w:val="000000" w:themeColor="text1"/>
        </w:rPr>
        <w:t>-</w:t>
      </w:r>
      <w:r w:rsidRPr="00617A89">
        <w:rPr>
          <w:color w:val="000000" w:themeColor="text1"/>
        </w:rPr>
        <w:t xml:space="preserve">term results and other medium-term results, as they partly reflect the change in methodology. </w:t>
      </w:r>
    </w:p>
    <w:p w14:paraId="2C4EE02D" w14:textId="19E94CB0" w:rsidR="00085412" w:rsidRPr="00617A89" w:rsidRDefault="00E6219B" w:rsidP="00E6219B">
      <w:pPr>
        <w:pStyle w:val="Body"/>
        <w:rPr>
          <w:color w:val="000000" w:themeColor="text1"/>
        </w:rPr>
      </w:pPr>
      <w:r w:rsidRPr="00617A89">
        <w:rPr>
          <w:color w:val="000000" w:themeColor="text1"/>
        </w:rPr>
        <w:t>Accounting for changes to the labour force definition in 2025, patterns of labour force participation among domestic graduates in 2025 continued to be consistent with previous years (</w:t>
      </w:r>
      <w:r w:rsidRPr="00617A89">
        <w:rPr>
          <w:b/>
          <w:bCs/>
          <w:color w:val="000000" w:themeColor="text1"/>
        </w:rPr>
        <w:t>Figure i</w:t>
      </w:r>
      <w:r w:rsidRPr="00617A89">
        <w:rPr>
          <w:color w:val="000000" w:themeColor="text1"/>
        </w:rPr>
        <w:t>)</w:t>
      </w:r>
      <w:r w:rsidR="00085412" w:rsidRPr="00617A89">
        <w:rPr>
          <w:color w:val="000000" w:themeColor="text1"/>
        </w:rPr>
        <w:t>:</w:t>
      </w:r>
    </w:p>
    <w:p w14:paraId="6FFF6AE9" w14:textId="77777777" w:rsidR="00E6219B" w:rsidRPr="00617A89" w:rsidRDefault="00E6219B" w:rsidP="00E6219B">
      <w:pPr>
        <w:pStyle w:val="Body"/>
        <w:numPr>
          <w:ilvl w:val="0"/>
          <w:numId w:val="23"/>
        </w:numPr>
        <w:rPr>
          <w:color w:val="000000" w:themeColor="text1"/>
        </w:rPr>
      </w:pPr>
      <w:r w:rsidRPr="00617A89">
        <w:rPr>
          <w:color w:val="000000" w:themeColor="text1"/>
        </w:rPr>
        <w:t>Labour force participation rates remained above 90 per cent in the short- and medium-term across all study levels.</w:t>
      </w:r>
    </w:p>
    <w:p w14:paraId="7EAD2C5B" w14:textId="1365F593" w:rsidR="00D11993" w:rsidRPr="00617A89" w:rsidRDefault="00E6219B" w:rsidP="00E6219B">
      <w:pPr>
        <w:pStyle w:val="Body"/>
        <w:numPr>
          <w:ilvl w:val="0"/>
          <w:numId w:val="23"/>
        </w:numPr>
        <w:rPr>
          <w:color w:val="000000" w:themeColor="text1"/>
        </w:rPr>
      </w:pPr>
      <w:r w:rsidRPr="00617A89">
        <w:rPr>
          <w:color w:val="000000" w:themeColor="text1"/>
        </w:rPr>
        <w:t>Medium-term labour force participation rates for postgraduate coursework and postgraduate research graduates were lower than the short-term rates</w:t>
      </w:r>
      <w:r w:rsidR="00D11993" w:rsidRPr="00617A89">
        <w:rPr>
          <w:color w:val="000000" w:themeColor="text1"/>
        </w:rPr>
        <w:t>.</w:t>
      </w:r>
    </w:p>
    <w:p w14:paraId="16F1E001" w14:textId="39773207" w:rsidR="0024479C" w:rsidRPr="00617A89" w:rsidRDefault="00E6219B" w:rsidP="00C60F49">
      <w:pPr>
        <w:pStyle w:val="Caption"/>
        <w:rPr>
          <w:color w:val="000000" w:themeColor="text1"/>
        </w:rPr>
      </w:pPr>
      <w:r w:rsidRPr="00617A89">
        <w:rPr>
          <w:color w:val="000000" w:themeColor="text1"/>
        </w:rPr>
        <w:t>Figure i - L</w:t>
      </w:r>
      <w:r w:rsidR="0024479C" w:rsidRPr="00617A89">
        <w:rPr>
          <w:color w:val="000000" w:themeColor="text1"/>
        </w:rPr>
        <w:t>abour force participation rate</w:t>
      </w:r>
      <w:r w:rsidR="00CB040B" w:rsidRPr="00617A89">
        <w:rPr>
          <w:color w:val="000000" w:themeColor="text1"/>
        </w:rPr>
        <w:t xml:space="preserve"> by study level</w:t>
      </w:r>
    </w:p>
    <w:p w14:paraId="65858100" w14:textId="50BA4DFB" w:rsidR="00EF6479" w:rsidRPr="00617A89" w:rsidRDefault="00EF6479" w:rsidP="00EF6479">
      <w:pPr>
        <w:pStyle w:val="Body"/>
        <w:rPr>
          <w:lang w:eastAsia="en-AU"/>
        </w:rPr>
      </w:pPr>
      <w:r w:rsidRPr="00617A89">
        <w:rPr>
          <w:noProof/>
          <w:lang w:eastAsia="en-AU"/>
        </w:rPr>
        <w:drawing>
          <wp:inline distT="0" distB="0" distL="0" distR="0" wp14:anchorId="5D5679AE" wp14:editId="0CE538A2">
            <wp:extent cx="4572635" cy="1945005"/>
            <wp:effectExtent l="0" t="0" r="0" b="0"/>
            <wp:docPr id="11950150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1945005"/>
                    </a:xfrm>
                    <a:prstGeom prst="rect">
                      <a:avLst/>
                    </a:prstGeom>
                    <a:noFill/>
                  </pic:spPr>
                </pic:pic>
              </a:graphicData>
            </a:graphic>
          </wp:inline>
        </w:drawing>
      </w:r>
    </w:p>
    <w:p w14:paraId="6222810B" w14:textId="196DEC5A" w:rsidR="0024479C" w:rsidRPr="00617A89" w:rsidRDefault="0024479C" w:rsidP="0024479C">
      <w:pPr>
        <w:pStyle w:val="FigureNote"/>
        <w:rPr>
          <w:color w:val="000000" w:themeColor="text1"/>
          <w:sz w:val="18"/>
          <w:szCs w:val="24"/>
        </w:rPr>
      </w:pPr>
      <w:r w:rsidRPr="00617A89">
        <w:rPr>
          <w:color w:val="000000" w:themeColor="text1"/>
          <w:sz w:val="18"/>
          <w:szCs w:val="24"/>
        </w:rPr>
        <w:t xml:space="preserve">* </w:t>
      </w:r>
      <w:r w:rsidR="00E6219B" w:rsidRPr="00617A89">
        <w:rPr>
          <w:color w:val="000000" w:themeColor="text1"/>
          <w:sz w:val="18"/>
          <w:szCs w:val="24"/>
        </w:rPr>
        <w:t xml:space="preserve">Medium-term </w:t>
      </w:r>
      <w:r w:rsidR="0018058F" w:rsidRPr="00617A89">
        <w:rPr>
          <w:color w:val="000000" w:themeColor="text1"/>
          <w:sz w:val="18"/>
          <w:szCs w:val="24"/>
        </w:rPr>
        <w:t xml:space="preserve">labour force participation rates from 2025 onwards are not directly comparable with earlier years due to a change to how the labour force is defined. Caution should be exercised when interpreting shifts in labour force participation </w:t>
      </w:r>
      <w:r w:rsidR="0018058F" w:rsidRPr="00617A89">
        <w:rPr>
          <w:color w:val="000000" w:themeColor="text1"/>
          <w:sz w:val="18"/>
          <w:szCs w:val="24"/>
        </w:rPr>
        <w:lastRenderedPageBreak/>
        <w:t xml:space="preserve">rates from the short- to medium-term for the 2022-2025 cohort, as they partly reflect the change in methodology. See </w:t>
      </w:r>
      <w:r w:rsidR="0018058F" w:rsidRPr="00617A89">
        <w:rPr>
          <w:b/>
          <w:bCs/>
          <w:color w:val="000000" w:themeColor="text1"/>
          <w:sz w:val="18"/>
          <w:szCs w:val="24"/>
        </w:rPr>
        <w:t>Appendix 1</w:t>
      </w:r>
      <w:r w:rsidR="0018058F" w:rsidRPr="00617A89">
        <w:rPr>
          <w:color w:val="000000" w:themeColor="text1"/>
          <w:sz w:val="18"/>
          <w:szCs w:val="24"/>
        </w:rPr>
        <w:t xml:space="preserve"> for further information.</w:t>
      </w:r>
    </w:p>
    <w:p w14:paraId="2F69B2D5" w14:textId="684B0531" w:rsidR="00643AE5" w:rsidRPr="00617A89" w:rsidRDefault="00643AE5" w:rsidP="00A93A55">
      <w:pPr>
        <w:pStyle w:val="SubHeading20"/>
        <w:rPr>
          <w:color w:val="000000" w:themeColor="text1"/>
        </w:rPr>
      </w:pPr>
      <w:r w:rsidRPr="00617A89">
        <w:rPr>
          <w:color w:val="000000" w:themeColor="text1"/>
        </w:rPr>
        <w:t>Full-time employment</w:t>
      </w:r>
    </w:p>
    <w:p w14:paraId="4C8DF51C" w14:textId="2892209E" w:rsidR="00E6219B" w:rsidRPr="00617A89" w:rsidRDefault="00E6219B" w:rsidP="00E6219B">
      <w:pPr>
        <w:pStyle w:val="Body"/>
        <w:rPr>
          <w:color w:val="000000" w:themeColor="text1"/>
        </w:rPr>
      </w:pPr>
      <w:r w:rsidRPr="00617A89">
        <w:rPr>
          <w:color w:val="000000" w:themeColor="text1"/>
        </w:rPr>
        <w:t>Short-term undergraduate full-time employment rates rose sharply from 2021 to 2022 (</w:t>
      </w:r>
      <w:r w:rsidRPr="00617A89">
        <w:rPr>
          <w:b/>
          <w:bCs/>
          <w:color w:val="000000" w:themeColor="text1"/>
        </w:rPr>
        <w:t>Figure ii</w:t>
      </w:r>
      <w:r w:rsidRPr="00617A89">
        <w:rPr>
          <w:color w:val="000000" w:themeColor="text1"/>
        </w:rPr>
        <w:t>) when labour market tightness peaked following the removal of pandemic-related restrictions. This sharp rise is consistent with results from the ABS Labour Force Survey. Medium-term full-time employment rates have been less volatile as more graduates moved into managerial and professional occupations, and established themselves in the labour market.</w:t>
      </w:r>
    </w:p>
    <w:p w14:paraId="0F541F01" w14:textId="77777777" w:rsidR="00E6219B" w:rsidRPr="00617A89" w:rsidRDefault="00E6219B" w:rsidP="00E6219B">
      <w:pPr>
        <w:pStyle w:val="Body"/>
      </w:pPr>
      <w:r w:rsidRPr="00617A89">
        <w:t>Department of Education analysis indicates the change to how the labour force is defined in 2025 resulted in upward pressure on medium-term full-time employment rates of less than 1.5 percentage points for domestic undergraduates, upward pressure of less than 1 percentage point for domestic postgraduate coursework graduates, and upward pressure of around 1.5</w:t>
      </w:r>
      <w:r w:rsidRPr="00617A89">
        <w:noBreakHyphen/>
        <w:t>2.5 percentage points for domestic postgraduate research graduates.</w:t>
      </w:r>
    </w:p>
    <w:p w14:paraId="46417A64" w14:textId="057CF74C" w:rsidR="004F576B" w:rsidRPr="00617A89" w:rsidRDefault="00E6219B" w:rsidP="00E6219B">
      <w:pPr>
        <w:pStyle w:val="Body"/>
        <w:rPr>
          <w:b/>
          <w:bCs/>
          <w:color w:val="000000" w:themeColor="text1"/>
        </w:rPr>
      </w:pPr>
      <w:r w:rsidRPr="00617A89">
        <w:rPr>
          <w:b/>
          <w:bCs/>
          <w:color w:val="000000" w:themeColor="text1"/>
        </w:rPr>
        <w:t xml:space="preserve">Figure ii - </w:t>
      </w:r>
      <w:r w:rsidR="00C360C5" w:rsidRPr="00617A89">
        <w:rPr>
          <w:b/>
          <w:bCs/>
          <w:color w:val="000000" w:themeColor="text1"/>
        </w:rPr>
        <w:t>U</w:t>
      </w:r>
      <w:r w:rsidR="004F576B" w:rsidRPr="00617A89">
        <w:rPr>
          <w:b/>
          <w:bCs/>
          <w:color w:val="000000" w:themeColor="text1"/>
        </w:rPr>
        <w:t>ndergraduate full-time employment rate for 2016 to 2022 domestic graduates</w:t>
      </w:r>
    </w:p>
    <w:p w14:paraId="19D6FE26" w14:textId="0E7522D3" w:rsidR="00EF6479" w:rsidRPr="00617A89" w:rsidRDefault="00EF6479" w:rsidP="00E6219B">
      <w:pPr>
        <w:pStyle w:val="Body"/>
        <w:rPr>
          <w:b/>
          <w:bCs/>
          <w:color w:val="000000" w:themeColor="text1"/>
        </w:rPr>
      </w:pPr>
      <w:r w:rsidRPr="00617A89">
        <w:rPr>
          <w:b/>
          <w:bCs/>
          <w:noProof/>
          <w:color w:val="000000" w:themeColor="text1"/>
        </w:rPr>
        <w:drawing>
          <wp:inline distT="0" distB="0" distL="0" distR="0" wp14:anchorId="33B85C91" wp14:editId="23D71CB5">
            <wp:extent cx="6010910" cy="1945005"/>
            <wp:effectExtent l="0" t="0" r="8890" b="0"/>
            <wp:docPr id="417207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0910" cy="1945005"/>
                    </a:xfrm>
                    <a:prstGeom prst="rect">
                      <a:avLst/>
                    </a:prstGeom>
                    <a:noFill/>
                  </pic:spPr>
                </pic:pic>
              </a:graphicData>
            </a:graphic>
          </wp:inline>
        </w:drawing>
      </w:r>
    </w:p>
    <w:p w14:paraId="62BFF23E" w14:textId="05416DCB" w:rsidR="00C84198" w:rsidRPr="00617A89" w:rsidRDefault="00C84198" w:rsidP="00C84198">
      <w:pPr>
        <w:pStyle w:val="FigureNote"/>
        <w:rPr>
          <w:color w:val="000000" w:themeColor="text1"/>
          <w:sz w:val="18"/>
          <w:szCs w:val="24"/>
        </w:rPr>
      </w:pPr>
      <w:r w:rsidRPr="00617A89">
        <w:rPr>
          <w:color w:val="000000" w:themeColor="text1"/>
          <w:sz w:val="18"/>
          <w:szCs w:val="24"/>
        </w:rPr>
        <w:t xml:space="preserve">* </w:t>
      </w:r>
      <w:r w:rsidR="00E6219B" w:rsidRPr="00617A89">
        <w:rPr>
          <w:color w:val="000000" w:themeColor="text1"/>
          <w:sz w:val="18"/>
          <w:szCs w:val="24"/>
        </w:rPr>
        <w:t>Medium-term full-time employment rates from 2025 onwards are not directly comparable with earlier years due to a change to how the labour force is defined. Caution should be exercised when interpreting differences in full-time employment rates between 2025 medium-term results, and the short</w:t>
      </w:r>
      <w:r w:rsidR="0018058F" w:rsidRPr="00617A89">
        <w:rPr>
          <w:color w:val="000000" w:themeColor="text1"/>
          <w:sz w:val="18"/>
          <w:szCs w:val="24"/>
        </w:rPr>
        <w:t>-</w:t>
      </w:r>
      <w:r w:rsidR="00E6219B" w:rsidRPr="00617A89">
        <w:rPr>
          <w:color w:val="000000" w:themeColor="text1"/>
          <w:sz w:val="18"/>
          <w:szCs w:val="24"/>
        </w:rPr>
        <w:t xml:space="preserve">term results and other medium-term results, as they partly reflect the change in methodology. </w:t>
      </w:r>
      <w:r w:rsidRPr="00617A89">
        <w:rPr>
          <w:color w:val="000000" w:themeColor="text1"/>
          <w:sz w:val="18"/>
          <w:szCs w:val="24"/>
        </w:rPr>
        <w:t xml:space="preserve">See </w:t>
      </w:r>
      <w:r w:rsidRPr="00617A89">
        <w:rPr>
          <w:b/>
          <w:bCs/>
          <w:color w:val="000000" w:themeColor="text1"/>
          <w:sz w:val="18"/>
          <w:szCs w:val="24"/>
        </w:rPr>
        <w:t>Appendix 1</w:t>
      </w:r>
      <w:r w:rsidRPr="00617A89">
        <w:rPr>
          <w:color w:val="000000" w:themeColor="text1"/>
          <w:sz w:val="18"/>
          <w:szCs w:val="24"/>
        </w:rPr>
        <w:t xml:space="preserve"> for further information.</w:t>
      </w:r>
    </w:p>
    <w:p w14:paraId="06E7E225" w14:textId="4C47DDAD" w:rsidR="00C84198" w:rsidRPr="00617A89" w:rsidRDefault="004F576B" w:rsidP="00C84198">
      <w:pPr>
        <w:pStyle w:val="Body"/>
        <w:rPr>
          <w:color w:val="000000" w:themeColor="text1"/>
        </w:rPr>
      </w:pPr>
      <w:r w:rsidRPr="00617A89">
        <w:rPr>
          <w:color w:val="000000" w:themeColor="text1"/>
        </w:rPr>
        <w:t>The undergraduate full-time employment rate was notably lower than both the postgraduate coursework and postgraduate research rates in the short-term</w:t>
      </w:r>
      <w:r w:rsidR="00A05A82" w:rsidRPr="00617A89">
        <w:rPr>
          <w:color w:val="000000" w:themeColor="text1"/>
        </w:rPr>
        <w:t>,</w:t>
      </w:r>
      <w:r w:rsidR="00752DAE" w:rsidRPr="00617A89">
        <w:rPr>
          <w:color w:val="000000" w:themeColor="text1"/>
        </w:rPr>
        <w:t xml:space="preserve"> but the gap narrowed over the 3-year period</w:t>
      </w:r>
      <w:r w:rsidR="00E6219B" w:rsidRPr="00617A89">
        <w:rPr>
          <w:color w:val="000000" w:themeColor="text1"/>
        </w:rPr>
        <w:t xml:space="preserve"> (</w:t>
      </w:r>
      <w:r w:rsidR="00E6219B" w:rsidRPr="00617A89">
        <w:rPr>
          <w:b/>
          <w:bCs/>
          <w:color w:val="000000" w:themeColor="text1"/>
        </w:rPr>
        <w:t>Figure iii</w:t>
      </w:r>
      <w:r w:rsidR="00E6219B" w:rsidRPr="00617A89">
        <w:rPr>
          <w:color w:val="000000" w:themeColor="text1"/>
        </w:rPr>
        <w:t>)</w:t>
      </w:r>
      <w:r w:rsidR="00752DAE" w:rsidRPr="00617A89">
        <w:rPr>
          <w:color w:val="000000" w:themeColor="text1"/>
        </w:rPr>
        <w:t>. This indicates that it takes longer for undergraduates to obtain full-time employment, likely due to their lack of prior experience in the labour market.</w:t>
      </w:r>
    </w:p>
    <w:p w14:paraId="662FC2D1" w14:textId="43B4AD7B" w:rsidR="00CB040B" w:rsidRPr="00617A89" w:rsidRDefault="00E6219B" w:rsidP="00C60F49">
      <w:pPr>
        <w:pStyle w:val="Caption"/>
        <w:rPr>
          <w:color w:val="000000" w:themeColor="text1"/>
        </w:rPr>
      </w:pPr>
      <w:r w:rsidRPr="00617A89">
        <w:rPr>
          <w:color w:val="000000" w:themeColor="text1"/>
        </w:rPr>
        <w:t xml:space="preserve">Figure iii - </w:t>
      </w:r>
      <w:r w:rsidR="00DA6BB3" w:rsidRPr="00617A89">
        <w:rPr>
          <w:color w:val="000000" w:themeColor="text1"/>
        </w:rPr>
        <w:t>F</w:t>
      </w:r>
      <w:r w:rsidR="00CB040B" w:rsidRPr="00617A89">
        <w:rPr>
          <w:color w:val="000000" w:themeColor="text1"/>
        </w:rPr>
        <w:t>ull-time employment rate by study level</w:t>
      </w:r>
      <w:r w:rsidR="00EF6479" w:rsidRPr="00617A89">
        <w:rPr>
          <w:noProof/>
          <w:color w:val="000000" w:themeColor="text1"/>
        </w:rPr>
        <w:drawing>
          <wp:inline distT="0" distB="0" distL="0" distR="0" wp14:anchorId="57DE7193" wp14:editId="1E29C699">
            <wp:extent cx="4572635" cy="1945005"/>
            <wp:effectExtent l="0" t="0" r="0" b="0"/>
            <wp:docPr id="16680019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1945005"/>
                    </a:xfrm>
                    <a:prstGeom prst="rect">
                      <a:avLst/>
                    </a:prstGeom>
                    <a:noFill/>
                  </pic:spPr>
                </pic:pic>
              </a:graphicData>
            </a:graphic>
          </wp:inline>
        </w:drawing>
      </w:r>
    </w:p>
    <w:p w14:paraId="46A947CD" w14:textId="695F8816" w:rsidR="004F576B" w:rsidRPr="00617A89" w:rsidRDefault="004F576B" w:rsidP="004F576B">
      <w:pPr>
        <w:pStyle w:val="FigureNote"/>
        <w:rPr>
          <w:color w:val="000000" w:themeColor="text1"/>
          <w:sz w:val="18"/>
          <w:szCs w:val="24"/>
        </w:rPr>
      </w:pPr>
      <w:r w:rsidRPr="00617A89">
        <w:rPr>
          <w:color w:val="000000" w:themeColor="text1"/>
          <w:sz w:val="18"/>
          <w:szCs w:val="24"/>
        </w:rPr>
        <w:t xml:space="preserve">* </w:t>
      </w:r>
      <w:r w:rsidR="00E6219B" w:rsidRPr="00617A89">
        <w:rPr>
          <w:color w:val="000000" w:themeColor="text1"/>
          <w:sz w:val="18"/>
          <w:szCs w:val="24"/>
        </w:rPr>
        <w:t xml:space="preserve">Medium-term full-time employment rates from 2025 onwards are not directly comparable with earlier years due to a change to how the labour force is defined. Caution should be exercised when interpreting shifts in full-time employment rates from the short- to medium-term for the 2022-2025 cohort, as they partly reflect the change in methodology. </w:t>
      </w:r>
      <w:r w:rsidRPr="00617A89">
        <w:rPr>
          <w:color w:val="000000" w:themeColor="text1"/>
          <w:sz w:val="18"/>
          <w:szCs w:val="24"/>
        </w:rPr>
        <w:t xml:space="preserve">See </w:t>
      </w:r>
      <w:r w:rsidRPr="00617A89">
        <w:rPr>
          <w:b/>
          <w:bCs/>
          <w:color w:val="000000" w:themeColor="text1"/>
          <w:sz w:val="18"/>
          <w:szCs w:val="24"/>
        </w:rPr>
        <w:t>Appendix 1</w:t>
      </w:r>
      <w:r w:rsidRPr="00617A89">
        <w:rPr>
          <w:color w:val="000000" w:themeColor="text1"/>
          <w:sz w:val="18"/>
          <w:szCs w:val="24"/>
        </w:rPr>
        <w:t xml:space="preserve"> for further information.</w:t>
      </w:r>
    </w:p>
    <w:p w14:paraId="48AF2110" w14:textId="7CED33FF" w:rsidR="00643AE5" w:rsidRPr="00617A89" w:rsidRDefault="00643AE5" w:rsidP="00BB1ECB">
      <w:pPr>
        <w:pStyle w:val="SubHeading20"/>
        <w:rPr>
          <w:color w:val="000000" w:themeColor="text1"/>
        </w:rPr>
      </w:pPr>
      <w:r w:rsidRPr="00617A89">
        <w:rPr>
          <w:color w:val="000000" w:themeColor="text1"/>
        </w:rPr>
        <w:t>Median annual full-time salary</w:t>
      </w:r>
    </w:p>
    <w:p w14:paraId="1115ABEE" w14:textId="3B0DC6AB" w:rsidR="00B9551B" w:rsidRPr="00617A89" w:rsidRDefault="00B9551B" w:rsidP="00B9551B">
      <w:pPr>
        <w:pStyle w:val="Body"/>
        <w:rPr>
          <w:color w:val="000000" w:themeColor="text1"/>
        </w:rPr>
      </w:pPr>
      <w:r w:rsidRPr="00617A89">
        <w:rPr>
          <w:color w:val="000000" w:themeColor="text1"/>
        </w:rPr>
        <w:t>The 3-year (from short to medium-term) grow</w:t>
      </w:r>
      <w:r w:rsidR="00FC4A60" w:rsidRPr="00617A89">
        <w:rPr>
          <w:color w:val="000000" w:themeColor="text1"/>
        </w:rPr>
        <w:t>th in median salaries reported by graduates across all study levels</w:t>
      </w:r>
      <w:r w:rsidR="007C4CE6" w:rsidRPr="00617A89">
        <w:rPr>
          <w:color w:val="000000" w:themeColor="text1"/>
        </w:rPr>
        <w:t xml:space="preserve"> increased markedly in 2020</w:t>
      </w:r>
      <w:r w:rsidR="00DE7652" w:rsidRPr="00617A89">
        <w:rPr>
          <w:color w:val="000000" w:themeColor="text1"/>
        </w:rPr>
        <w:t xml:space="preserve"> and has remained high since. </w:t>
      </w:r>
      <w:r w:rsidR="00B732C9" w:rsidRPr="00617A89">
        <w:rPr>
          <w:color w:val="000000" w:themeColor="text1"/>
        </w:rPr>
        <w:t xml:space="preserve">This strong salary growth is consistent with national wage growth reported </w:t>
      </w:r>
      <w:r w:rsidR="002E1EAF" w:rsidRPr="00617A89">
        <w:rPr>
          <w:color w:val="000000" w:themeColor="text1"/>
        </w:rPr>
        <w:t xml:space="preserve">in the ABS </w:t>
      </w:r>
      <w:r w:rsidR="00076F86" w:rsidRPr="00617A89">
        <w:rPr>
          <w:color w:val="000000" w:themeColor="text1"/>
        </w:rPr>
        <w:t>Wage Price Index</w:t>
      </w:r>
      <w:r w:rsidR="00D861B9" w:rsidRPr="00617A89">
        <w:rPr>
          <w:color w:val="000000" w:themeColor="text1"/>
        </w:rPr>
        <w:t xml:space="preserve"> and </w:t>
      </w:r>
      <w:r w:rsidR="00E13F3E" w:rsidRPr="00617A89">
        <w:rPr>
          <w:color w:val="000000" w:themeColor="text1"/>
        </w:rPr>
        <w:t xml:space="preserve">ABS </w:t>
      </w:r>
      <w:r w:rsidR="00D861B9" w:rsidRPr="00617A89">
        <w:rPr>
          <w:rFonts w:ascii="ArialMT" w:hAnsi="ArialMT" w:cs="ArialMT"/>
          <w:color w:val="000000" w:themeColor="text1"/>
          <w:lang w:val="en-GB"/>
        </w:rPr>
        <w:t>Average Weekly Ordinary Time Earnings</w:t>
      </w:r>
      <w:r w:rsidR="00E13F3E" w:rsidRPr="00617A89">
        <w:rPr>
          <w:rFonts w:ascii="ArialMT" w:hAnsi="ArialMT" w:cs="ArialMT"/>
          <w:color w:val="000000" w:themeColor="text1"/>
          <w:lang w:val="en-GB"/>
        </w:rPr>
        <w:t xml:space="preserve"> for full-time adult employees</w:t>
      </w:r>
      <w:r w:rsidR="00076F86" w:rsidRPr="00617A89">
        <w:rPr>
          <w:color w:val="000000" w:themeColor="text1"/>
        </w:rPr>
        <w:t xml:space="preserve">. </w:t>
      </w:r>
    </w:p>
    <w:p w14:paraId="647BE30E" w14:textId="264C1564" w:rsidR="00076F86" w:rsidRPr="00617A89" w:rsidRDefault="000D7E4F" w:rsidP="00B9551B">
      <w:pPr>
        <w:pStyle w:val="Body"/>
        <w:rPr>
          <w:color w:val="000000" w:themeColor="text1"/>
        </w:rPr>
      </w:pPr>
      <w:r w:rsidRPr="00617A89">
        <w:rPr>
          <w:color w:val="000000" w:themeColor="text1"/>
        </w:rPr>
        <w:t xml:space="preserve">Of the </w:t>
      </w:r>
      <w:r w:rsidR="007232C7" w:rsidRPr="00617A89">
        <w:rPr>
          <w:color w:val="000000" w:themeColor="text1"/>
        </w:rPr>
        <w:t xml:space="preserve">3 </w:t>
      </w:r>
      <w:r w:rsidRPr="00617A89">
        <w:rPr>
          <w:color w:val="000000" w:themeColor="text1"/>
        </w:rPr>
        <w:t>study levels, u</w:t>
      </w:r>
      <w:r w:rsidR="00FD1846" w:rsidRPr="00617A89">
        <w:rPr>
          <w:color w:val="000000" w:themeColor="text1"/>
        </w:rPr>
        <w:t>ndergraduate median salaries</w:t>
      </w:r>
      <w:r w:rsidR="008E579A" w:rsidRPr="00617A89">
        <w:rPr>
          <w:color w:val="000000" w:themeColor="text1"/>
        </w:rPr>
        <w:t xml:space="preserve"> </w:t>
      </w:r>
      <w:r w:rsidR="00A05A82" w:rsidRPr="00617A89">
        <w:rPr>
          <w:color w:val="000000" w:themeColor="text1"/>
        </w:rPr>
        <w:t>were</w:t>
      </w:r>
      <w:r w:rsidR="008E579A" w:rsidRPr="00617A89">
        <w:rPr>
          <w:color w:val="000000" w:themeColor="text1"/>
        </w:rPr>
        <w:t xml:space="preserve"> lowest in the short</w:t>
      </w:r>
      <w:r w:rsidR="00D861B9" w:rsidRPr="00617A89">
        <w:rPr>
          <w:color w:val="000000" w:themeColor="text1"/>
        </w:rPr>
        <w:t>-</w:t>
      </w:r>
      <w:r w:rsidR="008E579A" w:rsidRPr="00617A89">
        <w:rPr>
          <w:color w:val="000000" w:themeColor="text1"/>
        </w:rPr>
        <w:t xml:space="preserve"> and medium-term but they ha</w:t>
      </w:r>
      <w:r w:rsidR="00A05A82" w:rsidRPr="00617A89">
        <w:rPr>
          <w:color w:val="000000" w:themeColor="text1"/>
        </w:rPr>
        <w:t>d</w:t>
      </w:r>
      <w:r w:rsidR="008E579A" w:rsidRPr="00617A89">
        <w:rPr>
          <w:color w:val="000000" w:themeColor="text1"/>
        </w:rPr>
        <w:t xml:space="preserve"> the </w:t>
      </w:r>
      <w:r w:rsidR="00A574C4" w:rsidRPr="00617A89">
        <w:rPr>
          <w:color w:val="000000" w:themeColor="text1"/>
        </w:rPr>
        <w:t>biggest growth over the 3-year period</w:t>
      </w:r>
      <w:r w:rsidR="00E6219B" w:rsidRPr="00617A89">
        <w:rPr>
          <w:color w:val="000000" w:themeColor="text1"/>
        </w:rPr>
        <w:t xml:space="preserve"> (</w:t>
      </w:r>
      <w:r w:rsidR="00E6219B" w:rsidRPr="00617A89">
        <w:rPr>
          <w:b/>
          <w:bCs/>
          <w:color w:val="000000" w:themeColor="text1"/>
        </w:rPr>
        <w:t>Figure iv</w:t>
      </w:r>
      <w:r w:rsidR="00E6219B" w:rsidRPr="00617A89">
        <w:rPr>
          <w:color w:val="000000" w:themeColor="text1"/>
        </w:rPr>
        <w:t>)</w:t>
      </w:r>
      <w:r w:rsidR="00A574C4" w:rsidRPr="00617A89">
        <w:rPr>
          <w:color w:val="000000" w:themeColor="text1"/>
        </w:rPr>
        <w:t>. While postgraduate research graduate median salaries</w:t>
      </w:r>
      <w:r w:rsidR="00CF406E" w:rsidRPr="00617A89">
        <w:rPr>
          <w:color w:val="000000" w:themeColor="text1"/>
        </w:rPr>
        <w:t xml:space="preserve"> continue to be highest in the short-term and medium-term, growth over the 3-year period </w:t>
      </w:r>
      <w:r w:rsidR="00A9741F" w:rsidRPr="00617A89">
        <w:rPr>
          <w:color w:val="000000" w:themeColor="text1"/>
        </w:rPr>
        <w:t>was lowest</w:t>
      </w:r>
      <w:r w:rsidR="004B543F" w:rsidRPr="00617A89">
        <w:rPr>
          <w:color w:val="000000" w:themeColor="text1"/>
        </w:rPr>
        <w:t>.</w:t>
      </w:r>
    </w:p>
    <w:p w14:paraId="2D13F16E" w14:textId="3B844015" w:rsidR="004B543F" w:rsidRPr="00617A89" w:rsidRDefault="004B543F" w:rsidP="00B9551B">
      <w:pPr>
        <w:pStyle w:val="Body"/>
        <w:rPr>
          <w:color w:val="000000" w:themeColor="text1"/>
        </w:rPr>
      </w:pPr>
      <w:r w:rsidRPr="00617A89">
        <w:rPr>
          <w:color w:val="000000" w:themeColor="text1"/>
        </w:rPr>
        <w:t xml:space="preserve">Despite </w:t>
      </w:r>
      <w:r w:rsidR="00F1681F" w:rsidRPr="00617A89">
        <w:rPr>
          <w:color w:val="000000" w:themeColor="text1"/>
        </w:rPr>
        <w:t xml:space="preserve">increased salary growth across all study levels since 2020, </w:t>
      </w:r>
      <w:r w:rsidR="00FB48BA" w:rsidRPr="00617A89">
        <w:rPr>
          <w:color w:val="000000" w:themeColor="text1"/>
        </w:rPr>
        <w:t xml:space="preserve">the </w:t>
      </w:r>
      <w:r w:rsidR="006757B9" w:rsidRPr="00617A89">
        <w:rPr>
          <w:color w:val="000000" w:themeColor="text1"/>
        </w:rPr>
        <w:t>relative</w:t>
      </w:r>
      <w:r w:rsidR="00FB48BA" w:rsidRPr="00617A89">
        <w:rPr>
          <w:color w:val="000000" w:themeColor="text1"/>
        </w:rPr>
        <w:t xml:space="preserve"> differences between study levels remained</w:t>
      </w:r>
      <w:r w:rsidR="00B72773" w:rsidRPr="00617A89">
        <w:rPr>
          <w:color w:val="000000" w:themeColor="text1"/>
        </w:rPr>
        <w:t xml:space="preserve"> – indicating that salary growth is being drive</w:t>
      </w:r>
      <w:r w:rsidR="00B55051" w:rsidRPr="00617A89">
        <w:rPr>
          <w:color w:val="000000" w:themeColor="text1"/>
        </w:rPr>
        <w:t>n</w:t>
      </w:r>
      <w:r w:rsidR="00B72773" w:rsidRPr="00617A89">
        <w:rPr>
          <w:color w:val="000000" w:themeColor="text1"/>
        </w:rPr>
        <w:t xml:space="preserve"> </w:t>
      </w:r>
      <w:r w:rsidR="003367C7" w:rsidRPr="00617A89">
        <w:rPr>
          <w:color w:val="000000" w:themeColor="text1"/>
        </w:rPr>
        <w:t>by</w:t>
      </w:r>
      <w:r w:rsidR="00B72773" w:rsidRPr="00617A89">
        <w:rPr>
          <w:color w:val="000000" w:themeColor="text1"/>
        </w:rPr>
        <w:t xml:space="preserve"> </w:t>
      </w:r>
      <w:r w:rsidR="00047C13" w:rsidRPr="00617A89">
        <w:rPr>
          <w:color w:val="000000" w:themeColor="text1"/>
        </w:rPr>
        <w:t>strong demand in the labour market</w:t>
      </w:r>
      <w:r w:rsidR="00C4592C" w:rsidRPr="00617A89">
        <w:rPr>
          <w:color w:val="000000" w:themeColor="text1"/>
        </w:rPr>
        <w:t>, as opposed to the qualifications themselves.</w:t>
      </w:r>
    </w:p>
    <w:p w14:paraId="6293AB15" w14:textId="5E695F0D" w:rsidR="004E1037" w:rsidRPr="00617A89" w:rsidRDefault="00E6219B" w:rsidP="00E6219B">
      <w:pPr>
        <w:pStyle w:val="Caption"/>
        <w:ind w:left="0" w:firstLine="0"/>
        <w:rPr>
          <w:color w:val="000000" w:themeColor="text1"/>
        </w:rPr>
      </w:pPr>
      <w:r w:rsidRPr="00617A89">
        <w:rPr>
          <w:color w:val="000000" w:themeColor="text1"/>
        </w:rPr>
        <w:t xml:space="preserve">Figure iv - </w:t>
      </w:r>
      <w:r w:rsidR="00DA6BB3" w:rsidRPr="00617A89">
        <w:rPr>
          <w:color w:val="000000" w:themeColor="text1"/>
        </w:rPr>
        <w:t>M</w:t>
      </w:r>
      <w:r w:rsidR="004E1037" w:rsidRPr="00617A89">
        <w:rPr>
          <w:color w:val="000000" w:themeColor="text1"/>
        </w:rPr>
        <w:t>edian annual full-time salaries by study level</w:t>
      </w:r>
      <w:r w:rsidR="00EF6479" w:rsidRPr="00617A89">
        <w:rPr>
          <w:noProof/>
          <w:color w:val="000000" w:themeColor="text1"/>
        </w:rPr>
        <w:drawing>
          <wp:inline distT="0" distB="0" distL="0" distR="0" wp14:anchorId="7022C326" wp14:editId="1F717384">
            <wp:extent cx="4572635" cy="1945005"/>
            <wp:effectExtent l="0" t="0" r="0" b="0"/>
            <wp:docPr id="19371474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1945005"/>
                    </a:xfrm>
                    <a:prstGeom prst="rect">
                      <a:avLst/>
                    </a:prstGeom>
                    <a:noFill/>
                  </pic:spPr>
                </pic:pic>
              </a:graphicData>
            </a:graphic>
          </wp:inline>
        </w:drawing>
      </w:r>
    </w:p>
    <w:p w14:paraId="430645AD" w14:textId="2AC82284" w:rsidR="00BB1ECB" w:rsidRPr="00617A89" w:rsidRDefault="00BB1ECB" w:rsidP="00A93A55">
      <w:pPr>
        <w:pStyle w:val="SubHeading20"/>
        <w:rPr>
          <w:color w:val="000000" w:themeColor="text1"/>
        </w:rPr>
      </w:pPr>
      <w:r w:rsidRPr="00617A89">
        <w:rPr>
          <w:color w:val="000000" w:themeColor="text1"/>
        </w:rPr>
        <w:t>Underemployment</w:t>
      </w:r>
    </w:p>
    <w:p w14:paraId="5CC80C64" w14:textId="44DCB5E3" w:rsidR="00752DAE" w:rsidRPr="00617A89" w:rsidRDefault="00752DAE" w:rsidP="00752DAE">
      <w:pPr>
        <w:pStyle w:val="Body"/>
        <w:rPr>
          <w:color w:val="000000" w:themeColor="text1"/>
        </w:rPr>
      </w:pPr>
      <w:r w:rsidRPr="00617A89">
        <w:rPr>
          <w:color w:val="000000" w:themeColor="text1"/>
        </w:rPr>
        <w:t xml:space="preserve">Rates of underemployment fell to </w:t>
      </w:r>
      <w:r w:rsidR="00A9741F" w:rsidRPr="00617A89">
        <w:rPr>
          <w:color w:val="000000" w:themeColor="text1"/>
        </w:rPr>
        <w:t>all-time</w:t>
      </w:r>
      <w:r w:rsidRPr="00617A89">
        <w:rPr>
          <w:color w:val="000000" w:themeColor="text1"/>
        </w:rPr>
        <w:t xml:space="preserve"> lows (since </w:t>
      </w:r>
      <w:r w:rsidR="00D217B4" w:rsidRPr="00617A89">
        <w:rPr>
          <w:color w:val="000000" w:themeColor="text1"/>
        </w:rPr>
        <w:t xml:space="preserve">the </w:t>
      </w:r>
      <w:r w:rsidRPr="00617A89">
        <w:rPr>
          <w:color w:val="000000" w:themeColor="text1"/>
        </w:rPr>
        <w:t xml:space="preserve">survey commencement in 2016) across all study levels in 2022, which corresponded to the high full-time employment rates reported at this time as </w:t>
      </w:r>
      <w:r w:rsidR="00E13F3E" w:rsidRPr="00617A89">
        <w:rPr>
          <w:color w:val="000000" w:themeColor="text1"/>
        </w:rPr>
        <w:t>favourable employment conditions</w:t>
      </w:r>
      <w:r w:rsidRPr="00617A89">
        <w:rPr>
          <w:color w:val="000000" w:themeColor="text1"/>
        </w:rPr>
        <w:t xml:space="preserve"> peaked.</w:t>
      </w:r>
    </w:p>
    <w:p w14:paraId="143FFC36" w14:textId="7CD4936E" w:rsidR="00752DAE" w:rsidRPr="00617A89" w:rsidRDefault="00752DAE" w:rsidP="00752DAE">
      <w:pPr>
        <w:pStyle w:val="Body"/>
        <w:rPr>
          <w:color w:val="000000" w:themeColor="text1"/>
        </w:rPr>
      </w:pPr>
      <w:r w:rsidRPr="00617A89">
        <w:rPr>
          <w:color w:val="000000" w:themeColor="text1"/>
        </w:rPr>
        <w:t xml:space="preserve">Medium-term underemployment rates were slightly higher in 2025 than they were for the prior year’s cohort, however, they remained </w:t>
      </w:r>
      <w:r w:rsidR="008358EB" w:rsidRPr="00617A89">
        <w:rPr>
          <w:color w:val="000000" w:themeColor="text1"/>
        </w:rPr>
        <w:t>within ranges seen prior to the pandemic</w:t>
      </w:r>
      <w:r w:rsidR="00E6219B" w:rsidRPr="00617A89">
        <w:rPr>
          <w:color w:val="000000" w:themeColor="text1"/>
        </w:rPr>
        <w:t xml:space="preserve"> (</w:t>
      </w:r>
      <w:r w:rsidR="00E6219B" w:rsidRPr="00617A89">
        <w:rPr>
          <w:b/>
          <w:bCs/>
          <w:color w:val="000000" w:themeColor="text1"/>
        </w:rPr>
        <w:t>Table i</w:t>
      </w:r>
      <w:r w:rsidR="00E6219B" w:rsidRPr="00617A89">
        <w:rPr>
          <w:color w:val="000000" w:themeColor="text1"/>
        </w:rPr>
        <w:t>)</w:t>
      </w:r>
      <w:r w:rsidR="008358EB" w:rsidRPr="00617A89">
        <w:rPr>
          <w:color w:val="000000" w:themeColor="text1"/>
        </w:rPr>
        <w:t>.</w:t>
      </w:r>
    </w:p>
    <w:p w14:paraId="5A11D621" w14:textId="5EE25486" w:rsidR="00793BF5" w:rsidRPr="00617A89" w:rsidRDefault="00E6219B" w:rsidP="00C60F49">
      <w:pPr>
        <w:pStyle w:val="Caption"/>
        <w:rPr>
          <w:color w:val="000000" w:themeColor="text1"/>
        </w:rPr>
      </w:pPr>
      <w:r w:rsidRPr="00617A89">
        <w:rPr>
          <w:color w:val="000000" w:themeColor="text1"/>
        </w:rPr>
        <w:t xml:space="preserve">Table i - </w:t>
      </w:r>
      <w:r w:rsidR="00982819" w:rsidRPr="00617A89">
        <w:rPr>
          <w:color w:val="000000" w:themeColor="text1"/>
        </w:rPr>
        <w:t>U</w:t>
      </w:r>
      <w:r w:rsidR="00793BF5" w:rsidRPr="00617A89">
        <w:rPr>
          <w:color w:val="000000" w:themeColor="text1"/>
        </w:rPr>
        <w:t>nderemployment rates by study level</w:t>
      </w:r>
    </w:p>
    <w:tbl>
      <w:tblPr>
        <w:tblStyle w:val="TableGrid"/>
        <w:tblW w:w="9825" w:type="dxa"/>
        <w:tblLayout w:type="fixed"/>
        <w:tblLook w:val="04A0" w:firstRow="1" w:lastRow="0" w:firstColumn="1" w:lastColumn="0" w:noHBand="0" w:noVBand="1"/>
      </w:tblPr>
      <w:tblGrid>
        <w:gridCol w:w="2633"/>
        <w:gridCol w:w="1798"/>
        <w:gridCol w:w="1798"/>
        <w:gridCol w:w="1798"/>
        <w:gridCol w:w="1798"/>
      </w:tblGrid>
      <w:tr w:rsidR="00C22852" w:rsidRPr="00617A89" w14:paraId="190FE9D8" w14:textId="77777777" w:rsidTr="00C60F49">
        <w:trPr>
          <w:cnfStyle w:val="100000000000" w:firstRow="1" w:lastRow="0" w:firstColumn="0" w:lastColumn="0" w:oddVBand="0" w:evenVBand="0" w:oddHBand="0" w:evenHBand="0" w:firstRowFirstColumn="0" w:firstRowLastColumn="0" w:lastRowFirstColumn="0" w:lastRowLastColumn="0"/>
          <w:trHeight w:val="314"/>
        </w:trPr>
        <w:tc>
          <w:tcPr>
            <w:tcW w:w="2633" w:type="dxa"/>
            <w:noWrap/>
            <w:hideMark/>
          </w:tcPr>
          <w:p w14:paraId="6EDF10D4" w14:textId="77777777" w:rsidR="00C453A0" w:rsidRPr="00617A89" w:rsidRDefault="00C453A0" w:rsidP="00C453A0">
            <w:pPr>
              <w:pStyle w:val="Body"/>
              <w:rPr>
                <w:sz w:val="18"/>
                <w:szCs w:val="18"/>
              </w:rPr>
            </w:pPr>
          </w:p>
        </w:tc>
        <w:tc>
          <w:tcPr>
            <w:tcW w:w="1798" w:type="dxa"/>
            <w:noWrap/>
            <w:vAlign w:val="center"/>
            <w:hideMark/>
          </w:tcPr>
          <w:p w14:paraId="7E958268" w14:textId="77777777" w:rsidR="00C453A0" w:rsidRPr="00617A89" w:rsidRDefault="00C453A0" w:rsidP="00C60F49">
            <w:pPr>
              <w:pStyle w:val="Body"/>
              <w:jc w:val="center"/>
              <w:rPr>
                <w:sz w:val="18"/>
                <w:szCs w:val="18"/>
              </w:rPr>
            </w:pPr>
            <w:r w:rsidRPr="00617A89">
              <w:rPr>
                <w:sz w:val="18"/>
                <w:szCs w:val="18"/>
              </w:rPr>
              <w:t>Short-term (2022)</w:t>
            </w:r>
          </w:p>
        </w:tc>
        <w:tc>
          <w:tcPr>
            <w:tcW w:w="1798" w:type="dxa"/>
            <w:noWrap/>
            <w:vAlign w:val="center"/>
            <w:hideMark/>
          </w:tcPr>
          <w:p w14:paraId="48B8D77A" w14:textId="77777777" w:rsidR="00C453A0" w:rsidRPr="00617A89" w:rsidRDefault="00C453A0" w:rsidP="00C60F49">
            <w:pPr>
              <w:pStyle w:val="Body"/>
              <w:jc w:val="center"/>
              <w:rPr>
                <w:sz w:val="18"/>
                <w:szCs w:val="18"/>
              </w:rPr>
            </w:pPr>
            <w:r w:rsidRPr="00617A89">
              <w:rPr>
                <w:sz w:val="18"/>
                <w:szCs w:val="18"/>
              </w:rPr>
              <w:t>Medium-term (2025)</w:t>
            </w:r>
          </w:p>
        </w:tc>
        <w:tc>
          <w:tcPr>
            <w:tcW w:w="1798" w:type="dxa"/>
            <w:noWrap/>
            <w:vAlign w:val="center"/>
            <w:hideMark/>
          </w:tcPr>
          <w:p w14:paraId="762F3B5C" w14:textId="47AC8C49" w:rsidR="00C453A0" w:rsidRPr="00617A89" w:rsidRDefault="00C453A0" w:rsidP="00C60F49">
            <w:pPr>
              <w:pStyle w:val="Body"/>
              <w:jc w:val="center"/>
              <w:rPr>
                <w:sz w:val="18"/>
                <w:szCs w:val="18"/>
              </w:rPr>
            </w:pPr>
            <w:r w:rsidRPr="00617A89">
              <w:rPr>
                <w:sz w:val="18"/>
                <w:szCs w:val="18"/>
              </w:rPr>
              <w:t>Short-term average</w:t>
            </w:r>
            <w:r w:rsidR="00F8207A" w:rsidRPr="00617A89">
              <w:rPr>
                <w:sz w:val="18"/>
                <w:szCs w:val="18"/>
              </w:rPr>
              <w:t xml:space="preserve"> (</w:t>
            </w:r>
            <w:r w:rsidRPr="00617A89">
              <w:rPr>
                <w:sz w:val="18"/>
                <w:szCs w:val="18"/>
              </w:rPr>
              <w:t>2016</w:t>
            </w:r>
            <w:r w:rsidR="00AE02F9" w:rsidRPr="00617A89">
              <w:rPr>
                <w:rFonts w:cs="Arial"/>
                <w:sz w:val="18"/>
                <w:szCs w:val="18"/>
              </w:rPr>
              <w:t>–</w:t>
            </w:r>
            <w:r w:rsidRPr="00617A89">
              <w:rPr>
                <w:sz w:val="18"/>
                <w:szCs w:val="18"/>
              </w:rPr>
              <w:t>21</w:t>
            </w:r>
            <w:r w:rsidR="00F8207A" w:rsidRPr="00617A89">
              <w:rPr>
                <w:sz w:val="18"/>
                <w:szCs w:val="18"/>
              </w:rPr>
              <w:t>)</w:t>
            </w:r>
          </w:p>
        </w:tc>
        <w:tc>
          <w:tcPr>
            <w:tcW w:w="1798" w:type="dxa"/>
            <w:noWrap/>
            <w:vAlign w:val="center"/>
            <w:hideMark/>
          </w:tcPr>
          <w:p w14:paraId="0D0522AC" w14:textId="0314EEF7" w:rsidR="00C453A0" w:rsidRPr="00617A89" w:rsidRDefault="00C453A0" w:rsidP="00C60F49">
            <w:pPr>
              <w:pStyle w:val="Body"/>
              <w:jc w:val="center"/>
              <w:rPr>
                <w:sz w:val="18"/>
                <w:szCs w:val="18"/>
              </w:rPr>
            </w:pPr>
            <w:r w:rsidRPr="00617A89">
              <w:rPr>
                <w:sz w:val="18"/>
                <w:szCs w:val="18"/>
              </w:rPr>
              <w:t>Medium-term average</w:t>
            </w:r>
            <w:r w:rsidR="00F8207A" w:rsidRPr="00617A89">
              <w:rPr>
                <w:sz w:val="18"/>
                <w:szCs w:val="18"/>
              </w:rPr>
              <w:t xml:space="preserve"> (</w:t>
            </w:r>
            <w:r w:rsidRPr="00617A89">
              <w:rPr>
                <w:sz w:val="18"/>
                <w:szCs w:val="18"/>
              </w:rPr>
              <w:t>2019</w:t>
            </w:r>
            <w:r w:rsidR="00AE02F9" w:rsidRPr="00617A89">
              <w:rPr>
                <w:rFonts w:cs="Arial"/>
                <w:sz w:val="18"/>
                <w:szCs w:val="18"/>
              </w:rPr>
              <w:t>–</w:t>
            </w:r>
            <w:r w:rsidRPr="00617A89">
              <w:rPr>
                <w:sz w:val="18"/>
                <w:szCs w:val="18"/>
              </w:rPr>
              <w:t>24</w:t>
            </w:r>
            <w:r w:rsidR="00F8207A" w:rsidRPr="00617A89">
              <w:rPr>
                <w:sz w:val="18"/>
                <w:szCs w:val="18"/>
              </w:rPr>
              <w:t>)</w:t>
            </w:r>
          </w:p>
        </w:tc>
      </w:tr>
      <w:tr w:rsidR="00C22852" w:rsidRPr="00617A89" w14:paraId="050FC860" w14:textId="77777777" w:rsidTr="00C60F49">
        <w:trPr>
          <w:trHeight w:val="314"/>
        </w:trPr>
        <w:tc>
          <w:tcPr>
            <w:tcW w:w="2633" w:type="dxa"/>
            <w:noWrap/>
            <w:hideMark/>
          </w:tcPr>
          <w:p w14:paraId="128AB047" w14:textId="77777777" w:rsidR="00C453A0" w:rsidRPr="00617A89" w:rsidRDefault="00C453A0" w:rsidP="00C453A0">
            <w:pPr>
              <w:pStyle w:val="Body"/>
              <w:rPr>
                <w:color w:val="000000" w:themeColor="text1"/>
                <w:sz w:val="18"/>
                <w:szCs w:val="18"/>
              </w:rPr>
            </w:pPr>
            <w:r w:rsidRPr="00617A89">
              <w:rPr>
                <w:color w:val="000000" w:themeColor="text1"/>
                <w:sz w:val="18"/>
                <w:szCs w:val="18"/>
              </w:rPr>
              <w:t>Undergraduate</w:t>
            </w:r>
          </w:p>
        </w:tc>
        <w:tc>
          <w:tcPr>
            <w:tcW w:w="1798" w:type="dxa"/>
            <w:noWrap/>
            <w:vAlign w:val="center"/>
            <w:hideMark/>
          </w:tcPr>
          <w:p w14:paraId="6D995F18" w14:textId="3448DF14" w:rsidR="00C453A0" w:rsidRPr="00617A89" w:rsidRDefault="00C453A0" w:rsidP="00C60F49">
            <w:pPr>
              <w:pStyle w:val="Body"/>
              <w:jc w:val="center"/>
              <w:rPr>
                <w:color w:val="000000" w:themeColor="text1"/>
                <w:sz w:val="18"/>
                <w:szCs w:val="18"/>
              </w:rPr>
            </w:pPr>
            <w:r w:rsidRPr="00617A89">
              <w:rPr>
                <w:color w:val="000000" w:themeColor="text1"/>
                <w:sz w:val="18"/>
                <w:szCs w:val="18"/>
              </w:rPr>
              <w:t>13.7</w:t>
            </w:r>
          </w:p>
        </w:tc>
        <w:tc>
          <w:tcPr>
            <w:tcW w:w="1798" w:type="dxa"/>
            <w:noWrap/>
            <w:vAlign w:val="center"/>
            <w:hideMark/>
          </w:tcPr>
          <w:p w14:paraId="2FE20A9D" w14:textId="6AA2E2FF" w:rsidR="00C453A0" w:rsidRPr="00617A89" w:rsidRDefault="00C453A0" w:rsidP="00C60F49">
            <w:pPr>
              <w:pStyle w:val="Body"/>
              <w:jc w:val="center"/>
              <w:rPr>
                <w:color w:val="000000" w:themeColor="text1"/>
                <w:sz w:val="18"/>
                <w:szCs w:val="18"/>
              </w:rPr>
            </w:pPr>
            <w:r w:rsidRPr="00617A89">
              <w:rPr>
                <w:color w:val="000000" w:themeColor="text1"/>
                <w:sz w:val="18"/>
                <w:szCs w:val="18"/>
              </w:rPr>
              <w:t>7.2</w:t>
            </w:r>
          </w:p>
        </w:tc>
        <w:tc>
          <w:tcPr>
            <w:tcW w:w="1798" w:type="dxa"/>
            <w:noWrap/>
            <w:vAlign w:val="center"/>
            <w:hideMark/>
          </w:tcPr>
          <w:p w14:paraId="0DBDFC49" w14:textId="05EB3D96" w:rsidR="00C453A0" w:rsidRPr="00617A89" w:rsidRDefault="00C453A0" w:rsidP="00C60F49">
            <w:pPr>
              <w:pStyle w:val="Body"/>
              <w:jc w:val="center"/>
              <w:rPr>
                <w:color w:val="000000" w:themeColor="text1"/>
                <w:sz w:val="18"/>
                <w:szCs w:val="18"/>
              </w:rPr>
            </w:pPr>
            <w:r w:rsidRPr="00617A89">
              <w:rPr>
                <w:color w:val="000000" w:themeColor="text1"/>
                <w:sz w:val="18"/>
                <w:szCs w:val="18"/>
              </w:rPr>
              <w:t>19.3</w:t>
            </w:r>
          </w:p>
        </w:tc>
        <w:tc>
          <w:tcPr>
            <w:tcW w:w="1798" w:type="dxa"/>
            <w:noWrap/>
            <w:vAlign w:val="center"/>
            <w:hideMark/>
          </w:tcPr>
          <w:p w14:paraId="4C84286D" w14:textId="2CA65B04" w:rsidR="00C453A0" w:rsidRPr="00617A89" w:rsidRDefault="00C453A0" w:rsidP="00C60F49">
            <w:pPr>
              <w:pStyle w:val="Body"/>
              <w:jc w:val="center"/>
              <w:rPr>
                <w:color w:val="000000" w:themeColor="text1"/>
                <w:sz w:val="18"/>
                <w:szCs w:val="18"/>
              </w:rPr>
            </w:pPr>
            <w:r w:rsidRPr="00617A89">
              <w:rPr>
                <w:color w:val="000000" w:themeColor="text1"/>
                <w:sz w:val="18"/>
                <w:szCs w:val="18"/>
              </w:rPr>
              <w:t>7.1</w:t>
            </w:r>
          </w:p>
        </w:tc>
      </w:tr>
      <w:tr w:rsidR="00C22852" w:rsidRPr="00617A89" w14:paraId="24E89518" w14:textId="77777777" w:rsidTr="00C60F49">
        <w:trPr>
          <w:trHeight w:val="314"/>
        </w:trPr>
        <w:tc>
          <w:tcPr>
            <w:tcW w:w="2633" w:type="dxa"/>
            <w:noWrap/>
            <w:hideMark/>
          </w:tcPr>
          <w:p w14:paraId="4986B822" w14:textId="77777777" w:rsidR="00C453A0" w:rsidRPr="00617A89" w:rsidRDefault="00C453A0" w:rsidP="00C453A0">
            <w:pPr>
              <w:pStyle w:val="Body"/>
              <w:rPr>
                <w:color w:val="000000" w:themeColor="text1"/>
                <w:sz w:val="18"/>
                <w:szCs w:val="18"/>
              </w:rPr>
            </w:pPr>
            <w:r w:rsidRPr="00617A89">
              <w:rPr>
                <w:color w:val="000000" w:themeColor="text1"/>
                <w:sz w:val="18"/>
                <w:szCs w:val="18"/>
              </w:rPr>
              <w:t>Postgraduate coursework</w:t>
            </w:r>
          </w:p>
        </w:tc>
        <w:tc>
          <w:tcPr>
            <w:tcW w:w="1798" w:type="dxa"/>
            <w:noWrap/>
            <w:vAlign w:val="center"/>
            <w:hideMark/>
          </w:tcPr>
          <w:p w14:paraId="5052BF1A" w14:textId="04FE72C9" w:rsidR="00C453A0" w:rsidRPr="00617A89" w:rsidRDefault="00C453A0" w:rsidP="00C60F49">
            <w:pPr>
              <w:pStyle w:val="Body"/>
              <w:jc w:val="center"/>
              <w:rPr>
                <w:color w:val="000000" w:themeColor="text1"/>
                <w:sz w:val="18"/>
                <w:szCs w:val="18"/>
              </w:rPr>
            </w:pPr>
            <w:r w:rsidRPr="00617A89">
              <w:rPr>
                <w:color w:val="000000" w:themeColor="text1"/>
                <w:sz w:val="18"/>
                <w:szCs w:val="18"/>
              </w:rPr>
              <w:t>7.2</w:t>
            </w:r>
          </w:p>
        </w:tc>
        <w:tc>
          <w:tcPr>
            <w:tcW w:w="1798" w:type="dxa"/>
            <w:noWrap/>
            <w:vAlign w:val="center"/>
            <w:hideMark/>
          </w:tcPr>
          <w:p w14:paraId="117A1E9E" w14:textId="308643B1" w:rsidR="00C453A0" w:rsidRPr="00617A89" w:rsidRDefault="00C453A0" w:rsidP="00C60F49">
            <w:pPr>
              <w:pStyle w:val="Body"/>
              <w:jc w:val="center"/>
              <w:rPr>
                <w:color w:val="000000" w:themeColor="text1"/>
                <w:sz w:val="18"/>
                <w:szCs w:val="18"/>
              </w:rPr>
            </w:pPr>
            <w:r w:rsidRPr="00617A89">
              <w:rPr>
                <w:color w:val="000000" w:themeColor="text1"/>
                <w:sz w:val="18"/>
                <w:szCs w:val="18"/>
              </w:rPr>
              <w:t>4.5</w:t>
            </w:r>
          </w:p>
        </w:tc>
        <w:tc>
          <w:tcPr>
            <w:tcW w:w="1798" w:type="dxa"/>
            <w:noWrap/>
            <w:vAlign w:val="center"/>
            <w:hideMark/>
          </w:tcPr>
          <w:p w14:paraId="14F54288" w14:textId="29DF9965" w:rsidR="00C453A0" w:rsidRPr="00617A89" w:rsidRDefault="00C453A0" w:rsidP="00C60F49">
            <w:pPr>
              <w:pStyle w:val="Body"/>
              <w:jc w:val="center"/>
              <w:rPr>
                <w:color w:val="000000" w:themeColor="text1"/>
                <w:sz w:val="18"/>
                <w:szCs w:val="18"/>
              </w:rPr>
            </w:pPr>
            <w:r w:rsidRPr="00617A89">
              <w:rPr>
                <w:color w:val="000000" w:themeColor="text1"/>
                <w:sz w:val="18"/>
                <w:szCs w:val="18"/>
              </w:rPr>
              <w:t>9.5</w:t>
            </w:r>
          </w:p>
        </w:tc>
        <w:tc>
          <w:tcPr>
            <w:tcW w:w="1798" w:type="dxa"/>
            <w:noWrap/>
            <w:vAlign w:val="center"/>
            <w:hideMark/>
          </w:tcPr>
          <w:p w14:paraId="2006188D" w14:textId="020C8519" w:rsidR="00C453A0" w:rsidRPr="00617A89" w:rsidRDefault="00C453A0" w:rsidP="00C60F49">
            <w:pPr>
              <w:pStyle w:val="Body"/>
              <w:jc w:val="center"/>
              <w:rPr>
                <w:color w:val="000000" w:themeColor="text1"/>
                <w:sz w:val="18"/>
                <w:szCs w:val="18"/>
              </w:rPr>
            </w:pPr>
            <w:r w:rsidRPr="00617A89">
              <w:rPr>
                <w:color w:val="000000" w:themeColor="text1"/>
                <w:sz w:val="18"/>
                <w:szCs w:val="18"/>
              </w:rPr>
              <w:t>4.6</w:t>
            </w:r>
          </w:p>
        </w:tc>
      </w:tr>
      <w:tr w:rsidR="00C22852" w:rsidRPr="00617A89" w14:paraId="4EED472D" w14:textId="77777777" w:rsidTr="00C60F49">
        <w:trPr>
          <w:trHeight w:val="243"/>
        </w:trPr>
        <w:tc>
          <w:tcPr>
            <w:tcW w:w="2633" w:type="dxa"/>
            <w:noWrap/>
            <w:hideMark/>
          </w:tcPr>
          <w:p w14:paraId="09AC7238" w14:textId="77777777" w:rsidR="00C453A0" w:rsidRPr="00617A89" w:rsidRDefault="00C453A0" w:rsidP="00C453A0">
            <w:pPr>
              <w:pStyle w:val="Body"/>
              <w:rPr>
                <w:color w:val="000000" w:themeColor="text1"/>
                <w:sz w:val="18"/>
                <w:szCs w:val="18"/>
              </w:rPr>
            </w:pPr>
            <w:r w:rsidRPr="00617A89">
              <w:rPr>
                <w:color w:val="000000" w:themeColor="text1"/>
                <w:sz w:val="18"/>
                <w:szCs w:val="18"/>
              </w:rPr>
              <w:t>Postgraduate research</w:t>
            </w:r>
          </w:p>
        </w:tc>
        <w:tc>
          <w:tcPr>
            <w:tcW w:w="1798" w:type="dxa"/>
            <w:noWrap/>
            <w:vAlign w:val="center"/>
            <w:hideMark/>
          </w:tcPr>
          <w:p w14:paraId="37A6802C" w14:textId="355AB58C" w:rsidR="00C453A0" w:rsidRPr="00617A89" w:rsidRDefault="00C453A0" w:rsidP="00C60F49">
            <w:pPr>
              <w:pStyle w:val="Body"/>
              <w:jc w:val="center"/>
              <w:rPr>
                <w:color w:val="000000" w:themeColor="text1"/>
                <w:sz w:val="18"/>
                <w:szCs w:val="18"/>
              </w:rPr>
            </w:pPr>
            <w:r w:rsidRPr="00617A89">
              <w:rPr>
                <w:color w:val="000000" w:themeColor="text1"/>
                <w:sz w:val="18"/>
                <w:szCs w:val="18"/>
              </w:rPr>
              <w:t>10.8</w:t>
            </w:r>
          </w:p>
        </w:tc>
        <w:tc>
          <w:tcPr>
            <w:tcW w:w="1798" w:type="dxa"/>
            <w:noWrap/>
            <w:vAlign w:val="center"/>
            <w:hideMark/>
          </w:tcPr>
          <w:p w14:paraId="098FE9CF" w14:textId="73F38ECE" w:rsidR="00C453A0" w:rsidRPr="00617A89" w:rsidRDefault="00C453A0" w:rsidP="00C60F49">
            <w:pPr>
              <w:pStyle w:val="Body"/>
              <w:jc w:val="center"/>
              <w:rPr>
                <w:color w:val="000000" w:themeColor="text1"/>
                <w:sz w:val="18"/>
                <w:szCs w:val="18"/>
              </w:rPr>
            </w:pPr>
            <w:r w:rsidRPr="00617A89">
              <w:rPr>
                <w:color w:val="000000" w:themeColor="text1"/>
                <w:sz w:val="18"/>
                <w:szCs w:val="18"/>
              </w:rPr>
              <w:t>5.7</w:t>
            </w:r>
          </w:p>
        </w:tc>
        <w:tc>
          <w:tcPr>
            <w:tcW w:w="1798" w:type="dxa"/>
            <w:noWrap/>
            <w:vAlign w:val="center"/>
            <w:hideMark/>
          </w:tcPr>
          <w:p w14:paraId="71096B29" w14:textId="61BA6899" w:rsidR="00C453A0" w:rsidRPr="00617A89" w:rsidRDefault="00C453A0" w:rsidP="00C60F49">
            <w:pPr>
              <w:pStyle w:val="Body"/>
              <w:jc w:val="center"/>
              <w:rPr>
                <w:color w:val="000000" w:themeColor="text1"/>
                <w:sz w:val="18"/>
                <w:szCs w:val="18"/>
              </w:rPr>
            </w:pPr>
            <w:r w:rsidRPr="00617A89">
              <w:rPr>
                <w:color w:val="000000" w:themeColor="text1"/>
                <w:sz w:val="18"/>
                <w:szCs w:val="18"/>
              </w:rPr>
              <w:t>13.2</w:t>
            </w:r>
          </w:p>
        </w:tc>
        <w:tc>
          <w:tcPr>
            <w:tcW w:w="1798" w:type="dxa"/>
            <w:noWrap/>
            <w:vAlign w:val="center"/>
            <w:hideMark/>
          </w:tcPr>
          <w:p w14:paraId="1160F03E" w14:textId="474BA7D9" w:rsidR="00C453A0" w:rsidRPr="00617A89" w:rsidRDefault="00C453A0" w:rsidP="00C60F49">
            <w:pPr>
              <w:pStyle w:val="Body"/>
              <w:jc w:val="center"/>
              <w:rPr>
                <w:color w:val="000000" w:themeColor="text1"/>
                <w:sz w:val="18"/>
                <w:szCs w:val="18"/>
              </w:rPr>
            </w:pPr>
            <w:r w:rsidRPr="00617A89">
              <w:rPr>
                <w:color w:val="000000" w:themeColor="text1"/>
                <w:sz w:val="18"/>
                <w:szCs w:val="18"/>
              </w:rPr>
              <w:t>5.7</w:t>
            </w:r>
          </w:p>
        </w:tc>
      </w:tr>
    </w:tbl>
    <w:p w14:paraId="62668801" w14:textId="5DC0BB31" w:rsidR="00793BF5" w:rsidRPr="00617A89" w:rsidRDefault="00793BF5" w:rsidP="00752DAE">
      <w:pPr>
        <w:pStyle w:val="Body"/>
        <w:rPr>
          <w:color w:val="000000" w:themeColor="text1"/>
        </w:rPr>
      </w:pPr>
      <w:r w:rsidRPr="00617A89">
        <w:rPr>
          <w:color w:val="000000" w:themeColor="text1"/>
        </w:rPr>
        <w:t>The top reason graduates across all study levels in the short- and medium-term reported being underemployed was because there were ‘no more hours available in current position’. For undergraduates, ‘studying’ was the second highest reason. Graduates at the postgraduate-level were more likely to report ‘caring for children’ compared to undergraduates, which reflects the generally older age of these cohorts.</w:t>
      </w:r>
    </w:p>
    <w:p w14:paraId="26779286" w14:textId="0E989CB2" w:rsidR="00793BF5" w:rsidRPr="00617A89" w:rsidRDefault="00793BF5" w:rsidP="00C60F49">
      <w:pPr>
        <w:pStyle w:val="Body"/>
        <w:rPr>
          <w:color w:val="000000" w:themeColor="text1"/>
        </w:rPr>
      </w:pPr>
      <w:r w:rsidRPr="00617A89">
        <w:rPr>
          <w:color w:val="000000" w:themeColor="text1"/>
        </w:rPr>
        <w:t xml:space="preserve">Notably, ‘no jobs in my area of expertise’ was a top reason for postgraduate research graduates who were underemployed, and this was an issue unique to this cohort in both the short- and medium-term. This may indicate postgraduate research graduates </w:t>
      </w:r>
      <w:r w:rsidR="006B25B9" w:rsidRPr="00617A89">
        <w:rPr>
          <w:color w:val="000000" w:themeColor="text1"/>
        </w:rPr>
        <w:t xml:space="preserve">face intense competition for fewer </w:t>
      </w:r>
      <w:r w:rsidR="00DE0206" w:rsidRPr="00617A89">
        <w:rPr>
          <w:color w:val="000000" w:themeColor="text1"/>
        </w:rPr>
        <w:t xml:space="preserve">specialised </w:t>
      </w:r>
      <w:r w:rsidR="006B25B9" w:rsidRPr="00617A89">
        <w:rPr>
          <w:color w:val="000000" w:themeColor="text1"/>
        </w:rPr>
        <w:t xml:space="preserve">roles when trying </w:t>
      </w:r>
      <w:r w:rsidRPr="00617A89">
        <w:rPr>
          <w:color w:val="000000" w:themeColor="text1"/>
        </w:rPr>
        <w:t>to obtain employment that aligns with their specialised skills and education.</w:t>
      </w:r>
    </w:p>
    <w:p w14:paraId="18704F1F" w14:textId="26F233BC" w:rsidR="00C40374" w:rsidRPr="00617A89" w:rsidRDefault="00C40374" w:rsidP="00A93A55">
      <w:pPr>
        <w:pStyle w:val="SubHeading20"/>
        <w:rPr>
          <w:color w:val="000000" w:themeColor="text1"/>
        </w:rPr>
      </w:pPr>
      <w:r w:rsidRPr="00617A89">
        <w:rPr>
          <w:color w:val="000000" w:themeColor="text1"/>
        </w:rPr>
        <w:t>Study area</w:t>
      </w:r>
    </w:p>
    <w:p w14:paraId="2BF4915A" w14:textId="7CFAA754" w:rsidR="00C40374" w:rsidRPr="00617A89" w:rsidRDefault="00C40374" w:rsidP="00C60F49">
      <w:pPr>
        <w:pStyle w:val="Body"/>
        <w:rPr>
          <w:color w:val="000000" w:themeColor="text1"/>
        </w:rPr>
      </w:pPr>
      <w:r w:rsidRPr="00617A89">
        <w:rPr>
          <w:color w:val="000000" w:themeColor="text1"/>
        </w:rPr>
        <w:t xml:space="preserve">Consistent with previous cohorts, graduates from </w:t>
      </w:r>
      <w:r w:rsidR="00A9741F" w:rsidRPr="00617A89">
        <w:rPr>
          <w:color w:val="000000" w:themeColor="text1"/>
        </w:rPr>
        <w:t>vocationally</w:t>
      </w:r>
      <w:r w:rsidR="00305C6A" w:rsidRPr="00617A89">
        <w:rPr>
          <w:color w:val="000000" w:themeColor="text1"/>
        </w:rPr>
        <w:t>-</w:t>
      </w:r>
      <w:r w:rsidR="00A9741F" w:rsidRPr="00617A89">
        <w:rPr>
          <w:color w:val="000000" w:themeColor="text1"/>
        </w:rPr>
        <w:t>oriented</w:t>
      </w:r>
      <w:r w:rsidRPr="00617A89">
        <w:rPr>
          <w:color w:val="000000" w:themeColor="text1"/>
        </w:rPr>
        <w:t xml:space="preserve"> study areas tended to have higher full-time employment outcomes immediately following course completion compared to graduates from more generalist study areas. Full-time employment rates from vocational study areas remained high in the medium-term, while study areas with lower full-time employment rates in the short-term had much bigger gains over the 3-year period. This suggests that it can take time for graduates from some study areas to secure full-time employment but they typically catch-up over the medium-term.</w:t>
      </w:r>
    </w:p>
    <w:p w14:paraId="31A756A5" w14:textId="62635993" w:rsidR="00BB1ECB" w:rsidRPr="00617A89" w:rsidRDefault="00BB1ECB" w:rsidP="00A93A55">
      <w:pPr>
        <w:pStyle w:val="SubHeading20"/>
        <w:rPr>
          <w:color w:val="000000" w:themeColor="text1"/>
        </w:rPr>
      </w:pPr>
      <w:r w:rsidRPr="00617A89">
        <w:rPr>
          <w:color w:val="000000" w:themeColor="text1"/>
        </w:rPr>
        <w:t>Skills utilisation</w:t>
      </w:r>
    </w:p>
    <w:p w14:paraId="48335137" w14:textId="0A7ECB3A" w:rsidR="00CE6D4A" w:rsidRPr="00617A89" w:rsidRDefault="00387E86" w:rsidP="00C60F49">
      <w:pPr>
        <w:pStyle w:val="Body"/>
        <w:rPr>
          <w:color w:val="000000" w:themeColor="text1"/>
          <w:lang w:val="en-GB"/>
        </w:rPr>
      </w:pPr>
      <w:r w:rsidRPr="00617A89">
        <w:rPr>
          <w:color w:val="000000" w:themeColor="text1"/>
          <w:lang w:val="en-GB"/>
        </w:rPr>
        <w:t>Consistent with prior years, u</w:t>
      </w:r>
      <w:r w:rsidR="00793BF5" w:rsidRPr="00617A89">
        <w:rPr>
          <w:color w:val="000000" w:themeColor="text1"/>
          <w:lang w:val="en-GB"/>
        </w:rPr>
        <w:t xml:space="preserve">ndergraduates </w:t>
      </w:r>
      <w:r w:rsidRPr="00617A89">
        <w:rPr>
          <w:color w:val="000000" w:themeColor="text1"/>
          <w:lang w:val="en-GB"/>
        </w:rPr>
        <w:t xml:space="preserve">employed full-time were less likely to be working in </w:t>
      </w:r>
      <w:r w:rsidR="00AC17FD" w:rsidRPr="00617A89">
        <w:rPr>
          <w:color w:val="000000" w:themeColor="text1"/>
          <w:lang w:val="en-GB"/>
        </w:rPr>
        <w:t xml:space="preserve">managerial or professional occupations than graduates with postgraduate </w:t>
      </w:r>
      <w:r w:rsidRPr="00617A89">
        <w:rPr>
          <w:color w:val="000000" w:themeColor="text1"/>
          <w:lang w:val="en-GB"/>
        </w:rPr>
        <w:t>qualifications</w:t>
      </w:r>
      <w:r w:rsidR="00E6219B" w:rsidRPr="00617A89">
        <w:rPr>
          <w:color w:val="000000" w:themeColor="text1"/>
          <w:lang w:val="en-GB"/>
        </w:rPr>
        <w:t xml:space="preserve"> (</w:t>
      </w:r>
      <w:r w:rsidR="00E6219B" w:rsidRPr="00617A89">
        <w:rPr>
          <w:b/>
          <w:bCs/>
          <w:color w:val="000000" w:themeColor="text1"/>
          <w:lang w:val="en-GB"/>
        </w:rPr>
        <w:t>Figure v</w:t>
      </w:r>
      <w:r w:rsidR="00E6219B" w:rsidRPr="00617A89">
        <w:rPr>
          <w:color w:val="000000" w:themeColor="text1"/>
          <w:lang w:val="en-GB"/>
        </w:rPr>
        <w:t>)</w:t>
      </w:r>
      <w:r w:rsidRPr="00617A89">
        <w:rPr>
          <w:color w:val="000000" w:themeColor="text1"/>
          <w:lang w:val="en-GB"/>
        </w:rPr>
        <w:t>.</w:t>
      </w:r>
      <w:r w:rsidR="00793BF5" w:rsidRPr="00617A89">
        <w:rPr>
          <w:color w:val="000000" w:themeColor="text1"/>
          <w:lang w:val="en-GB"/>
        </w:rPr>
        <w:t xml:space="preserve"> </w:t>
      </w:r>
      <w:r w:rsidRPr="00617A89">
        <w:rPr>
          <w:color w:val="000000" w:themeColor="text1"/>
          <w:lang w:val="en-GB"/>
        </w:rPr>
        <w:t>G</w:t>
      </w:r>
      <w:r w:rsidR="00793BF5" w:rsidRPr="00617A89">
        <w:rPr>
          <w:color w:val="000000" w:themeColor="text1"/>
          <w:lang w:val="en-GB"/>
        </w:rPr>
        <w:t xml:space="preserve">raduates with postgraduate qualifications </w:t>
      </w:r>
      <w:r w:rsidRPr="00617A89">
        <w:rPr>
          <w:color w:val="000000" w:themeColor="text1"/>
          <w:lang w:val="en-GB"/>
        </w:rPr>
        <w:t>were</w:t>
      </w:r>
      <w:r w:rsidR="00793BF5" w:rsidRPr="00617A89">
        <w:rPr>
          <w:color w:val="000000" w:themeColor="text1"/>
          <w:lang w:val="en-GB"/>
        </w:rPr>
        <w:t xml:space="preserve"> more likely to be employed </w:t>
      </w:r>
      <w:r w:rsidRPr="00617A89">
        <w:rPr>
          <w:color w:val="000000" w:themeColor="text1"/>
          <w:lang w:val="en-GB"/>
        </w:rPr>
        <w:t xml:space="preserve">full-time </w:t>
      </w:r>
      <w:r w:rsidR="00793BF5" w:rsidRPr="00617A89">
        <w:rPr>
          <w:color w:val="000000" w:themeColor="text1"/>
          <w:lang w:val="en-GB"/>
        </w:rPr>
        <w:t>in managerial or professional occupations 4 to 6 months after course completion, and this continue</w:t>
      </w:r>
      <w:r w:rsidRPr="00617A89">
        <w:rPr>
          <w:color w:val="000000" w:themeColor="text1"/>
          <w:lang w:val="en-GB"/>
        </w:rPr>
        <w:t>d</w:t>
      </w:r>
      <w:r w:rsidR="00793BF5" w:rsidRPr="00617A89">
        <w:rPr>
          <w:color w:val="000000" w:themeColor="text1"/>
          <w:lang w:val="en-GB"/>
        </w:rPr>
        <w:t xml:space="preserve"> to rise over the 3-year period</w:t>
      </w:r>
      <w:r w:rsidRPr="00617A89">
        <w:rPr>
          <w:color w:val="000000" w:themeColor="text1"/>
          <w:lang w:val="en-GB"/>
        </w:rPr>
        <w:t>.</w:t>
      </w:r>
    </w:p>
    <w:p w14:paraId="0E8626C4" w14:textId="0F42428D" w:rsidR="00387E86" w:rsidRPr="00617A89" w:rsidRDefault="00387E86" w:rsidP="00387E86">
      <w:pPr>
        <w:pStyle w:val="Body"/>
        <w:rPr>
          <w:color w:val="000000" w:themeColor="text1"/>
          <w:lang w:val="en-GB"/>
        </w:rPr>
      </w:pPr>
      <w:r w:rsidRPr="00617A89">
        <w:rPr>
          <w:color w:val="000000" w:themeColor="text1"/>
          <w:lang w:val="en-GB"/>
        </w:rPr>
        <w:t>The higher rates of postgraduate graduates employed in managerial or professional occupations shortly after course completion reflects the older profile of these graduates and their establishment in the labour market. These differences in occupation type across study levels also correspond with differences in median salaries.</w:t>
      </w:r>
    </w:p>
    <w:p w14:paraId="0FDE9F6D" w14:textId="1222AF85" w:rsidR="006C2E76" w:rsidRPr="00617A89" w:rsidRDefault="00E56627" w:rsidP="00387E86">
      <w:pPr>
        <w:pStyle w:val="Body"/>
        <w:rPr>
          <w:color w:val="000000" w:themeColor="text1"/>
          <w:lang w:val="en-GB"/>
        </w:rPr>
      </w:pPr>
      <w:r w:rsidRPr="00617A89">
        <w:rPr>
          <w:color w:val="000000" w:themeColor="text1"/>
          <w:lang w:val="en-GB"/>
        </w:rPr>
        <w:t>Undergraduate occupation type varied greatly by study area. More than 90 per cent of undergraduates from vocationally</w:t>
      </w:r>
      <w:r w:rsidR="00305C6A" w:rsidRPr="00617A89">
        <w:rPr>
          <w:color w:val="000000" w:themeColor="text1"/>
          <w:lang w:val="en-GB"/>
        </w:rPr>
        <w:t>-</w:t>
      </w:r>
      <w:r w:rsidRPr="00617A89">
        <w:rPr>
          <w:color w:val="000000" w:themeColor="text1"/>
          <w:lang w:val="en-GB"/>
        </w:rPr>
        <w:t xml:space="preserve">oriented study areas such as Rehabilitation, Pharmacy and Teacher education, were employed full-time in managerial occupations 4 to 6 months after course completion. </w:t>
      </w:r>
    </w:p>
    <w:p w14:paraId="640E725B" w14:textId="5567F2E8" w:rsidR="00E56627" w:rsidRPr="00617A89" w:rsidRDefault="00E56627" w:rsidP="00387E86">
      <w:pPr>
        <w:pStyle w:val="Body"/>
        <w:rPr>
          <w:color w:val="000000" w:themeColor="text1"/>
          <w:lang w:val="en-GB"/>
        </w:rPr>
      </w:pPr>
      <w:r w:rsidRPr="00617A89">
        <w:rPr>
          <w:color w:val="000000" w:themeColor="text1"/>
          <w:lang w:val="en-GB"/>
        </w:rPr>
        <w:t>Undergraduates from generalist study areas and study areas where related occupations may require further study or accreditation had lower rates in the short-term but bigger gains over the 3-year period. Only 54.0 per cent of full-time employed undergraduates from Law and paralegal studies were working in managerial or professional occupations in the short-term, but this increased to</w:t>
      </w:r>
      <w:r w:rsidR="006C2E76" w:rsidRPr="00617A89">
        <w:rPr>
          <w:color w:val="000000" w:themeColor="text1"/>
          <w:lang w:val="en-GB"/>
        </w:rPr>
        <w:t xml:space="preserve"> 78.9 per cent in the medium-term.</w:t>
      </w:r>
      <w:r w:rsidRPr="00617A89">
        <w:rPr>
          <w:color w:val="000000" w:themeColor="text1"/>
          <w:lang w:val="en-GB"/>
        </w:rPr>
        <w:t xml:space="preserve"> </w:t>
      </w:r>
    </w:p>
    <w:p w14:paraId="03CB13DB" w14:textId="78711E52" w:rsidR="0022336E" w:rsidRPr="00617A89" w:rsidRDefault="00E6219B" w:rsidP="00A922A0">
      <w:pPr>
        <w:pStyle w:val="Caption"/>
        <w:tabs>
          <w:tab w:val="clear" w:pos="1134"/>
          <w:tab w:val="left" w:pos="142"/>
        </w:tabs>
        <w:ind w:left="0" w:firstLine="0"/>
        <w:rPr>
          <w:color w:val="000000" w:themeColor="text1"/>
          <w:lang w:val="en-GB"/>
        </w:rPr>
      </w:pPr>
      <w:r w:rsidRPr="00617A89">
        <w:rPr>
          <w:color w:val="000000" w:themeColor="text1"/>
          <w:lang w:val="en-GB"/>
        </w:rPr>
        <w:t>Figure v</w:t>
      </w:r>
      <w:r w:rsidRPr="00617A89">
        <w:rPr>
          <w:color w:val="000000" w:themeColor="text1"/>
        </w:rPr>
        <w:t xml:space="preserve"> - </w:t>
      </w:r>
      <w:r w:rsidR="0022336E" w:rsidRPr="00617A89">
        <w:rPr>
          <w:color w:val="000000" w:themeColor="text1"/>
        </w:rPr>
        <w:t>Domestic graduates employed in managerial and professional occupations by study level (% of those employed full-time)</w:t>
      </w:r>
      <w:r w:rsidR="00EF6479" w:rsidRPr="00617A89">
        <w:rPr>
          <w:noProof/>
          <w:color w:val="000000" w:themeColor="text1"/>
        </w:rPr>
        <w:drawing>
          <wp:inline distT="0" distB="0" distL="0" distR="0" wp14:anchorId="17FCFA30" wp14:editId="54F93B9F">
            <wp:extent cx="4572635" cy="1945005"/>
            <wp:effectExtent l="0" t="0" r="0" b="0"/>
            <wp:docPr id="461285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1945005"/>
                    </a:xfrm>
                    <a:prstGeom prst="rect">
                      <a:avLst/>
                    </a:prstGeom>
                    <a:noFill/>
                  </pic:spPr>
                </pic:pic>
              </a:graphicData>
            </a:graphic>
          </wp:inline>
        </w:drawing>
      </w:r>
    </w:p>
    <w:p w14:paraId="1DBCB31A" w14:textId="73061F28" w:rsidR="006C2E76" w:rsidRPr="00617A89" w:rsidRDefault="006C2E76" w:rsidP="006C2E76">
      <w:pPr>
        <w:pStyle w:val="Body"/>
        <w:rPr>
          <w:color w:val="000000" w:themeColor="text1"/>
        </w:rPr>
      </w:pPr>
      <w:r w:rsidRPr="00617A89">
        <w:rPr>
          <w:color w:val="000000" w:themeColor="text1"/>
        </w:rPr>
        <w:t>Rates of ‘perceived overqualification’, that is, graduates who reported not fully utilising their skills and education in their current jobs, was consistent across study levels, and this measure of skills underutilisation remained relatively high in the medium-term</w:t>
      </w:r>
      <w:r w:rsidR="00E6219B" w:rsidRPr="00617A89">
        <w:rPr>
          <w:color w:val="000000" w:themeColor="text1"/>
        </w:rPr>
        <w:t xml:space="preserve"> (</w:t>
      </w:r>
      <w:r w:rsidR="00E6219B" w:rsidRPr="00617A89">
        <w:rPr>
          <w:b/>
          <w:bCs/>
          <w:color w:val="000000" w:themeColor="text1"/>
        </w:rPr>
        <w:t>Figure vi</w:t>
      </w:r>
      <w:r w:rsidR="00E6219B" w:rsidRPr="00617A89">
        <w:rPr>
          <w:color w:val="000000" w:themeColor="text1"/>
        </w:rPr>
        <w:t>)</w:t>
      </w:r>
      <w:r w:rsidRPr="00617A89">
        <w:rPr>
          <w:color w:val="000000" w:themeColor="text1"/>
        </w:rPr>
        <w:t>.</w:t>
      </w:r>
    </w:p>
    <w:p w14:paraId="4945FCE8" w14:textId="77777777" w:rsidR="00E6219B" w:rsidRPr="00617A89" w:rsidRDefault="00E6219B">
      <w:pPr>
        <w:spacing w:before="60" w:after="60"/>
        <w:rPr>
          <w:rFonts w:eastAsia="Times New Roman" w:cs="Arial"/>
          <w:b/>
          <w:bCs/>
          <w:color w:val="000000" w:themeColor="text1"/>
          <w:szCs w:val="21"/>
          <w:lang w:eastAsia="en-AU"/>
        </w:rPr>
      </w:pPr>
      <w:r w:rsidRPr="00617A89">
        <w:rPr>
          <w:color w:val="000000" w:themeColor="text1"/>
        </w:rPr>
        <w:br w:type="page"/>
      </w:r>
    </w:p>
    <w:p w14:paraId="584B240A" w14:textId="3C37F1DA" w:rsidR="00384EF0" w:rsidRPr="00617A89" w:rsidRDefault="00E6219B" w:rsidP="00C60F49">
      <w:pPr>
        <w:pStyle w:val="Caption"/>
        <w:rPr>
          <w:color w:val="000000" w:themeColor="text1"/>
        </w:rPr>
      </w:pPr>
      <w:r w:rsidRPr="00617A89">
        <w:rPr>
          <w:color w:val="000000" w:themeColor="text1"/>
        </w:rPr>
        <w:t xml:space="preserve">Figure vi - </w:t>
      </w:r>
      <w:r w:rsidR="00384EF0" w:rsidRPr="00617A89">
        <w:rPr>
          <w:color w:val="000000" w:themeColor="text1"/>
        </w:rPr>
        <w:t>Perceived overqualification by study level</w:t>
      </w:r>
      <w:r w:rsidR="00CB040B" w:rsidRPr="00617A89">
        <w:rPr>
          <w:color w:val="000000" w:themeColor="text1"/>
        </w:rPr>
        <w:t xml:space="preserve"> (% of those employed full-time)</w:t>
      </w:r>
    </w:p>
    <w:p w14:paraId="540DAD74" w14:textId="7FEB7415" w:rsidR="00EF6479" w:rsidRPr="00617A89" w:rsidRDefault="00EF6479" w:rsidP="00EF6479">
      <w:pPr>
        <w:pStyle w:val="Body"/>
        <w:rPr>
          <w:lang w:eastAsia="en-AU"/>
        </w:rPr>
      </w:pPr>
      <w:r w:rsidRPr="00617A89">
        <w:rPr>
          <w:noProof/>
          <w:lang w:eastAsia="en-AU"/>
        </w:rPr>
        <w:drawing>
          <wp:inline distT="0" distB="0" distL="0" distR="0" wp14:anchorId="1CFB2C22" wp14:editId="21A988A2">
            <wp:extent cx="3347085" cy="1981200"/>
            <wp:effectExtent l="0" t="0" r="5715" b="0"/>
            <wp:docPr id="17973510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7085" cy="1981200"/>
                    </a:xfrm>
                    <a:prstGeom prst="rect">
                      <a:avLst/>
                    </a:prstGeom>
                    <a:noFill/>
                  </pic:spPr>
                </pic:pic>
              </a:graphicData>
            </a:graphic>
          </wp:inline>
        </w:drawing>
      </w:r>
    </w:p>
    <w:p w14:paraId="048B6ED2" w14:textId="44FA1957" w:rsidR="006C2E76" w:rsidRPr="00617A89" w:rsidRDefault="00384EF0" w:rsidP="006C2E76">
      <w:pPr>
        <w:pStyle w:val="Body"/>
        <w:rPr>
          <w:color w:val="000000" w:themeColor="text1"/>
        </w:rPr>
      </w:pPr>
      <w:r w:rsidRPr="00617A89">
        <w:rPr>
          <w:color w:val="000000" w:themeColor="text1"/>
        </w:rPr>
        <w:t xml:space="preserve">In the short-term, undergraduates </w:t>
      </w:r>
      <w:r w:rsidR="00CB040B" w:rsidRPr="00617A89">
        <w:rPr>
          <w:color w:val="000000" w:themeColor="text1"/>
        </w:rPr>
        <w:t xml:space="preserve">employed full-time </w:t>
      </w:r>
      <w:r w:rsidRPr="00617A89">
        <w:rPr>
          <w:color w:val="000000" w:themeColor="text1"/>
        </w:rPr>
        <w:t>were more likely to be working in jobs that did not fully utilise their skills and education due to labour market factors, particularly because they were starting out in an ‘entry level job/career stepping stone</w:t>
      </w:r>
      <w:r w:rsidR="00EB7E64" w:rsidRPr="00617A89">
        <w:rPr>
          <w:color w:val="000000" w:themeColor="text1"/>
        </w:rPr>
        <w:t xml:space="preserve">’. Three years later, there was a more even split of labour market and personal reasons influencing the perceived underutilisation of undergraduates’ skills and education. One quarter of </w:t>
      </w:r>
      <w:r w:rsidR="00CB040B" w:rsidRPr="00617A89">
        <w:rPr>
          <w:color w:val="000000" w:themeColor="text1"/>
        </w:rPr>
        <w:t xml:space="preserve">full-time employed </w:t>
      </w:r>
      <w:r w:rsidR="00EB7E64" w:rsidRPr="00617A89">
        <w:rPr>
          <w:color w:val="000000" w:themeColor="text1"/>
        </w:rPr>
        <w:t>undergraduates who considered themselves overqualified in the</w:t>
      </w:r>
      <w:r w:rsidR="00CB040B" w:rsidRPr="00617A89">
        <w:rPr>
          <w:color w:val="000000" w:themeColor="text1"/>
        </w:rPr>
        <w:t>ir</w:t>
      </w:r>
      <w:r w:rsidR="00EB7E64" w:rsidRPr="00617A89">
        <w:rPr>
          <w:color w:val="000000" w:themeColor="text1"/>
        </w:rPr>
        <w:t xml:space="preserve"> job 3 years after course completion </w:t>
      </w:r>
      <w:r w:rsidR="00C60F49" w:rsidRPr="00617A89">
        <w:rPr>
          <w:color w:val="000000" w:themeColor="text1"/>
        </w:rPr>
        <w:t>reported being satisfied with their current job</w:t>
      </w:r>
      <w:r w:rsidR="00EB7E64" w:rsidRPr="00617A89">
        <w:rPr>
          <w:color w:val="000000" w:themeColor="text1"/>
        </w:rPr>
        <w:t>.</w:t>
      </w:r>
    </w:p>
    <w:p w14:paraId="1C622A5A" w14:textId="74BFD239" w:rsidR="00EB7E64" w:rsidRPr="00617A89" w:rsidRDefault="00EB7E64" w:rsidP="006C2E76">
      <w:pPr>
        <w:pStyle w:val="Body"/>
        <w:rPr>
          <w:color w:val="000000" w:themeColor="text1"/>
        </w:rPr>
      </w:pPr>
      <w:r w:rsidRPr="00617A89">
        <w:rPr>
          <w:color w:val="000000" w:themeColor="text1"/>
        </w:rPr>
        <w:t xml:space="preserve">Postgraduate coursework graduates were more likely to report personal factors, such as satisfaction with their current jobs or that they were changing jobs/careers, than undergraduates and these differences </w:t>
      </w:r>
      <w:r w:rsidR="00F10E93" w:rsidRPr="00617A89">
        <w:rPr>
          <w:color w:val="000000" w:themeColor="text1"/>
        </w:rPr>
        <w:t>persisted</w:t>
      </w:r>
      <w:r w:rsidRPr="00617A89">
        <w:rPr>
          <w:color w:val="000000" w:themeColor="text1"/>
        </w:rPr>
        <w:t xml:space="preserve"> into the medium-term. Postgraduate coursework graduates were also more likely to report that they were caring for children or a family member. These findings reflect </w:t>
      </w:r>
      <w:r w:rsidR="00F10E93" w:rsidRPr="00617A89">
        <w:rPr>
          <w:color w:val="000000" w:themeColor="text1"/>
        </w:rPr>
        <w:t>demographic</w:t>
      </w:r>
      <w:r w:rsidR="00E84953" w:rsidRPr="00617A89">
        <w:rPr>
          <w:color w:val="000000" w:themeColor="text1"/>
        </w:rPr>
        <w:t>, career</w:t>
      </w:r>
      <w:r w:rsidR="00527269" w:rsidRPr="00617A89">
        <w:rPr>
          <w:color w:val="000000" w:themeColor="text1"/>
        </w:rPr>
        <w:t>, a</w:t>
      </w:r>
      <w:r w:rsidR="00E84953" w:rsidRPr="00617A89">
        <w:rPr>
          <w:color w:val="000000" w:themeColor="text1"/>
        </w:rPr>
        <w:t>nd life-stage</w:t>
      </w:r>
      <w:r w:rsidR="00F10E93" w:rsidRPr="00617A89">
        <w:rPr>
          <w:color w:val="000000" w:themeColor="text1"/>
        </w:rPr>
        <w:t xml:space="preserve"> differences between domestic undergraduate and postgraduate coursework graduates.</w:t>
      </w:r>
    </w:p>
    <w:p w14:paraId="74C3FFC0" w14:textId="1762DA00" w:rsidR="00F10E93" w:rsidRPr="00617A89" w:rsidRDefault="00F10E93" w:rsidP="005A0EDE">
      <w:pPr>
        <w:pStyle w:val="Body"/>
        <w:rPr>
          <w:color w:val="000000" w:themeColor="text1"/>
        </w:rPr>
      </w:pPr>
      <w:r w:rsidRPr="00617A89">
        <w:rPr>
          <w:color w:val="000000" w:themeColor="text1"/>
        </w:rPr>
        <w:t>Like reasons for underemployment, postgraduate research graduates who felt overqualified in their current jobs were most likely to report ‘no suitable jobs in my area of expertise’ as the reason. This highlights a potential mismatch between labour market demand and the highly specialised skills acquired in these courses. It may also highlight a potential opportunity for institutions to provide further support and guidance for postgraduate research graduates to obtain relevant employment in their areas of expertise.</w:t>
      </w:r>
    </w:p>
    <w:p w14:paraId="13CF317C" w14:textId="5867B5F7" w:rsidR="00CE6D4A" w:rsidRPr="00617A89" w:rsidRDefault="00CE6D4A" w:rsidP="00A93A55">
      <w:pPr>
        <w:pStyle w:val="SubHeading1"/>
        <w:rPr>
          <w:color w:val="000000" w:themeColor="text1"/>
        </w:rPr>
      </w:pPr>
      <w:r w:rsidRPr="00617A89">
        <w:rPr>
          <w:color w:val="000000" w:themeColor="text1"/>
        </w:rPr>
        <w:t>International graduate results</w:t>
      </w:r>
    </w:p>
    <w:bookmarkEnd w:id="10"/>
    <w:p w14:paraId="4E6BA87E" w14:textId="43A24D8D" w:rsidR="000062B7" w:rsidRPr="00617A89" w:rsidRDefault="00F10E93" w:rsidP="005A0EDE">
      <w:pPr>
        <w:pStyle w:val="Body"/>
        <w:rPr>
          <w:color w:val="000000" w:themeColor="text1"/>
        </w:rPr>
      </w:pPr>
      <w:r w:rsidRPr="00617A89">
        <w:rPr>
          <w:color w:val="000000" w:themeColor="text1"/>
        </w:rPr>
        <w:t xml:space="preserve">Short-term employment outcomes for international graduates </w:t>
      </w:r>
      <w:r w:rsidR="001923BA" w:rsidRPr="00617A89">
        <w:rPr>
          <w:color w:val="000000" w:themeColor="text1"/>
        </w:rPr>
        <w:t>were</w:t>
      </w:r>
      <w:r w:rsidRPr="00617A89">
        <w:rPr>
          <w:color w:val="000000" w:themeColor="text1"/>
        </w:rPr>
        <w:t xml:space="preserve"> lower than for domestic graduates </w:t>
      </w:r>
      <w:r w:rsidR="001923BA" w:rsidRPr="00617A89">
        <w:rPr>
          <w:color w:val="000000" w:themeColor="text1"/>
        </w:rPr>
        <w:t>across all study levels, consistent with historical trends</w:t>
      </w:r>
      <w:r w:rsidR="00E6219B" w:rsidRPr="00617A89">
        <w:rPr>
          <w:color w:val="000000" w:themeColor="text1"/>
        </w:rPr>
        <w:t xml:space="preserve"> (</w:t>
      </w:r>
      <w:r w:rsidR="00E6219B" w:rsidRPr="00617A89">
        <w:rPr>
          <w:b/>
          <w:bCs/>
          <w:color w:val="000000" w:themeColor="text1"/>
        </w:rPr>
        <w:t>Table ii</w:t>
      </w:r>
      <w:r w:rsidR="00E6219B" w:rsidRPr="00617A89">
        <w:rPr>
          <w:color w:val="000000" w:themeColor="text1"/>
        </w:rPr>
        <w:t>)</w:t>
      </w:r>
      <w:r w:rsidR="001923BA" w:rsidRPr="00617A89">
        <w:rPr>
          <w:color w:val="000000" w:themeColor="text1"/>
        </w:rPr>
        <w:t>.</w:t>
      </w:r>
      <w:r w:rsidR="000062B7" w:rsidRPr="00617A89">
        <w:rPr>
          <w:color w:val="000000" w:themeColor="text1"/>
        </w:rPr>
        <w:t xml:space="preserve"> </w:t>
      </w:r>
    </w:p>
    <w:p w14:paraId="0D91E13C" w14:textId="77777777" w:rsidR="00E6219B" w:rsidRPr="00617A89" w:rsidRDefault="00E6219B" w:rsidP="000062B7">
      <w:pPr>
        <w:pStyle w:val="Body"/>
        <w:rPr>
          <w:color w:val="000000" w:themeColor="text1"/>
        </w:rPr>
      </w:pPr>
      <w:r w:rsidRPr="00617A89">
        <w:rPr>
          <w:color w:val="000000" w:themeColor="text1"/>
        </w:rPr>
        <w:t>Department of Education analysis indicates the change to how the labour force is defined in 2025 resulted in upward pressure on medium-term full-time employment rates of around 1-2 percentage points for international undergraduates and postgraduate coursework graduates, and upward pressure of less than 1 percentage point for international postgraduate research graduates.</w:t>
      </w:r>
    </w:p>
    <w:p w14:paraId="277C18F9" w14:textId="7CE6D645" w:rsidR="000062B7" w:rsidRPr="00617A89" w:rsidRDefault="000062B7" w:rsidP="000062B7">
      <w:pPr>
        <w:pStyle w:val="Body"/>
        <w:rPr>
          <w:color w:val="000000" w:themeColor="text1"/>
        </w:rPr>
      </w:pPr>
      <w:r w:rsidRPr="00617A89">
        <w:rPr>
          <w:color w:val="000000" w:themeColor="text1"/>
        </w:rPr>
        <w:t>Full-time employment rates were lower for international undergraduates in the short-term</w:t>
      </w:r>
      <w:r w:rsidR="00E6219B" w:rsidRPr="00617A89">
        <w:t xml:space="preserve"> </w:t>
      </w:r>
      <w:r w:rsidR="00E6219B" w:rsidRPr="00617A89">
        <w:rPr>
          <w:color w:val="000000" w:themeColor="text1"/>
        </w:rPr>
        <w:t>compared to their domestic counterparts</w:t>
      </w:r>
      <w:r w:rsidR="001C4C91" w:rsidRPr="00617A89">
        <w:rPr>
          <w:color w:val="000000" w:themeColor="text1"/>
        </w:rPr>
        <w:t>,</w:t>
      </w:r>
      <w:r w:rsidRPr="00617A89">
        <w:rPr>
          <w:color w:val="000000" w:themeColor="text1"/>
        </w:rPr>
        <w:t xml:space="preserve"> but this gap narrowed over the 3-year period. However, differences in median salaries did not diminish over time. The higher further full-time study rate for international undergraduates may partially explain the lower full-time employment rate.</w:t>
      </w:r>
    </w:p>
    <w:p w14:paraId="0DA42D40" w14:textId="77777777" w:rsidR="00E6219B" w:rsidRPr="00617A89" w:rsidRDefault="00E6219B">
      <w:pPr>
        <w:spacing w:before="60" w:after="60"/>
        <w:rPr>
          <w:rFonts w:eastAsia="Times New Roman" w:cs="Arial"/>
          <w:b/>
          <w:bCs/>
          <w:color w:val="000000" w:themeColor="text1"/>
          <w:szCs w:val="21"/>
          <w:lang w:eastAsia="en-AU"/>
        </w:rPr>
      </w:pPr>
      <w:r w:rsidRPr="00617A89">
        <w:rPr>
          <w:color w:val="000000" w:themeColor="text1"/>
        </w:rPr>
        <w:br w:type="page"/>
      </w:r>
    </w:p>
    <w:p w14:paraId="16241808" w14:textId="3EB700BD" w:rsidR="006C62A9" w:rsidRPr="00617A89" w:rsidRDefault="00E6219B" w:rsidP="005A0EDE">
      <w:pPr>
        <w:pStyle w:val="Caption"/>
        <w:rPr>
          <w:color w:val="000000" w:themeColor="text1"/>
        </w:rPr>
      </w:pPr>
      <w:r w:rsidRPr="00617A89">
        <w:rPr>
          <w:color w:val="000000" w:themeColor="text1"/>
        </w:rPr>
        <w:t xml:space="preserve">Table ii - </w:t>
      </w:r>
      <w:r w:rsidR="006C62A9" w:rsidRPr="00617A89">
        <w:rPr>
          <w:color w:val="000000" w:themeColor="text1"/>
        </w:rPr>
        <w:t>Undergraduate labour market indicators by citizenship status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630"/>
        <w:gridCol w:w="1630"/>
        <w:gridCol w:w="1630"/>
        <w:gridCol w:w="1630"/>
      </w:tblGrid>
      <w:tr w:rsidR="00C22852" w:rsidRPr="00617A89" w14:paraId="43C43CEA" w14:textId="77777777" w:rsidTr="00F8207A">
        <w:trPr>
          <w:trHeight w:val="262"/>
          <w:tblHeader/>
        </w:trPr>
        <w:tc>
          <w:tcPr>
            <w:tcW w:w="3114" w:type="dxa"/>
            <w:vAlign w:val="bottom"/>
            <w:hideMark/>
          </w:tcPr>
          <w:p w14:paraId="76667C0F" w14:textId="77777777" w:rsidR="00A83D4D" w:rsidRPr="00617A89" w:rsidRDefault="00A83D4D" w:rsidP="00ED7300">
            <w:pPr>
              <w:keepNext/>
              <w:jc w:val="center"/>
              <w:rPr>
                <w:rFonts w:eastAsia="Times New Roman" w:cs="Arial"/>
                <w:b/>
                <w:bCs/>
                <w:color w:val="000000" w:themeColor="text1"/>
                <w:sz w:val="18"/>
                <w:lang w:eastAsia="en-AU"/>
              </w:rPr>
            </w:pPr>
          </w:p>
        </w:tc>
        <w:tc>
          <w:tcPr>
            <w:tcW w:w="1630" w:type="dxa"/>
            <w:noWrap/>
            <w:vAlign w:val="center"/>
            <w:hideMark/>
          </w:tcPr>
          <w:p w14:paraId="291F6555" w14:textId="77777777" w:rsidR="00F8207A" w:rsidRPr="00617A89" w:rsidRDefault="00A922A0" w:rsidP="00ED730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p>
          <w:p w14:paraId="54B24F19" w14:textId="5D01CCEC" w:rsidR="00A83D4D" w:rsidRPr="00617A89" w:rsidRDefault="00A83D4D" w:rsidP="00ED730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0" w:type="dxa"/>
            <w:noWrap/>
            <w:vAlign w:val="center"/>
            <w:hideMark/>
          </w:tcPr>
          <w:p w14:paraId="57915177" w14:textId="27A307AB" w:rsidR="00A83D4D" w:rsidRPr="00617A89" w:rsidRDefault="00A922A0" w:rsidP="00ED730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r w:rsidR="00A83D4D" w:rsidRPr="00617A89">
              <w:rPr>
                <w:rFonts w:eastAsia="Times New Roman" w:cs="Arial"/>
                <w:b/>
                <w:bCs/>
                <w:color w:val="000000" w:themeColor="text1"/>
                <w:sz w:val="18"/>
                <w:lang w:eastAsia="en-AU"/>
              </w:rPr>
              <w:t>International</w:t>
            </w:r>
          </w:p>
        </w:tc>
        <w:tc>
          <w:tcPr>
            <w:tcW w:w="1630" w:type="dxa"/>
            <w:noWrap/>
            <w:vAlign w:val="center"/>
            <w:hideMark/>
          </w:tcPr>
          <w:p w14:paraId="106A6718" w14:textId="77777777" w:rsidR="00F8207A" w:rsidRPr="00617A89" w:rsidRDefault="00A922A0" w:rsidP="00ED730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p>
          <w:p w14:paraId="7CEF24D5" w14:textId="4916F2B8" w:rsidR="00A83D4D" w:rsidRPr="00617A89" w:rsidRDefault="00A83D4D" w:rsidP="00ED730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0" w:type="dxa"/>
            <w:noWrap/>
            <w:vAlign w:val="center"/>
            <w:hideMark/>
          </w:tcPr>
          <w:p w14:paraId="7D650114" w14:textId="594FC73C" w:rsidR="00A83D4D" w:rsidRPr="00617A89" w:rsidRDefault="00A922A0" w:rsidP="00ED730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r w:rsidR="00A83D4D" w:rsidRPr="00617A89">
              <w:rPr>
                <w:rFonts w:eastAsia="Times New Roman" w:cs="Arial"/>
                <w:b/>
                <w:bCs/>
                <w:color w:val="000000" w:themeColor="text1"/>
                <w:sz w:val="18"/>
                <w:lang w:eastAsia="en-AU"/>
              </w:rPr>
              <w:t>International</w:t>
            </w:r>
          </w:p>
        </w:tc>
      </w:tr>
      <w:tr w:rsidR="00C22852" w:rsidRPr="00617A89" w14:paraId="30E38308" w14:textId="77777777" w:rsidTr="00A922A0">
        <w:trPr>
          <w:trHeight w:val="340"/>
        </w:trPr>
        <w:tc>
          <w:tcPr>
            <w:tcW w:w="3114" w:type="dxa"/>
            <w:vAlign w:val="center"/>
            <w:hideMark/>
          </w:tcPr>
          <w:p w14:paraId="11805FA0" w14:textId="77777777" w:rsidR="00A83D4D" w:rsidRPr="00617A89" w:rsidRDefault="00A83D4D" w:rsidP="00ED7300">
            <w:pPr>
              <w:keepNext/>
              <w:rPr>
                <w:rFonts w:eastAsia="Times New Roman" w:cs="Arial"/>
                <w:color w:val="000000" w:themeColor="text1"/>
                <w:sz w:val="18"/>
                <w:lang w:eastAsia="en-AU"/>
              </w:rPr>
            </w:pPr>
            <w:r w:rsidRPr="00617A89">
              <w:rPr>
                <w:rFonts w:eastAsia="Times New Roman" w:cs="Arial"/>
                <w:b/>
                <w:bCs/>
                <w:color w:val="000000" w:themeColor="text1"/>
                <w:sz w:val="18"/>
                <w:lang w:val="en-GB" w:eastAsia="en-AU"/>
              </w:rPr>
              <w:t>Full-time employment rate (%)</w:t>
            </w:r>
          </w:p>
        </w:tc>
        <w:tc>
          <w:tcPr>
            <w:tcW w:w="1630" w:type="dxa"/>
            <w:noWrap/>
            <w:vAlign w:val="center"/>
            <w:hideMark/>
          </w:tcPr>
          <w:p w14:paraId="04E12F55"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79.5</w:t>
            </w:r>
          </w:p>
        </w:tc>
        <w:tc>
          <w:tcPr>
            <w:tcW w:w="1630" w:type="dxa"/>
            <w:noWrap/>
            <w:vAlign w:val="center"/>
            <w:hideMark/>
          </w:tcPr>
          <w:p w14:paraId="4DE177D1"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60.5</w:t>
            </w:r>
          </w:p>
        </w:tc>
        <w:tc>
          <w:tcPr>
            <w:tcW w:w="1630" w:type="dxa"/>
            <w:noWrap/>
            <w:vAlign w:val="center"/>
            <w:hideMark/>
          </w:tcPr>
          <w:p w14:paraId="5DBE5FA5"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91.7</w:t>
            </w:r>
          </w:p>
        </w:tc>
        <w:tc>
          <w:tcPr>
            <w:tcW w:w="1630" w:type="dxa"/>
            <w:noWrap/>
            <w:vAlign w:val="center"/>
            <w:hideMark/>
          </w:tcPr>
          <w:p w14:paraId="6B682B29"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84.7</w:t>
            </w:r>
          </w:p>
        </w:tc>
      </w:tr>
      <w:tr w:rsidR="00C22852" w:rsidRPr="00617A89" w14:paraId="16F03751" w14:textId="77777777" w:rsidTr="00A922A0">
        <w:trPr>
          <w:trHeight w:val="340"/>
        </w:trPr>
        <w:tc>
          <w:tcPr>
            <w:tcW w:w="3114" w:type="dxa"/>
            <w:vAlign w:val="center"/>
            <w:hideMark/>
          </w:tcPr>
          <w:p w14:paraId="30879219" w14:textId="77777777" w:rsidR="00A83D4D" w:rsidRPr="00617A89" w:rsidRDefault="00A83D4D" w:rsidP="00ED7300">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Median annual full-time salary ($)</w:t>
            </w:r>
          </w:p>
        </w:tc>
        <w:tc>
          <w:tcPr>
            <w:tcW w:w="1630" w:type="dxa"/>
            <w:noWrap/>
            <w:vAlign w:val="center"/>
            <w:hideMark/>
          </w:tcPr>
          <w:p w14:paraId="5BFCA637"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69,000</w:t>
            </w:r>
          </w:p>
        </w:tc>
        <w:tc>
          <w:tcPr>
            <w:tcW w:w="1630" w:type="dxa"/>
            <w:noWrap/>
            <w:vAlign w:val="center"/>
            <w:hideMark/>
          </w:tcPr>
          <w:p w14:paraId="068183B8"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62,000</w:t>
            </w:r>
          </w:p>
        </w:tc>
        <w:tc>
          <w:tcPr>
            <w:tcW w:w="1630" w:type="dxa"/>
            <w:noWrap/>
            <w:vAlign w:val="center"/>
            <w:hideMark/>
          </w:tcPr>
          <w:p w14:paraId="31A6E75C"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91,000</w:t>
            </w:r>
          </w:p>
        </w:tc>
        <w:tc>
          <w:tcPr>
            <w:tcW w:w="1630" w:type="dxa"/>
            <w:noWrap/>
            <w:vAlign w:val="center"/>
            <w:hideMark/>
          </w:tcPr>
          <w:p w14:paraId="6B069321"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80,500</w:t>
            </w:r>
          </w:p>
        </w:tc>
      </w:tr>
      <w:tr w:rsidR="00C22852" w:rsidRPr="00617A89" w14:paraId="6F8C4052" w14:textId="77777777" w:rsidTr="00A922A0">
        <w:trPr>
          <w:trHeight w:val="340"/>
        </w:trPr>
        <w:tc>
          <w:tcPr>
            <w:tcW w:w="3114" w:type="dxa"/>
            <w:vAlign w:val="center"/>
          </w:tcPr>
          <w:p w14:paraId="38D58A5F" w14:textId="77777777" w:rsidR="00A83D4D" w:rsidRPr="00617A89" w:rsidRDefault="00A83D4D" w:rsidP="00ED7300">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In further full-time study (%)</w:t>
            </w:r>
          </w:p>
        </w:tc>
        <w:tc>
          <w:tcPr>
            <w:tcW w:w="1630" w:type="dxa"/>
            <w:noWrap/>
            <w:vAlign w:val="center"/>
          </w:tcPr>
          <w:p w14:paraId="732A3B92"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17.5</w:t>
            </w:r>
          </w:p>
        </w:tc>
        <w:tc>
          <w:tcPr>
            <w:tcW w:w="1630" w:type="dxa"/>
            <w:noWrap/>
            <w:vAlign w:val="center"/>
          </w:tcPr>
          <w:p w14:paraId="363C40CF"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25.4</w:t>
            </w:r>
          </w:p>
        </w:tc>
        <w:tc>
          <w:tcPr>
            <w:tcW w:w="1630" w:type="dxa"/>
            <w:noWrap/>
            <w:vAlign w:val="center"/>
          </w:tcPr>
          <w:p w14:paraId="408F06E9"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13.4</w:t>
            </w:r>
          </w:p>
        </w:tc>
        <w:tc>
          <w:tcPr>
            <w:tcW w:w="1630" w:type="dxa"/>
            <w:noWrap/>
            <w:vAlign w:val="center"/>
          </w:tcPr>
          <w:p w14:paraId="4A08FDF3" w14:textId="77777777" w:rsidR="00A83D4D" w:rsidRPr="00617A89" w:rsidRDefault="00A83D4D" w:rsidP="00ED7300">
            <w:pPr>
              <w:keepNext/>
              <w:jc w:val="center"/>
              <w:rPr>
                <w:rFonts w:eastAsia="Times New Roman" w:cs="Arial"/>
                <w:color w:val="000000" w:themeColor="text1"/>
                <w:sz w:val="18"/>
                <w:lang w:eastAsia="en-AU"/>
              </w:rPr>
            </w:pPr>
            <w:r w:rsidRPr="00617A89">
              <w:rPr>
                <w:rFonts w:cs="Arial"/>
                <w:color w:val="000000" w:themeColor="text1"/>
                <w:sz w:val="18"/>
              </w:rPr>
              <w:t>17.8</w:t>
            </w:r>
          </w:p>
        </w:tc>
      </w:tr>
    </w:tbl>
    <w:p w14:paraId="3CA99B45" w14:textId="77777777" w:rsidR="00E6219B" w:rsidRPr="00617A89" w:rsidRDefault="00E6219B" w:rsidP="0047579F">
      <w:pPr>
        <w:pStyle w:val="Body"/>
        <w:rPr>
          <w:color w:val="000000" w:themeColor="text1"/>
          <w:sz w:val="18"/>
          <w:szCs w:val="18"/>
        </w:rPr>
      </w:pPr>
      <w:r w:rsidRPr="00617A89">
        <w:rPr>
          <w:color w:val="000000" w:themeColor="text1"/>
          <w:sz w:val="18"/>
          <w:szCs w:val="18"/>
        </w:rPr>
        <w:t xml:space="preserve">Note: Medium-term full-time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color w:val="000000" w:themeColor="text1"/>
          <w:sz w:val="18"/>
          <w:szCs w:val="18"/>
        </w:rPr>
        <w:t xml:space="preserve">Appendix 1 </w:t>
      </w:r>
      <w:r w:rsidRPr="00617A89">
        <w:rPr>
          <w:color w:val="000000" w:themeColor="text1"/>
          <w:sz w:val="18"/>
          <w:szCs w:val="18"/>
        </w:rPr>
        <w:t>for further information.</w:t>
      </w:r>
    </w:p>
    <w:p w14:paraId="7DE61071" w14:textId="1D0C3B52" w:rsidR="00EB498A" w:rsidRPr="00617A89" w:rsidRDefault="00B83B3C" w:rsidP="0047579F">
      <w:pPr>
        <w:pStyle w:val="Body"/>
        <w:rPr>
          <w:color w:val="000000" w:themeColor="text1"/>
        </w:rPr>
      </w:pPr>
      <w:r w:rsidRPr="00617A89">
        <w:rPr>
          <w:color w:val="000000" w:themeColor="text1"/>
        </w:rPr>
        <w:t xml:space="preserve">Differences in employment and salary outcomes </w:t>
      </w:r>
      <w:r w:rsidR="00EB498A" w:rsidRPr="00617A89">
        <w:rPr>
          <w:color w:val="000000" w:themeColor="text1"/>
        </w:rPr>
        <w:t xml:space="preserve">between domestic and international graduates </w:t>
      </w:r>
      <w:r w:rsidRPr="00617A89">
        <w:rPr>
          <w:color w:val="000000" w:themeColor="text1"/>
        </w:rPr>
        <w:t>were most pronounced at the postgraduate coursework level</w:t>
      </w:r>
      <w:r w:rsidR="00E6219B" w:rsidRPr="00617A89">
        <w:rPr>
          <w:color w:val="000000" w:themeColor="text1"/>
        </w:rPr>
        <w:t xml:space="preserve"> (</w:t>
      </w:r>
      <w:r w:rsidR="00E6219B" w:rsidRPr="00617A89">
        <w:rPr>
          <w:b/>
          <w:bCs/>
          <w:color w:val="000000" w:themeColor="text1"/>
        </w:rPr>
        <w:t>Table iii</w:t>
      </w:r>
      <w:r w:rsidR="00E6219B" w:rsidRPr="00617A89">
        <w:rPr>
          <w:color w:val="000000" w:themeColor="text1"/>
        </w:rPr>
        <w:t>)</w:t>
      </w:r>
      <w:r w:rsidRPr="00617A89">
        <w:rPr>
          <w:color w:val="000000" w:themeColor="text1"/>
        </w:rPr>
        <w:t xml:space="preserve">. </w:t>
      </w:r>
      <w:r w:rsidR="00EB498A" w:rsidRPr="00617A89">
        <w:rPr>
          <w:color w:val="000000" w:themeColor="text1"/>
        </w:rPr>
        <w:t>Notably, outcomes for international postgraduate coursework graduates were similar to international undergraduate outcomes. This differs to domestic graduates where the higher-level qualification correlated with stronger employment and salary outcomes.</w:t>
      </w:r>
    </w:p>
    <w:p w14:paraId="77AE16EF" w14:textId="65EC71BA" w:rsidR="000062B7" w:rsidRPr="00617A89" w:rsidRDefault="00EB498A" w:rsidP="0047579F">
      <w:pPr>
        <w:pStyle w:val="Body"/>
        <w:rPr>
          <w:color w:val="000000" w:themeColor="text1"/>
        </w:rPr>
      </w:pPr>
      <w:r w:rsidRPr="00617A89">
        <w:rPr>
          <w:color w:val="000000" w:themeColor="text1"/>
        </w:rPr>
        <w:t xml:space="preserve">This is related to </w:t>
      </w:r>
      <w:r w:rsidR="00B83B3C" w:rsidRPr="00617A89">
        <w:rPr>
          <w:color w:val="000000" w:themeColor="text1"/>
        </w:rPr>
        <w:t xml:space="preserve">domestic postgraduate coursework graduates </w:t>
      </w:r>
      <w:r w:rsidR="002C4433" w:rsidRPr="00617A89">
        <w:rPr>
          <w:color w:val="000000" w:themeColor="text1"/>
        </w:rPr>
        <w:t xml:space="preserve">typically being </w:t>
      </w:r>
      <w:r w:rsidR="00B83B3C" w:rsidRPr="00617A89">
        <w:rPr>
          <w:color w:val="000000" w:themeColor="text1"/>
        </w:rPr>
        <w:t>older and often attached to the labour market</w:t>
      </w:r>
      <w:r w:rsidR="0040009A" w:rsidRPr="00617A89">
        <w:rPr>
          <w:color w:val="000000" w:themeColor="text1"/>
        </w:rPr>
        <w:t xml:space="preserve">, </w:t>
      </w:r>
      <w:r w:rsidR="00B83B3C" w:rsidRPr="00617A89">
        <w:rPr>
          <w:color w:val="000000" w:themeColor="text1"/>
        </w:rPr>
        <w:t xml:space="preserve">which is why their employment and salary outcomes are high immediately following course completion. International graduates are younger, many of whom went straight from undergraduate to postgraduate </w:t>
      </w:r>
      <w:r w:rsidR="001C4C91" w:rsidRPr="00617A89">
        <w:rPr>
          <w:color w:val="000000" w:themeColor="text1"/>
        </w:rPr>
        <w:t>studies and,</w:t>
      </w:r>
      <w:r w:rsidR="00B83B3C" w:rsidRPr="00617A89">
        <w:rPr>
          <w:color w:val="000000" w:themeColor="text1"/>
        </w:rPr>
        <w:t xml:space="preserve"> therefore</w:t>
      </w:r>
      <w:r w:rsidR="001C4C91" w:rsidRPr="00617A89">
        <w:rPr>
          <w:color w:val="000000" w:themeColor="text1"/>
        </w:rPr>
        <w:t>,</w:t>
      </w:r>
      <w:r w:rsidR="00B83B3C" w:rsidRPr="00617A89">
        <w:rPr>
          <w:color w:val="000000" w:themeColor="text1"/>
        </w:rPr>
        <w:t xml:space="preserve"> have less prior work experience</w:t>
      </w:r>
      <w:r w:rsidR="001C4C91" w:rsidRPr="00617A89">
        <w:rPr>
          <w:color w:val="000000" w:themeColor="text1"/>
        </w:rPr>
        <w:t xml:space="preserve"> by the time they do graduate</w:t>
      </w:r>
      <w:r w:rsidR="005302A9" w:rsidRPr="00617A89">
        <w:rPr>
          <w:color w:val="000000" w:themeColor="text1"/>
        </w:rPr>
        <w:t xml:space="preserve"> from the higher qualification</w:t>
      </w:r>
      <w:r w:rsidR="00B83B3C" w:rsidRPr="00617A89">
        <w:rPr>
          <w:color w:val="000000" w:themeColor="text1"/>
        </w:rPr>
        <w:t>.</w:t>
      </w:r>
    </w:p>
    <w:p w14:paraId="068FC54B" w14:textId="1762183A" w:rsidR="006C62A9" w:rsidRPr="00617A89" w:rsidRDefault="00E6219B" w:rsidP="006C62A9">
      <w:pPr>
        <w:pStyle w:val="Caption"/>
        <w:rPr>
          <w:color w:val="000000" w:themeColor="text1"/>
        </w:rPr>
      </w:pPr>
      <w:r w:rsidRPr="00617A89">
        <w:rPr>
          <w:color w:val="000000" w:themeColor="text1"/>
        </w:rPr>
        <w:t xml:space="preserve">Table iii - </w:t>
      </w:r>
      <w:r w:rsidR="006C62A9" w:rsidRPr="00617A89">
        <w:rPr>
          <w:color w:val="000000" w:themeColor="text1"/>
        </w:rPr>
        <w:t>Postgraduate coursework labour market indicators by citizenship status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630"/>
        <w:gridCol w:w="1630"/>
        <w:gridCol w:w="1630"/>
        <w:gridCol w:w="1630"/>
      </w:tblGrid>
      <w:tr w:rsidR="00C22852" w:rsidRPr="00617A89" w14:paraId="0B59DB12" w14:textId="77777777" w:rsidTr="00F8207A">
        <w:trPr>
          <w:trHeight w:val="306"/>
          <w:tblHeader/>
        </w:trPr>
        <w:tc>
          <w:tcPr>
            <w:tcW w:w="3114" w:type="dxa"/>
            <w:vAlign w:val="bottom"/>
            <w:hideMark/>
          </w:tcPr>
          <w:p w14:paraId="165A7750" w14:textId="77777777" w:rsidR="00F8207A" w:rsidRPr="00617A89" w:rsidRDefault="00F8207A" w:rsidP="00F8207A">
            <w:pPr>
              <w:keepNext/>
              <w:jc w:val="center"/>
              <w:rPr>
                <w:rFonts w:eastAsia="Times New Roman" w:cs="Arial"/>
                <w:b/>
                <w:bCs/>
                <w:color w:val="000000" w:themeColor="text1"/>
                <w:sz w:val="18"/>
                <w:lang w:eastAsia="en-AU"/>
              </w:rPr>
            </w:pPr>
          </w:p>
        </w:tc>
        <w:tc>
          <w:tcPr>
            <w:tcW w:w="1630" w:type="dxa"/>
            <w:noWrap/>
            <w:vAlign w:val="center"/>
            <w:hideMark/>
          </w:tcPr>
          <w:p w14:paraId="11147724" w14:textId="77777777"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p>
          <w:p w14:paraId="279FE76B" w14:textId="76FE33C1"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0" w:type="dxa"/>
            <w:noWrap/>
            <w:vAlign w:val="center"/>
            <w:hideMark/>
          </w:tcPr>
          <w:p w14:paraId="3C7DC5EB" w14:textId="37CAE308"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Short-term (2022) International</w:t>
            </w:r>
          </w:p>
        </w:tc>
        <w:tc>
          <w:tcPr>
            <w:tcW w:w="1630" w:type="dxa"/>
            <w:noWrap/>
            <w:vAlign w:val="center"/>
            <w:hideMark/>
          </w:tcPr>
          <w:p w14:paraId="25A1BE86" w14:textId="77777777"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p>
          <w:p w14:paraId="401E9E3D" w14:textId="6E7BFCE5"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0" w:type="dxa"/>
            <w:noWrap/>
            <w:vAlign w:val="center"/>
            <w:hideMark/>
          </w:tcPr>
          <w:p w14:paraId="71A96A24" w14:textId="53980DF6"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Medium-term (2025) International</w:t>
            </w:r>
          </w:p>
        </w:tc>
      </w:tr>
      <w:tr w:rsidR="00C22852" w:rsidRPr="00617A89" w14:paraId="7DB6C519" w14:textId="77777777" w:rsidTr="00F8207A">
        <w:trPr>
          <w:trHeight w:val="340"/>
        </w:trPr>
        <w:tc>
          <w:tcPr>
            <w:tcW w:w="3114" w:type="dxa"/>
            <w:vAlign w:val="center"/>
            <w:hideMark/>
          </w:tcPr>
          <w:p w14:paraId="1135FBE9" w14:textId="77777777" w:rsidR="00A83D4D" w:rsidRPr="00617A89" w:rsidRDefault="00A83D4D" w:rsidP="00A83D4D">
            <w:pPr>
              <w:keepNext/>
              <w:rPr>
                <w:rFonts w:eastAsia="Times New Roman" w:cs="Arial"/>
                <w:color w:val="000000" w:themeColor="text1"/>
                <w:sz w:val="18"/>
                <w:lang w:eastAsia="en-AU"/>
              </w:rPr>
            </w:pPr>
            <w:r w:rsidRPr="00617A89">
              <w:rPr>
                <w:rFonts w:eastAsia="Times New Roman" w:cs="Arial"/>
                <w:b/>
                <w:bCs/>
                <w:color w:val="000000" w:themeColor="text1"/>
                <w:sz w:val="18"/>
                <w:lang w:val="en-GB" w:eastAsia="en-AU"/>
              </w:rPr>
              <w:t>Full-time employment rate (%)</w:t>
            </w:r>
          </w:p>
        </w:tc>
        <w:tc>
          <w:tcPr>
            <w:tcW w:w="1630" w:type="dxa"/>
            <w:noWrap/>
            <w:vAlign w:val="center"/>
            <w:hideMark/>
          </w:tcPr>
          <w:p w14:paraId="5F0DE03A" w14:textId="0D020074" w:rsidR="00A83D4D" w:rsidRPr="00617A89" w:rsidRDefault="00A83D4D" w:rsidP="00A83D4D">
            <w:pPr>
              <w:keepNext/>
              <w:jc w:val="center"/>
              <w:rPr>
                <w:rFonts w:cs="Arial"/>
                <w:color w:val="000000" w:themeColor="text1"/>
                <w:sz w:val="18"/>
              </w:rPr>
            </w:pPr>
            <w:r w:rsidRPr="00617A89">
              <w:rPr>
                <w:rFonts w:cs="Arial"/>
                <w:color w:val="000000" w:themeColor="text1"/>
                <w:sz w:val="18"/>
              </w:rPr>
              <w:t>89.5</w:t>
            </w:r>
          </w:p>
        </w:tc>
        <w:tc>
          <w:tcPr>
            <w:tcW w:w="1630" w:type="dxa"/>
            <w:noWrap/>
            <w:vAlign w:val="center"/>
            <w:hideMark/>
          </w:tcPr>
          <w:p w14:paraId="325FEEF5" w14:textId="1D9116C3" w:rsidR="00A83D4D" w:rsidRPr="00617A89" w:rsidRDefault="00A83D4D" w:rsidP="00A83D4D">
            <w:pPr>
              <w:keepNext/>
              <w:jc w:val="center"/>
              <w:rPr>
                <w:rFonts w:cs="Arial"/>
                <w:color w:val="000000" w:themeColor="text1"/>
                <w:sz w:val="18"/>
              </w:rPr>
            </w:pPr>
            <w:r w:rsidRPr="00617A89">
              <w:rPr>
                <w:rFonts w:cs="Arial"/>
                <w:color w:val="000000" w:themeColor="text1"/>
                <w:sz w:val="18"/>
              </w:rPr>
              <w:t>61.4</w:t>
            </w:r>
          </w:p>
        </w:tc>
        <w:tc>
          <w:tcPr>
            <w:tcW w:w="1630" w:type="dxa"/>
            <w:noWrap/>
            <w:vAlign w:val="center"/>
            <w:hideMark/>
          </w:tcPr>
          <w:p w14:paraId="255EF756" w14:textId="71F9A648" w:rsidR="00A83D4D" w:rsidRPr="00617A89" w:rsidRDefault="00A83D4D" w:rsidP="00A83D4D">
            <w:pPr>
              <w:keepNext/>
              <w:jc w:val="center"/>
              <w:rPr>
                <w:rFonts w:cs="Arial"/>
                <w:color w:val="000000" w:themeColor="text1"/>
                <w:sz w:val="18"/>
              </w:rPr>
            </w:pPr>
            <w:r w:rsidRPr="00617A89">
              <w:rPr>
                <w:rFonts w:cs="Arial"/>
                <w:color w:val="000000" w:themeColor="text1"/>
                <w:sz w:val="18"/>
              </w:rPr>
              <w:t>95.4</w:t>
            </w:r>
          </w:p>
        </w:tc>
        <w:tc>
          <w:tcPr>
            <w:tcW w:w="1630" w:type="dxa"/>
            <w:noWrap/>
            <w:vAlign w:val="center"/>
            <w:hideMark/>
          </w:tcPr>
          <w:p w14:paraId="474358E9" w14:textId="216ED19E" w:rsidR="00A83D4D" w:rsidRPr="00617A89" w:rsidRDefault="00A83D4D" w:rsidP="00A83D4D">
            <w:pPr>
              <w:keepNext/>
              <w:jc w:val="center"/>
              <w:rPr>
                <w:rFonts w:cs="Arial"/>
                <w:color w:val="000000" w:themeColor="text1"/>
                <w:sz w:val="18"/>
              </w:rPr>
            </w:pPr>
            <w:r w:rsidRPr="00617A89">
              <w:rPr>
                <w:rFonts w:cs="Arial"/>
                <w:color w:val="000000" w:themeColor="text1"/>
                <w:sz w:val="18"/>
              </w:rPr>
              <w:t>88.1</w:t>
            </w:r>
          </w:p>
        </w:tc>
      </w:tr>
      <w:tr w:rsidR="00C22852" w:rsidRPr="00617A89" w14:paraId="792F597C" w14:textId="77777777" w:rsidTr="00F8207A">
        <w:trPr>
          <w:trHeight w:val="340"/>
        </w:trPr>
        <w:tc>
          <w:tcPr>
            <w:tcW w:w="3114" w:type="dxa"/>
            <w:vAlign w:val="center"/>
            <w:hideMark/>
          </w:tcPr>
          <w:p w14:paraId="67B443D8" w14:textId="77777777" w:rsidR="00A83D4D" w:rsidRPr="00617A89" w:rsidRDefault="00A83D4D" w:rsidP="00A83D4D">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Median annual full-time salary ($)</w:t>
            </w:r>
          </w:p>
        </w:tc>
        <w:tc>
          <w:tcPr>
            <w:tcW w:w="1630" w:type="dxa"/>
            <w:noWrap/>
            <w:vAlign w:val="center"/>
            <w:hideMark/>
          </w:tcPr>
          <w:p w14:paraId="099BA7BD" w14:textId="6204C1B8" w:rsidR="00A83D4D" w:rsidRPr="00617A89" w:rsidRDefault="00A83D4D" w:rsidP="00A83D4D">
            <w:pPr>
              <w:keepNext/>
              <w:jc w:val="center"/>
              <w:rPr>
                <w:rFonts w:cs="Arial"/>
                <w:color w:val="000000" w:themeColor="text1"/>
                <w:sz w:val="18"/>
              </w:rPr>
            </w:pPr>
            <w:r w:rsidRPr="00617A89">
              <w:rPr>
                <w:rFonts w:cs="Arial"/>
                <w:color w:val="000000" w:themeColor="text1"/>
                <w:sz w:val="18"/>
              </w:rPr>
              <w:t>91,300</w:t>
            </w:r>
          </w:p>
        </w:tc>
        <w:tc>
          <w:tcPr>
            <w:tcW w:w="1630" w:type="dxa"/>
            <w:noWrap/>
            <w:vAlign w:val="center"/>
            <w:hideMark/>
          </w:tcPr>
          <w:p w14:paraId="337EB136" w14:textId="73330C6C" w:rsidR="00A83D4D" w:rsidRPr="00617A89" w:rsidRDefault="00A83D4D" w:rsidP="00A83D4D">
            <w:pPr>
              <w:keepNext/>
              <w:jc w:val="center"/>
              <w:rPr>
                <w:rFonts w:cs="Arial"/>
                <w:color w:val="000000" w:themeColor="text1"/>
                <w:sz w:val="18"/>
              </w:rPr>
            </w:pPr>
            <w:r w:rsidRPr="00617A89">
              <w:rPr>
                <w:rFonts w:cs="Arial"/>
                <w:color w:val="000000" w:themeColor="text1"/>
                <w:sz w:val="18"/>
              </w:rPr>
              <w:t>62,600</w:t>
            </w:r>
          </w:p>
        </w:tc>
        <w:tc>
          <w:tcPr>
            <w:tcW w:w="1630" w:type="dxa"/>
            <w:noWrap/>
            <w:vAlign w:val="center"/>
            <w:hideMark/>
          </w:tcPr>
          <w:p w14:paraId="1E613D42" w14:textId="5C3B4C21" w:rsidR="00A83D4D" w:rsidRPr="00617A89" w:rsidRDefault="00A83D4D" w:rsidP="00A83D4D">
            <w:pPr>
              <w:keepNext/>
              <w:jc w:val="center"/>
              <w:rPr>
                <w:rFonts w:cs="Arial"/>
                <w:color w:val="000000" w:themeColor="text1"/>
                <w:sz w:val="18"/>
              </w:rPr>
            </w:pPr>
            <w:r w:rsidRPr="00617A89">
              <w:rPr>
                <w:rFonts w:cs="Arial"/>
                <w:color w:val="000000" w:themeColor="text1"/>
                <w:sz w:val="18"/>
              </w:rPr>
              <w:t>116,000</w:t>
            </w:r>
          </w:p>
        </w:tc>
        <w:tc>
          <w:tcPr>
            <w:tcW w:w="1630" w:type="dxa"/>
            <w:noWrap/>
            <w:vAlign w:val="center"/>
            <w:hideMark/>
          </w:tcPr>
          <w:p w14:paraId="1377E23F" w14:textId="7C0B0F31" w:rsidR="00A83D4D" w:rsidRPr="00617A89" w:rsidRDefault="00A83D4D" w:rsidP="00A83D4D">
            <w:pPr>
              <w:keepNext/>
              <w:jc w:val="center"/>
              <w:rPr>
                <w:rFonts w:cs="Arial"/>
                <w:color w:val="000000" w:themeColor="text1"/>
                <w:sz w:val="18"/>
              </w:rPr>
            </w:pPr>
            <w:r w:rsidRPr="00617A89">
              <w:rPr>
                <w:rFonts w:cs="Arial"/>
                <w:color w:val="000000" w:themeColor="text1"/>
                <w:sz w:val="18"/>
              </w:rPr>
              <w:t>85,000</w:t>
            </w:r>
          </w:p>
        </w:tc>
      </w:tr>
      <w:tr w:rsidR="00C22852" w:rsidRPr="00617A89" w14:paraId="71C4673D" w14:textId="77777777" w:rsidTr="00F8207A">
        <w:trPr>
          <w:trHeight w:val="340"/>
        </w:trPr>
        <w:tc>
          <w:tcPr>
            <w:tcW w:w="3114" w:type="dxa"/>
            <w:vAlign w:val="center"/>
          </w:tcPr>
          <w:p w14:paraId="2888D8A5" w14:textId="77777777" w:rsidR="00A83D4D" w:rsidRPr="00617A89" w:rsidRDefault="00A83D4D" w:rsidP="00A83D4D">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In further full-time study (%)</w:t>
            </w:r>
          </w:p>
        </w:tc>
        <w:tc>
          <w:tcPr>
            <w:tcW w:w="1630" w:type="dxa"/>
            <w:noWrap/>
            <w:vAlign w:val="center"/>
          </w:tcPr>
          <w:p w14:paraId="24EBE951" w14:textId="341DAFBD" w:rsidR="00A83D4D" w:rsidRPr="00617A89" w:rsidRDefault="00A83D4D" w:rsidP="00A83D4D">
            <w:pPr>
              <w:keepNext/>
              <w:jc w:val="center"/>
              <w:rPr>
                <w:rFonts w:cs="Arial"/>
                <w:color w:val="000000" w:themeColor="text1"/>
                <w:sz w:val="18"/>
              </w:rPr>
            </w:pPr>
            <w:r w:rsidRPr="00617A89">
              <w:rPr>
                <w:rFonts w:cs="Arial"/>
                <w:color w:val="000000" w:themeColor="text1"/>
                <w:sz w:val="18"/>
              </w:rPr>
              <w:t>6.8</w:t>
            </w:r>
          </w:p>
        </w:tc>
        <w:tc>
          <w:tcPr>
            <w:tcW w:w="1630" w:type="dxa"/>
            <w:noWrap/>
            <w:vAlign w:val="center"/>
          </w:tcPr>
          <w:p w14:paraId="096284D2" w14:textId="794723E3" w:rsidR="00A83D4D" w:rsidRPr="00617A89" w:rsidRDefault="00A83D4D" w:rsidP="00A83D4D">
            <w:pPr>
              <w:keepNext/>
              <w:jc w:val="center"/>
              <w:rPr>
                <w:rFonts w:cs="Arial"/>
                <w:color w:val="000000" w:themeColor="text1"/>
                <w:sz w:val="18"/>
              </w:rPr>
            </w:pPr>
            <w:r w:rsidRPr="00617A89">
              <w:rPr>
                <w:rFonts w:cs="Arial"/>
                <w:color w:val="000000" w:themeColor="text1"/>
                <w:sz w:val="18"/>
              </w:rPr>
              <w:t>10.7</w:t>
            </w:r>
          </w:p>
        </w:tc>
        <w:tc>
          <w:tcPr>
            <w:tcW w:w="1630" w:type="dxa"/>
            <w:noWrap/>
            <w:vAlign w:val="center"/>
          </w:tcPr>
          <w:p w14:paraId="238E2F34" w14:textId="37795DE9" w:rsidR="00A83D4D" w:rsidRPr="00617A89" w:rsidRDefault="00A83D4D" w:rsidP="00A83D4D">
            <w:pPr>
              <w:keepNext/>
              <w:jc w:val="center"/>
              <w:rPr>
                <w:rFonts w:cs="Arial"/>
                <w:color w:val="000000" w:themeColor="text1"/>
                <w:sz w:val="18"/>
              </w:rPr>
            </w:pPr>
            <w:r w:rsidRPr="00617A89">
              <w:rPr>
                <w:rFonts w:cs="Arial"/>
                <w:color w:val="000000" w:themeColor="text1"/>
                <w:sz w:val="18"/>
              </w:rPr>
              <w:t>5.</w:t>
            </w:r>
            <w:r w:rsidR="00E67527" w:rsidRPr="00617A89">
              <w:rPr>
                <w:rFonts w:cs="Arial"/>
                <w:color w:val="000000" w:themeColor="text1"/>
                <w:sz w:val="18"/>
              </w:rPr>
              <w:t>0</w:t>
            </w:r>
          </w:p>
        </w:tc>
        <w:tc>
          <w:tcPr>
            <w:tcW w:w="1630" w:type="dxa"/>
            <w:noWrap/>
            <w:vAlign w:val="center"/>
          </w:tcPr>
          <w:p w14:paraId="20B5993C" w14:textId="36440158" w:rsidR="00A83D4D" w:rsidRPr="00617A89" w:rsidRDefault="00A83D4D" w:rsidP="00A83D4D">
            <w:pPr>
              <w:keepNext/>
              <w:jc w:val="center"/>
              <w:rPr>
                <w:rFonts w:cs="Arial"/>
                <w:color w:val="000000" w:themeColor="text1"/>
                <w:sz w:val="18"/>
              </w:rPr>
            </w:pPr>
            <w:r w:rsidRPr="00617A89">
              <w:rPr>
                <w:rFonts w:cs="Arial"/>
                <w:color w:val="000000" w:themeColor="text1"/>
                <w:sz w:val="18"/>
              </w:rPr>
              <w:t>1</w:t>
            </w:r>
            <w:r w:rsidR="00E67527" w:rsidRPr="00617A89">
              <w:rPr>
                <w:rFonts w:cs="Arial"/>
                <w:color w:val="000000" w:themeColor="text1"/>
                <w:sz w:val="18"/>
              </w:rPr>
              <w:t>1.7</w:t>
            </w:r>
          </w:p>
        </w:tc>
      </w:tr>
    </w:tbl>
    <w:p w14:paraId="21C13869" w14:textId="77777777" w:rsidR="00E6219B" w:rsidRPr="00617A89" w:rsidRDefault="00E6219B" w:rsidP="0047579F">
      <w:pPr>
        <w:pStyle w:val="Body"/>
        <w:rPr>
          <w:color w:val="000000" w:themeColor="text1"/>
          <w:sz w:val="18"/>
          <w:szCs w:val="18"/>
        </w:rPr>
      </w:pPr>
      <w:r w:rsidRPr="00617A89">
        <w:rPr>
          <w:color w:val="000000" w:themeColor="text1"/>
          <w:sz w:val="18"/>
          <w:szCs w:val="18"/>
        </w:rPr>
        <w:t xml:space="preserve">Note: Medium-term full-time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color w:val="000000" w:themeColor="text1"/>
          <w:sz w:val="18"/>
          <w:szCs w:val="18"/>
        </w:rPr>
        <w:t>Appendix 1</w:t>
      </w:r>
      <w:r w:rsidRPr="00617A89">
        <w:rPr>
          <w:color w:val="000000" w:themeColor="text1"/>
          <w:sz w:val="18"/>
          <w:szCs w:val="18"/>
        </w:rPr>
        <w:t xml:space="preserve"> for further information.</w:t>
      </w:r>
    </w:p>
    <w:p w14:paraId="7F3B80DF" w14:textId="1F03B3E3" w:rsidR="001C4C91" w:rsidRPr="00617A89" w:rsidRDefault="001C4C91" w:rsidP="0047579F">
      <w:pPr>
        <w:pStyle w:val="Body"/>
        <w:rPr>
          <w:color w:val="000000" w:themeColor="text1"/>
        </w:rPr>
      </w:pPr>
      <w:r w:rsidRPr="00617A89">
        <w:rPr>
          <w:color w:val="000000" w:themeColor="text1"/>
        </w:rPr>
        <w:t>There was less variation in employment outcomes at the postgraduate research level</w:t>
      </w:r>
      <w:r w:rsidR="00E6219B" w:rsidRPr="00617A89">
        <w:rPr>
          <w:color w:val="000000" w:themeColor="text1"/>
        </w:rPr>
        <w:t xml:space="preserve"> (</w:t>
      </w:r>
      <w:r w:rsidR="00E6219B" w:rsidRPr="00617A89">
        <w:rPr>
          <w:b/>
          <w:bCs/>
          <w:color w:val="000000" w:themeColor="text1"/>
        </w:rPr>
        <w:t>Table vi</w:t>
      </w:r>
      <w:r w:rsidR="00E6219B" w:rsidRPr="00617A89">
        <w:rPr>
          <w:color w:val="000000" w:themeColor="text1"/>
        </w:rPr>
        <w:t>)</w:t>
      </w:r>
      <w:r w:rsidRPr="00617A89">
        <w:rPr>
          <w:color w:val="000000" w:themeColor="text1"/>
        </w:rPr>
        <w:t>. However, international graduates earned less than domestic graduates in the short-term and this gap persisted into the medium-term. Both cohorts were employed in managerial or professional occupations</w:t>
      </w:r>
      <w:r w:rsidR="00C40374" w:rsidRPr="00617A89">
        <w:rPr>
          <w:color w:val="000000" w:themeColor="text1"/>
        </w:rPr>
        <w:t>, suggesting that other factors may be influencing the differences in median salaries.</w:t>
      </w:r>
    </w:p>
    <w:p w14:paraId="14C9B509" w14:textId="1C361C3E" w:rsidR="006C62A9" w:rsidRPr="00617A89" w:rsidRDefault="00E6219B" w:rsidP="006C62A9">
      <w:pPr>
        <w:pStyle w:val="Caption"/>
        <w:rPr>
          <w:color w:val="000000" w:themeColor="text1"/>
        </w:rPr>
      </w:pPr>
      <w:r w:rsidRPr="00617A89">
        <w:rPr>
          <w:color w:val="000000" w:themeColor="text1"/>
        </w:rPr>
        <w:t xml:space="preserve">Table vi - </w:t>
      </w:r>
      <w:r w:rsidR="006C62A9" w:rsidRPr="00617A89">
        <w:rPr>
          <w:color w:val="000000" w:themeColor="text1"/>
        </w:rPr>
        <w:t>Postgraduate research labour market indicators by citizenship status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630"/>
        <w:gridCol w:w="1630"/>
        <w:gridCol w:w="1630"/>
        <w:gridCol w:w="1630"/>
      </w:tblGrid>
      <w:tr w:rsidR="00C22852" w:rsidRPr="00617A89" w14:paraId="2FF03EE3" w14:textId="77777777" w:rsidTr="00F8207A">
        <w:trPr>
          <w:trHeight w:val="278"/>
          <w:tblHeader/>
        </w:trPr>
        <w:tc>
          <w:tcPr>
            <w:tcW w:w="3114" w:type="dxa"/>
            <w:vAlign w:val="bottom"/>
            <w:hideMark/>
          </w:tcPr>
          <w:p w14:paraId="15E516F0" w14:textId="77777777" w:rsidR="00F8207A" w:rsidRPr="00617A89" w:rsidRDefault="00F8207A" w:rsidP="00F8207A">
            <w:pPr>
              <w:keepNext/>
              <w:jc w:val="center"/>
              <w:rPr>
                <w:rFonts w:eastAsia="Times New Roman" w:cs="Arial"/>
                <w:b/>
                <w:bCs/>
                <w:color w:val="000000" w:themeColor="text1"/>
                <w:sz w:val="18"/>
                <w:lang w:eastAsia="en-AU"/>
              </w:rPr>
            </w:pPr>
          </w:p>
        </w:tc>
        <w:tc>
          <w:tcPr>
            <w:tcW w:w="1630" w:type="dxa"/>
            <w:noWrap/>
            <w:vAlign w:val="center"/>
            <w:hideMark/>
          </w:tcPr>
          <w:p w14:paraId="0887D151" w14:textId="77777777"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p>
          <w:p w14:paraId="10ADA213" w14:textId="5D75B49D"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0" w:type="dxa"/>
            <w:noWrap/>
            <w:vAlign w:val="center"/>
            <w:hideMark/>
          </w:tcPr>
          <w:p w14:paraId="702F5ECF" w14:textId="7BC4A4F1"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Short-term (2022) International</w:t>
            </w:r>
          </w:p>
        </w:tc>
        <w:tc>
          <w:tcPr>
            <w:tcW w:w="1630" w:type="dxa"/>
            <w:noWrap/>
            <w:vAlign w:val="center"/>
            <w:hideMark/>
          </w:tcPr>
          <w:p w14:paraId="7E0FBC1D" w14:textId="77777777"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p>
          <w:p w14:paraId="645515F8" w14:textId="3CB0A1D1"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0" w:type="dxa"/>
            <w:noWrap/>
            <w:vAlign w:val="center"/>
            <w:hideMark/>
          </w:tcPr>
          <w:p w14:paraId="2F38C527" w14:textId="336E4C89" w:rsidR="00F8207A" w:rsidRPr="00617A89" w:rsidRDefault="00F8207A" w:rsidP="00F8207A">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Medium-term (2025) International</w:t>
            </w:r>
          </w:p>
        </w:tc>
      </w:tr>
      <w:tr w:rsidR="00C22852" w:rsidRPr="00617A89" w14:paraId="074FEAF3" w14:textId="77777777" w:rsidTr="00F8207A">
        <w:trPr>
          <w:trHeight w:val="340"/>
        </w:trPr>
        <w:tc>
          <w:tcPr>
            <w:tcW w:w="3114" w:type="dxa"/>
            <w:vAlign w:val="center"/>
            <w:hideMark/>
          </w:tcPr>
          <w:p w14:paraId="2EA95C83" w14:textId="77777777" w:rsidR="00A83D4D" w:rsidRPr="00617A89" w:rsidRDefault="00A83D4D" w:rsidP="00A83D4D">
            <w:pPr>
              <w:keepNext/>
              <w:rPr>
                <w:rFonts w:eastAsia="Times New Roman" w:cs="Arial"/>
                <w:color w:val="000000" w:themeColor="text1"/>
                <w:sz w:val="18"/>
                <w:lang w:eastAsia="en-AU"/>
              </w:rPr>
            </w:pPr>
            <w:r w:rsidRPr="00617A89">
              <w:rPr>
                <w:rFonts w:eastAsia="Times New Roman" w:cs="Arial"/>
                <w:b/>
                <w:bCs/>
                <w:color w:val="000000" w:themeColor="text1"/>
                <w:sz w:val="18"/>
                <w:lang w:val="en-GB" w:eastAsia="en-AU"/>
              </w:rPr>
              <w:t>Full-time employment rate (%)</w:t>
            </w:r>
          </w:p>
        </w:tc>
        <w:tc>
          <w:tcPr>
            <w:tcW w:w="1630" w:type="dxa"/>
            <w:noWrap/>
            <w:vAlign w:val="center"/>
            <w:hideMark/>
          </w:tcPr>
          <w:p w14:paraId="324EE375" w14:textId="7B8BFD3C"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84.9</w:t>
            </w:r>
          </w:p>
        </w:tc>
        <w:tc>
          <w:tcPr>
            <w:tcW w:w="1630" w:type="dxa"/>
            <w:noWrap/>
            <w:vAlign w:val="center"/>
            <w:hideMark/>
          </w:tcPr>
          <w:p w14:paraId="1778DF7D" w14:textId="5356DDFC"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75.9</w:t>
            </w:r>
          </w:p>
        </w:tc>
        <w:tc>
          <w:tcPr>
            <w:tcW w:w="1630" w:type="dxa"/>
            <w:noWrap/>
            <w:vAlign w:val="center"/>
            <w:hideMark/>
          </w:tcPr>
          <w:p w14:paraId="13228C0A" w14:textId="74FDC08E"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93.7</w:t>
            </w:r>
          </w:p>
        </w:tc>
        <w:tc>
          <w:tcPr>
            <w:tcW w:w="1630" w:type="dxa"/>
            <w:noWrap/>
            <w:vAlign w:val="center"/>
            <w:hideMark/>
          </w:tcPr>
          <w:p w14:paraId="2F631601" w14:textId="7C252495"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90.7</w:t>
            </w:r>
          </w:p>
        </w:tc>
      </w:tr>
      <w:tr w:rsidR="00C22852" w:rsidRPr="00617A89" w14:paraId="525C33A1" w14:textId="77777777" w:rsidTr="00F8207A">
        <w:trPr>
          <w:trHeight w:val="340"/>
        </w:trPr>
        <w:tc>
          <w:tcPr>
            <w:tcW w:w="3114" w:type="dxa"/>
            <w:vAlign w:val="center"/>
            <w:hideMark/>
          </w:tcPr>
          <w:p w14:paraId="1FF523CD" w14:textId="77777777" w:rsidR="00A83D4D" w:rsidRPr="00617A89" w:rsidRDefault="00A83D4D" w:rsidP="00A83D4D">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Median annual full-time salary ($)</w:t>
            </w:r>
          </w:p>
        </w:tc>
        <w:tc>
          <w:tcPr>
            <w:tcW w:w="1630" w:type="dxa"/>
            <w:noWrap/>
            <w:vAlign w:val="center"/>
            <w:hideMark/>
          </w:tcPr>
          <w:p w14:paraId="1A6B39CE" w14:textId="743E8C8E"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97,000</w:t>
            </w:r>
          </w:p>
        </w:tc>
        <w:tc>
          <w:tcPr>
            <w:tcW w:w="1630" w:type="dxa"/>
            <w:noWrap/>
            <w:vAlign w:val="center"/>
            <w:hideMark/>
          </w:tcPr>
          <w:p w14:paraId="1E954E82" w14:textId="70C98EEC"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89,000</w:t>
            </w:r>
          </w:p>
        </w:tc>
        <w:tc>
          <w:tcPr>
            <w:tcW w:w="1630" w:type="dxa"/>
            <w:noWrap/>
            <w:vAlign w:val="center"/>
            <w:hideMark/>
          </w:tcPr>
          <w:p w14:paraId="60F18D51" w14:textId="74F24F2D"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120,000</w:t>
            </w:r>
          </w:p>
        </w:tc>
        <w:tc>
          <w:tcPr>
            <w:tcW w:w="1630" w:type="dxa"/>
            <w:noWrap/>
            <w:vAlign w:val="center"/>
            <w:hideMark/>
          </w:tcPr>
          <w:p w14:paraId="2DC75031" w14:textId="02B9B227"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110,000</w:t>
            </w:r>
          </w:p>
        </w:tc>
      </w:tr>
      <w:tr w:rsidR="00C22852" w:rsidRPr="00617A89" w14:paraId="0E365462" w14:textId="77777777" w:rsidTr="00F8207A">
        <w:trPr>
          <w:trHeight w:val="340"/>
        </w:trPr>
        <w:tc>
          <w:tcPr>
            <w:tcW w:w="3114" w:type="dxa"/>
            <w:vAlign w:val="center"/>
          </w:tcPr>
          <w:p w14:paraId="36357A6F" w14:textId="77777777" w:rsidR="00A83D4D" w:rsidRPr="00617A89" w:rsidRDefault="00A83D4D" w:rsidP="00A83D4D">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In further full-time study (%)</w:t>
            </w:r>
          </w:p>
        </w:tc>
        <w:tc>
          <w:tcPr>
            <w:tcW w:w="1630" w:type="dxa"/>
            <w:noWrap/>
            <w:vAlign w:val="center"/>
          </w:tcPr>
          <w:p w14:paraId="3CA6D116" w14:textId="619CB66D"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5.</w:t>
            </w:r>
            <w:r w:rsidR="00E67527" w:rsidRPr="00617A89">
              <w:rPr>
                <w:rFonts w:cs="Arial"/>
                <w:color w:val="000000" w:themeColor="text1"/>
                <w:sz w:val="18"/>
              </w:rPr>
              <w:t>7</w:t>
            </w:r>
          </w:p>
        </w:tc>
        <w:tc>
          <w:tcPr>
            <w:tcW w:w="1630" w:type="dxa"/>
            <w:noWrap/>
            <w:vAlign w:val="center"/>
          </w:tcPr>
          <w:p w14:paraId="66B00DE2" w14:textId="7D168434" w:rsidR="00A83D4D" w:rsidRPr="00617A89" w:rsidRDefault="00E67527" w:rsidP="00A83D4D">
            <w:pPr>
              <w:keepNext/>
              <w:jc w:val="center"/>
              <w:rPr>
                <w:rFonts w:eastAsia="Times New Roman" w:cs="Arial"/>
                <w:color w:val="000000" w:themeColor="text1"/>
                <w:sz w:val="18"/>
                <w:lang w:eastAsia="en-AU"/>
              </w:rPr>
            </w:pPr>
            <w:r w:rsidRPr="00617A89">
              <w:rPr>
                <w:rFonts w:cs="Arial"/>
                <w:color w:val="000000" w:themeColor="text1"/>
                <w:sz w:val="18"/>
              </w:rPr>
              <w:t>10.4</w:t>
            </w:r>
          </w:p>
        </w:tc>
        <w:tc>
          <w:tcPr>
            <w:tcW w:w="1630" w:type="dxa"/>
            <w:noWrap/>
            <w:vAlign w:val="center"/>
          </w:tcPr>
          <w:p w14:paraId="0B118F97" w14:textId="27BED937"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5.1</w:t>
            </w:r>
          </w:p>
        </w:tc>
        <w:tc>
          <w:tcPr>
            <w:tcW w:w="1630" w:type="dxa"/>
            <w:noWrap/>
            <w:vAlign w:val="center"/>
          </w:tcPr>
          <w:p w14:paraId="3BBE4A54" w14:textId="10F1B824" w:rsidR="00A83D4D" w:rsidRPr="00617A89" w:rsidRDefault="00A83D4D" w:rsidP="00A83D4D">
            <w:pPr>
              <w:keepNext/>
              <w:jc w:val="center"/>
              <w:rPr>
                <w:rFonts w:eastAsia="Times New Roman" w:cs="Arial"/>
                <w:color w:val="000000" w:themeColor="text1"/>
                <w:sz w:val="18"/>
                <w:lang w:eastAsia="en-AU"/>
              </w:rPr>
            </w:pPr>
            <w:r w:rsidRPr="00617A89">
              <w:rPr>
                <w:rFonts w:cs="Arial"/>
                <w:color w:val="000000" w:themeColor="text1"/>
                <w:sz w:val="18"/>
              </w:rPr>
              <w:t>7.0</w:t>
            </w:r>
          </w:p>
        </w:tc>
      </w:tr>
    </w:tbl>
    <w:p w14:paraId="502B7D6E" w14:textId="77777777" w:rsidR="00E6219B" w:rsidRPr="00617A89" w:rsidRDefault="00E6219B" w:rsidP="005A0EDE">
      <w:pPr>
        <w:pStyle w:val="Body"/>
        <w:rPr>
          <w:color w:val="000000" w:themeColor="text1"/>
          <w:sz w:val="18"/>
          <w:szCs w:val="18"/>
        </w:rPr>
      </w:pPr>
      <w:r w:rsidRPr="00617A89">
        <w:rPr>
          <w:color w:val="000000" w:themeColor="text1"/>
          <w:sz w:val="18"/>
          <w:szCs w:val="18"/>
        </w:rPr>
        <w:t xml:space="preserve">Note: Medium-term full-time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color w:val="000000" w:themeColor="text1"/>
          <w:sz w:val="18"/>
          <w:szCs w:val="18"/>
        </w:rPr>
        <w:t>Appendix 1</w:t>
      </w:r>
      <w:r w:rsidRPr="00617A89">
        <w:rPr>
          <w:color w:val="000000" w:themeColor="text1"/>
          <w:sz w:val="18"/>
          <w:szCs w:val="18"/>
        </w:rPr>
        <w:t xml:space="preserve"> for further information.</w:t>
      </w:r>
    </w:p>
    <w:p w14:paraId="01B44221" w14:textId="54A16EFB" w:rsidR="0047579F" w:rsidRPr="00617A89" w:rsidRDefault="00C40374" w:rsidP="005A0EDE">
      <w:pPr>
        <w:pStyle w:val="Body"/>
        <w:rPr>
          <w:color w:val="000000" w:themeColor="text1"/>
        </w:rPr>
      </w:pPr>
      <w:r w:rsidRPr="00617A89">
        <w:rPr>
          <w:color w:val="000000" w:themeColor="text1"/>
        </w:rPr>
        <w:t xml:space="preserve">Like domestic graduates, international graduates from </w:t>
      </w:r>
      <w:r w:rsidR="00DB79F5" w:rsidRPr="00617A89">
        <w:rPr>
          <w:color w:val="000000" w:themeColor="text1"/>
        </w:rPr>
        <w:t>vocationally</w:t>
      </w:r>
      <w:r w:rsidR="00777403" w:rsidRPr="00617A89">
        <w:rPr>
          <w:color w:val="000000" w:themeColor="text1"/>
        </w:rPr>
        <w:t>-</w:t>
      </w:r>
      <w:r w:rsidR="00DB79F5" w:rsidRPr="00617A89">
        <w:rPr>
          <w:color w:val="000000" w:themeColor="text1"/>
        </w:rPr>
        <w:t>oriented</w:t>
      </w:r>
      <w:r w:rsidRPr="00617A89">
        <w:rPr>
          <w:color w:val="000000" w:themeColor="text1"/>
        </w:rPr>
        <w:t xml:space="preserve"> study areas tended to have higher employment outcomes in the short-term. Full-time employment rates increased at higher rates relative to domestic graduates across most study areas, leading to a much closer average full-time employment rate in the medium-term.</w:t>
      </w:r>
    </w:p>
    <w:p w14:paraId="3D85548B" w14:textId="6B9D406A" w:rsidR="00C40374" w:rsidRPr="00617A89" w:rsidRDefault="00C40374" w:rsidP="00C40374">
      <w:pPr>
        <w:pStyle w:val="Body"/>
        <w:rPr>
          <w:color w:val="000000" w:themeColor="text1"/>
        </w:rPr>
      </w:pPr>
      <w:r w:rsidRPr="00617A89">
        <w:rPr>
          <w:color w:val="000000" w:themeColor="text1"/>
        </w:rPr>
        <w:t>Considerable variation in outcomes was observed across source countries</w:t>
      </w:r>
      <w:r w:rsidR="0063786C" w:rsidRPr="00617A89">
        <w:rPr>
          <w:color w:val="000000" w:themeColor="text1"/>
        </w:rPr>
        <w:t xml:space="preserve"> (</w:t>
      </w:r>
      <w:r w:rsidR="0063786C" w:rsidRPr="00617A89">
        <w:rPr>
          <w:b/>
          <w:bCs/>
          <w:color w:val="000000" w:themeColor="text1"/>
        </w:rPr>
        <w:t>Table v</w:t>
      </w:r>
      <w:r w:rsidR="0063786C" w:rsidRPr="00617A89">
        <w:rPr>
          <w:color w:val="000000" w:themeColor="text1"/>
        </w:rPr>
        <w:t>)</w:t>
      </w:r>
      <w:r w:rsidRPr="00617A89">
        <w:rPr>
          <w:color w:val="000000" w:themeColor="text1"/>
        </w:rPr>
        <w:t>. Undergraduates from China (excludes SARs and Taiwan)</w:t>
      </w:r>
      <w:r w:rsidR="006A1804" w:rsidRPr="00617A89">
        <w:rPr>
          <w:color w:val="000000" w:themeColor="text1"/>
        </w:rPr>
        <w:t xml:space="preserve"> had the lowest employment rates but the highest rate of further full-time study. The labour force participation rate for undergraduates from China (excludes SARs and Taiwan) was also relatively low, indicating less financial pressure to work while studying, or perhaps a preference to focus solely on their studies. </w:t>
      </w:r>
    </w:p>
    <w:p w14:paraId="2391F691" w14:textId="6B7EFB4E" w:rsidR="00DB79F5" w:rsidRPr="00617A89" w:rsidRDefault="006A1804" w:rsidP="00C40374">
      <w:pPr>
        <w:pStyle w:val="Body"/>
        <w:rPr>
          <w:color w:val="000000" w:themeColor="text1"/>
        </w:rPr>
      </w:pPr>
      <w:r w:rsidRPr="00617A89">
        <w:rPr>
          <w:color w:val="000000" w:themeColor="text1"/>
        </w:rPr>
        <w:t xml:space="preserve">Undergraduates from Nepal and India reported much lower rates of further full-time study and higher labour force participation rates. </w:t>
      </w:r>
      <w:r w:rsidR="0063786C" w:rsidRPr="00617A89">
        <w:rPr>
          <w:color w:val="000000" w:themeColor="text1"/>
        </w:rPr>
        <w:t>Despite this, undergraduates from Nepal had one of the lowest full-time employment rates and a relatively low further full-time study rate</w:t>
      </w:r>
      <w:r w:rsidRPr="00617A89">
        <w:rPr>
          <w:color w:val="000000" w:themeColor="text1"/>
        </w:rPr>
        <w:t>. However, this cohort did have high overall employment rates in the short- and medium-term, and above average further part-time study rates.</w:t>
      </w:r>
    </w:p>
    <w:p w14:paraId="350970E5" w14:textId="46706C10" w:rsidR="00537FE0" w:rsidRPr="00617A89" w:rsidRDefault="0063786C" w:rsidP="00537FE0">
      <w:pPr>
        <w:pStyle w:val="Caption"/>
        <w:rPr>
          <w:color w:val="000000" w:themeColor="text1"/>
        </w:rPr>
      </w:pPr>
      <w:r w:rsidRPr="00617A89">
        <w:rPr>
          <w:color w:val="000000" w:themeColor="text1"/>
        </w:rPr>
        <w:t xml:space="preserve">Table v - </w:t>
      </w:r>
      <w:r w:rsidR="00537FE0" w:rsidRPr="00617A89">
        <w:rPr>
          <w:color w:val="000000" w:themeColor="text1"/>
        </w:rPr>
        <w:t xml:space="preserve">International undergraduate labour market indicators by </w:t>
      </w:r>
      <w:r w:rsidR="008826F3" w:rsidRPr="00617A89">
        <w:rPr>
          <w:color w:val="000000" w:themeColor="text1"/>
        </w:rPr>
        <w:t>source country</w:t>
      </w:r>
    </w:p>
    <w:tbl>
      <w:tblPr>
        <w:tblW w:w="5343" w:type="pct"/>
        <w:tblInd w:w="-5" w:type="dxa"/>
        <w:tblLayout w:type="fixed"/>
        <w:tblCellMar>
          <w:left w:w="0" w:type="dxa"/>
          <w:right w:w="0" w:type="dxa"/>
        </w:tblCellMar>
        <w:tblLook w:val="0000" w:firstRow="0" w:lastRow="0" w:firstColumn="0" w:lastColumn="0" w:noHBand="0" w:noVBand="0"/>
      </w:tblPr>
      <w:tblGrid>
        <w:gridCol w:w="1991"/>
        <w:gridCol w:w="1038"/>
        <w:gridCol w:w="1037"/>
        <w:gridCol w:w="1037"/>
        <w:gridCol w:w="1037"/>
        <w:gridCol w:w="1037"/>
        <w:gridCol w:w="1037"/>
        <w:gridCol w:w="1037"/>
        <w:gridCol w:w="1037"/>
      </w:tblGrid>
      <w:tr w:rsidR="00C22852" w:rsidRPr="00617A89" w14:paraId="18C90849" w14:textId="77777777" w:rsidTr="0063786C">
        <w:trPr>
          <w:trHeight w:val="456"/>
          <w:tblHeader/>
        </w:trPr>
        <w:tc>
          <w:tcPr>
            <w:tcW w:w="967"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679ACC53" w14:textId="28447A25" w:rsidR="00F57289" w:rsidRPr="00617A89" w:rsidRDefault="00F8207A" w:rsidP="00F8207A">
            <w:pPr>
              <w:rPr>
                <w:rFonts w:cs="Arial"/>
                <w:b/>
                <w:color w:val="000000" w:themeColor="text1"/>
                <w:sz w:val="18"/>
              </w:rPr>
            </w:pPr>
            <w:r w:rsidRPr="00617A89">
              <w:rPr>
                <w:rFonts w:cs="Arial"/>
                <w:b/>
                <w:color w:val="000000" w:themeColor="text1"/>
                <w:sz w:val="18"/>
              </w:rPr>
              <w:t>Source country</w:t>
            </w:r>
          </w:p>
        </w:tc>
        <w:tc>
          <w:tcPr>
            <w:tcW w:w="504" w:type="pct"/>
            <w:tcBorders>
              <w:top w:val="single" w:sz="4" w:space="0" w:color="000000"/>
              <w:left w:val="single" w:sz="4" w:space="0" w:color="000000"/>
              <w:bottom w:val="single" w:sz="4" w:space="0" w:color="000000"/>
              <w:right w:val="single" w:sz="4" w:space="0" w:color="000000"/>
            </w:tcBorders>
            <w:vAlign w:val="bottom"/>
          </w:tcPr>
          <w:p w14:paraId="3F7ED07E"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Full-time</w:t>
            </w:r>
          </w:p>
          <w:p w14:paraId="389D8995" w14:textId="7F1136DB" w:rsidR="00F57289" w:rsidRPr="00617A89" w:rsidRDefault="00CD33FB" w:rsidP="00CD33FB">
            <w:pPr>
              <w:pStyle w:val="TablecolumnheadCENTRETABLES"/>
              <w:rPr>
                <w:rFonts w:ascii="Arial" w:hAnsi="Arial" w:cs="Arial"/>
                <w:b/>
                <w:color w:val="000000" w:themeColor="text1"/>
                <w:sz w:val="14"/>
                <w:szCs w:val="14"/>
              </w:rPr>
            </w:pPr>
            <w:r w:rsidRPr="00617A89">
              <w:rPr>
                <w:rFonts w:ascii="Arial" w:hAnsi="Arial" w:cs="Arial"/>
                <w:b/>
                <w:color w:val="000000" w:themeColor="text1"/>
                <w:sz w:val="18"/>
                <w:szCs w:val="18"/>
              </w:rPr>
              <w:t>employment rate (%</w:t>
            </w:r>
            <w:r w:rsidR="00F57289" w:rsidRPr="00617A89">
              <w:rPr>
                <w:rFonts w:ascii="Arial" w:hAnsi="Arial" w:cs="Arial"/>
                <w:b/>
                <w:color w:val="000000" w:themeColor="text1"/>
                <w:sz w:val="14"/>
                <w:szCs w:val="14"/>
              </w:rPr>
              <w:t>Short-term (2022)</w:t>
            </w:r>
          </w:p>
        </w:tc>
        <w:tc>
          <w:tcPr>
            <w:tcW w:w="504" w:type="pct"/>
            <w:tcBorders>
              <w:top w:val="single" w:sz="4" w:space="0" w:color="000000"/>
              <w:left w:val="single" w:sz="4" w:space="0" w:color="000000"/>
              <w:bottom w:val="single" w:sz="4" w:space="0" w:color="000000"/>
              <w:right w:val="single" w:sz="4" w:space="0" w:color="000000"/>
            </w:tcBorders>
            <w:vAlign w:val="bottom"/>
          </w:tcPr>
          <w:p w14:paraId="4EBE3B72"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Full-time</w:t>
            </w:r>
          </w:p>
          <w:p w14:paraId="0EB3F585" w14:textId="72FB7315" w:rsidR="00F57289" w:rsidRPr="00617A89" w:rsidRDefault="00CD33FB" w:rsidP="00CD33FB">
            <w:pPr>
              <w:pStyle w:val="TablecolumnheadCENTRETABLES"/>
              <w:rPr>
                <w:rFonts w:ascii="Arial" w:hAnsi="Arial" w:cs="Arial"/>
                <w:b/>
                <w:color w:val="000000" w:themeColor="text1"/>
                <w:sz w:val="14"/>
                <w:szCs w:val="14"/>
              </w:rPr>
            </w:pPr>
            <w:r w:rsidRPr="00617A89">
              <w:rPr>
                <w:rFonts w:ascii="Arial" w:hAnsi="Arial" w:cs="Arial"/>
                <w:b/>
                <w:color w:val="000000" w:themeColor="text1"/>
                <w:sz w:val="18"/>
                <w:szCs w:val="18"/>
              </w:rPr>
              <w:t>employment rate (%</w:t>
            </w:r>
            <w:r w:rsidR="00F57289" w:rsidRPr="00617A89">
              <w:rPr>
                <w:rFonts w:ascii="Arial" w:hAnsi="Arial" w:cs="Arial"/>
                <w:b/>
                <w:color w:val="000000" w:themeColor="text1"/>
                <w:sz w:val="14"/>
                <w:szCs w:val="14"/>
              </w:rPr>
              <w:t>Medium-term</w:t>
            </w:r>
          </w:p>
          <w:p w14:paraId="28DEA15F" w14:textId="77777777" w:rsidR="00F57289" w:rsidRPr="00617A89" w:rsidRDefault="00F57289"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4"/>
                <w:szCs w:val="14"/>
              </w:rPr>
              <w:t>(2025)</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8CA728" w14:textId="7527095D" w:rsidR="00F57289" w:rsidRPr="00617A89" w:rsidRDefault="00CD33FB"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8"/>
                <w:szCs w:val="18"/>
              </w:rPr>
              <w:t>Labour force participation rate (%)</w:t>
            </w:r>
            <w:r w:rsidR="00F57289" w:rsidRPr="00617A89">
              <w:rPr>
                <w:rFonts w:ascii="Arial" w:hAnsi="Arial" w:cs="Arial"/>
                <w:b/>
                <w:color w:val="000000" w:themeColor="text1"/>
                <w:sz w:val="14"/>
                <w:szCs w:val="14"/>
              </w:rPr>
              <w:t>Short-term (2022)</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F59B7F" w14:textId="7332BCA7" w:rsidR="00F57289" w:rsidRPr="00617A89" w:rsidRDefault="00CD33FB"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8"/>
                <w:szCs w:val="18"/>
              </w:rPr>
              <w:t>Labour force participation rate (%)</w:t>
            </w:r>
            <w:r w:rsidR="00F57289" w:rsidRPr="00617A89">
              <w:rPr>
                <w:rFonts w:ascii="Arial" w:hAnsi="Arial" w:cs="Arial"/>
                <w:b/>
                <w:color w:val="000000" w:themeColor="text1"/>
                <w:sz w:val="14"/>
                <w:szCs w:val="14"/>
              </w:rPr>
              <w:t>Medium-term</w:t>
            </w:r>
          </w:p>
          <w:p w14:paraId="495B3B8A" w14:textId="77777777" w:rsidR="00F57289" w:rsidRPr="00617A89" w:rsidRDefault="00F57289"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4"/>
                <w:szCs w:val="14"/>
              </w:rPr>
              <w:t>(2025)</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C080642" w14:textId="78C505A2" w:rsidR="00F57289" w:rsidRPr="00617A89" w:rsidRDefault="00CD33FB"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8"/>
                <w:szCs w:val="18"/>
              </w:rPr>
              <w:t xml:space="preserve">Median annual full-time salary ($) </w:t>
            </w:r>
            <w:r w:rsidR="00F57289" w:rsidRPr="00617A89">
              <w:rPr>
                <w:rFonts w:ascii="Arial" w:hAnsi="Arial" w:cs="Arial"/>
                <w:b/>
                <w:color w:val="000000" w:themeColor="text1"/>
                <w:sz w:val="14"/>
                <w:szCs w:val="14"/>
              </w:rPr>
              <w:t>Short-term (2022)</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AE4E5BE" w14:textId="34024B1D" w:rsidR="00F57289" w:rsidRPr="00617A89" w:rsidRDefault="00CD33FB"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8"/>
                <w:szCs w:val="18"/>
              </w:rPr>
              <w:t xml:space="preserve">Median annual full-time salary ($) </w:t>
            </w:r>
            <w:r w:rsidR="00F57289" w:rsidRPr="00617A89">
              <w:rPr>
                <w:rFonts w:ascii="Arial" w:hAnsi="Arial" w:cs="Arial"/>
                <w:b/>
                <w:color w:val="000000" w:themeColor="text1"/>
                <w:sz w:val="14"/>
                <w:szCs w:val="14"/>
              </w:rPr>
              <w:t>Medium-term</w:t>
            </w:r>
          </w:p>
          <w:p w14:paraId="6A4EAD12" w14:textId="77777777" w:rsidR="00F57289" w:rsidRPr="00617A89" w:rsidRDefault="00F57289"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4"/>
                <w:szCs w:val="14"/>
              </w:rPr>
              <w:t>(2025)</w:t>
            </w:r>
          </w:p>
        </w:tc>
        <w:tc>
          <w:tcPr>
            <w:tcW w:w="504" w:type="pct"/>
            <w:tcBorders>
              <w:top w:val="single" w:sz="4" w:space="0" w:color="000000"/>
              <w:left w:val="single" w:sz="4" w:space="0" w:color="000000"/>
              <w:bottom w:val="single" w:sz="4" w:space="0" w:color="000000"/>
              <w:right w:val="single" w:sz="4" w:space="0" w:color="000000"/>
            </w:tcBorders>
            <w:vAlign w:val="bottom"/>
          </w:tcPr>
          <w:p w14:paraId="67527FE7" w14:textId="2C2BF3AC" w:rsidR="00F57289" w:rsidRPr="00617A89" w:rsidRDefault="00CD33FB"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8"/>
                <w:szCs w:val="18"/>
              </w:rPr>
              <w:t xml:space="preserve">In further full-time study (%) </w:t>
            </w:r>
            <w:r w:rsidR="00F57289" w:rsidRPr="00617A89">
              <w:rPr>
                <w:rFonts w:ascii="Arial" w:hAnsi="Arial" w:cs="Arial"/>
                <w:b/>
                <w:color w:val="000000" w:themeColor="text1"/>
                <w:sz w:val="14"/>
                <w:szCs w:val="14"/>
              </w:rPr>
              <w:t>Short-term (2022)</w:t>
            </w:r>
          </w:p>
        </w:tc>
        <w:tc>
          <w:tcPr>
            <w:tcW w:w="504" w:type="pct"/>
            <w:tcBorders>
              <w:top w:val="single" w:sz="4" w:space="0" w:color="000000"/>
              <w:left w:val="single" w:sz="4" w:space="0" w:color="000000"/>
              <w:bottom w:val="single" w:sz="4" w:space="0" w:color="000000"/>
              <w:right w:val="single" w:sz="4" w:space="0" w:color="000000"/>
            </w:tcBorders>
            <w:vAlign w:val="bottom"/>
          </w:tcPr>
          <w:p w14:paraId="63019E20" w14:textId="61065C43" w:rsidR="00F57289" w:rsidRPr="00617A89" w:rsidRDefault="00CD33FB"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8"/>
                <w:szCs w:val="18"/>
              </w:rPr>
              <w:t xml:space="preserve">In further full-time study (%) </w:t>
            </w:r>
            <w:r w:rsidR="00F57289" w:rsidRPr="00617A89">
              <w:rPr>
                <w:rFonts w:ascii="Arial" w:hAnsi="Arial" w:cs="Arial"/>
                <w:b/>
                <w:color w:val="000000" w:themeColor="text1"/>
                <w:sz w:val="14"/>
                <w:szCs w:val="14"/>
              </w:rPr>
              <w:t>Medium-term</w:t>
            </w:r>
          </w:p>
          <w:p w14:paraId="501C3054" w14:textId="77777777" w:rsidR="00F57289" w:rsidRPr="00617A89" w:rsidRDefault="00F57289" w:rsidP="00F8207A">
            <w:pPr>
              <w:pStyle w:val="TablecolumnheadCENTRETABLES"/>
              <w:rPr>
                <w:rFonts w:ascii="Arial" w:hAnsi="Arial" w:cs="Arial"/>
                <w:b/>
                <w:color w:val="000000" w:themeColor="text1"/>
                <w:sz w:val="14"/>
                <w:szCs w:val="14"/>
              </w:rPr>
            </w:pPr>
            <w:r w:rsidRPr="00617A89">
              <w:rPr>
                <w:rFonts w:ascii="Arial" w:hAnsi="Arial" w:cs="Arial"/>
                <w:b/>
                <w:color w:val="000000" w:themeColor="text1"/>
                <w:sz w:val="14"/>
                <w:szCs w:val="14"/>
              </w:rPr>
              <w:t>(2025)</w:t>
            </w:r>
          </w:p>
        </w:tc>
      </w:tr>
      <w:tr w:rsidR="00C22852" w:rsidRPr="00617A89" w14:paraId="7DC8E3F1" w14:textId="77777777" w:rsidTr="0063786C">
        <w:trPr>
          <w:trHeight w:val="54"/>
        </w:trPr>
        <w:tc>
          <w:tcPr>
            <w:tcW w:w="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06CEA84" w14:textId="77777777" w:rsidR="00F57289" w:rsidRPr="00617A89" w:rsidRDefault="00F57289" w:rsidP="00ED7300">
            <w:pPr>
              <w:spacing w:before="85" w:line="288" w:lineRule="auto"/>
              <w:rPr>
                <w:rFonts w:cs="Arial"/>
                <w:color w:val="000000" w:themeColor="text1"/>
                <w:sz w:val="18"/>
                <w:szCs w:val="16"/>
              </w:rPr>
            </w:pPr>
            <w:r w:rsidRPr="00617A89">
              <w:rPr>
                <w:color w:val="000000" w:themeColor="text1"/>
                <w:sz w:val="18"/>
                <w:szCs w:val="16"/>
              </w:rPr>
              <w:t>China (excludes SARs and Taiwan)</w:t>
            </w:r>
          </w:p>
        </w:tc>
        <w:tc>
          <w:tcPr>
            <w:tcW w:w="504" w:type="pct"/>
            <w:tcBorders>
              <w:top w:val="single" w:sz="4" w:space="0" w:color="000000"/>
              <w:left w:val="single" w:sz="4" w:space="0" w:color="000000"/>
              <w:bottom w:val="single" w:sz="4" w:space="0" w:color="000000"/>
              <w:right w:val="single" w:sz="4" w:space="0" w:color="000000"/>
            </w:tcBorders>
          </w:tcPr>
          <w:p w14:paraId="2D6D90B0"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56.1</w:t>
            </w:r>
          </w:p>
        </w:tc>
        <w:tc>
          <w:tcPr>
            <w:tcW w:w="504" w:type="pct"/>
            <w:tcBorders>
              <w:top w:val="single" w:sz="4" w:space="0" w:color="000000"/>
              <w:left w:val="single" w:sz="4" w:space="0" w:color="000000"/>
              <w:bottom w:val="single" w:sz="4" w:space="0" w:color="000000"/>
              <w:right w:val="single" w:sz="4" w:space="0" w:color="000000"/>
            </w:tcBorders>
          </w:tcPr>
          <w:p w14:paraId="5F547565"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75.4</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672D56"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69.3</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4306CC"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82.3</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688FAE"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65,400</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D5D02AC"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76,900</w:t>
            </w:r>
          </w:p>
        </w:tc>
        <w:tc>
          <w:tcPr>
            <w:tcW w:w="504" w:type="pct"/>
            <w:tcBorders>
              <w:top w:val="single" w:sz="4" w:space="0" w:color="000000"/>
              <w:left w:val="single" w:sz="4" w:space="0" w:color="000000"/>
              <w:bottom w:val="single" w:sz="4" w:space="0" w:color="000000"/>
              <w:right w:val="single" w:sz="4" w:space="0" w:color="000000"/>
            </w:tcBorders>
            <w:vAlign w:val="bottom"/>
          </w:tcPr>
          <w:p w14:paraId="443C28B9"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51.8</w:t>
            </w:r>
          </w:p>
        </w:tc>
        <w:tc>
          <w:tcPr>
            <w:tcW w:w="504" w:type="pct"/>
            <w:tcBorders>
              <w:top w:val="single" w:sz="4" w:space="0" w:color="000000"/>
              <w:left w:val="single" w:sz="4" w:space="0" w:color="000000"/>
              <w:bottom w:val="single" w:sz="4" w:space="0" w:color="000000"/>
              <w:right w:val="single" w:sz="4" w:space="0" w:color="000000"/>
            </w:tcBorders>
            <w:vAlign w:val="bottom"/>
          </w:tcPr>
          <w:p w14:paraId="52F30970"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29.2</w:t>
            </w:r>
          </w:p>
        </w:tc>
      </w:tr>
      <w:tr w:rsidR="00C22852" w:rsidRPr="00617A89" w14:paraId="23498A60" w14:textId="77777777" w:rsidTr="0063786C">
        <w:trPr>
          <w:trHeight w:val="54"/>
        </w:trPr>
        <w:tc>
          <w:tcPr>
            <w:tcW w:w="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0FD70FE" w14:textId="77777777" w:rsidR="00F57289" w:rsidRPr="00617A89" w:rsidRDefault="00F57289" w:rsidP="00ED7300">
            <w:pPr>
              <w:spacing w:before="85" w:line="288" w:lineRule="auto"/>
              <w:rPr>
                <w:rFonts w:cs="Arial"/>
                <w:color w:val="000000" w:themeColor="text1"/>
                <w:sz w:val="18"/>
                <w:szCs w:val="16"/>
              </w:rPr>
            </w:pPr>
            <w:r w:rsidRPr="00617A89">
              <w:rPr>
                <w:color w:val="000000" w:themeColor="text1"/>
                <w:sz w:val="18"/>
                <w:szCs w:val="16"/>
              </w:rPr>
              <w:t>Nepal</w:t>
            </w:r>
          </w:p>
        </w:tc>
        <w:tc>
          <w:tcPr>
            <w:tcW w:w="504" w:type="pct"/>
            <w:tcBorders>
              <w:top w:val="single" w:sz="4" w:space="0" w:color="000000"/>
              <w:left w:val="single" w:sz="4" w:space="0" w:color="000000"/>
              <w:bottom w:val="single" w:sz="4" w:space="0" w:color="000000"/>
              <w:right w:val="single" w:sz="4" w:space="0" w:color="000000"/>
            </w:tcBorders>
          </w:tcPr>
          <w:p w14:paraId="35E4832F"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54.9</w:t>
            </w:r>
          </w:p>
        </w:tc>
        <w:tc>
          <w:tcPr>
            <w:tcW w:w="504" w:type="pct"/>
            <w:tcBorders>
              <w:top w:val="single" w:sz="4" w:space="0" w:color="000000"/>
              <w:left w:val="single" w:sz="4" w:space="0" w:color="000000"/>
              <w:bottom w:val="single" w:sz="4" w:space="0" w:color="000000"/>
              <w:right w:val="single" w:sz="4" w:space="0" w:color="000000"/>
            </w:tcBorders>
          </w:tcPr>
          <w:p w14:paraId="1A8983C9"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85.4</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7D65C76"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97.3</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5A5F48F"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91.7</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A3D5AF"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58,700</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497C35"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79,300</w:t>
            </w:r>
          </w:p>
        </w:tc>
        <w:tc>
          <w:tcPr>
            <w:tcW w:w="504" w:type="pct"/>
            <w:tcBorders>
              <w:top w:val="single" w:sz="4" w:space="0" w:color="000000"/>
              <w:left w:val="single" w:sz="4" w:space="0" w:color="000000"/>
              <w:bottom w:val="single" w:sz="4" w:space="0" w:color="000000"/>
              <w:right w:val="single" w:sz="4" w:space="0" w:color="000000"/>
            </w:tcBorders>
            <w:vAlign w:val="bottom"/>
          </w:tcPr>
          <w:p w14:paraId="302ECABB"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11.1</w:t>
            </w:r>
          </w:p>
        </w:tc>
        <w:tc>
          <w:tcPr>
            <w:tcW w:w="504" w:type="pct"/>
            <w:tcBorders>
              <w:top w:val="single" w:sz="4" w:space="0" w:color="000000"/>
              <w:left w:val="single" w:sz="4" w:space="0" w:color="000000"/>
              <w:bottom w:val="single" w:sz="4" w:space="0" w:color="000000"/>
              <w:right w:val="single" w:sz="4" w:space="0" w:color="000000"/>
            </w:tcBorders>
            <w:vAlign w:val="bottom"/>
          </w:tcPr>
          <w:p w14:paraId="0E243ABC"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14.0</w:t>
            </w:r>
          </w:p>
        </w:tc>
      </w:tr>
      <w:tr w:rsidR="00C22852" w:rsidRPr="00617A89" w14:paraId="7D640FD1" w14:textId="77777777" w:rsidTr="0063786C">
        <w:trPr>
          <w:trHeight w:val="54"/>
        </w:trPr>
        <w:tc>
          <w:tcPr>
            <w:tcW w:w="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7BA7D9D" w14:textId="328BA128" w:rsidR="00F8207A" w:rsidRPr="00617A89" w:rsidRDefault="00F57289" w:rsidP="00F8207A">
            <w:pPr>
              <w:spacing w:before="85" w:line="288" w:lineRule="auto"/>
              <w:rPr>
                <w:rFonts w:cs="Arial"/>
                <w:color w:val="000000" w:themeColor="text1"/>
                <w:sz w:val="18"/>
                <w:szCs w:val="16"/>
              </w:rPr>
            </w:pPr>
            <w:r w:rsidRPr="00617A89">
              <w:rPr>
                <w:color w:val="000000" w:themeColor="text1"/>
                <w:sz w:val="18"/>
                <w:szCs w:val="16"/>
              </w:rPr>
              <w:t>India</w:t>
            </w:r>
          </w:p>
        </w:tc>
        <w:tc>
          <w:tcPr>
            <w:tcW w:w="504" w:type="pct"/>
            <w:tcBorders>
              <w:top w:val="single" w:sz="4" w:space="0" w:color="000000"/>
              <w:left w:val="single" w:sz="4" w:space="0" w:color="000000"/>
              <w:bottom w:val="single" w:sz="4" w:space="0" w:color="000000"/>
              <w:right w:val="single" w:sz="4" w:space="0" w:color="000000"/>
            </w:tcBorders>
          </w:tcPr>
          <w:p w14:paraId="3871C168"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62.1</w:t>
            </w:r>
          </w:p>
        </w:tc>
        <w:tc>
          <w:tcPr>
            <w:tcW w:w="504" w:type="pct"/>
            <w:tcBorders>
              <w:top w:val="single" w:sz="4" w:space="0" w:color="000000"/>
              <w:left w:val="single" w:sz="4" w:space="0" w:color="000000"/>
              <w:bottom w:val="single" w:sz="4" w:space="0" w:color="000000"/>
              <w:right w:val="single" w:sz="4" w:space="0" w:color="000000"/>
            </w:tcBorders>
          </w:tcPr>
          <w:p w14:paraId="7F1596A8"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87.8</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742DF4"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96.0</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13B0D2" w14:textId="77777777" w:rsidR="00F57289" w:rsidRPr="00617A89" w:rsidRDefault="00F57289" w:rsidP="00ED7300">
            <w:pPr>
              <w:spacing w:before="85" w:line="288" w:lineRule="auto"/>
              <w:jc w:val="center"/>
              <w:rPr>
                <w:rFonts w:cs="Arial"/>
                <w:color w:val="000000" w:themeColor="text1"/>
                <w:sz w:val="18"/>
                <w:szCs w:val="16"/>
              </w:rPr>
            </w:pPr>
            <w:r w:rsidRPr="00617A89">
              <w:rPr>
                <w:rFonts w:cs="Arial"/>
                <w:color w:val="000000" w:themeColor="text1"/>
                <w:sz w:val="18"/>
                <w:szCs w:val="16"/>
              </w:rPr>
              <w:t>86.0</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73578F"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60,500</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F2D8AC"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84,500</w:t>
            </w:r>
          </w:p>
        </w:tc>
        <w:tc>
          <w:tcPr>
            <w:tcW w:w="504" w:type="pct"/>
            <w:tcBorders>
              <w:top w:val="single" w:sz="4" w:space="0" w:color="000000"/>
              <w:left w:val="single" w:sz="4" w:space="0" w:color="000000"/>
              <w:bottom w:val="single" w:sz="4" w:space="0" w:color="000000"/>
              <w:right w:val="single" w:sz="4" w:space="0" w:color="000000"/>
            </w:tcBorders>
            <w:vAlign w:val="bottom"/>
          </w:tcPr>
          <w:p w14:paraId="046F2285"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15.7</w:t>
            </w:r>
          </w:p>
        </w:tc>
        <w:tc>
          <w:tcPr>
            <w:tcW w:w="504" w:type="pct"/>
            <w:tcBorders>
              <w:top w:val="single" w:sz="4" w:space="0" w:color="000000"/>
              <w:left w:val="single" w:sz="4" w:space="0" w:color="000000"/>
              <w:bottom w:val="single" w:sz="4" w:space="0" w:color="000000"/>
              <w:right w:val="single" w:sz="4" w:space="0" w:color="000000"/>
            </w:tcBorders>
            <w:vAlign w:val="bottom"/>
          </w:tcPr>
          <w:p w14:paraId="368BE83D" w14:textId="77777777" w:rsidR="00F57289" w:rsidRPr="00617A89" w:rsidRDefault="00F57289" w:rsidP="00ED7300">
            <w:pPr>
              <w:spacing w:before="85" w:line="288" w:lineRule="auto"/>
              <w:jc w:val="center"/>
              <w:rPr>
                <w:rFonts w:cs="Arial"/>
                <w:color w:val="000000" w:themeColor="text1"/>
                <w:sz w:val="18"/>
              </w:rPr>
            </w:pPr>
            <w:r w:rsidRPr="00617A89">
              <w:rPr>
                <w:rFonts w:cs="Arial"/>
                <w:color w:val="000000" w:themeColor="text1"/>
                <w:sz w:val="18"/>
              </w:rPr>
              <w:t>12.1</w:t>
            </w:r>
          </w:p>
        </w:tc>
      </w:tr>
      <w:tr w:rsidR="00C22852" w:rsidRPr="00617A89" w14:paraId="530DE7A1" w14:textId="77777777" w:rsidTr="0063786C">
        <w:trPr>
          <w:trHeight w:val="122"/>
        </w:trPr>
        <w:tc>
          <w:tcPr>
            <w:tcW w:w="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2C999D0" w14:textId="77777777" w:rsidR="00F57289" w:rsidRPr="00617A89" w:rsidRDefault="00F57289" w:rsidP="00ED7300">
            <w:pPr>
              <w:spacing w:before="85" w:line="288" w:lineRule="auto"/>
              <w:rPr>
                <w:rFonts w:cs="Arial"/>
                <w:b/>
                <w:bCs/>
                <w:color w:val="000000" w:themeColor="text1"/>
                <w:sz w:val="18"/>
              </w:rPr>
            </w:pPr>
            <w:r w:rsidRPr="00617A89">
              <w:rPr>
                <w:rFonts w:cs="Arial"/>
                <w:b/>
                <w:bCs/>
                <w:color w:val="000000" w:themeColor="text1"/>
                <w:sz w:val="18"/>
              </w:rPr>
              <w:t>Total international</w:t>
            </w:r>
          </w:p>
        </w:tc>
        <w:tc>
          <w:tcPr>
            <w:tcW w:w="504" w:type="pct"/>
            <w:tcBorders>
              <w:top w:val="single" w:sz="4" w:space="0" w:color="000000"/>
              <w:left w:val="single" w:sz="4" w:space="0" w:color="000000"/>
              <w:bottom w:val="single" w:sz="4" w:space="0" w:color="000000"/>
              <w:right w:val="single" w:sz="4" w:space="0" w:color="000000"/>
            </w:tcBorders>
            <w:vAlign w:val="bottom"/>
          </w:tcPr>
          <w:p w14:paraId="2B1E850C" w14:textId="77777777" w:rsidR="00F57289" w:rsidRPr="00617A89" w:rsidRDefault="00F57289" w:rsidP="00ED7300">
            <w:pPr>
              <w:spacing w:before="85" w:line="288" w:lineRule="auto"/>
              <w:jc w:val="center"/>
              <w:rPr>
                <w:rFonts w:cs="Arial"/>
                <w:b/>
                <w:bCs/>
                <w:color w:val="000000" w:themeColor="text1"/>
                <w:sz w:val="18"/>
                <w:szCs w:val="16"/>
              </w:rPr>
            </w:pPr>
            <w:r w:rsidRPr="00617A89">
              <w:rPr>
                <w:rFonts w:cs="Arial"/>
                <w:b/>
                <w:bCs/>
                <w:color w:val="000000" w:themeColor="text1"/>
                <w:sz w:val="18"/>
                <w:szCs w:val="16"/>
              </w:rPr>
              <w:t>60.5</w:t>
            </w:r>
          </w:p>
        </w:tc>
        <w:tc>
          <w:tcPr>
            <w:tcW w:w="504" w:type="pct"/>
            <w:tcBorders>
              <w:top w:val="single" w:sz="4" w:space="0" w:color="000000"/>
              <w:left w:val="single" w:sz="4" w:space="0" w:color="000000"/>
              <w:bottom w:val="single" w:sz="4" w:space="0" w:color="000000"/>
              <w:right w:val="single" w:sz="4" w:space="0" w:color="000000"/>
            </w:tcBorders>
            <w:vAlign w:val="bottom"/>
          </w:tcPr>
          <w:p w14:paraId="4CE2F7F2" w14:textId="77777777" w:rsidR="00F57289" w:rsidRPr="00617A89" w:rsidRDefault="00F57289" w:rsidP="00ED7300">
            <w:pPr>
              <w:spacing w:before="85" w:line="288" w:lineRule="auto"/>
              <w:jc w:val="center"/>
              <w:rPr>
                <w:rFonts w:cs="Arial"/>
                <w:b/>
                <w:bCs/>
                <w:color w:val="000000" w:themeColor="text1"/>
                <w:sz w:val="18"/>
                <w:szCs w:val="16"/>
              </w:rPr>
            </w:pPr>
            <w:r w:rsidRPr="00617A89">
              <w:rPr>
                <w:rFonts w:cs="Arial"/>
                <w:b/>
                <w:bCs/>
                <w:color w:val="000000" w:themeColor="text1"/>
                <w:sz w:val="18"/>
                <w:szCs w:val="16"/>
              </w:rPr>
              <w:t>84.7</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C0099F" w14:textId="77777777" w:rsidR="00F57289" w:rsidRPr="00617A89" w:rsidRDefault="00F57289" w:rsidP="00ED7300">
            <w:pPr>
              <w:spacing w:before="85" w:line="288" w:lineRule="auto"/>
              <w:jc w:val="center"/>
              <w:rPr>
                <w:rFonts w:cs="Arial"/>
                <w:b/>
                <w:bCs/>
                <w:color w:val="000000" w:themeColor="text1"/>
                <w:sz w:val="18"/>
                <w:szCs w:val="16"/>
              </w:rPr>
            </w:pPr>
            <w:r w:rsidRPr="00617A89">
              <w:rPr>
                <w:rFonts w:cs="Arial"/>
                <w:b/>
                <w:bCs/>
                <w:color w:val="000000" w:themeColor="text1"/>
                <w:sz w:val="18"/>
                <w:szCs w:val="16"/>
              </w:rPr>
              <w:t>87.4</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13E0E07" w14:textId="77777777" w:rsidR="00F57289" w:rsidRPr="00617A89" w:rsidRDefault="00F57289" w:rsidP="00ED7300">
            <w:pPr>
              <w:spacing w:before="85" w:line="288" w:lineRule="auto"/>
              <w:jc w:val="center"/>
              <w:rPr>
                <w:rFonts w:cs="Arial"/>
                <w:b/>
                <w:bCs/>
                <w:color w:val="000000" w:themeColor="text1"/>
                <w:sz w:val="18"/>
                <w:szCs w:val="16"/>
              </w:rPr>
            </w:pPr>
            <w:r w:rsidRPr="00617A89">
              <w:rPr>
                <w:rFonts w:cs="Arial"/>
                <w:b/>
                <w:bCs/>
                <w:color w:val="000000" w:themeColor="text1"/>
                <w:sz w:val="18"/>
                <w:szCs w:val="16"/>
              </w:rPr>
              <w:t>87.1</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ACEBE7" w14:textId="77777777" w:rsidR="00F57289" w:rsidRPr="00617A89" w:rsidRDefault="00F57289" w:rsidP="00ED7300">
            <w:pPr>
              <w:spacing w:before="85" w:line="288" w:lineRule="auto"/>
              <w:jc w:val="center"/>
              <w:rPr>
                <w:rFonts w:cs="Arial"/>
                <w:b/>
                <w:bCs/>
                <w:color w:val="000000" w:themeColor="text1"/>
                <w:sz w:val="18"/>
              </w:rPr>
            </w:pPr>
            <w:r w:rsidRPr="00617A89">
              <w:rPr>
                <w:rFonts w:cs="Arial"/>
                <w:b/>
                <w:bCs/>
                <w:color w:val="000000" w:themeColor="text1"/>
                <w:sz w:val="18"/>
              </w:rPr>
              <w:t>62,000</w:t>
            </w:r>
          </w:p>
        </w:tc>
        <w:tc>
          <w:tcPr>
            <w:tcW w:w="50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E2A9B9" w14:textId="77777777" w:rsidR="00F57289" w:rsidRPr="00617A89" w:rsidRDefault="00F57289" w:rsidP="00ED7300">
            <w:pPr>
              <w:spacing w:before="85" w:line="288" w:lineRule="auto"/>
              <w:jc w:val="center"/>
              <w:rPr>
                <w:rFonts w:cs="Arial"/>
                <w:b/>
                <w:bCs/>
                <w:color w:val="000000" w:themeColor="text1"/>
                <w:sz w:val="18"/>
              </w:rPr>
            </w:pPr>
            <w:r w:rsidRPr="00617A89">
              <w:rPr>
                <w:rFonts w:cs="Arial"/>
                <w:b/>
                <w:bCs/>
                <w:color w:val="000000" w:themeColor="text1"/>
                <w:sz w:val="18"/>
              </w:rPr>
              <w:t>80,500</w:t>
            </w:r>
          </w:p>
        </w:tc>
        <w:tc>
          <w:tcPr>
            <w:tcW w:w="504" w:type="pct"/>
            <w:tcBorders>
              <w:top w:val="single" w:sz="4" w:space="0" w:color="000000"/>
              <w:left w:val="single" w:sz="4" w:space="0" w:color="000000"/>
              <w:bottom w:val="single" w:sz="4" w:space="0" w:color="000000"/>
              <w:right w:val="single" w:sz="4" w:space="0" w:color="000000"/>
            </w:tcBorders>
            <w:vAlign w:val="bottom"/>
          </w:tcPr>
          <w:p w14:paraId="2A960FE0" w14:textId="77777777" w:rsidR="00F57289" w:rsidRPr="00617A89" w:rsidRDefault="00F57289" w:rsidP="00ED7300">
            <w:pPr>
              <w:spacing w:before="85" w:line="288" w:lineRule="auto"/>
              <w:jc w:val="center"/>
              <w:rPr>
                <w:rFonts w:cs="Arial"/>
                <w:b/>
                <w:bCs/>
                <w:color w:val="000000" w:themeColor="text1"/>
                <w:sz w:val="18"/>
              </w:rPr>
            </w:pPr>
            <w:r w:rsidRPr="00617A89">
              <w:rPr>
                <w:rFonts w:cs="Arial"/>
                <w:b/>
                <w:bCs/>
                <w:color w:val="000000" w:themeColor="text1"/>
                <w:sz w:val="18"/>
              </w:rPr>
              <w:t>25.4</w:t>
            </w:r>
          </w:p>
        </w:tc>
        <w:tc>
          <w:tcPr>
            <w:tcW w:w="504" w:type="pct"/>
            <w:tcBorders>
              <w:top w:val="single" w:sz="4" w:space="0" w:color="000000"/>
              <w:left w:val="single" w:sz="4" w:space="0" w:color="000000"/>
              <w:bottom w:val="single" w:sz="4" w:space="0" w:color="000000"/>
              <w:right w:val="single" w:sz="4" w:space="0" w:color="000000"/>
            </w:tcBorders>
            <w:vAlign w:val="bottom"/>
          </w:tcPr>
          <w:p w14:paraId="59EBCCFB" w14:textId="77777777" w:rsidR="00F57289" w:rsidRPr="00617A89" w:rsidRDefault="00F57289" w:rsidP="00ED7300">
            <w:pPr>
              <w:spacing w:before="85" w:line="288" w:lineRule="auto"/>
              <w:jc w:val="center"/>
              <w:rPr>
                <w:rFonts w:cs="Arial"/>
                <w:b/>
                <w:bCs/>
                <w:color w:val="000000" w:themeColor="text1"/>
                <w:sz w:val="18"/>
              </w:rPr>
            </w:pPr>
            <w:r w:rsidRPr="00617A89">
              <w:rPr>
                <w:rFonts w:cs="Arial"/>
                <w:b/>
                <w:bCs/>
                <w:color w:val="000000" w:themeColor="text1"/>
                <w:sz w:val="18"/>
              </w:rPr>
              <w:t>17.8</w:t>
            </w:r>
          </w:p>
        </w:tc>
      </w:tr>
    </w:tbl>
    <w:p w14:paraId="09FE4985" w14:textId="088E9EAB" w:rsidR="00085412" w:rsidRPr="00617A89" w:rsidRDefault="0063786C" w:rsidP="00085412">
      <w:pPr>
        <w:pStyle w:val="Body"/>
        <w:rPr>
          <w:sz w:val="18"/>
          <w:szCs w:val="18"/>
        </w:rPr>
        <w:sectPr w:rsidR="00085412" w:rsidRPr="00617A89" w:rsidSect="00A01394">
          <w:headerReference w:type="even" r:id="rId32"/>
          <w:headerReference w:type="default" r:id="rId33"/>
          <w:footerReference w:type="even" r:id="rId34"/>
          <w:headerReference w:type="first" r:id="rId35"/>
          <w:footerReference w:type="first" r:id="rId36"/>
          <w:pgSz w:w="11906" w:h="16838" w:code="9"/>
          <w:pgMar w:top="1134" w:right="1134" w:bottom="1134" w:left="1134" w:header="567" w:footer="567" w:gutter="0"/>
          <w:pgNumType w:fmt="lowerRoman"/>
          <w:cols w:space="708"/>
          <w:docGrid w:linePitch="360"/>
        </w:sectPr>
      </w:pPr>
      <w:r w:rsidRPr="00617A89">
        <w:rPr>
          <w:sz w:val="18"/>
          <w:szCs w:val="18"/>
        </w:rPr>
        <w:t xml:space="preserve">Note: Medium-term labour force participation rates, and full-time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sz w:val="18"/>
          <w:szCs w:val="18"/>
        </w:rPr>
        <w:t>Appendix 1</w:t>
      </w:r>
      <w:r w:rsidRPr="00617A89">
        <w:rPr>
          <w:sz w:val="18"/>
          <w:szCs w:val="18"/>
        </w:rPr>
        <w:t xml:space="preserve"> for further information</w:t>
      </w:r>
      <w:r w:rsidR="00085412" w:rsidRPr="00617A89">
        <w:rPr>
          <w:sz w:val="18"/>
          <w:szCs w:val="18"/>
        </w:rPr>
        <w:t>.</w:t>
      </w:r>
    </w:p>
    <w:sdt>
      <w:sdtPr>
        <w:rPr>
          <w:color w:val="000000" w:themeColor="text1"/>
          <w:sz w:val="20"/>
          <w:szCs w:val="18"/>
        </w:rPr>
        <w:id w:val="-1765373527"/>
        <w:docPartObj>
          <w:docPartGallery w:val="Table of Contents"/>
          <w:docPartUnique/>
        </w:docPartObj>
      </w:sdtPr>
      <w:sdtEndPr>
        <w:rPr>
          <w:b/>
          <w:szCs w:val="20"/>
        </w:rPr>
      </w:sdtEndPr>
      <w:sdtContent>
        <w:p w14:paraId="1AF0841B" w14:textId="4816FF89" w:rsidR="006A1804" w:rsidRPr="00617A89" w:rsidRDefault="006A1804" w:rsidP="00F57289">
          <w:pPr>
            <w:pStyle w:val="TOCHeading"/>
            <w:numPr>
              <w:ilvl w:val="0"/>
              <w:numId w:val="0"/>
            </w:numPr>
            <w:rPr>
              <w:color w:val="000000" w:themeColor="text1"/>
            </w:rPr>
          </w:pPr>
          <w:r w:rsidRPr="00617A89">
            <w:rPr>
              <w:color w:val="000000" w:themeColor="text1"/>
            </w:rPr>
            <w:t>Contents</w:t>
          </w:r>
        </w:p>
        <w:p w14:paraId="54567548" w14:textId="3AA06300" w:rsidR="000539F2" w:rsidRPr="00617A89" w:rsidRDefault="006A1804">
          <w:pPr>
            <w:pStyle w:val="TOC1"/>
            <w:rPr>
              <w:rFonts w:asciiTheme="minorHAnsi" w:eastAsiaTheme="minorEastAsia" w:hAnsiTheme="minorHAnsi" w:cstheme="minorBidi"/>
              <w:b w:val="0"/>
              <w:kern w:val="2"/>
              <w:sz w:val="24"/>
              <w:szCs w:val="24"/>
              <w:lang w:eastAsia="en-AU"/>
              <w14:ligatures w14:val="standardContextual"/>
            </w:rPr>
          </w:pPr>
          <w:r w:rsidRPr="00617A89">
            <w:rPr>
              <w:color w:val="000000" w:themeColor="text1"/>
            </w:rPr>
            <w:fldChar w:fldCharType="begin"/>
          </w:r>
          <w:r w:rsidRPr="00617A89">
            <w:rPr>
              <w:color w:val="000000" w:themeColor="text1"/>
            </w:rPr>
            <w:instrText xml:space="preserve"> TOC \o "1-3" \h \z \u </w:instrText>
          </w:r>
          <w:r w:rsidRPr="00617A89">
            <w:rPr>
              <w:color w:val="000000" w:themeColor="text1"/>
            </w:rPr>
            <w:fldChar w:fldCharType="separate"/>
          </w:r>
          <w:hyperlink w:anchor="_Toc222868429" w:history="1">
            <w:r w:rsidR="000539F2" w:rsidRPr="00617A89">
              <w:rPr>
                <w:rStyle w:val="Hyperlink"/>
              </w:rPr>
              <w:t>Acknowledgements</w:t>
            </w:r>
            <w:r w:rsidR="000539F2" w:rsidRPr="00617A89">
              <w:rPr>
                <w:webHidden/>
              </w:rPr>
              <w:tab/>
            </w:r>
            <w:r w:rsidR="000539F2" w:rsidRPr="00617A89">
              <w:rPr>
                <w:webHidden/>
              </w:rPr>
              <w:fldChar w:fldCharType="begin"/>
            </w:r>
            <w:r w:rsidR="000539F2" w:rsidRPr="00617A89">
              <w:rPr>
                <w:webHidden/>
              </w:rPr>
              <w:instrText xml:space="preserve"> PAGEREF _Toc222868429 \h </w:instrText>
            </w:r>
            <w:r w:rsidR="000539F2" w:rsidRPr="00617A89">
              <w:rPr>
                <w:webHidden/>
              </w:rPr>
            </w:r>
            <w:r w:rsidR="000539F2" w:rsidRPr="00617A89">
              <w:rPr>
                <w:webHidden/>
              </w:rPr>
              <w:fldChar w:fldCharType="separate"/>
            </w:r>
            <w:r w:rsidR="002E7DD0" w:rsidRPr="00617A89">
              <w:rPr>
                <w:webHidden/>
              </w:rPr>
              <w:t>i</w:t>
            </w:r>
            <w:r w:rsidR="000539F2" w:rsidRPr="00617A89">
              <w:rPr>
                <w:webHidden/>
              </w:rPr>
              <w:fldChar w:fldCharType="end"/>
            </w:r>
          </w:hyperlink>
        </w:p>
        <w:p w14:paraId="13DE32DD" w14:textId="608D61AD" w:rsidR="000539F2" w:rsidRPr="00617A89" w:rsidRDefault="000539F2">
          <w:pPr>
            <w:pStyle w:val="TOC1"/>
            <w:rPr>
              <w:rFonts w:asciiTheme="minorHAnsi" w:eastAsiaTheme="minorEastAsia" w:hAnsiTheme="minorHAnsi" w:cstheme="minorBidi"/>
              <w:b w:val="0"/>
              <w:kern w:val="2"/>
              <w:sz w:val="24"/>
              <w:szCs w:val="24"/>
              <w:lang w:eastAsia="en-AU"/>
              <w14:ligatures w14:val="standardContextual"/>
            </w:rPr>
          </w:pPr>
          <w:hyperlink w:anchor="_Toc222868430" w:history="1">
            <w:r w:rsidRPr="00617A89">
              <w:rPr>
                <w:rStyle w:val="Hyperlink"/>
              </w:rPr>
              <w:t>Executive summary</w:t>
            </w:r>
            <w:r w:rsidRPr="00617A89">
              <w:rPr>
                <w:webHidden/>
              </w:rPr>
              <w:tab/>
            </w:r>
            <w:r w:rsidRPr="00617A89">
              <w:rPr>
                <w:webHidden/>
              </w:rPr>
              <w:fldChar w:fldCharType="begin"/>
            </w:r>
            <w:r w:rsidRPr="00617A89">
              <w:rPr>
                <w:webHidden/>
              </w:rPr>
              <w:instrText xml:space="preserve"> PAGEREF _Toc222868430 \h </w:instrText>
            </w:r>
            <w:r w:rsidRPr="00617A89">
              <w:rPr>
                <w:webHidden/>
              </w:rPr>
            </w:r>
            <w:r w:rsidRPr="00617A89">
              <w:rPr>
                <w:webHidden/>
              </w:rPr>
              <w:fldChar w:fldCharType="separate"/>
            </w:r>
            <w:r w:rsidR="002E7DD0" w:rsidRPr="00617A89">
              <w:rPr>
                <w:webHidden/>
              </w:rPr>
              <w:t>ii</w:t>
            </w:r>
            <w:r w:rsidRPr="00617A89">
              <w:rPr>
                <w:webHidden/>
              </w:rPr>
              <w:fldChar w:fldCharType="end"/>
            </w:r>
          </w:hyperlink>
        </w:p>
        <w:p w14:paraId="4E51FB63" w14:textId="619AAA7F" w:rsidR="000539F2" w:rsidRPr="00617A89" w:rsidRDefault="000539F2">
          <w:pPr>
            <w:pStyle w:val="TOC1"/>
            <w:rPr>
              <w:rFonts w:asciiTheme="minorHAnsi" w:eastAsiaTheme="minorEastAsia" w:hAnsiTheme="minorHAnsi" w:cstheme="minorBidi"/>
              <w:b w:val="0"/>
              <w:kern w:val="2"/>
              <w:sz w:val="24"/>
              <w:szCs w:val="24"/>
              <w:lang w:eastAsia="en-AU"/>
              <w14:ligatures w14:val="standardContextual"/>
            </w:rPr>
          </w:pPr>
          <w:hyperlink w:anchor="_Toc222868431" w:history="1">
            <w:r w:rsidRPr="00617A89">
              <w:rPr>
                <w:rStyle w:val="Hyperlink"/>
              </w:rPr>
              <w:t>1.</w:t>
            </w:r>
            <w:r w:rsidRPr="00617A89">
              <w:rPr>
                <w:rFonts w:asciiTheme="minorHAnsi" w:eastAsiaTheme="minorEastAsia" w:hAnsiTheme="minorHAnsi" w:cstheme="minorBidi"/>
                <w:b w:val="0"/>
                <w:kern w:val="2"/>
                <w:sz w:val="24"/>
                <w:szCs w:val="24"/>
                <w:lang w:eastAsia="en-AU"/>
                <w14:ligatures w14:val="standardContextual"/>
              </w:rPr>
              <w:tab/>
            </w:r>
            <w:r w:rsidRPr="00617A89">
              <w:rPr>
                <w:rStyle w:val="Hyperlink"/>
              </w:rPr>
              <w:t>About the GOS-L</w:t>
            </w:r>
            <w:r w:rsidRPr="00617A89">
              <w:rPr>
                <w:webHidden/>
              </w:rPr>
              <w:tab/>
            </w:r>
            <w:r w:rsidRPr="00617A89">
              <w:rPr>
                <w:webHidden/>
              </w:rPr>
              <w:fldChar w:fldCharType="begin"/>
            </w:r>
            <w:r w:rsidRPr="00617A89">
              <w:rPr>
                <w:webHidden/>
              </w:rPr>
              <w:instrText xml:space="preserve"> PAGEREF _Toc222868431 \h </w:instrText>
            </w:r>
            <w:r w:rsidRPr="00617A89">
              <w:rPr>
                <w:webHidden/>
              </w:rPr>
            </w:r>
            <w:r w:rsidRPr="00617A89">
              <w:rPr>
                <w:webHidden/>
              </w:rPr>
              <w:fldChar w:fldCharType="separate"/>
            </w:r>
            <w:r w:rsidR="002E7DD0" w:rsidRPr="00617A89">
              <w:rPr>
                <w:webHidden/>
              </w:rPr>
              <w:t>1</w:t>
            </w:r>
            <w:r w:rsidRPr="00617A89">
              <w:rPr>
                <w:webHidden/>
              </w:rPr>
              <w:fldChar w:fldCharType="end"/>
            </w:r>
          </w:hyperlink>
        </w:p>
        <w:p w14:paraId="3A25DA29" w14:textId="031CCFC8"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32" w:history="1">
            <w:r w:rsidRPr="00617A89">
              <w:rPr>
                <w:rStyle w:val="Hyperlink"/>
              </w:rPr>
              <w:t>1.1.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Participation</w:t>
            </w:r>
            <w:r w:rsidRPr="00617A89">
              <w:rPr>
                <w:webHidden/>
              </w:rPr>
              <w:tab/>
            </w:r>
            <w:r w:rsidRPr="00617A89">
              <w:rPr>
                <w:webHidden/>
              </w:rPr>
              <w:fldChar w:fldCharType="begin"/>
            </w:r>
            <w:r w:rsidRPr="00617A89">
              <w:rPr>
                <w:webHidden/>
              </w:rPr>
              <w:instrText xml:space="preserve"> PAGEREF _Toc222868432 \h </w:instrText>
            </w:r>
            <w:r w:rsidRPr="00617A89">
              <w:rPr>
                <w:webHidden/>
              </w:rPr>
            </w:r>
            <w:r w:rsidRPr="00617A89">
              <w:rPr>
                <w:webHidden/>
              </w:rPr>
              <w:fldChar w:fldCharType="separate"/>
            </w:r>
            <w:r w:rsidR="002E7DD0" w:rsidRPr="00617A89">
              <w:rPr>
                <w:webHidden/>
              </w:rPr>
              <w:t>1</w:t>
            </w:r>
            <w:r w:rsidRPr="00617A89">
              <w:rPr>
                <w:webHidden/>
              </w:rPr>
              <w:fldChar w:fldCharType="end"/>
            </w:r>
          </w:hyperlink>
        </w:p>
        <w:p w14:paraId="592F1E86" w14:textId="0CB060E7"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33" w:history="1">
            <w:r w:rsidRPr="00617A89">
              <w:rPr>
                <w:rStyle w:val="Hyperlink"/>
              </w:rPr>
              <w:t>1.2.</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Further detail</w:t>
            </w:r>
            <w:r w:rsidRPr="00617A89">
              <w:rPr>
                <w:webHidden/>
              </w:rPr>
              <w:tab/>
            </w:r>
            <w:r w:rsidRPr="00617A89">
              <w:rPr>
                <w:webHidden/>
              </w:rPr>
              <w:fldChar w:fldCharType="begin"/>
            </w:r>
            <w:r w:rsidRPr="00617A89">
              <w:rPr>
                <w:webHidden/>
              </w:rPr>
              <w:instrText xml:space="preserve"> PAGEREF _Toc222868433 \h </w:instrText>
            </w:r>
            <w:r w:rsidRPr="00617A89">
              <w:rPr>
                <w:webHidden/>
              </w:rPr>
            </w:r>
            <w:r w:rsidRPr="00617A89">
              <w:rPr>
                <w:webHidden/>
              </w:rPr>
              <w:fldChar w:fldCharType="separate"/>
            </w:r>
            <w:r w:rsidR="002E7DD0" w:rsidRPr="00617A89">
              <w:rPr>
                <w:webHidden/>
              </w:rPr>
              <w:t>1</w:t>
            </w:r>
            <w:r w:rsidRPr="00617A89">
              <w:rPr>
                <w:webHidden/>
              </w:rPr>
              <w:fldChar w:fldCharType="end"/>
            </w:r>
          </w:hyperlink>
        </w:p>
        <w:p w14:paraId="7FB2ED64" w14:textId="4DCD6036" w:rsidR="000539F2" w:rsidRPr="00617A89" w:rsidRDefault="000539F2">
          <w:pPr>
            <w:pStyle w:val="TOC1"/>
            <w:rPr>
              <w:rFonts w:asciiTheme="minorHAnsi" w:eastAsiaTheme="minorEastAsia" w:hAnsiTheme="minorHAnsi" w:cstheme="minorBidi"/>
              <w:b w:val="0"/>
              <w:kern w:val="2"/>
              <w:sz w:val="24"/>
              <w:szCs w:val="24"/>
              <w:lang w:eastAsia="en-AU"/>
              <w14:ligatures w14:val="standardContextual"/>
            </w:rPr>
          </w:pPr>
          <w:hyperlink w:anchor="_Toc222868434" w:history="1">
            <w:r w:rsidRPr="00617A89">
              <w:rPr>
                <w:rStyle w:val="Hyperlink"/>
              </w:rPr>
              <w:t>2.</w:t>
            </w:r>
            <w:r w:rsidRPr="00617A89">
              <w:rPr>
                <w:rFonts w:asciiTheme="minorHAnsi" w:eastAsiaTheme="minorEastAsia" w:hAnsiTheme="minorHAnsi" w:cstheme="minorBidi"/>
                <w:b w:val="0"/>
                <w:kern w:val="2"/>
                <w:sz w:val="24"/>
                <w:szCs w:val="24"/>
                <w:lang w:eastAsia="en-AU"/>
                <w14:ligatures w14:val="standardContextual"/>
              </w:rPr>
              <w:tab/>
            </w:r>
            <w:r w:rsidRPr="00617A89">
              <w:rPr>
                <w:rStyle w:val="Hyperlink"/>
              </w:rPr>
              <w:t>Domestic graduate results</w:t>
            </w:r>
            <w:r w:rsidRPr="00617A89">
              <w:rPr>
                <w:webHidden/>
              </w:rPr>
              <w:tab/>
            </w:r>
            <w:r w:rsidRPr="00617A89">
              <w:rPr>
                <w:webHidden/>
              </w:rPr>
              <w:fldChar w:fldCharType="begin"/>
            </w:r>
            <w:r w:rsidRPr="00617A89">
              <w:rPr>
                <w:webHidden/>
              </w:rPr>
              <w:instrText xml:space="preserve"> PAGEREF _Toc222868434 \h </w:instrText>
            </w:r>
            <w:r w:rsidRPr="00617A89">
              <w:rPr>
                <w:webHidden/>
              </w:rPr>
            </w:r>
            <w:r w:rsidRPr="00617A89">
              <w:rPr>
                <w:webHidden/>
              </w:rPr>
              <w:fldChar w:fldCharType="separate"/>
            </w:r>
            <w:r w:rsidR="002E7DD0" w:rsidRPr="00617A89">
              <w:rPr>
                <w:webHidden/>
              </w:rPr>
              <w:t>2</w:t>
            </w:r>
            <w:r w:rsidRPr="00617A89">
              <w:rPr>
                <w:webHidden/>
              </w:rPr>
              <w:fldChar w:fldCharType="end"/>
            </w:r>
          </w:hyperlink>
        </w:p>
        <w:p w14:paraId="0E4A190E" w14:textId="22FF3618"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35" w:history="1">
            <w:r w:rsidRPr="00617A89">
              <w:rPr>
                <w:rStyle w:val="Hyperlink"/>
              </w:rPr>
              <w:t>2.1.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Labour force participation</w:t>
            </w:r>
            <w:r w:rsidRPr="00617A89">
              <w:rPr>
                <w:webHidden/>
              </w:rPr>
              <w:tab/>
            </w:r>
            <w:r w:rsidRPr="00617A89">
              <w:rPr>
                <w:webHidden/>
              </w:rPr>
              <w:fldChar w:fldCharType="begin"/>
            </w:r>
            <w:r w:rsidRPr="00617A89">
              <w:rPr>
                <w:webHidden/>
              </w:rPr>
              <w:instrText xml:space="preserve"> PAGEREF _Toc222868435 \h </w:instrText>
            </w:r>
            <w:r w:rsidRPr="00617A89">
              <w:rPr>
                <w:webHidden/>
              </w:rPr>
            </w:r>
            <w:r w:rsidRPr="00617A89">
              <w:rPr>
                <w:webHidden/>
              </w:rPr>
              <w:fldChar w:fldCharType="separate"/>
            </w:r>
            <w:r w:rsidR="002E7DD0" w:rsidRPr="00617A89">
              <w:rPr>
                <w:webHidden/>
              </w:rPr>
              <w:t>2</w:t>
            </w:r>
            <w:r w:rsidRPr="00617A89">
              <w:rPr>
                <w:webHidden/>
              </w:rPr>
              <w:fldChar w:fldCharType="end"/>
            </w:r>
          </w:hyperlink>
        </w:p>
        <w:p w14:paraId="4BAFEE26" w14:textId="35B5B48D"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36" w:history="1">
            <w:r w:rsidRPr="00617A89">
              <w:rPr>
                <w:rStyle w:val="Hyperlink"/>
              </w:rPr>
              <w:t>2.2.</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Full-time employment</w:t>
            </w:r>
            <w:r w:rsidRPr="00617A89">
              <w:rPr>
                <w:webHidden/>
              </w:rPr>
              <w:tab/>
            </w:r>
            <w:r w:rsidRPr="00617A89">
              <w:rPr>
                <w:webHidden/>
              </w:rPr>
              <w:fldChar w:fldCharType="begin"/>
            </w:r>
            <w:r w:rsidRPr="00617A89">
              <w:rPr>
                <w:webHidden/>
              </w:rPr>
              <w:instrText xml:space="preserve"> PAGEREF _Toc222868436 \h </w:instrText>
            </w:r>
            <w:r w:rsidRPr="00617A89">
              <w:rPr>
                <w:webHidden/>
              </w:rPr>
            </w:r>
            <w:r w:rsidRPr="00617A89">
              <w:rPr>
                <w:webHidden/>
              </w:rPr>
              <w:fldChar w:fldCharType="separate"/>
            </w:r>
            <w:r w:rsidR="002E7DD0" w:rsidRPr="00617A89">
              <w:rPr>
                <w:webHidden/>
              </w:rPr>
              <w:t>3</w:t>
            </w:r>
            <w:r w:rsidRPr="00617A89">
              <w:rPr>
                <w:webHidden/>
              </w:rPr>
              <w:fldChar w:fldCharType="end"/>
            </w:r>
          </w:hyperlink>
        </w:p>
        <w:p w14:paraId="37500D42" w14:textId="24D138E8"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37" w:history="1">
            <w:r w:rsidRPr="00617A89">
              <w:rPr>
                <w:rStyle w:val="Hyperlink"/>
              </w:rPr>
              <w:t>2.3.</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Overall employment</w:t>
            </w:r>
            <w:r w:rsidRPr="00617A89">
              <w:rPr>
                <w:webHidden/>
              </w:rPr>
              <w:tab/>
            </w:r>
            <w:r w:rsidRPr="00617A89">
              <w:rPr>
                <w:webHidden/>
              </w:rPr>
              <w:fldChar w:fldCharType="begin"/>
            </w:r>
            <w:r w:rsidRPr="00617A89">
              <w:rPr>
                <w:webHidden/>
              </w:rPr>
              <w:instrText xml:space="preserve"> PAGEREF _Toc222868437 \h </w:instrText>
            </w:r>
            <w:r w:rsidRPr="00617A89">
              <w:rPr>
                <w:webHidden/>
              </w:rPr>
            </w:r>
            <w:r w:rsidRPr="00617A89">
              <w:rPr>
                <w:webHidden/>
              </w:rPr>
              <w:fldChar w:fldCharType="separate"/>
            </w:r>
            <w:r w:rsidR="002E7DD0" w:rsidRPr="00617A89">
              <w:rPr>
                <w:webHidden/>
              </w:rPr>
              <w:t>5</w:t>
            </w:r>
            <w:r w:rsidRPr="00617A89">
              <w:rPr>
                <w:webHidden/>
              </w:rPr>
              <w:fldChar w:fldCharType="end"/>
            </w:r>
          </w:hyperlink>
        </w:p>
        <w:p w14:paraId="15197492" w14:textId="6E49F119"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38" w:history="1">
            <w:r w:rsidRPr="00617A89">
              <w:rPr>
                <w:rStyle w:val="Hyperlink"/>
              </w:rPr>
              <w:t>2.4.</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Median annual full-time salary</w:t>
            </w:r>
            <w:r w:rsidRPr="00617A89">
              <w:rPr>
                <w:webHidden/>
              </w:rPr>
              <w:tab/>
            </w:r>
            <w:r w:rsidRPr="00617A89">
              <w:rPr>
                <w:webHidden/>
              </w:rPr>
              <w:fldChar w:fldCharType="begin"/>
            </w:r>
            <w:r w:rsidRPr="00617A89">
              <w:rPr>
                <w:webHidden/>
              </w:rPr>
              <w:instrText xml:space="preserve"> PAGEREF _Toc222868438 \h </w:instrText>
            </w:r>
            <w:r w:rsidRPr="00617A89">
              <w:rPr>
                <w:webHidden/>
              </w:rPr>
            </w:r>
            <w:r w:rsidRPr="00617A89">
              <w:rPr>
                <w:webHidden/>
              </w:rPr>
              <w:fldChar w:fldCharType="separate"/>
            </w:r>
            <w:r w:rsidR="002E7DD0" w:rsidRPr="00617A89">
              <w:rPr>
                <w:webHidden/>
              </w:rPr>
              <w:t>6</w:t>
            </w:r>
            <w:r w:rsidRPr="00617A89">
              <w:rPr>
                <w:webHidden/>
              </w:rPr>
              <w:fldChar w:fldCharType="end"/>
            </w:r>
          </w:hyperlink>
        </w:p>
        <w:p w14:paraId="0C99C57B" w14:textId="19C0279A"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39" w:history="1">
            <w:r w:rsidRPr="00617A89">
              <w:rPr>
                <w:rStyle w:val="Hyperlink"/>
              </w:rPr>
              <w:t>2.5.</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Underemployment</w:t>
            </w:r>
            <w:r w:rsidRPr="00617A89">
              <w:rPr>
                <w:webHidden/>
              </w:rPr>
              <w:tab/>
            </w:r>
            <w:r w:rsidRPr="00617A89">
              <w:rPr>
                <w:webHidden/>
              </w:rPr>
              <w:fldChar w:fldCharType="begin"/>
            </w:r>
            <w:r w:rsidRPr="00617A89">
              <w:rPr>
                <w:webHidden/>
              </w:rPr>
              <w:instrText xml:space="preserve"> PAGEREF _Toc222868439 \h </w:instrText>
            </w:r>
            <w:r w:rsidRPr="00617A89">
              <w:rPr>
                <w:webHidden/>
              </w:rPr>
            </w:r>
            <w:r w:rsidRPr="00617A89">
              <w:rPr>
                <w:webHidden/>
              </w:rPr>
              <w:fldChar w:fldCharType="separate"/>
            </w:r>
            <w:r w:rsidR="002E7DD0" w:rsidRPr="00617A89">
              <w:rPr>
                <w:webHidden/>
              </w:rPr>
              <w:t>9</w:t>
            </w:r>
            <w:r w:rsidRPr="00617A89">
              <w:rPr>
                <w:webHidden/>
              </w:rPr>
              <w:fldChar w:fldCharType="end"/>
            </w:r>
          </w:hyperlink>
        </w:p>
        <w:p w14:paraId="0239BB41" w14:textId="3E735406"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40" w:history="1">
            <w:r w:rsidRPr="00617A89">
              <w:rPr>
                <w:rStyle w:val="Hyperlink"/>
              </w:rPr>
              <w:t>2.5.1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Reasons for not working more hours</w:t>
            </w:r>
            <w:r w:rsidRPr="00617A89">
              <w:rPr>
                <w:webHidden/>
              </w:rPr>
              <w:tab/>
            </w:r>
            <w:r w:rsidRPr="00617A89">
              <w:rPr>
                <w:webHidden/>
              </w:rPr>
              <w:fldChar w:fldCharType="begin"/>
            </w:r>
            <w:r w:rsidRPr="00617A89">
              <w:rPr>
                <w:webHidden/>
              </w:rPr>
              <w:instrText xml:space="preserve"> PAGEREF _Toc222868440 \h </w:instrText>
            </w:r>
            <w:r w:rsidRPr="00617A89">
              <w:rPr>
                <w:webHidden/>
              </w:rPr>
            </w:r>
            <w:r w:rsidRPr="00617A89">
              <w:rPr>
                <w:webHidden/>
              </w:rPr>
              <w:fldChar w:fldCharType="separate"/>
            </w:r>
            <w:r w:rsidR="002E7DD0" w:rsidRPr="00617A89">
              <w:rPr>
                <w:webHidden/>
              </w:rPr>
              <w:t>10</w:t>
            </w:r>
            <w:r w:rsidRPr="00617A89">
              <w:rPr>
                <w:webHidden/>
              </w:rPr>
              <w:fldChar w:fldCharType="end"/>
            </w:r>
          </w:hyperlink>
        </w:p>
        <w:p w14:paraId="7BD16F99" w14:textId="373A030E"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41" w:history="1">
            <w:r w:rsidRPr="00617A89">
              <w:rPr>
                <w:rStyle w:val="Hyperlink"/>
              </w:rPr>
              <w:t>2.6.</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Domestic graduate skills utilisation</w:t>
            </w:r>
            <w:r w:rsidRPr="00617A89">
              <w:rPr>
                <w:webHidden/>
              </w:rPr>
              <w:tab/>
            </w:r>
            <w:r w:rsidRPr="00617A89">
              <w:rPr>
                <w:webHidden/>
              </w:rPr>
              <w:fldChar w:fldCharType="begin"/>
            </w:r>
            <w:r w:rsidRPr="00617A89">
              <w:rPr>
                <w:webHidden/>
              </w:rPr>
              <w:instrText xml:space="preserve"> PAGEREF _Toc222868441 \h </w:instrText>
            </w:r>
            <w:r w:rsidRPr="00617A89">
              <w:rPr>
                <w:webHidden/>
              </w:rPr>
            </w:r>
            <w:r w:rsidRPr="00617A89">
              <w:rPr>
                <w:webHidden/>
              </w:rPr>
              <w:fldChar w:fldCharType="separate"/>
            </w:r>
            <w:r w:rsidR="002E7DD0" w:rsidRPr="00617A89">
              <w:rPr>
                <w:webHidden/>
              </w:rPr>
              <w:t>12</w:t>
            </w:r>
            <w:r w:rsidRPr="00617A89">
              <w:rPr>
                <w:webHidden/>
              </w:rPr>
              <w:fldChar w:fldCharType="end"/>
            </w:r>
          </w:hyperlink>
        </w:p>
        <w:p w14:paraId="2CB32943" w14:textId="54A82082"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42" w:history="1">
            <w:r w:rsidRPr="00617A89">
              <w:rPr>
                <w:rStyle w:val="Hyperlink"/>
                <w:lang w:val="en-GB"/>
              </w:rPr>
              <w:t>2.6.1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lang w:val="en-GB"/>
              </w:rPr>
              <w:t>Occupation type</w:t>
            </w:r>
            <w:r w:rsidRPr="00617A89">
              <w:rPr>
                <w:webHidden/>
              </w:rPr>
              <w:tab/>
            </w:r>
            <w:r w:rsidRPr="00617A89">
              <w:rPr>
                <w:webHidden/>
              </w:rPr>
              <w:fldChar w:fldCharType="begin"/>
            </w:r>
            <w:r w:rsidRPr="00617A89">
              <w:rPr>
                <w:webHidden/>
              </w:rPr>
              <w:instrText xml:space="preserve"> PAGEREF _Toc222868442 \h </w:instrText>
            </w:r>
            <w:r w:rsidRPr="00617A89">
              <w:rPr>
                <w:webHidden/>
              </w:rPr>
            </w:r>
            <w:r w:rsidRPr="00617A89">
              <w:rPr>
                <w:webHidden/>
              </w:rPr>
              <w:fldChar w:fldCharType="separate"/>
            </w:r>
            <w:r w:rsidR="002E7DD0" w:rsidRPr="00617A89">
              <w:rPr>
                <w:webHidden/>
              </w:rPr>
              <w:t>12</w:t>
            </w:r>
            <w:r w:rsidRPr="00617A89">
              <w:rPr>
                <w:webHidden/>
              </w:rPr>
              <w:fldChar w:fldCharType="end"/>
            </w:r>
          </w:hyperlink>
        </w:p>
        <w:p w14:paraId="7042B04D" w14:textId="17B980D8"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43" w:history="1">
            <w:r w:rsidRPr="00617A89">
              <w:rPr>
                <w:rStyle w:val="Hyperlink"/>
                <w:lang w:val="en-GB"/>
              </w:rPr>
              <w:t>2.6.2</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lang w:val="en-GB"/>
              </w:rPr>
              <w:t>Underutilisation of skills and education</w:t>
            </w:r>
            <w:r w:rsidRPr="00617A89">
              <w:rPr>
                <w:webHidden/>
              </w:rPr>
              <w:tab/>
            </w:r>
            <w:r w:rsidRPr="00617A89">
              <w:rPr>
                <w:webHidden/>
              </w:rPr>
              <w:fldChar w:fldCharType="begin"/>
            </w:r>
            <w:r w:rsidRPr="00617A89">
              <w:rPr>
                <w:webHidden/>
              </w:rPr>
              <w:instrText xml:space="preserve"> PAGEREF _Toc222868443 \h </w:instrText>
            </w:r>
            <w:r w:rsidRPr="00617A89">
              <w:rPr>
                <w:webHidden/>
              </w:rPr>
            </w:r>
            <w:r w:rsidRPr="00617A89">
              <w:rPr>
                <w:webHidden/>
              </w:rPr>
              <w:fldChar w:fldCharType="separate"/>
            </w:r>
            <w:r w:rsidR="002E7DD0" w:rsidRPr="00617A89">
              <w:rPr>
                <w:webHidden/>
              </w:rPr>
              <w:t>15</w:t>
            </w:r>
            <w:r w:rsidRPr="00617A89">
              <w:rPr>
                <w:webHidden/>
              </w:rPr>
              <w:fldChar w:fldCharType="end"/>
            </w:r>
          </w:hyperlink>
        </w:p>
        <w:p w14:paraId="49726652" w14:textId="17C0731E"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44" w:history="1">
            <w:r w:rsidRPr="00617A89">
              <w:rPr>
                <w:rStyle w:val="Hyperlink"/>
              </w:rPr>
              <w:t>2.7.</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Domestic graduates in further full-time study</w:t>
            </w:r>
            <w:r w:rsidRPr="00617A89">
              <w:rPr>
                <w:webHidden/>
              </w:rPr>
              <w:tab/>
            </w:r>
            <w:r w:rsidRPr="00617A89">
              <w:rPr>
                <w:webHidden/>
              </w:rPr>
              <w:fldChar w:fldCharType="begin"/>
            </w:r>
            <w:r w:rsidRPr="00617A89">
              <w:rPr>
                <w:webHidden/>
              </w:rPr>
              <w:instrText xml:space="preserve"> PAGEREF _Toc222868444 \h </w:instrText>
            </w:r>
            <w:r w:rsidRPr="00617A89">
              <w:rPr>
                <w:webHidden/>
              </w:rPr>
            </w:r>
            <w:r w:rsidRPr="00617A89">
              <w:rPr>
                <w:webHidden/>
              </w:rPr>
              <w:fldChar w:fldCharType="separate"/>
            </w:r>
            <w:r w:rsidR="002E7DD0" w:rsidRPr="00617A89">
              <w:rPr>
                <w:webHidden/>
              </w:rPr>
              <w:t>17</w:t>
            </w:r>
            <w:r w:rsidRPr="00617A89">
              <w:rPr>
                <w:webHidden/>
              </w:rPr>
              <w:fldChar w:fldCharType="end"/>
            </w:r>
          </w:hyperlink>
        </w:p>
        <w:p w14:paraId="44CC2471" w14:textId="17FFC308"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45" w:history="1">
            <w:r w:rsidRPr="00617A89">
              <w:rPr>
                <w:rStyle w:val="Hyperlink"/>
              </w:rPr>
              <w:t>2.8.</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Demographic and equity groups</w:t>
            </w:r>
            <w:r w:rsidRPr="00617A89">
              <w:rPr>
                <w:webHidden/>
              </w:rPr>
              <w:tab/>
            </w:r>
            <w:r w:rsidRPr="00617A89">
              <w:rPr>
                <w:webHidden/>
              </w:rPr>
              <w:fldChar w:fldCharType="begin"/>
            </w:r>
            <w:r w:rsidRPr="00617A89">
              <w:rPr>
                <w:webHidden/>
              </w:rPr>
              <w:instrText xml:space="preserve"> PAGEREF _Toc222868445 \h </w:instrText>
            </w:r>
            <w:r w:rsidRPr="00617A89">
              <w:rPr>
                <w:webHidden/>
              </w:rPr>
            </w:r>
            <w:r w:rsidRPr="00617A89">
              <w:rPr>
                <w:webHidden/>
              </w:rPr>
              <w:fldChar w:fldCharType="separate"/>
            </w:r>
            <w:r w:rsidR="002E7DD0" w:rsidRPr="00617A89">
              <w:rPr>
                <w:webHidden/>
              </w:rPr>
              <w:t>21</w:t>
            </w:r>
            <w:r w:rsidRPr="00617A89">
              <w:rPr>
                <w:webHidden/>
              </w:rPr>
              <w:fldChar w:fldCharType="end"/>
            </w:r>
          </w:hyperlink>
        </w:p>
        <w:p w14:paraId="669ED5EB" w14:textId="61345AE6"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46" w:history="1">
            <w:r w:rsidRPr="00617A89">
              <w:rPr>
                <w:rStyle w:val="Hyperlink"/>
              </w:rPr>
              <w:t>2.9.</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Study area</w:t>
            </w:r>
            <w:r w:rsidRPr="00617A89">
              <w:rPr>
                <w:webHidden/>
              </w:rPr>
              <w:tab/>
            </w:r>
            <w:r w:rsidRPr="00617A89">
              <w:rPr>
                <w:webHidden/>
              </w:rPr>
              <w:fldChar w:fldCharType="begin"/>
            </w:r>
            <w:r w:rsidRPr="00617A89">
              <w:rPr>
                <w:webHidden/>
              </w:rPr>
              <w:instrText xml:space="preserve"> PAGEREF _Toc222868446 \h </w:instrText>
            </w:r>
            <w:r w:rsidRPr="00617A89">
              <w:rPr>
                <w:webHidden/>
              </w:rPr>
            </w:r>
            <w:r w:rsidRPr="00617A89">
              <w:rPr>
                <w:webHidden/>
              </w:rPr>
              <w:fldChar w:fldCharType="separate"/>
            </w:r>
            <w:r w:rsidR="002E7DD0" w:rsidRPr="00617A89">
              <w:rPr>
                <w:webHidden/>
              </w:rPr>
              <w:t>27</w:t>
            </w:r>
            <w:r w:rsidRPr="00617A89">
              <w:rPr>
                <w:webHidden/>
              </w:rPr>
              <w:fldChar w:fldCharType="end"/>
            </w:r>
          </w:hyperlink>
        </w:p>
        <w:p w14:paraId="76819486" w14:textId="7B2085AD"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47" w:history="1">
            <w:r w:rsidRPr="00617A89">
              <w:rPr>
                <w:rStyle w:val="Hyperlink"/>
              </w:rPr>
              <w:t>2.10.</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Gender pay gap</w:t>
            </w:r>
            <w:r w:rsidRPr="00617A89">
              <w:rPr>
                <w:webHidden/>
              </w:rPr>
              <w:tab/>
            </w:r>
            <w:r w:rsidRPr="00617A89">
              <w:rPr>
                <w:webHidden/>
              </w:rPr>
              <w:fldChar w:fldCharType="begin"/>
            </w:r>
            <w:r w:rsidRPr="00617A89">
              <w:rPr>
                <w:webHidden/>
              </w:rPr>
              <w:instrText xml:space="preserve"> PAGEREF _Toc222868447 \h </w:instrText>
            </w:r>
            <w:r w:rsidRPr="00617A89">
              <w:rPr>
                <w:webHidden/>
              </w:rPr>
            </w:r>
            <w:r w:rsidRPr="00617A89">
              <w:rPr>
                <w:webHidden/>
              </w:rPr>
              <w:fldChar w:fldCharType="separate"/>
            </w:r>
            <w:r w:rsidR="002E7DD0" w:rsidRPr="00617A89">
              <w:rPr>
                <w:webHidden/>
              </w:rPr>
              <w:t>31</w:t>
            </w:r>
            <w:r w:rsidRPr="00617A89">
              <w:rPr>
                <w:webHidden/>
              </w:rPr>
              <w:fldChar w:fldCharType="end"/>
            </w:r>
          </w:hyperlink>
        </w:p>
        <w:p w14:paraId="642BD80E" w14:textId="5D113AD2"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48" w:history="1">
            <w:r w:rsidRPr="00617A89">
              <w:rPr>
                <w:rStyle w:val="Hyperlink"/>
              </w:rPr>
              <w:t>2.11.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Institution</w:t>
            </w:r>
            <w:r w:rsidRPr="00617A89">
              <w:rPr>
                <w:webHidden/>
              </w:rPr>
              <w:tab/>
            </w:r>
            <w:r w:rsidRPr="00617A89">
              <w:rPr>
                <w:webHidden/>
              </w:rPr>
              <w:fldChar w:fldCharType="begin"/>
            </w:r>
            <w:r w:rsidRPr="00617A89">
              <w:rPr>
                <w:webHidden/>
              </w:rPr>
              <w:instrText xml:space="preserve"> PAGEREF _Toc222868448 \h </w:instrText>
            </w:r>
            <w:r w:rsidRPr="00617A89">
              <w:rPr>
                <w:webHidden/>
              </w:rPr>
            </w:r>
            <w:r w:rsidRPr="00617A89">
              <w:rPr>
                <w:webHidden/>
              </w:rPr>
              <w:fldChar w:fldCharType="separate"/>
            </w:r>
            <w:r w:rsidR="002E7DD0" w:rsidRPr="00617A89">
              <w:rPr>
                <w:webHidden/>
              </w:rPr>
              <w:t>33</w:t>
            </w:r>
            <w:r w:rsidRPr="00617A89">
              <w:rPr>
                <w:webHidden/>
              </w:rPr>
              <w:fldChar w:fldCharType="end"/>
            </w:r>
          </w:hyperlink>
        </w:p>
        <w:p w14:paraId="010C8933" w14:textId="67239F36"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49" w:history="1">
            <w:r w:rsidRPr="00617A89">
              <w:rPr>
                <w:rStyle w:val="Hyperlink"/>
              </w:rPr>
              <w:t>2.11.1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Institution type</w:t>
            </w:r>
            <w:r w:rsidRPr="00617A89">
              <w:rPr>
                <w:webHidden/>
              </w:rPr>
              <w:tab/>
            </w:r>
            <w:r w:rsidRPr="00617A89">
              <w:rPr>
                <w:webHidden/>
              </w:rPr>
              <w:fldChar w:fldCharType="begin"/>
            </w:r>
            <w:r w:rsidRPr="00617A89">
              <w:rPr>
                <w:webHidden/>
              </w:rPr>
              <w:instrText xml:space="preserve"> PAGEREF _Toc222868449 \h </w:instrText>
            </w:r>
            <w:r w:rsidRPr="00617A89">
              <w:rPr>
                <w:webHidden/>
              </w:rPr>
            </w:r>
            <w:r w:rsidRPr="00617A89">
              <w:rPr>
                <w:webHidden/>
              </w:rPr>
              <w:fldChar w:fldCharType="separate"/>
            </w:r>
            <w:r w:rsidR="002E7DD0" w:rsidRPr="00617A89">
              <w:rPr>
                <w:webHidden/>
              </w:rPr>
              <w:t>33</w:t>
            </w:r>
            <w:r w:rsidRPr="00617A89">
              <w:rPr>
                <w:webHidden/>
              </w:rPr>
              <w:fldChar w:fldCharType="end"/>
            </w:r>
          </w:hyperlink>
        </w:p>
        <w:p w14:paraId="58F82385" w14:textId="759EFE45"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50" w:history="1">
            <w:r w:rsidRPr="00617A89">
              <w:rPr>
                <w:rStyle w:val="Hyperlink"/>
              </w:rPr>
              <w:t>2.11.2</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Comparative university outcomes</w:t>
            </w:r>
            <w:r w:rsidRPr="00617A89">
              <w:rPr>
                <w:webHidden/>
              </w:rPr>
              <w:tab/>
            </w:r>
            <w:r w:rsidRPr="00617A89">
              <w:rPr>
                <w:webHidden/>
              </w:rPr>
              <w:fldChar w:fldCharType="begin"/>
            </w:r>
            <w:r w:rsidRPr="00617A89">
              <w:rPr>
                <w:webHidden/>
              </w:rPr>
              <w:instrText xml:space="preserve"> PAGEREF _Toc222868450 \h </w:instrText>
            </w:r>
            <w:r w:rsidRPr="00617A89">
              <w:rPr>
                <w:webHidden/>
              </w:rPr>
            </w:r>
            <w:r w:rsidRPr="00617A89">
              <w:rPr>
                <w:webHidden/>
              </w:rPr>
              <w:fldChar w:fldCharType="separate"/>
            </w:r>
            <w:r w:rsidR="002E7DD0" w:rsidRPr="00617A89">
              <w:rPr>
                <w:webHidden/>
              </w:rPr>
              <w:t>35</w:t>
            </w:r>
            <w:r w:rsidRPr="00617A89">
              <w:rPr>
                <w:webHidden/>
              </w:rPr>
              <w:fldChar w:fldCharType="end"/>
            </w:r>
          </w:hyperlink>
        </w:p>
        <w:p w14:paraId="427795C9" w14:textId="3C36E730" w:rsidR="000539F2" w:rsidRPr="00617A89" w:rsidRDefault="000539F2">
          <w:pPr>
            <w:pStyle w:val="TOC1"/>
            <w:rPr>
              <w:rFonts w:asciiTheme="minorHAnsi" w:eastAsiaTheme="minorEastAsia" w:hAnsiTheme="minorHAnsi" w:cstheme="minorBidi"/>
              <w:b w:val="0"/>
              <w:kern w:val="2"/>
              <w:sz w:val="24"/>
              <w:szCs w:val="24"/>
              <w:lang w:eastAsia="en-AU"/>
              <w14:ligatures w14:val="standardContextual"/>
            </w:rPr>
          </w:pPr>
          <w:hyperlink w:anchor="_Toc222868451" w:history="1">
            <w:r w:rsidRPr="00617A89">
              <w:rPr>
                <w:rStyle w:val="Hyperlink"/>
              </w:rPr>
              <w:t>3.</w:t>
            </w:r>
            <w:r w:rsidRPr="00617A89">
              <w:rPr>
                <w:rFonts w:asciiTheme="minorHAnsi" w:eastAsiaTheme="minorEastAsia" w:hAnsiTheme="minorHAnsi" w:cstheme="minorBidi"/>
                <w:b w:val="0"/>
                <w:kern w:val="2"/>
                <w:sz w:val="24"/>
                <w:szCs w:val="24"/>
                <w:lang w:eastAsia="en-AU"/>
                <w14:ligatures w14:val="standardContextual"/>
              </w:rPr>
              <w:tab/>
            </w:r>
            <w:r w:rsidRPr="00617A89">
              <w:rPr>
                <w:rStyle w:val="Hyperlink"/>
              </w:rPr>
              <w:t>International graduate results</w:t>
            </w:r>
            <w:r w:rsidRPr="00617A89">
              <w:rPr>
                <w:webHidden/>
              </w:rPr>
              <w:tab/>
            </w:r>
            <w:r w:rsidRPr="00617A89">
              <w:rPr>
                <w:webHidden/>
              </w:rPr>
              <w:fldChar w:fldCharType="begin"/>
            </w:r>
            <w:r w:rsidRPr="00617A89">
              <w:rPr>
                <w:webHidden/>
              </w:rPr>
              <w:instrText xml:space="preserve"> PAGEREF _Toc222868451 \h </w:instrText>
            </w:r>
            <w:r w:rsidRPr="00617A89">
              <w:rPr>
                <w:webHidden/>
              </w:rPr>
            </w:r>
            <w:r w:rsidRPr="00617A89">
              <w:rPr>
                <w:webHidden/>
              </w:rPr>
              <w:fldChar w:fldCharType="separate"/>
            </w:r>
            <w:r w:rsidR="002E7DD0" w:rsidRPr="00617A89">
              <w:rPr>
                <w:webHidden/>
              </w:rPr>
              <w:t>38</w:t>
            </w:r>
            <w:r w:rsidRPr="00617A89">
              <w:rPr>
                <w:webHidden/>
              </w:rPr>
              <w:fldChar w:fldCharType="end"/>
            </w:r>
          </w:hyperlink>
        </w:p>
        <w:p w14:paraId="00BA179D" w14:textId="47406421"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52" w:history="1">
            <w:r w:rsidRPr="00617A89">
              <w:rPr>
                <w:rStyle w:val="Hyperlink"/>
              </w:rPr>
              <w:t>3.1.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International graduate profile (based on responses to the 2025 GOS-L)</w:t>
            </w:r>
            <w:r w:rsidRPr="00617A89">
              <w:rPr>
                <w:webHidden/>
              </w:rPr>
              <w:tab/>
            </w:r>
            <w:r w:rsidRPr="00617A89">
              <w:rPr>
                <w:webHidden/>
              </w:rPr>
              <w:fldChar w:fldCharType="begin"/>
            </w:r>
            <w:r w:rsidRPr="00617A89">
              <w:rPr>
                <w:webHidden/>
              </w:rPr>
              <w:instrText xml:space="preserve"> PAGEREF _Toc222868452 \h </w:instrText>
            </w:r>
            <w:r w:rsidRPr="00617A89">
              <w:rPr>
                <w:webHidden/>
              </w:rPr>
            </w:r>
            <w:r w:rsidRPr="00617A89">
              <w:rPr>
                <w:webHidden/>
              </w:rPr>
              <w:fldChar w:fldCharType="separate"/>
            </w:r>
            <w:r w:rsidR="002E7DD0" w:rsidRPr="00617A89">
              <w:rPr>
                <w:webHidden/>
              </w:rPr>
              <w:t>38</w:t>
            </w:r>
            <w:r w:rsidRPr="00617A89">
              <w:rPr>
                <w:webHidden/>
              </w:rPr>
              <w:fldChar w:fldCharType="end"/>
            </w:r>
          </w:hyperlink>
        </w:p>
        <w:p w14:paraId="7E28A278" w14:textId="6003E411"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53" w:history="1">
            <w:r w:rsidRPr="00617A89">
              <w:rPr>
                <w:rStyle w:val="Hyperlink"/>
                <w:lang w:val="en-GB"/>
              </w:rPr>
              <w:t>3.2.</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lang w:val="en-GB"/>
              </w:rPr>
              <w:t>Comparative outcomes: international and domestic graduates</w:t>
            </w:r>
            <w:r w:rsidRPr="00617A89">
              <w:rPr>
                <w:webHidden/>
              </w:rPr>
              <w:tab/>
            </w:r>
            <w:r w:rsidRPr="00617A89">
              <w:rPr>
                <w:webHidden/>
              </w:rPr>
              <w:fldChar w:fldCharType="begin"/>
            </w:r>
            <w:r w:rsidRPr="00617A89">
              <w:rPr>
                <w:webHidden/>
              </w:rPr>
              <w:instrText xml:space="preserve"> PAGEREF _Toc222868453 \h </w:instrText>
            </w:r>
            <w:r w:rsidRPr="00617A89">
              <w:rPr>
                <w:webHidden/>
              </w:rPr>
            </w:r>
            <w:r w:rsidRPr="00617A89">
              <w:rPr>
                <w:webHidden/>
              </w:rPr>
              <w:fldChar w:fldCharType="separate"/>
            </w:r>
            <w:r w:rsidR="002E7DD0" w:rsidRPr="00617A89">
              <w:rPr>
                <w:webHidden/>
              </w:rPr>
              <w:t>39</w:t>
            </w:r>
            <w:r w:rsidRPr="00617A89">
              <w:rPr>
                <w:webHidden/>
              </w:rPr>
              <w:fldChar w:fldCharType="end"/>
            </w:r>
          </w:hyperlink>
        </w:p>
        <w:p w14:paraId="77EDDDE3" w14:textId="52FC4842"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54" w:history="1">
            <w:r w:rsidRPr="00617A89">
              <w:rPr>
                <w:rStyle w:val="Hyperlink"/>
              </w:rPr>
              <w:t>3.2.1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Undergraduate comparisons</w:t>
            </w:r>
            <w:r w:rsidRPr="00617A89">
              <w:rPr>
                <w:webHidden/>
              </w:rPr>
              <w:tab/>
            </w:r>
            <w:r w:rsidRPr="00617A89">
              <w:rPr>
                <w:webHidden/>
              </w:rPr>
              <w:fldChar w:fldCharType="begin"/>
            </w:r>
            <w:r w:rsidRPr="00617A89">
              <w:rPr>
                <w:webHidden/>
              </w:rPr>
              <w:instrText xml:space="preserve"> PAGEREF _Toc222868454 \h </w:instrText>
            </w:r>
            <w:r w:rsidRPr="00617A89">
              <w:rPr>
                <w:webHidden/>
              </w:rPr>
            </w:r>
            <w:r w:rsidRPr="00617A89">
              <w:rPr>
                <w:webHidden/>
              </w:rPr>
              <w:fldChar w:fldCharType="separate"/>
            </w:r>
            <w:r w:rsidR="002E7DD0" w:rsidRPr="00617A89">
              <w:rPr>
                <w:webHidden/>
              </w:rPr>
              <w:t>40</w:t>
            </w:r>
            <w:r w:rsidRPr="00617A89">
              <w:rPr>
                <w:webHidden/>
              </w:rPr>
              <w:fldChar w:fldCharType="end"/>
            </w:r>
          </w:hyperlink>
        </w:p>
        <w:p w14:paraId="7B66426D" w14:textId="00F5A612"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55" w:history="1">
            <w:r w:rsidRPr="00617A89">
              <w:rPr>
                <w:rStyle w:val="Hyperlink"/>
              </w:rPr>
              <w:t>3.2.2</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Postgraduate coursework comparisons</w:t>
            </w:r>
            <w:r w:rsidRPr="00617A89">
              <w:rPr>
                <w:webHidden/>
              </w:rPr>
              <w:tab/>
            </w:r>
            <w:r w:rsidRPr="00617A89">
              <w:rPr>
                <w:webHidden/>
              </w:rPr>
              <w:fldChar w:fldCharType="begin"/>
            </w:r>
            <w:r w:rsidRPr="00617A89">
              <w:rPr>
                <w:webHidden/>
              </w:rPr>
              <w:instrText xml:space="preserve"> PAGEREF _Toc222868455 \h </w:instrText>
            </w:r>
            <w:r w:rsidRPr="00617A89">
              <w:rPr>
                <w:webHidden/>
              </w:rPr>
            </w:r>
            <w:r w:rsidRPr="00617A89">
              <w:rPr>
                <w:webHidden/>
              </w:rPr>
              <w:fldChar w:fldCharType="separate"/>
            </w:r>
            <w:r w:rsidR="002E7DD0" w:rsidRPr="00617A89">
              <w:rPr>
                <w:webHidden/>
              </w:rPr>
              <w:t>41</w:t>
            </w:r>
            <w:r w:rsidRPr="00617A89">
              <w:rPr>
                <w:webHidden/>
              </w:rPr>
              <w:fldChar w:fldCharType="end"/>
            </w:r>
          </w:hyperlink>
        </w:p>
        <w:p w14:paraId="1D0F3E45" w14:textId="09ED33BA"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56" w:history="1">
            <w:r w:rsidRPr="00617A89">
              <w:rPr>
                <w:rStyle w:val="Hyperlink"/>
              </w:rPr>
              <w:t>3.2.3</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Postgraduate research comparisons</w:t>
            </w:r>
            <w:r w:rsidRPr="00617A89">
              <w:rPr>
                <w:webHidden/>
              </w:rPr>
              <w:tab/>
            </w:r>
            <w:r w:rsidRPr="00617A89">
              <w:rPr>
                <w:webHidden/>
              </w:rPr>
              <w:fldChar w:fldCharType="begin"/>
            </w:r>
            <w:r w:rsidRPr="00617A89">
              <w:rPr>
                <w:webHidden/>
              </w:rPr>
              <w:instrText xml:space="preserve"> PAGEREF _Toc222868456 \h </w:instrText>
            </w:r>
            <w:r w:rsidRPr="00617A89">
              <w:rPr>
                <w:webHidden/>
              </w:rPr>
            </w:r>
            <w:r w:rsidRPr="00617A89">
              <w:rPr>
                <w:webHidden/>
              </w:rPr>
              <w:fldChar w:fldCharType="separate"/>
            </w:r>
            <w:r w:rsidR="002E7DD0" w:rsidRPr="00617A89">
              <w:rPr>
                <w:webHidden/>
              </w:rPr>
              <w:t>42</w:t>
            </w:r>
            <w:r w:rsidRPr="00617A89">
              <w:rPr>
                <w:webHidden/>
              </w:rPr>
              <w:fldChar w:fldCharType="end"/>
            </w:r>
          </w:hyperlink>
        </w:p>
        <w:p w14:paraId="6CD49B7B" w14:textId="73C9180B"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57" w:history="1">
            <w:r w:rsidRPr="00617A89">
              <w:rPr>
                <w:rStyle w:val="Hyperlink"/>
              </w:rPr>
              <w:t>3.2.4</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Study area</w:t>
            </w:r>
            <w:r w:rsidRPr="00617A89">
              <w:rPr>
                <w:webHidden/>
              </w:rPr>
              <w:tab/>
            </w:r>
            <w:r w:rsidRPr="00617A89">
              <w:rPr>
                <w:webHidden/>
              </w:rPr>
              <w:fldChar w:fldCharType="begin"/>
            </w:r>
            <w:r w:rsidRPr="00617A89">
              <w:rPr>
                <w:webHidden/>
              </w:rPr>
              <w:instrText xml:space="preserve"> PAGEREF _Toc222868457 \h </w:instrText>
            </w:r>
            <w:r w:rsidRPr="00617A89">
              <w:rPr>
                <w:webHidden/>
              </w:rPr>
            </w:r>
            <w:r w:rsidRPr="00617A89">
              <w:rPr>
                <w:webHidden/>
              </w:rPr>
              <w:fldChar w:fldCharType="separate"/>
            </w:r>
            <w:r w:rsidR="002E7DD0" w:rsidRPr="00617A89">
              <w:rPr>
                <w:webHidden/>
              </w:rPr>
              <w:t>44</w:t>
            </w:r>
            <w:r w:rsidRPr="00617A89">
              <w:rPr>
                <w:webHidden/>
              </w:rPr>
              <w:fldChar w:fldCharType="end"/>
            </w:r>
          </w:hyperlink>
        </w:p>
        <w:p w14:paraId="335DA34A" w14:textId="0D76BF36"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58" w:history="1">
            <w:r w:rsidRPr="00617A89">
              <w:rPr>
                <w:rStyle w:val="Hyperlink"/>
                <w:lang w:val="en-GB"/>
              </w:rPr>
              <w:t>3.3.</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lang w:val="en-GB"/>
              </w:rPr>
              <w:t>Source country</w:t>
            </w:r>
            <w:r w:rsidRPr="00617A89">
              <w:rPr>
                <w:webHidden/>
              </w:rPr>
              <w:tab/>
            </w:r>
            <w:r w:rsidRPr="00617A89">
              <w:rPr>
                <w:webHidden/>
              </w:rPr>
              <w:fldChar w:fldCharType="begin"/>
            </w:r>
            <w:r w:rsidRPr="00617A89">
              <w:rPr>
                <w:webHidden/>
              </w:rPr>
              <w:instrText xml:space="preserve"> PAGEREF _Toc222868458 \h </w:instrText>
            </w:r>
            <w:r w:rsidRPr="00617A89">
              <w:rPr>
                <w:webHidden/>
              </w:rPr>
            </w:r>
            <w:r w:rsidRPr="00617A89">
              <w:rPr>
                <w:webHidden/>
              </w:rPr>
              <w:fldChar w:fldCharType="separate"/>
            </w:r>
            <w:r w:rsidR="002E7DD0" w:rsidRPr="00617A89">
              <w:rPr>
                <w:webHidden/>
              </w:rPr>
              <w:t>48</w:t>
            </w:r>
            <w:r w:rsidRPr="00617A89">
              <w:rPr>
                <w:webHidden/>
              </w:rPr>
              <w:fldChar w:fldCharType="end"/>
            </w:r>
          </w:hyperlink>
        </w:p>
        <w:p w14:paraId="2A4E0D0D" w14:textId="7DE43583" w:rsidR="000539F2" w:rsidRPr="00617A89" w:rsidRDefault="000539F2">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22868459" w:history="1">
            <w:r w:rsidRPr="00617A89">
              <w:rPr>
                <w:rStyle w:val="Hyperlink"/>
              </w:rPr>
              <w:t>Appendix 1</w:t>
            </w:r>
            <w:r w:rsidRPr="00617A89">
              <w:rPr>
                <w:rFonts w:asciiTheme="minorHAnsi" w:eastAsiaTheme="minorEastAsia" w:hAnsiTheme="minorHAnsi" w:cstheme="minorBidi"/>
                <w:b w:val="0"/>
                <w:kern w:val="2"/>
                <w:sz w:val="24"/>
                <w:szCs w:val="24"/>
                <w:lang w:eastAsia="en-AU"/>
                <w14:ligatures w14:val="standardContextual"/>
              </w:rPr>
              <w:tab/>
            </w:r>
            <w:r w:rsidRPr="00617A89">
              <w:rPr>
                <w:rStyle w:val="Hyperlink"/>
              </w:rPr>
              <w:t>Changes to labour force classification</w:t>
            </w:r>
            <w:r w:rsidRPr="00617A89">
              <w:rPr>
                <w:webHidden/>
              </w:rPr>
              <w:tab/>
            </w:r>
            <w:r w:rsidRPr="00617A89">
              <w:rPr>
                <w:webHidden/>
              </w:rPr>
              <w:fldChar w:fldCharType="begin"/>
            </w:r>
            <w:r w:rsidRPr="00617A89">
              <w:rPr>
                <w:webHidden/>
              </w:rPr>
              <w:instrText xml:space="preserve"> PAGEREF _Toc222868459 \h </w:instrText>
            </w:r>
            <w:r w:rsidRPr="00617A89">
              <w:rPr>
                <w:webHidden/>
              </w:rPr>
            </w:r>
            <w:r w:rsidRPr="00617A89">
              <w:rPr>
                <w:webHidden/>
              </w:rPr>
              <w:fldChar w:fldCharType="separate"/>
            </w:r>
            <w:r w:rsidR="002E7DD0" w:rsidRPr="00617A89">
              <w:rPr>
                <w:webHidden/>
              </w:rPr>
              <w:t>51</w:t>
            </w:r>
            <w:r w:rsidRPr="00617A89">
              <w:rPr>
                <w:webHidden/>
              </w:rPr>
              <w:fldChar w:fldCharType="end"/>
            </w:r>
          </w:hyperlink>
        </w:p>
        <w:p w14:paraId="0F5763EC" w14:textId="6D31D911"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60" w:history="1">
            <w:r w:rsidRPr="00617A89">
              <w:rPr>
                <w:rStyle w:val="Hyperlink"/>
              </w:rPr>
              <w:t>A1.1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Changes made to the survey instrument</w:t>
            </w:r>
            <w:r w:rsidRPr="00617A89">
              <w:rPr>
                <w:webHidden/>
              </w:rPr>
              <w:tab/>
            </w:r>
            <w:r w:rsidRPr="00617A89">
              <w:rPr>
                <w:webHidden/>
              </w:rPr>
              <w:fldChar w:fldCharType="begin"/>
            </w:r>
            <w:r w:rsidRPr="00617A89">
              <w:rPr>
                <w:webHidden/>
              </w:rPr>
              <w:instrText xml:space="preserve"> PAGEREF _Toc222868460 \h </w:instrText>
            </w:r>
            <w:r w:rsidRPr="00617A89">
              <w:rPr>
                <w:webHidden/>
              </w:rPr>
            </w:r>
            <w:r w:rsidRPr="00617A89">
              <w:rPr>
                <w:webHidden/>
              </w:rPr>
              <w:fldChar w:fldCharType="separate"/>
            </w:r>
            <w:r w:rsidR="002E7DD0" w:rsidRPr="00617A89">
              <w:rPr>
                <w:webHidden/>
              </w:rPr>
              <w:t>51</w:t>
            </w:r>
            <w:r w:rsidRPr="00617A89">
              <w:rPr>
                <w:webHidden/>
              </w:rPr>
              <w:fldChar w:fldCharType="end"/>
            </w:r>
          </w:hyperlink>
        </w:p>
        <w:p w14:paraId="26A1110E" w14:textId="0D8C6B37"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61" w:history="1">
            <w:r w:rsidRPr="00617A89">
              <w:rPr>
                <w:rStyle w:val="Hyperlink"/>
              </w:rPr>
              <w:t>A1.2</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Impact on the 2025 GOS and 2025 GOS-L data</w:t>
            </w:r>
            <w:r w:rsidRPr="00617A89">
              <w:rPr>
                <w:webHidden/>
              </w:rPr>
              <w:tab/>
            </w:r>
            <w:r w:rsidRPr="00617A89">
              <w:rPr>
                <w:webHidden/>
              </w:rPr>
              <w:fldChar w:fldCharType="begin"/>
            </w:r>
            <w:r w:rsidRPr="00617A89">
              <w:rPr>
                <w:webHidden/>
              </w:rPr>
              <w:instrText xml:space="preserve"> PAGEREF _Toc222868461 \h </w:instrText>
            </w:r>
            <w:r w:rsidRPr="00617A89">
              <w:rPr>
                <w:webHidden/>
              </w:rPr>
            </w:r>
            <w:r w:rsidRPr="00617A89">
              <w:rPr>
                <w:webHidden/>
              </w:rPr>
              <w:fldChar w:fldCharType="separate"/>
            </w:r>
            <w:r w:rsidR="002E7DD0" w:rsidRPr="00617A89">
              <w:rPr>
                <w:webHidden/>
              </w:rPr>
              <w:t>54</w:t>
            </w:r>
            <w:r w:rsidRPr="00617A89">
              <w:rPr>
                <w:webHidden/>
              </w:rPr>
              <w:fldChar w:fldCharType="end"/>
            </w:r>
          </w:hyperlink>
        </w:p>
        <w:p w14:paraId="0C180208" w14:textId="1F88FC6F" w:rsidR="000539F2" w:rsidRPr="00617A89" w:rsidRDefault="000539F2">
          <w:pPr>
            <w:pStyle w:val="TOC3"/>
            <w:rPr>
              <w:rFonts w:asciiTheme="minorHAnsi" w:eastAsiaTheme="minorEastAsia" w:hAnsiTheme="minorHAnsi" w:cstheme="minorBidi"/>
              <w:kern w:val="2"/>
              <w:sz w:val="24"/>
              <w:szCs w:val="24"/>
              <w:lang w:eastAsia="en-AU"/>
              <w14:ligatures w14:val="standardContextual"/>
            </w:rPr>
          </w:pPr>
          <w:hyperlink w:anchor="_Toc222868462" w:history="1">
            <w:r w:rsidRPr="00617A89">
              <w:rPr>
                <w:rStyle w:val="Hyperlink"/>
              </w:rPr>
              <w:t>A1.2.1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Changes to key labour market indicator definitions</w:t>
            </w:r>
            <w:r w:rsidRPr="00617A89">
              <w:rPr>
                <w:webHidden/>
              </w:rPr>
              <w:tab/>
            </w:r>
            <w:r w:rsidRPr="00617A89">
              <w:rPr>
                <w:webHidden/>
              </w:rPr>
              <w:fldChar w:fldCharType="begin"/>
            </w:r>
            <w:r w:rsidRPr="00617A89">
              <w:rPr>
                <w:webHidden/>
              </w:rPr>
              <w:instrText xml:space="preserve"> PAGEREF _Toc222868462 \h </w:instrText>
            </w:r>
            <w:r w:rsidRPr="00617A89">
              <w:rPr>
                <w:webHidden/>
              </w:rPr>
            </w:r>
            <w:r w:rsidRPr="00617A89">
              <w:rPr>
                <w:webHidden/>
              </w:rPr>
              <w:fldChar w:fldCharType="separate"/>
            </w:r>
            <w:r w:rsidR="002E7DD0" w:rsidRPr="00617A89">
              <w:rPr>
                <w:webHidden/>
              </w:rPr>
              <w:t>54</w:t>
            </w:r>
            <w:r w:rsidRPr="00617A89">
              <w:rPr>
                <w:webHidden/>
              </w:rPr>
              <w:fldChar w:fldCharType="end"/>
            </w:r>
          </w:hyperlink>
        </w:p>
        <w:p w14:paraId="1012AC60" w14:textId="12BB1652"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63" w:history="1">
            <w:r w:rsidRPr="00617A89">
              <w:rPr>
                <w:rStyle w:val="Hyperlink"/>
              </w:rPr>
              <w:t>A1.3</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Analysis of time series break</w:t>
            </w:r>
            <w:r w:rsidRPr="00617A89">
              <w:rPr>
                <w:webHidden/>
              </w:rPr>
              <w:tab/>
            </w:r>
            <w:r w:rsidRPr="00617A89">
              <w:rPr>
                <w:webHidden/>
              </w:rPr>
              <w:fldChar w:fldCharType="begin"/>
            </w:r>
            <w:r w:rsidRPr="00617A89">
              <w:rPr>
                <w:webHidden/>
              </w:rPr>
              <w:instrText xml:space="preserve"> PAGEREF _Toc222868463 \h </w:instrText>
            </w:r>
            <w:r w:rsidRPr="00617A89">
              <w:rPr>
                <w:webHidden/>
              </w:rPr>
            </w:r>
            <w:r w:rsidRPr="00617A89">
              <w:rPr>
                <w:webHidden/>
              </w:rPr>
              <w:fldChar w:fldCharType="separate"/>
            </w:r>
            <w:r w:rsidR="002E7DD0" w:rsidRPr="00617A89">
              <w:rPr>
                <w:webHidden/>
              </w:rPr>
              <w:t>55</w:t>
            </w:r>
            <w:r w:rsidRPr="00617A89">
              <w:rPr>
                <w:webHidden/>
              </w:rPr>
              <w:fldChar w:fldCharType="end"/>
            </w:r>
          </w:hyperlink>
        </w:p>
        <w:p w14:paraId="376B8C95" w14:textId="4B33059B"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64" w:history="1">
            <w:r w:rsidRPr="00617A89">
              <w:rPr>
                <w:rStyle w:val="Hyperlink"/>
              </w:rPr>
              <w:t>A1.4</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Conclusion</w:t>
            </w:r>
            <w:r w:rsidRPr="00617A89">
              <w:rPr>
                <w:webHidden/>
              </w:rPr>
              <w:tab/>
            </w:r>
            <w:r w:rsidRPr="00617A89">
              <w:rPr>
                <w:webHidden/>
              </w:rPr>
              <w:fldChar w:fldCharType="begin"/>
            </w:r>
            <w:r w:rsidRPr="00617A89">
              <w:rPr>
                <w:webHidden/>
              </w:rPr>
              <w:instrText xml:space="preserve"> PAGEREF _Toc222868464 \h </w:instrText>
            </w:r>
            <w:r w:rsidRPr="00617A89">
              <w:rPr>
                <w:webHidden/>
              </w:rPr>
            </w:r>
            <w:r w:rsidRPr="00617A89">
              <w:rPr>
                <w:webHidden/>
              </w:rPr>
              <w:fldChar w:fldCharType="separate"/>
            </w:r>
            <w:r w:rsidR="002E7DD0" w:rsidRPr="00617A89">
              <w:rPr>
                <w:webHidden/>
              </w:rPr>
              <w:t>57</w:t>
            </w:r>
            <w:r w:rsidRPr="00617A89">
              <w:rPr>
                <w:webHidden/>
              </w:rPr>
              <w:fldChar w:fldCharType="end"/>
            </w:r>
          </w:hyperlink>
        </w:p>
        <w:p w14:paraId="33FD0254" w14:textId="6D612403" w:rsidR="000539F2" w:rsidRPr="00617A89" w:rsidRDefault="000539F2">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22868465" w:history="1">
            <w:r w:rsidRPr="00617A89">
              <w:rPr>
                <w:rStyle w:val="Hyperlink"/>
              </w:rPr>
              <w:t>Appendix 2</w:t>
            </w:r>
            <w:r w:rsidRPr="00617A89">
              <w:rPr>
                <w:rFonts w:asciiTheme="minorHAnsi" w:eastAsiaTheme="minorEastAsia" w:hAnsiTheme="minorHAnsi" w:cstheme="minorBidi"/>
                <w:b w:val="0"/>
                <w:kern w:val="2"/>
                <w:sz w:val="24"/>
                <w:szCs w:val="24"/>
                <w:lang w:eastAsia="en-AU"/>
                <w14:ligatures w14:val="standardContextual"/>
              </w:rPr>
              <w:tab/>
            </w:r>
            <w:r w:rsidRPr="00617A89">
              <w:rPr>
                <w:rStyle w:val="Hyperlink"/>
              </w:rPr>
              <w:t>Labour market and graduate satisfaction definitions</w:t>
            </w:r>
            <w:r w:rsidRPr="00617A89">
              <w:rPr>
                <w:webHidden/>
              </w:rPr>
              <w:tab/>
            </w:r>
            <w:r w:rsidRPr="00617A89">
              <w:rPr>
                <w:webHidden/>
              </w:rPr>
              <w:fldChar w:fldCharType="begin"/>
            </w:r>
            <w:r w:rsidRPr="00617A89">
              <w:rPr>
                <w:webHidden/>
              </w:rPr>
              <w:instrText xml:space="preserve"> PAGEREF _Toc222868465 \h </w:instrText>
            </w:r>
            <w:r w:rsidRPr="00617A89">
              <w:rPr>
                <w:webHidden/>
              </w:rPr>
            </w:r>
            <w:r w:rsidRPr="00617A89">
              <w:rPr>
                <w:webHidden/>
              </w:rPr>
              <w:fldChar w:fldCharType="separate"/>
            </w:r>
            <w:r w:rsidR="002E7DD0" w:rsidRPr="00617A89">
              <w:rPr>
                <w:webHidden/>
              </w:rPr>
              <w:t>58</w:t>
            </w:r>
            <w:r w:rsidRPr="00617A89">
              <w:rPr>
                <w:webHidden/>
              </w:rPr>
              <w:fldChar w:fldCharType="end"/>
            </w:r>
          </w:hyperlink>
        </w:p>
        <w:p w14:paraId="0C4F0DF6" w14:textId="1829501D"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66" w:history="1">
            <w:r w:rsidRPr="00617A89">
              <w:rPr>
                <w:rStyle w:val="Hyperlink"/>
              </w:rPr>
              <w:t>A2.1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Examples of graduate labour market outcomes</w:t>
            </w:r>
            <w:r w:rsidRPr="00617A89">
              <w:rPr>
                <w:webHidden/>
              </w:rPr>
              <w:tab/>
            </w:r>
            <w:r w:rsidRPr="00617A89">
              <w:rPr>
                <w:webHidden/>
              </w:rPr>
              <w:fldChar w:fldCharType="begin"/>
            </w:r>
            <w:r w:rsidRPr="00617A89">
              <w:rPr>
                <w:webHidden/>
              </w:rPr>
              <w:instrText xml:space="preserve"> PAGEREF _Toc222868466 \h </w:instrText>
            </w:r>
            <w:r w:rsidRPr="00617A89">
              <w:rPr>
                <w:webHidden/>
              </w:rPr>
            </w:r>
            <w:r w:rsidRPr="00617A89">
              <w:rPr>
                <w:webHidden/>
              </w:rPr>
              <w:fldChar w:fldCharType="separate"/>
            </w:r>
            <w:r w:rsidR="002E7DD0" w:rsidRPr="00617A89">
              <w:rPr>
                <w:webHidden/>
              </w:rPr>
              <w:t>58</w:t>
            </w:r>
            <w:r w:rsidRPr="00617A89">
              <w:rPr>
                <w:webHidden/>
              </w:rPr>
              <w:fldChar w:fldCharType="end"/>
            </w:r>
          </w:hyperlink>
        </w:p>
        <w:p w14:paraId="4FD747BF" w14:textId="5347BA7B" w:rsidR="000539F2" w:rsidRPr="00617A89" w:rsidRDefault="000539F2">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22868467" w:history="1">
            <w:r w:rsidRPr="00617A89">
              <w:rPr>
                <w:rStyle w:val="Hyperlink"/>
              </w:rPr>
              <w:t>Appendix 3</w:t>
            </w:r>
            <w:r w:rsidRPr="00617A89">
              <w:rPr>
                <w:rFonts w:asciiTheme="minorHAnsi" w:eastAsiaTheme="minorEastAsia" w:hAnsiTheme="minorHAnsi" w:cstheme="minorBidi"/>
                <w:b w:val="0"/>
                <w:kern w:val="2"/>
                <w:sz w:val="24"/>
                <w:szCs w:val="24"/>
                <w:lang w:eastAsia="en-AU"/>
                <w14:ligatures w14:val="standardContextual"/>
              </w:rPr>
              <w:tab/>
            </w:r>
            <w:r w:rsidRPr="00617A89">
              <w:rPr>
                <w:rStyle w:val="Hyperlink"/>
              </w:rPr>
              <w:t>Detailed tables</w:t>
            </w:r>
            <w:r w:rsidRPr="00617A89">
              <w:rPr>
                <w:webHidden/>
              </w:rPr>
              <w:tab/>
            </w:r>
            <w:r w:rsidRPr="00617A89">
              <w:rPr>
                <w:webHidden/>
              </w:rPr>
              <w:fldChar w:fldCharType="begin"/>
            </w:r>
            <w:r w:rsidRPr="00617A89">
              <w:rPr>
                <w:webHidden/>
              </w:rPr>
              <w:instrText xml:space="preserve"> PAGEREF _Toc222868467 \h </w:instrText>
            </w:r>
            <w:r w:rsidRPr="00617A89">
              <w:rPr>
                <w:webHidden/>
              </w:rPr>
            </w:r>
            <w:r w:rsidRPr="00617A89">
              <w:rPr>
                <w:webHidden/>
              </w:rPr>
              <w:fldChar w:fldCharType="separate"/>
            </w:r>
            <w:r w:rsidR="002E7DD0" w:rsidRPr="00617A89">
              <w:rPr>
                <w:webHidden/>
              </w:rPr>
              <w:t>60</w:t>
            </w:r>
            <w:r w:rsidRPr="00617A89">
              <w:rPr>
                <w:webHidden/>
              </w:rPr>
              <w:fldChar w:fldCharType="end"/>
            </w:r>
          </w:hyperlink>
        </w:p>
        <w:p w14:paraId="10E838C4" w14:textId="609EBE47"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68" w:history="1">
            <w:r w:rsidRPr="00617A89">
              <w:rPr>
                <w:rStyle w:val="Hyperlink"/>
              </w:rPr>
              <w:t>A3.1</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Study area</w:t>
            </w:r>
            <w:r w:rsidRPr="00617A89">
              <w:rPr>
                <w:webHidden/>
              </w:rPr>
              <w:tab/>
            </w:r>
            <w:r w:rsidRPr="00617A89">
              <w:rPr>
                <w:webHidden/>
              </w:rPr>
              <w:fldChar w:fldCharType="begin"/>
            </w:r>
            <w:r w:rsidRPr="00617A89">
              <w:rPr>
                <w:webHidden/>
              </w:rPr>
              <w:instrText xml:space="preserve"> PAGEREF _Toc222868468 \h </w:instrText>
            </w:r>
            <w:r w:rsidRPr="00617A89">
              <w:rPr>
                <w:webHidden/>
              </w:rPr>
            </w:r>
            <w:r w:rsidRPr="00617A89">
              <w:rPr>
                <w:webHidden/>
              </w:rPr>
              <w:fldChar w:fldCharType="separate"/>
            </w:r>
            <w:r w:rsidR="002E7DD0" w:rsidRPr="00617A89">
              <w:rPr>
                <w:webHidden/>
              </w:rPr>
              <w:t>60</w:t>
            </w:r>
            <w:r w:rsidRPr="00617A89">
              <w:rPr>
                <w:webHidden/>
              </w:rPr>
              <w:fldChar w:fldCharType="end"/>
            </w:r>
          </w:hyperlink>
        </w:p>
        <w:p w14:paraId="37D66A88" w14:textId="6548A523"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69" w:history="1">
            <w:r w:rsidRPr="00617A89">
              <w:rPr>
                <w:rStyle w:val="Hyperlink"/>
              </w:rPr>
              <w:t>A3.2</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Gender pay gap</w:t>
            </w:r>
            <w:r w:rsidRPr="00617A89">
              <w:rPr>
                <w:webHidden/>
              </w:rPr>
              <w:tab/>
            </w:r>
            <w:r w:rsidRPr="00617A89">
              <w:rPr>
                <w:webHidden/>
              </w:rPr>
              <w:fldChar w:fldCharType="begin"/>
            </w:r>
            <w:r w:rsidRPr="00617A89">
              <w:rPr>
                <w:webHidden/>
              </w:rPr>
              <w:instrText xml:space="preserve"> PAGEREF _Toc222868469 \h </w:instrText>
            </w:r>
            <w:r w:rsidRPr="00617A89">
              <w:rPr>
                <w:webHidden/>
              </w:rPr>
            </w:r>
            <w:r w:rsidRPr="00617A89">
              <w:rPr>
                <w:webHidden/>
              </w:rPr>
              <w:fldChar w:fldCharType="separate"/>
            </w:r>
            <w:r w:rsidR="002E7DD0" w:rsidRPr="00617A89">
              <w:rPr>
                <w:webHidden/>
              </w:rPr>
              <w:t>63</w:t>
            </w:r>
            <w:r w:rsidRPr="00617A89">
              <w:rPr>
                <w:webHidden/>
              </w:rPr>
              <w:fldChar w:fldCharType="end"/>
            </w:r>
          </w:hyperlink>
        </w:p>
        <w:p w14:paraId="37C1A724" w14:textId="0D55BCA1" w:rsidR="000539F2" w:rsidRPr="00617A89" w:rsidRDefault="000539F2">
          <w:pPr>
            <w:pStyle w:val="TOC2"/>
            <w:rPr>
              <w:rFonts w:asciiTheme="minorHAnsi" w:eastAsiaTheme="minorEastAsia" w:hAnsiTheme="minorHAnsi" w:cstheme="minorBidi"/>
              <w:kern w:val="2"/>
              <w:sz w:val="24"/>
              <w:szCs w:val="24"/>
              <w:lang w:eastAsia="en-AU"/>
              <w14:ligatures w14:val="standardContextual"/>
            </w:rPr>
          </w:pPr>
          <w:hyperlink w:anchor="_Toc222868470" w:history="1">
            <w:r w:rsidRPr="00617A89">
              <w:rPr>
                <w:rStyle w:val="Hyperlink"/>
              </w:rPr>
              <w:t>A3.3</w:t>
            </w:r>
            <w:r w:rsidRPr="00617A89">
              <w:rPr>
                <w:rFonts w:asciiTheme="minorHAnsi" w:eastAsiaTheme="minorEastAsia" w:hAnsiTheme="minorHAnsi" w:cstheme="minorBidi"/>
                <w:kern w:val="2"/>
                <w:sz w:val="24"/>
                <w:szCs w:val="24"/>
                <w:lang w:eastAsia="en-AU"/>
                <w14:ligatures w14:val="standardContextual"/>
              </w:rPr>
              <w:tab/>
            </w:r>
            <w:r w:rsidRPr="00617A89">
              <w:rPr>
                <w:rStyle w:val="Hyperlink"/>
              </w:rPr>
              <w:t>Institution tables</w:t>
            </w:r>
            <w:r w:rsidRPr="00617A89">
              <w:rPr>
                <w:webHidden/>
              </w:rPr>
              <w:tab/>
            </w:r>
            <w:r w:rsidRPr="00617A89">
              <w:rPr>
                <w:webHidden/>
              </w:rPr>
              <w:fldChar w:fldCharType="begin"/>
            </w:r>
            <w:r w:rsidRPr="00617A89">
              <w:rPr>
                <w:webHidden/>
              </w:rPr>
              <w:instrText xml:space="preserve"> PAGEREF _Toc222868470 \h </w:instrText>
            </w:r>
            <w:r w:rsidRPr="00617A89">
              <w:rPr>
                <w:webHidden/>
              </w:rPr>
            </w:r>
            <w:r w:rsidRPr="00617A89">
              <w:rPr>
                <w:webHidden/>
              </w:rPr>
              <w:fldChar w:fldCharType="separate"/>
            </w:r>
            <w:r w:rsidR="002E7DD0" w:rsidRPr="00617A89">
              <w:rPr>
                <w:webHidden/>
              </w:rPr>
              <w:t>64</w:t>
            </w:r>
            <w:r w:rsidRPr="00617A89">
              <w:rPr>
                <w:webHidden/>
              </w:rPr>
              <w:fldChar w:fldCharType="end"/>
            </w:r>
          </w:hyperlink>
        </w:p>
        <w:p w14:paraId="1808BCBA" w14:textId="1B35F1B6" w:rsidR="006A1804" w:rsidRPr="00617A89" w:rsidRDefault="006A1804">
          <w:pPr>
            <w:rPr>
              <w:color w:val="000000" w:themeColor="text1"/>
            </w:rPr>
          </w:pPr>
          <w:r w:rsidRPr="00617A89">
            <w:rPr>
              <w:b/>
              <w:bCs/>
              <w:noProof/>
              <w:color w:val="000000" w:themeColor="text1"/>
            </w:rPr>
            <w:fldChar w:fldCharType="end"/>
          </w:r>
        </w:p>
      </w:sdtContent>
    </w:sdt>
    <w:p w14:paraId="2DC774F0" w14:textId="77777777" w:rsidR="006A1804" w:rsidRPr="00617A89" w:rsidRDefault="006A1804">
      <w:pPr>
        <w:pStyle w:val="TableofFigures"/>
        <w:tabs>
          <w:tab w:val="right" w:leader="dot" w:pos="10450"/>
        </w:tabs>
        <w:sectPr w:rsidR="006A1804" w:rsidRPr="00617A89" w:rsidSect="007B0C64">
          <w:headerReference w:type="even" r:id="rId37"/>
          <w:headerReference w:type="default" r:id="rId38"/>
          <w:headerReference w:type="first" r:id="rId39"/>
          <w:footerReference w:type="first" r:id="rId40"/>
          <w:pgSz w:w="11900" w:h="16840"/>
          <w:pgMar w:top="720" w:right="720" w:bottom="720" w:left="720" w:header="567" w:footer="567" w:gutter="0"/>
          <w:pgNumType w:fmt="lowerRoman"/>
          <w:cols w:space="708"/>
          <w:docGrid w:linePitch="360"/>
        </w:sectPr>
      </w:pPr>
      <w:r w:rsidRPr="00617A89">
        <w:tab/>
      </w:r>
    </w:p>
    <w:p w14:paraId="7568BDA4" w14:textId="05ED86CC" w:rsidR="006A1804" w:rsidRPr="00617A89" w:rsidRDefault="006A1804" w:rsidP="006A1804">
      <w:pPr>
        <w:rPr>
          <w:color w:val="000000" w:themeColor="text1"/>
          <w:sz w:val="40"/>
          <w:szCs w:val="40"/>
        </w:rPr>
      </w:pPr>
      <w:r w:rsidRPr="00617A89">
        <w:rPr>
          <w:color w:val="000000" w:themeColor="text1"/>
          <w:sz w:val="40"/>
          <w:szCs w:val="40"/>
        </w:rPr>
        <w:t>List of tables</w:t>
      </w:r>
    </w:p>
    <w:p w14:paraId="48C3D33C" w14:textId="77777777" w:rsidR="006A1804" w:rsidRPr="00617A89" w:rsidRDefault="006A1804">
      <w:pPr>
        <w:pStyle w:val="TableofFigures"/>
        <w:tabs>
          <w:tab w:val="right" w:leader="dot" w:pos="10450"/>
        </w:tabs>
      </w:pPr>
    </w:p>
    <w:p w14:paraId="0D6200E7" w14:textId="053CBAAC" w:rsidR="000539F2" w:rsidRPr="00617A89" w:rsidRDefault="006A1804">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r w:rsidRPr="00617A89">
        <w:fldChar w:fldCharType="begin"/>
      </w:r>
      <w:r w:rsidRPr="00617A89">
        <w:instrText xml:space="preserve"> TOC \h \z \c "Table" </w:instrText>
      </w:r>
      <w:r w:rsidRPr="00617A89">
        <w:fldChar w:fldCharType="separate"/>
      </w:r>
      <w:hyperlink w:anchor="_Toc222868471" w:history="1">
        <w:r w:rsidR="000539F2" w:rsidRPr="00617A89">
          <w:rPr>
            <w:rStyle w:val="Hyperlink"/>
            <w:noProof/>
          </w:rPr>
          <w:t>Table 1</w:t>
        </w:r>
        <w:r w:rsidR="000539F2" w:rsidRPr="00617A89">
          <w:rPr>
            <w:rFonts w:asciiTheme="minorHAnsi" w:eastAsiaTheme="minorEastAsia" w:hAnsiTheme="minorHAnsi"/>
            <w:noProof/>
            <w:color w:val="auto"/>
            <w:kern w:val="2"/>
            <w:sz w:val="24"/>
            <w:szCs w:val="24"/>
            <w:lang w:eastAsia="en-AU"/>
            <w14:ligatures w14:val="standardContextual"/>
          </w:rPr>
          <w:tab/>
        </w:r>
        <w:r w:rsidR="000539F2" w:rsidRPr="00617A89">
          <w:rPr>
            <w:rStyle w:val="Hyperlink"/>
            <w:noProof/>
          </w:rPr>
          <w:t>Main reason not working more hours, of graduates employed part-time who would prefer to work more hours (% of those employed)</w:t>
        </w:r>
        <w:r w:rsidR="000539F2" w:rsidRPr="00617A89">
          <w:rPr>
            <w:noProof/>
            <w:webHidden/>
          </w:rPr>
          <w:tab/>
        </w:r>
        <w:r w:rsidR="000539F2" w:rsidRPr="00617A89">
          <w:rPr>
            <w:noProof/>
            <w:webHidden/>
          </w:rPr>
          <w:fldChar w:fldCharType="begin"/>
        </w:r>
        <w:r w:rsidR="000539F2" w:rsidRPr="00617A89">
          <w:rPr>
            <w:noProof/>
            <w:webHidden/>
          </w:rPr>
          <w:instrText xml:space="preserve"> PAGEREF _Toc222868471 \h </w:instrText>
        </w:r>
        <w:r w:rsidR="000539F2" w:rsidRPr="00617A89">
          <w:rPr>
            <w:noProof/>
            <w:webHidden/>
          </w:rPr>
        </w:r>
        <w:r w:rsidR="000539F2" w:rsidRPr="00617A89">
          <w:rPr>
            <w:noProof/>
            <w:webHidden/>
          </w:rPr>
          <w:fldChar w:fldCharType="separate"/>
        </w:r>
        <w:r w:rsidR="002E7DD0" w:rsidRPr="00617A89">
          <w:rPr>
            <w:noProof/>
            <w:webHidden/>
          </w:rPr>
          <w:t>11</w:t>
        </w:r>
        <w:r w:rsidR="000539F2" w:rsidRPr="00617A89">
          <w:rPr>
            <w:noProof/>
            <w:webHidden/>
          </w:rPr>
          <w:fldChar w:fldCharType="end"/>
        </w:r>
      </w:hyperlink>
    </w:p>
    <w:p w14:paraId="03C9464F" w14:textId="43A0ED0C"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72" w:history="1">
        <w:r w:rsidRPr="00617A89">
          <w:rPr>
            <w:rStyle w:val="Hyperlink"/>
            <w:noProof/>
          </w:rPr>
          <w:t>Table 2</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graduates employed in managerial and professional occupations by employment type and study level (% of those employed)</w:t>
        </w:r>
        <w:r w:rsidRPr="00617A89">
          <w:rPr>
            <w:noProof/>
            <w:webHidden/>
          </w:rPr>
          <w:tab/>
        </w:r>
        <w:r w:rsidRPr="00617A89">
          <w:rPr>
            <w:noProof/>
            <w:webHidden/>
          </w:rPr>
          <w:fldChar w:fldCharType="begin"/>
        </w:r>
        <w:r w:rsidRPr="00617A89">
          <w:rPr>
            <w:noProof/>
            <w:webHidden/>
          </w:rPr>
          <w:instrText xml:space="preserve"> PAGEREF _Toc222868472 \h </w:instrText>
        </w:r>
        <w:r w:rsidRPr="00617A89">
          <w:rPr>
            <w:noProof/>
            <w:webHidden/>
          </w:rPr>
        </w:r>
        <w:r w:rsidRPr="00617A89">
          <w:rPr>
            <w:noProof/>
            <w:webHidden/>
          </w:rPr>
          <w:fldChar w:fldCharType="separate"/>
        </w:r>
        <w:r w:rsidR="002E7DD0" w:rsidRPr="00617A89">
          <w:rPr>
            <w:noProof/>
            <w:webHidden/>
          </w:rPr>
          <w:t>12</w:t>
        </w:r>
        <w:r w:rsidRPr="00617A89">
          <w:rPr>
            <w:noProof/>
            <w:webHidden/>
          </w:rPr>
          <w:fldChar w:fldCharType="end"/>
        </w:r>
      </w:hyperlink>
    </w:p>
    <w:p w14:paraId="5B9AF481" w14:textId="68E64294"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73" w:history="1">
        <w:r w:rsidRPr="00617A89">
          <w:rPr>
            <w:rStyle w:val="Hyperlink"/>
            <w:noProof/>
          </w:rPr>
          <w:t>Table 3</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Main reason for working in a job that does not fully utilise skills and education, domestic graduates employed full-time, all occupations (%)</w:t>
        </w:r>
        <w:r w:rsidRPr="00617A89">
          <w:rPr>
            <w:noProof/>
            <w:webHidden/>
          </w:rPr>
          <w:tab/>
        </w:r>
        <w:r w:rsidRPr="00617A89">
          <w:rPr>
            <w:noProof/>
            <w:webHidden/>
          </w:rPr>
          <w:fldChar w:fldCharType="begin"/>
        </w:r>
        <w:r w:rsidRPr="00617A89">
          <w:rPr>
            <w:noProof/>
            <w:webHidden/>
          </w:rPr>
          <w:instrText xml:space="preserve"> PAGEREF _Toc222868473 \h </w:instrText>
        </w:r>
        <w:r w:rsidRPr="00617A89">
          <w:rPr>
            <w:noProof/>
            <w:webHidden/>
          </w:rPr>
        </w:r>
        <w:r w:rsidRPr="00617A89">
          <w:rPr>
            <w:noProof/>
            <w:webHidden/>
          </w:rPr>
          <w:fldChar w:fldCharType="separate"/>
        </w:r>
        <w:r w:rsidR="002E7DD0" w:rsidRPr="00617A89">
          <w:rPr>
            <w:noProof/>
            <w:webHidden/>
          </w:rPr>
          <w:t>16</w:t>
        </w:r>
        <w:r w:rsidRPr="00617A89">
          <w:rPr>
            <w:noProof/>
            <w:webHidden/>
          </w:rPr>
          <w:fldChar w:fldCharType="end"/>
        </w:r>
      </w:hyperlink>
    </w:p>
    <w:p w14:paraId="62A2CE5B" w14:textId="7982A4A8"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74" w:history="1">
        <w:r w:rsidRPr="00617A89">
          <w:rPr>
            <w:rStyle w:val="Hyperlink"/>
            <w:noProof/>
          </w:rPr>
          <w:t>Table 4</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undergraduate employment outcomes by demographic sub-group</w:t>
        </w:r>
        <w:r w:rsidRPr="00617A89">
          <w:rPr>
            <w:noProof/>
            <w:webHidden/>
          </w:rPr>
          <w:tab/>
        </w:r>
        <w:r w:rsidRPr="00617A89">
          <w:rPr>
            <w:noProof/>
            <w:webHidden/>
          </w:rPr>
          <w:fldChar w:fldCharType="begin"/>
        </w:r>
        <w:r w:rsidRPr="00617A89">
          <w:rPr>
            <w:noProof/>
            <w:webHidden/>
          </w:rPr>
          <w:instrText xml:space="preserve"> PAGEREF _Toc222868474 \h </w:instrText>
        </w:r>
        <w:r w:rsidRPr="00617A89">
          <w:rPr>
            <w:noProof/>
            <w:webHidden/>
          </w:rPr>
        </w:r>
        <w:r w:rsidRPr="00617A89">
          <w:rPr>
            <w:noProof/>
            <w:webHidden/>
          </w:rPr>
          <w:fldChar w:fldCharType="separate"/>
        </w:r>
        <w:r w:rsidR="002E7DD0" w:rsidRPr="00617A89">
          <w:rPr>
            <w:noProof/>
            <w:webHidden/>
          </w:rPr>
          <w:t>24</w:t>
        </w:r>
        <w:r w:rsidRPr="00617A89">
          <w:rPr>
            <w:noProof/>
            <w:webHidden/>
          </w:rPr>
          <w:fldChar w:fldCharType="end"/>
        </w:r>
      </w:hyperlink>
    </w:p>
    <w:p w14:paraId="1AD35C91" w14:textId="0626742F"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75" w:history="1">
        <w:r w:rsidRPr="00617A89">
          <w:rPr>
            <w:rStyle w:val="Hyperlink"/>
            <w:noProof/>
          </w:rPr>
          <w:t>Table 5</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undergraduate labour market and further study outcomes by study area</w:t>
        </w:r>
        <w:r w:rsidRPr="00617A89">
          <w:rPr>
            <w:noProof/>
            <w:webHidden/>
          </w:rPr>
          <w:tab/>
        </w:r>
        <w:r w:rsidRPr="00617A89">
          <w:rPr>
            <w:noProof/>
            <w:webHidden/>
          </w:rPr>
          <w:fldChar w:fldCharType="begin"/>
        </w:r>
        <w:r w:rsidRPr="00617A89">
          <w:rPr>
            <w:noProof/>
            <w:webHidden/>
          </w:rPr>
          <w:instrText xml:space="preserve"> PAGEREF _Toc222868475 \h </w:instrText>
        </w:r>
        <w:r w:rsidRPr="00617A89">
          <w:rPr>
            <w:noProof/>
            <w:webHidden/>
          </w:rPr>
        </w:r>
        <w:r w:rsidRPr="00617A89">
          <w:rPr>
            <w:noProof/>
            <w:webHidden/>
          </w:rPr>
          <w:fldChar w:fldCharType="separate"/>
        </w:r>
        <w:r w:rsidR="002E7DD0" w:rsidRPr="00617A89">
          <w:rPr>
            <w:noProof/>
            <w:webHidden/>
          </w:rPr>
          <w:t>29</w:t>
        </w:r>
        <w:r w:rsidRPr="00617A89">
          <w:rPr>
            <w:noProof/>
            <w:webHidden/>
          </w:rPr>
          <w:fldChar w:fldCharType="end"/>
        </w:r>
      </w:hyperlink>
    </w:p>
    <w:p w14:paraId="3992E28B" w14:textId="0E83FA75"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76" w:history="1">
        <w:r w:rsidRPr="00617A89">
          <w:rPr>
            <w:rStyle w:val="Hyperlink"/>
            <w:noProof/>
          </w:rPr>
          <w:t xml:space="preserve">Table 6 </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Short- and medium-term domestic graduate employment and study outcomes by level of study and institution type</w:t>
        </w:r>
        <w:r w:rsidRPr="00617A89">
          <w:rPr>
            <w:noProof/>
            <w:webHidden/>
          </w:rPr>
          <w:tab/>
        </w:r>
        <w:r w:rsidRPr="00617A89">
          <w:rPr>
            <w:noProof/>
            <w:webHidden/>
          </w:rPr>
          <w:fldChar w:fldCharType="begin"/>
        </w:r>
        <w:r w:rsidRPr="00617A89">
          <w:rPr>
            <w:noProof/>
            <w:webHidden/>
          </w:rPr>
          <w:instrText xml:space="preserve"> PAGEREF _Toc222868476 \h </w:instrText>
        </w:r>
        <w:r w:rsidRPr="00617A89">
          <w:rPr>
            <w:noProof/>
            <w:webHidden/>
          </w:rPr>
        </w:r>
        <w:r w:rsidRPr="00617A89">
          <w:rPr>
            <w:noProof/>
            <w:webHidden/>
          </w:rPr>
          <w:fldChar w:fldCharType="separate"/>
        </w:r>
        <w:r w:rsidR="002E7DD0" w:rsidRPr="00617A89">
          <w:rPr>
            <w:noProof/>
            <w:webHidden/>
          </w:rPr>
          <w:t>34</w:t>
        </w:r>
        <w:r w:rsidRPr="00617A89">
          <w:rPr>
            <w:noProof/>
            <w:webHidden/>
          </w:rPr>
          <w:fldChar w:fldCharType="end"/>
        </w:r>
      </w:hyperlink>
    </w:p>
    <w:p w14:paraId="5309CD5B" w14:textId="7F541204"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77" w:history="1">
        <w:r w:rsidRPr="00617A89">
          <w:rPr>
            <w:rStyle w:val="Hyperlink"/>
            <w:noProof/>
          </w:rPr>
          <w:t>Table 7</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Estimated impact of methodology change in the 2025 GOS-L</w:t>
        </w:r>
        <w:r w:rsidRPr="00617A89">
          <w:rPr>
            <w:noProof/>
            <w:webHidden/>
          </w:rPr>
          <w:tab/>
        </w:r>
        <w:r w:rsidRPr="00617A89">
          <w:rPr>
            <w:noProof/>
            <w:webHidden/>
          </w:rPr>
          <w:fldChar w:fldCharType="begin"/>
        </w:r>
        <w:r w:rsidRPr="00617A89">
          <w:rPr>
            <w:noProof/>
            <w:webHidden/>
          </w:rPr>
          <w:instrText xml:space="preserve"> PAGEREF _Toc222868477 \h </w:instrText>
        </w:r>
        <w:r w:rsidRPr="00617A89">
          <w:rPr>
            <w:noProof/>
            <w:webHidden/>
          </w:rPr>
        </w:r>
        <w:r w:rsidRPr="00617A89">
          <w:rPr>
            <w:noProof/>
            <w:webHidden/>
          </w:rPr>
          <w:fldChar w:fldCharType="separate"/>
        </w:r>
        <w:r w:rsidR="002E7DD0" w:rsidRPr="00617A89">
          <w:rPr>
            <w:noProof/>
            <w:webHidden/>
          </w:rPr>
          <w:t>40</w:t>
        </w:r>
        <w:r w:rsidRPr="00617A89">
          <w:rPr>
            <w:noProof/>
            <w:webHidden/>
          </w:rPr>
          <w:fldChar w:fldCharType="end"/>
        </w:r>
      </w:hyperlink>
    </w:p>
    <w:p w14:paraId="3A17F440" w14:textId="1695DA2C"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78" w:history="1">
        <w:r w:rsidRPr="00617A89">
          <w:rPr>
            <w:rStyle w:val="Hyperlink"/>
            <w:noProof/>
          </w:rPr>
          <w:t>Table 8</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Undergraduate short- and medium-term outcomes comparison: international and domestic graduates</w:t>
        </w:r>
        <w:r w:rsidRPr="00617A89">
          <w:rPr>
            <w:noProof/>
            <w:webHidden/>
          </w:rPr>
          <w:tab/>
        </w:r>
        <w:r w:rsidRPr="00617A89">
          <w:rPr>
            <w:noProof/>
            <w:webHidden/>
          </w:rPr>
          <w:fldChar w:fldCharType="begin"/>
        </w:r>
        <w:r w:rsidRPr="00617A89">
          <w:rPr>
            <w:noProof/>
            <w:webHidden/>
          </w:rPr>
          <w:instrText xml:space="preserve"> PAGEREF _Toc222868478 \h </w:instrText>
        </w:r>
        <w:r w:rsidRPr="00617A89">
          <w:rPr>
            <w:noProof/>
            <w:webHidden/>
          </w:rPr>
        </w:r>
        <w:r w:rsidRPr="00617A89">
          <w:rPr>
            <w:noProof/>
            <w:webHidden/>
          </w:rPr>
          <w:fldChar w:fldCharType="separate"/>
        </w:r>
        <w:r w:rsidR="002E7DD0" w:rsidRPr="00617A89">
          <w:rPr>
            <w:noProof/>
            <w:webHidden/>
          </w:rPr>
          <w:t>41</w:t>
        </w:r>
        <w:r w:rsidRPr="00617A89">
          <w:rPr>
            <w:noProof/>
            <w:webHidden/>
          </w:rPr>
          <w:fldChar w:fldCharType="end"/>
        </w:r>
      </w:hyperlink>
    </w:p>
    <w:p w14:paraId="44020D12" w14:textId="71AC1391"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79" w:history="1">
        <w:r w:rsidRPr="00617A89">
          <w:rPr>
            <w:rStyle w:val="Hyperlink"/>
            <w:noProof/>
          </w:rPr>
          <w:t>Table 9</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Postgraduate coursework short- and medium-term outcomes comparison: international and domestic graduates</w:t>
        </w:r>
        <w:r w:rsidRPr="00617A89">
          <w:rPr>
            <w:noProof/>
            <w:webHidden/>
          </w:rPr>
          <w:tab/>
        </w:r>
        <w:r w:rsidRPr="00617A89">
          <w:rPr>
            <w:noProof/>
            <w:webHidden/>
          </w:rPr>
          <w:fldChar w:fldCharType="begin"/>
        </w:r>
        <w:r w:rsidRPr="00617A89">
          <w:rPr>
            <w:noProof/>
            <w:webHidden/>
          </w:rPr>
          <w:instrText xml:space="preserve"> PAGEREF _Toc222868479 \h </w:instrText>
        </w:r>
        <w:r w:rsidRPr="00617A89">
          <w:rPr>
            <w:noProof/>
            <w:webHidden/>
          </w:rPr>
        </w:r>
        <w:r w:rsidRPr="00617A89">
          <w:rPr>
            <w:noProof/>
            <w:webHidden/>
          </w:rPr>
          <w:fldChar w:fldCharType="separate"/>
        </w:r>
        <w:r w:rsidR="002E7DD0" w:rsidRPr="00617A89">
          <w:rPr>
            <w:noProof/>
            <w:webHidden/>
          </w:rPr>
          <w:t>42</w:t>
        </w:r>
        <w:r w:rsidRPr="00617A89">
          <w:rPr>
            <w:noProof/>
            <w:webHidden/>
          </w:rPr>
          <w:fldChar w:fldCharType="end"/>
        </w:r>
      </w:hyperlink>
    </w:p>
    <w:p w14:paraId="1DBC52DE" w14:textId="30F51EF8"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0" w:history="1">
        <w:r w:rsidRPr="00617A89">
          <w:rPr>
            <w:rStyle w:val="Hyperlink"/>
            <w:noProof/>
          </w:rPr>
          <w:t>Table 10</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Postgraduate research short- and medium-term outcomes comparison: international and domestic graduates</w:t>
        </w:r>
        <w:r w:rsidRPr="00617A89">
          <w:rPr>
            <w:noProof/>
            <w:webHidden/>
          </w:rPr>
          <w:tab/>
        </w:r>
        <w:r w:rsidRPr="00617A89">
          <w:rPr>
            <w:noProof/>
            <w:webHidden/>
          </w:rPr>
          <w:fldChar w:fldCharType="begin"/>
        </w:r>
        <w:r w:rsidRPr="00617A89">
          <w:rPr>
            <w:noProof/>
            <w:webHidden/>
          </w:rPr>
          <w:instrText xml:space="preserve"> PAGEREF _Toc222868480 \h </w:instrText>
        </w:r>
        <w:r w:rsidRPr="00617A89">
          <w:rPr>
            <w:noProof/>
            <w:webHidden/>
          </w:rPr>
        </w:r>
        <w:r w:rsidRPr="00617A89">
          <w:rPr>
            <w:noProof/>
            <w:webHidden/>
          </w:rPr>
          <w:fldChar w:fldCharType="separate"/>
        </w:r>
        <w:r w:rsidR="002E7DD0" w:rsidRPr="00617A89">
          <w:rPr>
            <w:noProof/>
            <w:webHidden/>
          </w:rPr>
          <w:t>42</w:t>
        </w:r>
        <w:r w:rsidRPr="00617A89">
          <w:rPr>
            <w:noProof/>
            <w:webHidden/>
          </w:rPr>
          <w:fldChar w:fldCharType="end"/>
        </w:r>
      </w:hyperlink>
    </w:p>
    <w:p w14:paraId="5CC3D4A1" w14:textId="75C428EA"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1" w:history="1">
        <w:r w:rsidRPr="00617A89">
          <w:rPr>
            <w:rStyle w:val="Hyperlink"/>
            <w:noProof/>
          </w:rPr>
          <w:t>Table 11</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International undergraduate short- and medium-term outcomes by source country</w:t>
        </w:r>
        <w:r w:rsidRPr="00617A89">
          <w:rPr>
            <w:noProof/>
            <w:webHidden/>
          </w:rPr>
          <w:tab/>
        </w:r>
        <w:r w:rsidRPr="00617A89">
          <w:rPr>
            <w:noProof/>
            <w:webHidden/>
          </w:rPr>
          <w:fldChar w:fldCharType="begin"/>
        </w:r>
        <w:r w:rsidRPr="00617A89">
          <w:rPr>
            <w:noProof/>
            <w:webHidden/>
          </w:rPr>
          <w:instrText xml:space="preserve"> PAGEREF _Toc222868481 \h </w:instrText>
        </w:r>
        <w:r w:rsidRPr="00617A89">
          <w:rPr>
            <w:noProof/>
            <w:webHidden/>
          </w:rPr>
        </w:r>
        <w:r w:rsidRPr="00617A89">
          <w:rPr>
            <w:noProof/>
            <w:webHidden/>
          </w:rPr>
          <w:fldChar w:fldCharType="separate"/>
        </w:r>
        <w:r w:rsidR="002E7DD0" w:rsidRPr="00617A89">
          <w:rPr>
            <w:noProof/>
            <w:webHidden/>
          </w:rPr>
          <w:t>49</w:t>
        </w:r>
        <w:r w:rsidRPr="00617A89">
          <w:rPr>
            <w:noProof/>
            <w:webHidden/>
          </w:rPr>
          <w:fldChar w:fldCharType="end"/>
        </w:r>
      </w:hyperlink>
    </w:p>
    <w:p w14:paraId="5FC1175A" w14:textId="0199BCFC"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2" w:history="1">
        <w:r w:rsidRPr="00617A89">
          <w:rPr>
            <w:rStyle w:val="Hyperlink"/>
            <w:noProof/>
          </w:rPr>
          <w:t>Table 12</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International postgraduate coursework short- and medium-term outcomes by source country</w:t>
        </w:r>
        <w:r w:rsidRPr="00617A89">
          <w:rPr>
            <w:noProof/>
            <w:webHidden/>
          </w:rPr>
          <w:tab/>
        </w:r>
        <w:r w:rsidRPr="00617A89">
          <w:rPr>
            <w:noProof/>
            <w:webHidden/>
          </w:rPr>
          <w:fldChar w:fldCharType="begin"/>
        </w:r>
        <w:r w:rsidRPr="00617A89">
          <w:rPr>
            <w:noProof/>
            <w:webHidden/>
          </w:rPr>
          <w:instrText xml:space="preserve"> PAGEREF _Toc222868482 \h </w:instrText>
        </w:r>
        <w:r w:rsidRPr="00617A89">
          <w:rPr>
            <w:noProof/>
            <w:webHidden/>
          </w:rPr>
        </w:r>
        <w:r w:rsidRPr="00617A89">
          <w:rPr>
            <w:noProof/>
            <w:webHidden/>
          </w:rPr>
          <w:fldChar w:fldCharType="separate"/>
        </w:r>
        <w:r w:rsidR="002E7DD0" w:rsidRPr="00617A89">
          <w:rPr>
            <w:noProof/>
            <w:webHidden/>
          </w:rPr>
          <w:t>50</w:t>
        </w:r>
        <w:r w:rsidRPr="00617A89">
          <w:rPr>
            <w:noProof/>
            <w:webHidden/>
          </w:rPr>
          <w:fldChar w:fldCharType="end"/>
        </w:r>
      </w:hyperlink>
    </w:p>
    <w:p w14:paraId="0DA9C2FF" w14:textId="29A0445F"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3" w:history="1">
        <w:r w:rsidRPr="00617A89">
          <w:rPr>
            <w:rStyle w:val="Hyperlink"/>
            <w:noProof/>
          </w:rPr>
          <w:t>Table 13</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Away from work questions</w:t>
        </w:r>
        <w:r w:rsidRPr="00617A89">
          <w:rPr>
            <w:noProof/>
            <w:webHidden/>
          </w:rPr>
          <w:tab/>
        </w:r>
        <w:r w:rsidRPr="00617A89">
          <w:rPr>
            <w:noProof/>
            <w:webHidden/>
          </w:rPr>
          <w:fldChar w:fldCharType="begin"/>
        </w:r>
        <w:r w:rsidRPr="00617A89">
          <w:rPr>
            <w:noProof/>
            <w:webHidden/>
          </w:rPr>
          <w:instrText xml:space="preserve"> PAGEREF _Toc222868483 \h </w:instrText>
        </w:r>
        <w:r w:rsidRPr="00617A89">
          <w:rPr>
            <w:noProof/>
            <w:webHidden/>
          </w:rPr>
        </w:r>
        <w:r w:rsidRPr="00617A89">
          <w:rPr>
            <w:noProof/>
            <w:webHidden/>
          </w:rPr>
          <w:fldChar w:fldCharType="separate"/>
        </w:r>
        <w:r w:rsidR="002E7DD0" w:rsidRPr="00617A89">
          <w:rPr>
            <w:noProof/>
            <w:webHidden/>
          </w:rPr>
          <w:t>51</w:t>
        </w:r>
        <w:r w:rsidRPr="00617A89">
          <w:rPr>
            <w:noProof/>
            <w:webHidden/>
          </w:rPr>
          <w:fldChar w:fldCharType="end"/>
        </w:r>
      </w:hyperlink>
    </w:p>
    <w:p w14:paraId="44AA684F" w14:textId="0DAD66FE"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4" w:history="1">
        <w:r w:rsidRPr="00617A89">
          <w:rPr>
            <w:rStyle w:val="Hyperlink"/>
            <w:noProof/>
          </w:rPr>
          <w:t>Table 14</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Attachment to labour force questions</w:t>
        </w:r>
        <w:r w:rsidRPr="00617A89">
          <w:rPr>
            <w:noProof/>
            <w:webHidden/>
          </w:rPr>
          <w:tab/>
        </w:r>
        <w:r w:rsidRPr="00617A89">
          <w:rPr>
            <w:noProof/>
            <w:webHidden/>
          </w:rPr>
          <w:fldChar w:fldCharType="begin"/>
        </w:r>
        <w:r w:rsidRPr="00617A89">
          <w:rPr>
            <w:noProof/>
            <w:webHidden/>
          </w:rPr>
          <w:instrText xml:space="preserve"> PAGEREF _Toc222868484 \h </w:instrText>
        </w:r>
        <w:r w:rsidRPr="00617A89">
          <w:rPr>
            <w:noProof/>
            <w:webHidden/>
          </w:rPr>
        </w:r>
        <w:r w:rsidRPr="00617A89">
          <w:rPr>
            <w:noProof/>
            <w:webHidden/>
          </w:rPr>
          <w:fldChar w:fldCharType="separate"/>
        </w:r>
        <w:r w:rsidR="002E7DD0" w:rsidRPr="00617A89">
          <w:rPr>
            <w:noProof/>
            <w:webHidden/>
          </w:rPr>
          <w:t>52</w:t>
        </w:r>
        <w:r w:rsidRPr="00617A89">
          <w:rPr>
            <w:noProof/>
            <w:webHidden/>
          </w:rPr>
          <w:fldChar w:fldCharType="end"/>
        </w:r>
      </w:hyperlink>
    </w:p>
    <w:p w14:paraId="587076F7" w14:textId="0E33C42B"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5" w:history="1">
        <w:r w:rsidRPr="00617A89">
          <w:rPr>
            <w:rStyle w:val="Hyperlink"/>
            <w:noProof/>
          </w:rPr>
          <w:t>Table 15</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Reasons for working less than usual hours and future availability questions</w:t>
        </w:r>
        <w:r w:rsidRPr="00617A89">
          <w:rPr>
            <w:noProof/>
            <w:webHidden/>
          </w:rPr>
          <w:tab/>
        </w:r>
        <w:r w:rsidRPr="00617A89">
          <w:rPr>
            <w:noProof/>
            <w:webHidden/>
          </w:rPr>
          <w:fldChar w:fldCharType="begin"/>
        </w:r>
        <w:r w:rsidRPr="00617A89">
          <w:rPr>
            <w:noProof/>
            <w:webHidden/>
          </w:rPr>
          <w:instrText xml:space="preserve"> PAGEREF _Toc222868485 \h </w:instrText>
        </w:r>
        <w:r w:rsidRPr="00617A89">
          <w:rPr>
            <w:noProof/>
            <w:webHidden/>
          </w:rPr>
        </w:r>
        <w:r w:rsidRPr="00617A89">
          <w:rPr>
            <w:noProof/>
            <w:webHidden/>
          </w:rPr>
          <w:fldChar w:fldCharType="separate"/>
        </w:r>
        <w:r w:rsidR="002E7DD0" w:rsidRPr="00617A89">
          <w:rPr>
            <w:noProof/>
            <w:webHidden/>
          </w:rPr>
          <w:t>53</w:t>
        </w:r>
        <w:r w:rsidRPr="00617A89">
          <w:rPr>
            <w:noProof/>
            <w:webHidden/>
          </w:rPr>
          <w:fldChar w:fldCharType="end"/>
        </w:r>
      </w:hyperlink>
    </w:p>
    <w:p w14:paraId="6D90BA85" w14:textId="1C665229"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6" w:history="1">
        <w:r w:rsidRPr="00617A89">
          <w:rPr>
            <w:rStyle w:val="Hyperlink"/>
            <w:noProof/>
          </w:rPr>
          <w:t>Table 16</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Reasons for unemployment or not available for employment</w:t>
        </w:r>
        <w:r w:rsidRPr="00617A89">
          <w:rPr>
            <w:noProof/>
            <w:webHidden/>
          </w:rPr>
          <w:tab/>
        </w:r>
        <w:r w:rsidRPr="00617A89">
          <w:rPr>
            <w:noProof/>
            <w:webHidden/>
          </w:rPr>
          <w:fldChar w:fldCharType="begin"/>
        </w:r>
        <w:r w:rsidRPr="00617A89">
          <w:rPr>
            <w:noProof/>
            <w:webHidden/>
          </w:rPr>
          <w:instrText xml:space="preserve"> PAGEREF _Toc222868486 \h </w:instrText>
        </w:r>
        <w:r w:rsidRPr="00617A89">
          <w:rPr>
            <w:noProof/>
            <w:webHidden/>
          </w:rPr>
        </w:r>
        <w:r w:rsidRPr="00617A89">
          <w:rPr>
            <w:noProof/>
            <w:webHidden/>
          </w:rPr>
          <w:fldChar w:fldCharType="separate"/>
        </w:r>
        <w:r w:rsidR="002E7DD0" w:rsidRPr="00617A89">
          <w:rPr>
            <w:noProof/>
            <w:webHidden/>
          </w:rPr>
          <w:t>53</w:t>
        </w:r>
        <w:r w:rsidRPr="00617A89">
          <w:rPr>
            <w:noProof/>
            <w:webHidden/>
          </w:rPr>
          <w:fldChar w:fldCharType="end"/>
        </w:r>
      </w:hyperlink>
    </w:p>
    <w:p w14:paraId="64506385" w14:textId="3D34AAD9"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7" w:history="1">
        <w:r w:rsidRPr="00617A89">
          <w:rPr>
            <w:rStyle w:val="Hyperlink"/>
            <w:noProof/>
          </w:rPr>
          <w:t>Table 17</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Estimated impact of methodology change</w:t>
        </w:r>
        <w:r w:rsidRPr="00617A89">
          <w:rPr>
            <w:noProof/>
            <w:webHidden/>
          </w:rPr>
          <w:tab/>
        </w:r>
        <w:r w:rsidRPr="00617A89">
          <w:rPr>
            <w:noProof/>
            <w:webHidden/>
          </w:rPr>
          <w:fldChar w:fldCharType="begin"/>
        </w:r>
        <w:r w:rsidRPr="00617A89">
          <w:rPr>
            <w:noProof/>
            <w:webHidden/>
          </w:rPr>
          <w:instrText xml:space="preserve"> PAGEREF _Toc222868487 \h </w:instrText>
        </w:r>
        <w:r w:rsidRPr="00617A89">
          <w:rPr>
            <w:noProof/>
            <w:webHidden/>
          </w:rPr>
        </w:r>
        <w:r w:rsidRPr="00617A89">
          <w:rPr>
            <w:noProof/>
            <w:webHidden/>
          </w:rPr>
          <w:fldChar w:fldCharType="separate"/>
        </w:r>
        <w:r w:rsidR="002E7DD0" w:rsidRPr="00617A89">
          <w:rPr>
            <w:noProof/>
            <w:webHidden/>
          </w:rPr>
          <w:t>56</w:t>
        </w:r>
        <w:r w:rsidRPr="00617A89">
          <w:rPr>
            <w:noProof/>
            <w:webHidden/>
          </w:rPr>
          <w:fldChar w:fldCharType="end"/>
        </w:r>
      </w:hyperlink>
    </w:p>
    <w:p w14:paraId="7B06D209" w14:textId="3C655DD2"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8" w:history="1">
        <w:r w:rsidRPr="00617A89">
          <w:rPr>
            <w:rStyle w:val="Hyperlink"/>
            <w:noProof/>
          </w:rPr>
          <w:t xml:space="preserve">Table 18 </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Indicator definitions</w:t>
        </w:r>
        <w:r w:rsidRPr="00617A89">
          <w:rPr>
            <w:noProof/>
            <w:webHidden/>
          </w:rPr>
          <w:tab/>
        </w:r>
        <w:r w:rsidRPr="00617A89">
          <w:rPr>
            <w:noProof/>
            <w:webHidden/>
          </w:rPr>
          <w:fldChar w:fldCharType="begin"/>
        </w:r>
        <w:r w:rsidRPr="00617A89">
          <w:rPr>
            <w:noProof/>
            <w:webHidden/>
          </w:rPr>
          <w:instrText xml:space="preserve"> PAGEREF _Toc222868488 \h </w:instrText>
        </w:r>
        <w:r w:rsidRPr="00617A89">
          <w:rPr>
            <w:noProof/>
            <w:webHidden/>
          </w:rPr>
        </w:r>
        <w:r w:rsidRPr="00617A89">
          <w:rPr>
            <w:noProof/>
            <w:webHidden/>
          </w:rPr>
          <w:fldChar w:fldCharType="separate"/>
        </w:r>
        <w:r w:rsidR="002E7DD0" w:rsidRPr="00617A89">
          <w:rPr>
            <w:noProof/>
            <w:webHidden/>
          </w:rPr>
          <w:t>58</w:t>
        </w:r>
        <w:r w:rsidRPr="00617A89">
          <w:rPr>
            <w:noProof/>
            <w:webHidden/>
          </w:rPr>
          <w:fldChar w:fldCharType="end"/>
        </w:r>
      </w:hyperlink>
    </w:p>
    <w:p w14:paraId="4FB4929D" w14:textId="42B1B959"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89" w:history="1">
        <w:r w:rsidRPr="00617A89">
          <w:rPr>
            <w:rStyle w:val="Hyperlink"/>
            <w:noProof/>
          </w:rPr>
          <w:t>Table 19</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postgraduate coursework labour market outcomes by study area</w:t>
        </w:r>
        <w:r w:rsidRPr="00617A89">
          <w:rPr>
            <w:noProof/>
            <w:webHidden/>
          </w:rPr>
          <w:tab/>
        </w:r>
        <w:r w:rsidRPr="00617A89">
          <w:rPr>
            <w:noProof/>
            <w:webHidden/>
          </w:rPr>
          <w:fldChar w:fldCharType="begin"/>
        </w:r>
        <w:r w:rsidRPr="00617A89">
          <w:rPr>
            <w:noProof/>
            <w:webHidden/>
          </w:rPr>
          <w:instrText xml:space="preserve"> PAGEREF _Toc222868489 \h </w:instrText>
        </w:r>
        <w:r w:rsidRPr="00617A89">
          <w:rPr>
            <w:noProof/>
            <w:webHidden/>
          </w:rPr>
        </w:r>
        <w:r w:rsidRPr="00617A89">
          <w:rPr>
            <w:noProof/>
            <w:webHidden/>
          </w:rPr>
          <w:fldChar w:fldCharType="separate"/>
        </w:r>
        <w:r w:rsidR="002E7DD0" w:rsidRPr="00617A89">
          <w:rPr>
            <w:noProof/>
            <w:webHidden/>
          </w:rPr>
          <w:t>60</w:t>
        </w:r>
        <w:r w:rsidRPr="00617A89">
          <w:rPr>
            <w:noProof/>
            <w:webHidden/>
          </w:rPr>
          <w:fldChar w:fldCharType="end"/>
        </w:r>
      </w:hyperlink>
    </w:p>
    <w:p w14:paraId="5D6967E0" w14:textId="27BC0E1B"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90" w:history="1">
        <w:r w:rsidRPr="00617A89">
          <w:rPr>
            <w:rStyle w:val="Hyperlink"/>
            <w:noProof/>
          </w:rPr>
          <w:t>Table 20</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postgraduate research labour market and further study outcomes by study area</w:t>
        </w:r>
        <w:r w:rsidRPr="00617A89">
          <w:rPr>
            <w:noProof/>
            <w:webHidden/>
          </w:rPr>
          <w:tab/>
        </w:r>
        <w:r w:rsidRPr="00617A89">
          <w:rPr>
            <w:noProof/>
            <w:webHidden/>
          </w:rPr>
          <w:fldChar w:fldCharType="begin"/>
        </w:r>
        <w:r w:rsidRPr="00617A89">
          <w:rPr>
            <w:noProof/>
            <w:webHidden/>
          </w:rPr>
          <w:instrText xml:space="preserve"> PAGEREF _Toc222868490 \h </w:instrText>
        </w:r>
        <w:r w:rsidRPr="00617A89">
          <w:rPr>
            <w:noProof/>
            <w:webHidden/>
          </w:rPr>
        </w:r>
        <w:r w:rsidRPr="00617A89">
          <w:rPr>
            <w:noProof/>
            <w:webHidden/>
          </w:rPr>
          <w:fldChar w:fldCharType="separate"/>
        </w:r>
        <w:r w:rsidR="002E7DD0" w:rsidRPr="00617A89">
          <w:rPr>
            <w:noProof/>
            <w:webHidden/>
          </w:rPr>
          <w:t>62</w:t>
        </w:r>
        <w:r w:rsidRPr="00617A89">
          <w:rPr>
            <w:noProof/>
            <w:webHidden/>
          </w:rPr>
          <w:fldChar w:fldCharType="end"/>
        </w:r>
      </w:hyperlink>
    </w:p>
    <w:p w14:paraId="2FC2EA39" w14:textId="751C85F3"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91" w:history="1">
        <w:r w:rsidRPr="00617A89">
          <w:rPr>
            <w:rStyle w:val="Hyperlink"/>
            <w:noProof/>
          </w:rPr>
          <w:t>Table 21</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Undergraduate median annual full-time salary by gender and study area</w:t>
        </w:r>
        <w:r w:rsidRPr="00617A89">
          <w:rPr>
            <w:noProof/>
            <w:webHidden/>
          </w:rPr>
          <w:tab/>
        </w:r>
        <w:r w:rsidRPr="00617A89">
          <w:rPr>
            <w:noProof/>
            <w:webHidden/>
          </w:rPr>
          <w:fldChar w:fldCharType="begin"/>
        </w:r>
        <w:r w:rsidRPr="00617A89">
          <w:rPr>
            <w:noProof/>
            <w:webHidden/>
          </w:rPr>
          <w:instrText xml:space="preserve"> PAGEREF _Toc222868491 \h </w:instrText>
        </w:r>
        <w:r w:rsidRPr="00617A89">
          <w:rPr>
            <w:noProof/>
            <w:webHidden/>
          </w:rPr>
        </w:r>
        <w:r w:rsidRPr="00617A89">
          <w:rPr>
            <w:noProof/>
            <w:webHidden/>
          </w:rPr>
          <w:fldChar w:fldCharType="separate"/>
        </w:r>
        <w:r w:rsidR="002E7DD0" w:rsidRPr="00617A89">
          <w:rPr>
            <w:noProof/>
            <w:webHidden/>
          </w:rPr>
          <w:t>63</w:t>
        </w:r>
        <w:r w:rsidRPr="00617A89">
          <w:rPr>
            <w:noProof/>
            <w:webHidden/>
          </w:rPr>
          <w:fldChar w:fldCharType="end"/>
        </w:r>
      </w:hyperlink>
    </w:p>
    <w:p w14:paraId="63A04B1F" w14:textId="7FB0195E"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92" w:history="1">
        <w:r w:rsidRPr="00617A89">
          <w:rPr>
            <w:rStyle w:val="Hyperlink"/>
            <w:noProof/>
          </w:rPr>
          <w:t>Table 22</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Postgraduate coursework median annual full-time salary by gender and study area</w:t>
        </w:r>
        <w:r w:rsidRPr="00617A89">
          <w:rPr>
            <w:noProof/>
            <w:webHidden/>
          </w:rPr>
          <w:tab/>
        </w:r>
        <w:r w:rsidRPr="00617A89">
          <w:rPr>
            <w:noProof/>
            <w:webHidden/>
          </w:rPr>
          <w:fldChar w:fldCharType="begin"/>
        </w:r>
        <w:r w:rsidRPr="00617A89">
          <w:rPr>
            <w:noProof/>
            <w:webHidden/>
          </w:rPr>
          <w:instrText xml:space="preserve"> PAGEREF _Toc222868492 \h </w:instrText>
        </w:r>
        <w:r w:rsidRPr="00617A89">
          <w:rPr>
            <w:noProof/>
            <w:webHidden/>
          </w:rPr>
        </w:r>
        <w:r w:rsidRPr="00617A89">
          <w:rPr>
            <w:noProof/>
            <w:webHidden/>
          </w:rPr>
          <w:fldChar w:fldCharType="separate"/>
        </w:r>
        <w:r w:rsidR="002E7DD0" w:rsidRPr="00617A89">
          <w:rPr>
            <w:noProof/>
            <w:webHidden/>
          </w:rPr>
          <w:t>63</w:t>
        </w:r>
        <w:r w:rsidRPr="00617A89">
          <w:rPr>
            <w:noProof/>
            <w:webHidden/>
          </w:rPr>
          <w:fldChar w:fldCharType="end"/>
        </w:r>
      </w:hyperlink>
    </w:p>
    <w:p w14:paraId="176EC9DE" w14:textId="0DD071E7"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93" w:history="1">
        <w:r w:rsidRPr="00617A89">
          <w:rPr>
            <w:rStyle w:val="Hyperlink"/>
            <w:noProof/>
          </w:rPr>
          <w:t>Table 23</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undergraduate full-time employment rate (%) and median salary ($) by university, short- and medium-term (with 90% confidence intervals)</w:t>
        </w:r>
        <w:r w:rsidRPr="00617A89">
          <w:rPr>
            <w:noProof/>
            <w:webHidden/>
          </w:rPr>
          <w:tab/>
        </w:r>
        <w:r w:rsidRPr="00617A89">
          <w:rPr>
            <w:noProof/>
            <w:webHidden/>
          </w:rPr>
          <w:fldChar w:fldCharType="begin"/>
        </w:r>
        <w:r w:rsidRPr="00617A89">
          <w:rPr>
            <w:noProof/>
            <w:webHidden/>
          </w:rPr>
          <w:instrText xml:space="preserve"> PAGEREF _Toc222868493 \h </w:instrText>
        </w:r>
        <w:r w:rsidRPr="00617A89">
          <w:rPr>
            <w:noProof/>
            <w:webHidden/>
          </w:rPr>
        </w:r>
        <w:r w:rsidRPr="00617A89">
          <w:rPr>
            <w:noProof/>
            <w:webHidden/>
          </w:rPr>
          <w:fldChar w:fldCharType="separate"/>
        </w:r>
        <w:r w:rsidR="002E7DD0" w:rsidRPr="00617A89">
          <w:rPr>
            <w:noProof/>
            <w:webHidden/>
          </w:rPr>
          <w:t>64</w:t>
        </w:r>
        <w:r w:rsidRPr="00617A89">
          <w:rPr>
            <w:noProof/>
            <w:webHidden/>
          </w:rPr>
          <w:fldChar w:fldCharType="end"/>
        </w:r>
      </w:hyperlink>
    </w:p>
    <w:p w14:paraId="104308D1" w14:textId="5F61BAC3"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94" w:history="1">
        <w:r w:rsidRPr="00617A89">
          <w:rPr>
            <w:rStyle w:val="Hyperlink"/>
            <w:noProof/>
          </w:rPr>
          <w:t>Table 24</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postgraduate coursework full-time employment rate (%) and median salary ($) by university, short- and medium-term (with 90% confidence intervals)</w:t>
        </w:r>
        <w:r w:rsidRPr="00617A89">
          <w:rPr>
            <w:noProof/>
            <w:webHidden/>
          </w:rPr>
          <w:tab/>
        </w:r>
        <w:r w:rsidRPr="00617A89">
          <w:rPr>
            <w:noProof/>
            <w:webHidden/>
          </w:rPr>
          <w:fldChar w:fldCharType="begin"/>
        </w:r>
        <w:r w:rsidRPr="00617A89">
          <w:rPr>
            <w:noProof/>
            <w:webHidden/>
          </w:rPr>
          <w:instrText xml:space="preserve"> PAGEREF _Toc222868494 \h </w:instrText>
        </w:r>
        <w:r w:rsidRPr="00617A89">
          <w:rPr>
            <w:noProof/>
            <w:webHidden/>
          </w:rPr>
        </w:r>
        <w:r w:rsidRPr="00617A89">
          <w:rPr>
            <w:noProof/>
            <w:webHidden/>
          </w:rPr>
          <w:fldChar w:fldCharType="separate"/>
        </w:r>
        <w:r w:rsidR="002E7DD0" w:rsidRPr="00617A89">
          <w:rPr>
            <w:noProof/>
            <w:webHidden/>
          </w:rPr>
          <w:t>66</w:t>
        </w:r>
        <w:r w:rsidRPr="00617A89">
          <w:rPr>
            <w:noProof/>
            <w:webHidden/>
          </w:rPr>
          <w:fldChar w:fldCharType="end"/>
        </w:r>
      </w:hyperlink>
    </w:p>
    <w:p w14:paraId="7C8C98F9" w14:textId="76B5F21E" w:rsidR="006A1804" w:rsidRPr="00617A89" w:rsidRDefault="006A1804" w:rsidP="005A0EDE">
      <w:pPr>
        <w:tabs>
          <w:tab w:val="left" w:pos="1080"/>
        </w:tabs>
        <w:rPr>
          <w:color w:val="000000" w:themeColor="text1"/>
        </w:rPr>
      </w:pPr>
      <w:r w:rsidRPr="00617A89">
        <w:rPr>
          <w:color w:val="000000" w:themeColor="text1"/>
        </w:rPr>
        <w:fldChar w:fldCharType="end"/>
      </w:r>
    </w:p>
    <w:p w14:paraId="607CDAAF" w14:textId="03BCE1CF" w:rsidR="006A1804" w:rsidRPr="00617A89" w:rsidRDefault="006A1804" w:rsidP="005A0EDE">
      <w:pPr>
        <w:tabs>
          <w:tab w:val="left" w:pos="1080"/>
        </w:tabs>
        <w:rPr>
          <w:color w:val="000000" w:themeColor="text1"/>
        </w:rPr>
        <w:sectPr w:rsidR="006A1804" w:rsidRPr="00617A89" w:rsidSect="007B0C64">
          <w:pgSz w:w="11900" w:h="16840"/>
          <w:pgMar w:top="720" w:right="720" w:bottom="720" w:left="720" w:header="567" w:footer="567" w:gutter="0"/>
          <w:pgNumType w:fmt="lowerRoman"/>
          <w:cols w:space="708"/>
          <w:docGrid w:linePitch="360"/>
        </w:sectPr>
      </w:pPr>
      <w:r w:rsidRPr="00617A89">
        <w:rPr>
          <w:color w:val="000000" w:themeColor="text1"/>
        </w:rPr>
        <w:tab/>
      </w:r>
    </w:p>
    <w:p w14:paraId="5404C795" w14:textId="4D7DA83C" w:rsidR="00BE7643" w:rsidRPr="00617A89" w:rsidRDefault="006A1804" w:rsidP="000062B7">
      <w:pPr>
        <w:rPr>
          <w:color w:val="000000" w:themeColor="text1"/>
          <w:sz w:val="40"/>
          <w:szCs w:val="40"/>
        </w:rPr>
      </w:pPr>
      <w:r w:rsidRPr="00617A89">
        <w:rPr>
          <w:color w:val="000000" w:themeColor="text1"/>
          <w:sz w:val="40"/>
          <w:szCs w:val="40"/>
        </w:rPr>
        <w:t>List of figures</w:t>
      </w:r>
    </w:p>
    <w:bookmarkStart w:id="11" w:name="_Toc192179845"/>
    <w:bookmarkEnd w:id="0"/>
    <w:p w14:paraId="55D58378" w14:textId="5C53B983" w:rsidR="000539F2" w:rsidRPr="00617A89" w:rsidRDefault="006A1804">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r w:rsidRPr="00617A89">
        <w:rPr>
          <w:rFonts w:eastAsia="Times New Roman" w:cs="Arial"/>
          <w:b/>
          <w:noProof/>
          <w:szCs w:val="20"/>
        </w:rPr>
        <w:fldChar w:fldCharType="begin"/>
      </w:r>
      <w:r w:rsidRPr="00617A89">
        <w:rPr>
          <w:rFonts w:eastAsia="Times New Roman" w:cs="Arial"/>
          <w:b/>
          <w:noProof/>
          <w:szCs w:val="20"/>
        </w:rPr>
        <w:instrText xml:space="preserve"> TOC \h \z \c "Figure" </w:instrText>
      </w:r>
      <w:r w:rsidRPr="00617A89">
        <w:rPr>
          <w:rFonts w:eastAsia="Times New Roman" w:cs="Arial"/>
          <w:b/>
          <w:noProof/>
          <w:szCs w:val="20"/>
        </w:rPr>
        <w:fldChar w:fldCharType="separate"/>
      </w:r>
      <w:hyperlink w:anchor="_Toc222868495" w:history="1">
        <w:r w:rsidR="000539F2" w:rsidRPr="00617A89">
          <w:rPr>
            <w:rStyle w:val="Hyperlink"/>
            <w:noProof/>
          </w:rPr>
          <w:t>Figure 1</w:t>
        </w:r>
        <w:r w:rsidR="000539F2" w:rsidRPr="00617A89">
          <w:rPr>
            <w:rFonts w:asciiTheme="minorHAnsi" w:eastAsiaTheme="minorEastAsia" w:hAnsiTheme="minorHAnsi"/>
            <w:noProof/>
            <w:color w:val="auto"/>
            <w:kern w:val="2"/>
            <w:sz w:val="24"/>
            <w:szCs w:val="24"/>
            <w:lang w:eastAsia="en-AU"/>
            <w14:ligatures w14:val="standardContextual"/>
          </w:rPr>
          <w:tab/>
        </w:r>
        <w:r w:rsidR="000539F2" w:rsidRPr="00617A89">
          <w:rPr>
            <w:rStyle w:val="Hyperlink"/>
            <w:noProof/>
          </w:rPr>
          <w:t>Short- and medium-term labour force participation rate for 2016 to 2022 domestic graduates</w:t>
        </w:r>
        <w:r w:rsidR="000539F2" w:rsidRPr="00617A89">
          <w:rPr>
            <w:noProof/>
            <w:webHidden/>
          </w:rPr>
          <w:tab/>
        </w:r>
        <w:r w:rsidR="000539F2" w:rsidRPr="00617A89">
          <w:rPr>
            <w:noProof/>
            <w:webHidden/>
          </w:rPr>
          <w:fldChar w:fldCharType="begin"/>
        </w:r>
        <w:r w:rsidR="000539F2" w:rsidRPr="00617A89">
          <w:rPr>
            <w:noProof/>
            <w:webHidden/>
          </w:rPr>
          <w:instrText xml:space="preserve"> PAGEREF _Toc222868495 \h </w:instrText>
        </w:r>
        <w:r w:rsidR="000539F2" w:rsidRPr="00617A89">
          <w:rPr>
            <w:noProof/>
            <w:webHidden/>
          </w:rPr>
        </w:r>
        <w:r w:rsidR="000539F2" w:rsidRPr="00617A89">
          <w:rPr>
            <w:noProof/>
            <w:webHidden/>
          </w:rPr>
          <w:fldChar w:fldCharType="separate"/>
        </w:r>
        <w:r w:rsidR="002E7DD0" w:rsidRPr="00617A89">
          <w:rPr>
            <w:noProof/>
            <w:webHidden/>
          </w:rPr>
          <w:t>2</w:t>
        </w:r>
        <w:r w:rsidR="000539F2" w:rsidRPr="00617A89">
          <w:rPr>
            <w:noProof/>
            <w:webHidden/>
          </w:rPr>
          <w:fldChar w:fldCharType="end"/>
        </w:r>
      </w:hyperlink>
    </w:p>
    <w:p w14:paraId="7B2185D5" w14:textId="54317D61"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96" w:history="1">
        <w:r w:rsidRPr="00617A89">
          <w:rPr>
            <w:rStyle w:val="Hyperlink"/>
            <w:noProof/>
          </w:rPr>
          <w:t>Figure 2</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Short- and medium-term full-time employment rate for 2016 to 2022 domestic graduates</w:t>
        </w:r>
        <w:r w:rsidRPr="00617A89">
          <w:rPr>
            <w:noProof/>
            <w:webHidden/>
          </w:rPr>
          <w:tab/>
        </w:r>
        <w:r w:rsidRPr="00617A89">
          <w:rPr>
            <w:noProof/>
            <w:webHidden/>
          </w:rPr>
          <w:fldChar w:fldCharType="begin"/>
        </w:r>
        <w:r w:rsidRPr="00617A89">
          <w:rPr>
            <w:noProof/>
            <w:webHidden/>
          </w:rPr>
          <w:instrText xml:space="preserve"> PAGEREF _Toc222868496 \h </w:instrText>
        </w:r>
        <w:r w:rsidRPr="00617A89">
          <w:rPr>
            <w:noProof/>
            <w:webHidden/>
          </w:rPr>
        </w:r>
        <w:r w:rsidRPr="00617A89">
          <w:rPr>
            <w:noProof/>
            <w:webHidden/>
          </w:rPr>
          <w:fldChar w:fldCharType="separate"/>
        </w:r>
        <w:r w:rsidR="002E7DD0" w:rsidRPr="00617A89">
          <w:rPr>
            <w:noProof/>
            <w:webHidden/>
          </w:rPr>
          <w:t>4</w:t>
        </w:r>
        <w:r w:rsidRPr="00617A89">
          <w:rPr>
            <w:noProof/>
            <w:webHidden/>
          </w:rPr>
          <w:fldChar w:fldCharType="end"/>
        </w:r>
      </w:hyperlink>
    </w:p>
    <w:p w14:paraId="50182427" w14:textId="31FDF882"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97" w:history="1">
        <w:r w:rsidRPr="00617A89">
          <w:rPr>
            <w:rStyle w:val="Hyperlink"/>
            <w:noProof/>
          </w:rPr>
          <w:t>Figure 3</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Short- and medium-term overall employment rate for 2016 to 2022 domestic graduates</w:t>
        </w:r>
        <w:r w:rsidRPr="00617A89">
          <w:rPr>
            <w:noProof/>
            <w:webHidden/>
          </w:rPr>
          <w:tab/>
        </w:r>
        <w:r w:rsidRPr="00617A89">
          <w:rPr>
            <w:noProof/>
            <w:webHidden/>
          </w:rPr>
          <w:fldChar w:fldCharType="begin"/>
        </w:r>
        <w:r w:rsidRPr="00617A89">
          <w:rPr>
            <w:noProof/>
            <w:webHidden/>
          </w:rPr>
          <w:instrText xml:space="preserve"> PAGEREF _Toc222868497 \h </w:instrText>
        </w:r>
        <w:r w:rsidRPr="00617A89">
          <w:rPr>
            <w:noProof/>
            <w:webHidden/>
          </w:rPr>
        </w:r>
        <w:r w:rsidRPr="00617A89">
          <w:rPr>
            <w:noProof/>
            <w:webHidden/>
          </w:rPr>
          <w:fldChar w:fldCharType="separate"/>
        </w:r>
        <w:r w:rsidR="002E7DD0" w:rsidRPr="00617A89">
          <w:rPr>
            <w:noProof/>
            <w:webHidden/>
          </w:rPr>
          <w:t>6</w:t>
        </w:r>
        <w:r w:rsidRPr="00617A89">
          <w:rPr>
            <w:noProof/>
            <w:webHidden/>
          </w:rPr>
          <w:fldChar w:fldCharType="end"/>
        </w:r>
      </w:hyperlink>
    </w:p>
    <w:p w14:paraId="492FDC09" w14:textId="5EC9E1FB"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98" w:history="1">
        <w:r w:rsidRPr="00617A89">
          <w:rPr>
            <w:rStyle w:val="Hyperlink"/>
            <w:noProof/>
          </w:rPr>
          <w:t>Figure 4</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Short- and medium-term median salary for 2016 to 2022 domestic graduates</w:t>
        </w:r>
        <w:r w:rsidRPr="00617A89">
          <w:rPr>
            <w:noProof/>
            <w:webHidden/>
          </w:rPr>
          <w:tab/>
        </w:r>
        <w:r w:rsidRPr="00617A89">
          <w:rPr>
            <w:noProof/>
            <w:webHidden/>
          </w:rPr>
          <w:fldChar w:fldCharType="begin"/>
        </w:r>
        <w:r w:rsidRPr="00617A89">
          <w:rPr>
            <w:noProof/>
            <w:webHidden/>
          </w:rPr>
          <w:instrText xml:space="preserve"> PAGEREF _Toc222868498 \h </w:instrText>
        </w:r>
        <w:r w:rsidRPr="00617A89">
          <w:rPr>
            <w:noProof/>
            <w:webHidden/>
          </w:rPr>
        </w:r>
        <w:r w:rsidRPr="00617A89">
          <w:rPr>
            <w:noProof/>
            <w:webHidden/>
          </w:rPr>
          <w:fldChar w:fldCharType="separate"/>
        </w:r>
        <w:r w:rsidR="002E7DD0" w:rsidRPr="00617A89">
          <w:rPr>
            <w:noProof/>
            <w:webHidden/>
          </w:rPr>
          <w:t>8</w:t>
        </w:r>
        <w:r w:rsidRPr="00617A89">
          <w:rPr>
            <w:noProof/>
            <w:webHidden/>
          </w:rPr>
          <w:fldChar w:fldCharType="end"/>
        </w:r>
      </w:hyperlink>
    </w:p>
    <w:p w14:paraId="4C192660" w14:textId="18B1A0B7"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499" w:history="1">
        <w:r w:rsidRPr="00617A89">
          <w:rPr>
            <w:rStyle w:val="Hyperlink"/>
            <w:noProof/>
          </w:rPr>
          <w:t>Figure 5</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Short- and medium-term underemployment rate (% of those employed)</w:t>
        </w:r>
        <w:r w:rsidRPr="00617A89">
          <w:rPr>
            <w:noProof/>
            <w:webHidden/>
          </w:rPr>
          <w:tab/>
        </w:r>
        <w:r w:rsidRPr="00617A89">
          <w:rPr>
            <w:noProof/>
            <w:webHidden/>
          </w:rPr>
          <w:fldChar w:fldCharType="begin"/>
        </w:r>
        <w:r w:rsidRPr="00617A89">
          <w:rPr>
            <w:noProof/>
            <w:webHidden/>
          </w:rPr>
          <w:instrText xml:space="preserve"> PAGEREF _Toc222868499 \h </w:instrText>
        </w:r>
        <w:r w:rsidRPr="00617A89">
          <w:rPr>
            <w:noProof/>
            <w:webHidden/>
          </w:rPr>
        </w:r>
        <w:r w:rsidRPr="00617A89">
          <w:rPr>
            <w:noProof/>
            <w:webHidden/>
          </w:rPr>
          <w:fldChar w:fldCharType="separate"/>
        </w:r>
        <w:r w:rsidR="002E7DD0" w:rsidRPr="00617A89">
          <w:rPr>
            <w:noProof/>
            <w:webHidden/>
          </w:rPr>
          <w:t>10</w:t>
        </w:r>
        <w:r w:rsidRPr="00617A89">
          <w:rPr>
            <w:noProof/>
            <w:webHidden/>
          </w:rPr>
          <w:fldChar w:fldCharType="end"/>
        </w:r>
      </w:hyperlink>
    </w:p>
    <w:p w14:paraId="7BE21A4C" w14:textId="1B05A20F"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0" w:history="1">
        <w:r w:rsidRPr="00617A89">
          <w:rPr>
            <w:rStyle w:val="Hyperlink"/>
            <w:noProof/>
          </w:rPr>
          <w:t>Figure 6</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Proportion of domestic undergraduates employed full-time as managers or professionals by study area</w:t>
        </w:r>
        <w:r w:rsidRPr="00617A89">
          <w:rPr>
            <w:noProof/>
            <w:webHidden/>
          </w:rPr>
          <w:tab/>
        </w:r>
        <w:r w:rsidRPr="00617A89">
          <w:rPr>
            <w:noProof/>
            <w:webHidden/>
          </w:rPr>
          <w:fldChar w:fldCharType="begin"/>
        </w:r>
        <w:r w:rsidRPr="00617A89">
          <w:rPr>
            <w:noProof/>
            <w:webHidden/>
          </w:rPr>
          <w:instrText xml:space="preserve"> PAGEREF _Toc222868500 \h </w:instrText>
        </w:r>
        <w:r w:rsidRPr="00617A89">
          <w:rPr>
            <w:noProof/>
            <w:webHidden/>
          </w:rPr>
        </w:r>
        <w:r w:rsidRPr="00617A89">
          <w:rPr>
            <w:noProof/>
            <w:webHidden/>
          </w:rPr>
          <w:fldChar w:fldCharType="separate"/>
        </w:r>
        <w:r w:rsidR="002E7DD0" w:rsidRPr="00617A89">
          <w:rPr>
            <w:noProof/>
            <w:webHidden/>
          </w:rPr>
          <w:t>14</w:t>
        </w:r>
        <w:r w:rsidRPr="00617A89">
          <w:rPr>
            <w:noProof/>
            <w:webHidden/>
          </w:rPr>
          <w:fldChar w:fldCharType="end"/>
        </w:r>
      </w:hyperlink>
    </w:p>
    <w:p w14:paraId="2C17C541" w14:textId="6AC43A33"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1" w:history="1">
        <w:r w:rsidRPr="00617A89">
          <w:rPr>
            <w:rStyle w:val="Hyperlink"/>
            <w:noProof/>
          </w:rPr>
          <w:t>Figure 7</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Perceived overqualification by employment type and study level, all occupations (% of those employed)</w:t>
        </w:r>
        <w:r w:rsidRPr="00617A89">
          <w:rPr>
            <w:noProof/>
            <w:webHidden/>
          </w:rPr>
          <w:tab/>
        </w:r>
        <w:r w:rsidRPr="00617A89">
          <w:rPr>
            <w:noProof/>
            <w:webHidden/>
          </w:rPr>
          <w:fldChar w:fldCharType="begin"/>
        </w:r>
        <w:r w:rsidRPr="00617A89">
          <w:rPr>
            <w:noProof/>
            <w:webHidden/>
          </w:rPr>
          <w:instrText xml:space="preserve"> PAGEREF _Toc222868501 \h </w:instrText>
        </w:r>
        <w:r w:rsidRPr="00617A89">
          <w:rPr>
            <w:noProof/>
            <w:webHidden/>
          </w:rPr>
        </w:r>
        <w:r w:rsidRPr="00617A89">
          <w:rPr>
            <w:noProof/>
            <w:webHidden/>
          </w:rPr>
          <w:fldChar w:fldCharType="separate"/>
        </w:r>
        <w:r w:rsidR="002E7DD0" w:rsidRPr="00617A89">
          <w:rPr>
            <w:noProof/>
            <w:webHidden/>
          </w:rPr>
          <w:t>15</w:t>
        </w:r>
        <w:r w:rsidRPr="00617A89">
          <w:rPr>
            <w:noProof/>
            <w:webHidden/>
          </w:rPr>
          <w:fldChar w:fldCharType="end"/>
        </w:r>
      </w:hyperlink>
    </w:p>
    <w:p w14:paraId="26F71AF8" w14:textId="6C18F148"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2" w:history="1">
        <w:r w:rsidRPr="00617A89">
          <w:rPr>
            <w:rStyle w:val="Hyperlink"/>
            <w:noProof/>
          </w:rPr>
          <w:t>Figure 8</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Proportion of domestic graduates engaged in further full-time study by study level</w:t>
        </w:r>
        <w:r w:rsidRPr="00617A89">
          <w:rPr>
            <w:noProof/>
            <w:webHidden/>
          </w:rPr>
          <w:tab/>
        </w:r>
        <w:r w:rsidRPr="00617A89">
          <w:rPr>
            <w:noProof/>
            <w:webHidden/>
          </w:rPr>
          <w:fldChar w:fldCharType="begin"/>
        </w:r>
        <w:r w:rsidRPr="00617A89">
          <w:rPr>
            <w:noProof/>
            <w:webHidden/>
          </w:rPr>
          <w:instrText xml:space="preserve"> PAGEREF _Toc222868502 \h </w:instrText>
        </w:r>
        <w:r w:rsidRPr="00617A89">
          <w:rPr>
            <w:noProof/>
            <w:webHidden/>
          </w:rPr>
        </w:r>
        <w:r w:rsidRPr="00617A89">
          <w:rPr>
            <w:noProof/>
            <w:webHidden/>
          </w:rPr>
          <w:fldChar w:fldCharType="separate"/>
        </w:r>
        <w:r w:rsidR="002E7DD0" w:rsidRPr="00617A89">
          <w:rPr>
            <w:noProof/>
            <w:webHidden/>
          </w:rPr>
          <w:t>17</w:t>
        </w:r>
        <w:r w:rsidRPr="00617A89">
          <w:rPr>
            <w:noProof/>
            <w:webHidden/>
          </w:rPr>
          <w:fldChar w:fldCharType="end"/>
        </w:r>
      </w:hyperlink>
    </w:p>
    <w:p w14:paraId="70D25317" w14:textId="222329CD"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3" w:history="1">
        <w:r w:rsidRPr="00617A89">
          <w:rPr>
            <w:rStyle w:val="Hyperlink"/>
            <w:noProof/>
          </w:rPr>
          <w:t>Figure 9</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undergraduates undertaking further full-time study by original broad field of education (%)</w:t>
        </w:r>
        <w:r w:rsidRPr="00617A89">
          <w:rPr>
            <w:noProof/>
            <w:webHidden/>
          </w:rPr>
          <w:tab/>
        </w:r>
        <w:r w:rsidRPr="00617A89">
          <w:rPr>
            <w:noProof/>
            <w:webHidden/>
          </w:rPr>
          <w:fldChar w:fldCharType="begin"/>
        </w:r>
        <w:r w:rsidRPr="00617A89">
          <w:rPr>
            <w:noProof/>
            <w:webHidden/>
          </w:rPr>
          <w:instrText xml:space="preserve"> PAGEREF _Toc222868503 \h </w:instrText>
        </w:r>
        <w:r w:rsidRPr="00617A89">
          <w:rPr>
            <w:noProof/>
            <w:webHidden/>
          </w:rPr>
        </w:r>
        <w:r w:rsidRPr="00617A89">
          <w:rPr>
            <w:noProof/>
            <w:webHidden/>
          </w:rPr>
          <w:fldChar w:fldCharType="separate"/>
        </w:r>
        <w:r w:rsidR="002E7DD0" w:rsidRPr="00617A89">
          <w:rPr>
            <w:noProof/>
            <w:webHidden/>
          </w:rPr>
          <w:t>18</w:t>
        </w:r>
        <w:r w:rsidRPr="00617A89">
          <w:rPr>
            <w:noProof/>
            <w:webHidden/>
          </w:rPr>
          <w:fldChar w:fldCharType="end"/>
        </w:r>
      </w:hyperlink>
    </w:p>
    <w:p w14:paraId="4FCA7FA2" w14:textId="52BB0F55"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4" w:history="1">
        <w:r w:rsidRPr="00617A89">
          <w:rPr>
            <w:rStyle w:val="Hyperlink"/>
            <w:noProof/>
          </w:rPr>
          <w:t>Figure 10</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Broad field of education destinations of domestic undergraduates undertaking further full-time study (%)</w:t>
        </w:r>
        <w:r w:rsidRPr="00617A89">
          <w:rPr>
            <w:noProof/>
            <w:webHidden/>
          </w:rPr>
          <w:tab/>
        </w:r>
        <w:r w:rsidRPr="00617A89">
          <w:rPr>
            <w:noProof/>
            <w:webHidden/>
          </w:rPr>
          <w:fldChar w:fldCharType="begin"/>
        </w:r>
        <w:r w:rsidRPr="00617A89">
          <w:rPr>
            <w:noProof/>
            <w:webHidden/>
          </w:rPr>
          <w:instrText xml:space="preserve"> PAGEREF _Toc222868504 \h </w:instrText>
        </w:r>
        <w:r w:rsidRPr="00617A89">
          <w:rPr>
            <w:noProof/>
            <w:webHidden/>
          </w:rPr>
        </w:r>
        <w:r w:rsidRPr="00617A89">
          <w:rPr>
            <w:noProof/>
            <w:webHidden/>
          </w:rPr>
          <w:fldChar w:fldCharType="separate"/>
        </w:r>
        <w:r w:rsidR="002E7DD0" w:rsidRPr="00617A89">
          <w:rPr>
            <w:noProof/>
            <w:webHidden/>
          </w:rPr>
          <w:t>19</w:t>
        </w:r>
        <w:r w:rsidRPr="00617A89">
          <w:rPr>
            <w:noProof/>
            <w:webHidden/>
          </w:rPr>
          <w:fldChar w:fldCharType="end"/>
        </w:r>
      </w:hyperlink>
    </w:p>
    <w:p w14:paraId="268F4172" w14:textId="0C4C763A"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5" w:history="1">
        <w:r w:rsidRPr="00617A89">
          <w:rPr>
            <w:rStyle w:val="Hyperlink"/>
            <w:noProof/>
          </w:rPr>
          <w:t>Figure 11</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Undergraduates in further study by socio-economic status</w:t>
        </w:r>
        <w:r w:rsidRPr="00617A89">
          <w:rPr>
            <w:noProof/>
            <w:webHidden/>
          </w:rPr>
          <w:tab/>
        </w:r>
        <w:r w:rsidRPr="00617A89">
          <w:rPr>
            <w:noProof/>
            <w:webHidden/>
          </w:rPr>
          <w:fldChar w:fldCharType="begin"/>
        </w:r>
        <w:r w:rsidRPr="00617A89">
          <w:rPr>
            <w:noProof/>
            <w:webHidden/>
          </w:rPr>
          <w:instrText xml:space="preserve"> PAGEREF _Toc222868505 \h </w:instrText>
        </w:r>
        <w:r w:rsidRPr="00617A89">
          <w:rPr>
            <w:noProof/>
            <w:webHidden/>
          </w:rPr>
        </w:r>
        <w:r w:rsidRPr="00617A89">
          <w:rPr>
            <w:noProof/>
            <w:webHidden/>
          </w:rPr>
          <w:fldChar w:fldCharType="separate"/>
        </w:r>
        <w:r w:rsidR="002E7DD0" w:rsidRPr="00617A89">
          <w:rPr>
            <w:noProof/>
            <w:webHidden/>
          </w:rPr>
          <w:t>22</w:t>
        </w:r>
        <w:r w:rsidRPr="00617A89">
          <w:rPr>
            <w:noProof/>
            <w:webHidden/>
          </w:rPr>
          <w:fldChar w:fldCharType="end"/>
        </w:r>
      </w:hyperlink>
    </w:p>
    <w:p w14:paraId="60CE72DA" w14:textId="73C3F661"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6" w:history="1">
        <w:r w:rsidRPr="00617A89">
          <w:rPr>
            <w:rStyle w:val="Hyperlink"/>
            <w:noProof/>
          </w:rPr>
          <w:t>Figure 12</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undergraduate full-time employment rate in the short- and medium-term, by study area</w:t>
        </w:r>
        <w:r w:rsidRPr="00617A89">
          <w:rPr>
            <w:noProof/>
            <w:webHidden/>
          </w:rPr>
          <w:tab/>
        </w:r>
        <w:r w:rsidRPr="00617A89">
          <w:rPr>
            <w:noProof/>
            <w:webHidden/>
          </w:rPr>
          <w:fldChar w:fldCharType="begin"/>
        </w:r>
        <w:r w:rsidRPr="00617A89">
          <w:rPr>
            <w:noProof/>
            <w:webHidden/>
          </w:rPr>
          <w:instrText xml:space="preserve"> PAGEREF _Toc222868506 \h </w:instrText>
        </w:r>
        <w:r w:rsidRPr="00617A89">
          <w:rPr>
            <w:noProof/>
            <w:webHidden/>
          </w:rPr>
        </w:r>
        <w:r w:rsidRPr="00617A89">
          <w:rPr>
            <w:noProof/>
            <w:webHidden/>
          </w:rPr>
          <w:fldChar w:fldCharType="separate"/>
        </w:r>
        <w:r w:rsidR="002E7DD0" w:rsidRPr="00617A89">
          <w:rPr>
            <w:noProof/>
            <w:webHidden/>
          </w:rPr>
          <w:t>28</w:t>
        </w:r>
        <w:r w:rsidRPr="00617A89">
          <w:rPr>
            <w:noProof/>
            <w:webHidden/>
          </w:rPr>
          <w:fldChar w:fldCharType="end"/>
        </w:r>
      </w:hyperlink>
    </w:p>
    <w:p w14:paraId="6B18F720" w14:textId="0DDA228B"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7" w:history="1">
        <w:r w:rsidRPr="00617A89">
          <w:rPr>
            <w:rStyle w:val="Hyperlink"/>
            <w:noProof/>
          </w:rPr>
          <w:t>Figure 13</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Undergraduate labour market outcomes by gender</w:t>
        </w:r>
        <w:r w:rsidRPr="00617A89">
          <w:rPr>
            <w:noProof/>
            <w:webHidden/>
          </w:rPr>
          <w:tab/>
        </w:r>
        <w:r w:rsidRPr="00617A89">
          <w:rPr>
            <w:noProof/>
            <w:webHidden/>
          </w:rPr>
          <w:fldChar w:fldCharType="begin"/>
        </w:r>
        <w:r w:rsidRPr="00617A89">
          <w:rPr>
            <w:noProof/>
            <w:webHidden/>
          </w:rPr>
          <w:instrText xml:space="preserve"> PAGEREF _Toc222868507 \h </w:instrText>
        </w:r>
        <w:r w:rsidRPr="00617A89">
          <w:rPr>
            <w:noProof/>
            <w:webHidden/>
          </w:rPr>
        </w:r>
        <w:r w:rsidRPr="00617A89">
          <w:rPr>
            <w:noProof/>
            <w:webHidden/>
          </w:rPr>
          <w:fldChar w:fldCharType="separate"/>
        </w:r>
        <w:r w:rsidR="002E7DD0" w:rsidRPr="00617A89">
          <w:rPr>
            <w:noProof/>
            <w:webHidden/>
          </w:rPr>
          <w:t>31</w:t>
        </w:r>
        <w:r w:rsidRPr="00617A89">
          <w:rPr>
            <w:noProof/>
            <w:webHidden/>
          </w:rPr>
          <w:fldChar w:fldCharType="end"/>
        </w:r>
      </w:hyperlink>
    </w:p>
    <w:p w14:paraId="37CD6FFA" w14:textId="3D261E25"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8" w:history="1">
        <w:r w:rsidRPr="00617A89">
          <w:rPr>
            <w:rStyle w:val="Hyperlink"/>
            <w:noProof/>
          </w:rPr>
          <w:t>Figure 14</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Undergraduate gender pay gap, medium-term, and 3-year salary growth by gender</w:t>
        </w:r>
        <w:r w:rsidRPr="00617A89">
          <w:rPr>
            <w:noProof/>
            <w:webHidden/>
          </w:rPr>
          <w:tab/>
        </w:r>
        <w:r w:rsidRPr="00617A89">
          <w:rPr>
            <w:noProof/>
            <w:webHidden/>
          </w:rPr>
          <w:fldChar w:fldCharType="begin"/>
        </w:r>
        <w:r w:rsidRPr="00617A89">
          <w:rPr>
            <w:noProof/>
            <w:webHidden/>
          </w:rPr>
          <w:instrText xml:space="preserve"> PAGEREF _Toc222868508 \h </w:instrText>
        </w:r>
        <w:r w:rsidRPr="00617A89">
          <w:rPr>
            <w:noProof/>
            <w:webHidden/>
          </w:rPr>
        </w:r>
        <w:r w:rsidRPr="00617A89">
          <w:rPr>
            <w:noProof/>
            <w:webHidden/>
          </w:rPr>
          <w:fldChar w:fldCharType="separate"/>
        </w:r>
        <w:r w:rsidR="002E7DD0" w:rsidRPr="00617A89">
          <w:rPr>
            <w:noProof/>
            <w:webHidden/>
          </w:rPr>
          <w:t>32</w:t>
        </w:r>
        <w:r w:rsidRPr="00617A89">
          <w:rPr>
            <w:noProof/>
            <w:webHidden/>
          </w:rPr>
          <w:fldChar w:fldCharType="end"/>
        </w:r>
      </w:hyperlink>
    </w:p>
    <w:p w14:paraId="5F4D8C48" w14:textId="6790E82C"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09" w:history="1">
        <w:r w:rsidRPr="00617A89">
          <w:rPr>
            <w:rStyle w:val="Hyperlink"/>
            <w:noProof/>
          </w:rPr>
          <w:t>Figure 15</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Postgraduate coursework median annual full-time salary by gender</w:t>
        </w:r>
        <w:r w:rsidRPr="00617A89">
          <w:rPr>
            <w:noProof/>
            <w:webHidden/>
          </w:rPr>
          <w:tab/>
        </w:r>
        <w:r w:rsidRPr="00617A89">
          <w:rPr>
            <w:noProof/>
            <w:webHidden/>
          </w:rPr>
          <w:fldChar w:fldCharType="begin"/>
        </w:r>
        <w:r w:rsidRPr="00617A89">
          <w:rPr>
            <w:noProof/>
            <w:webHidden/>
          </w:rPr>
          <w:instrText xml:space="preserve"> PAGEREF _Toc222868509 \h </w:instrText>
        </w:r>
        <w:r w:rsidRPr="00617A89">
          <w:rPr>
            <w:noProof/>
            <w:webHidden/>
          </w:rPr>
        </w:r>
        <w:r w:rsidRPr="00617A89">
          <w:rPr>
            <w:noProof/>
            <w:webHidden/>
          </w:rPr>
          <w:fldChar w:fldCharType="separate"/>
        </w:r>
        <w:r w:rsidR="002E7DD0" w:rsidRPr="00617A89">
          <w:rPr>
            <w:noProof/>
            <w:webHidden/>
          </w:rPr>
          <w:t>33</w:t>
        </w:r>
        <w:r w:rsidRPr="00617A89">
          <w:rPr>
            <w:noProof/>
            <w:webHidden/>
          </w:rPr>
          <w:fldChar w:fldCharType="end"/>
        </w:r>
      </w:hyperlink>
    </w:p>
    <w:p w14:paraId="3D0B846B" w14:textId="3C58BE74"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10" w:history="1">
        <w:r w:rsidRPr="00617A89">
          <w:rPr>
            <w:rStyle w:val="Hyperlink"/>
            <w:noProof/>
          </w:rPr>
          <w:t>Figure 16</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Postgraduate research median annual full-time salary by gender</w:t>
        </w:r>
        <w:r w:rsidRPr="00617A89">
          <w:rPr>
            <w:noProof/>
            <w:webHidden/>
          </w:rPr>
          <w:tab/>
        </w:r>
        <w:r w:rsidRPr="00617A89">
          <w:rPr>
            <w:noProof/>
            <w:webHidden/>
          </w:rPr>
          <w:fldChar w:fldCharType="begin"/>
        </w:r>
        <w:r w:rsidRPr="00617A89">
          <w:rPr>
            <w:noProof/>
            <w:webHidden/>
          </w:rPr>
          <w:instrText xml:space="preserve"> PAGEREF _Toc222868510 \h </w:instrText>
        </w:r>
        <w:r w:rsidRPr="00617A89">
          <w:rPr>
            <w:noProof/>
            <w:webHidden/>
          </w:rPr>
        </w:r>
        <w:r w:rsidRPr="00617A89">
          <w:rPr>
            <w:noProof/>
            <w:webHidden/>
          </w:rPr>
          <w:fldChar w:fldCharType="separate"/>
        </w:r>
        <w:r w:rsidR="002E7DD0" w:rsidRPr="00617A89">
          <w:rPr>
            <w:noProof/>
            <w:webHidden/>
          </w:rPr>
          <w:t>33</w:t>
        </w:r>
        <w:r w:rsidRPr="00617A89">
          <w:rPr>
            <w:noProof/>
            <w:webHidden/>
          </w:rPr>
          <w:fldChar w:fldCharType="end"/>
        </w:r>
      </w:hyperlink>
    </w:p>
    <w:p w14:paraId="7DE3C3AD" w14:textId="67FAF505"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11" w:history="1">
        <w:r w:rsidRPr="00617A89">
          <w:rPr>
            <w:rStyle w:val="Hyperlink"/>
            <w:noProof/>
          </w:rPr>
          <w:t>Figure 17</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undergraduate short- and medium-term full-time employment rate by university (% with 90% confidence intervals)</w:t>
        </w:r>
        <w:r w:rsidRPr="00617A89">
          <w:rPr>
            <w:noProof/>
            <w:webHidden/>
          </w:rPr>
          <w:tab/>
        </w:r>
        <w:r w:rsidRPr="00617A89">
          <w:rPr>
            <w:noProof/>
            <w:webHidden/>
          </w:rPr>
          <w:fldChar w:fldCharType="begin"/>
        </w:r>
        <w:r w:rsidRPr="00617A89">
          <w:rPr>
            <w:noProof/>
            <w:webHidden/>
          </w:rPr>
          <w:instrText xml:space="preserve"> PAGEREF _Toc222868511 \h </w:instrText>
        </w:r>
        <w:r w:rsidRPr="00617A89">
          <w:rPr>
            <w:noProof/>
            <w:webHidden/>
          </w:rPr>
        </w:r>
        <w:r w:rsidRPr="00617A89">
          <w:rPr>
            <w:noProof/>
            <w:webHidden/>
          </w:rPr>
          <w:fldChar w:fldCharType="separate"/>
        </w:r>
        <w:r w:rsidR="002E7DD0" w:rsidRPr="00617A89">
          <w:rPr>
            <w:noProof/>
            <w:webHidden/>
          </w:rPr>
          <w:t>36</w:t>
        </w:r>
        <w:r w:rsidRPr="00617A89">
          <w:rPr>
            <w:noProof/>
            <w:webHidden/>
          </w:rPr>
          <w:fldChar w:fldCharType="end"/>
        </w:r>
      </w:hyperlink>
    </w:p>
    <w:p w14:paraId="25D6B6A4" w14:textId="7DA76712"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12" w:history="1">
        <w:r w:rsidRPr="00617A89">
          <w:rPr>
            <w:rStyle w:val="Hyperlink"/>
            <w:noProof/>
          </w:rPr>
          <w:t>Figure 18</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Domestic postgraduate coursework short- and medium-term full-time employment rate by university, 2025 (% with 90% confidence intervals)</w:t>
        </w:r>
        <w:r w:rsidRPr="00617A89">
          <w:rPr>
            <w:noProof/>
            <w:webHidden/>
          </w:rPr>
          <w:tab/>
        </w:r>
        <w:r w:rsidRPr="00617A89">
          <w:rPr>
            <w:noProof/>
            <w:webHidden/>
          </w:rPr>
          <w:fldChar w:fldCharType="begin"/>
        </w:r>
        <w:r w:rsidRPr="00617A89">
          <w:rPr>
            <w:noProof/>
            <w:webHidden/>
          </w:rPr>
          <w:instrText xml:space="preserve"> PAGEREF _Toc222868512 \h </w:instrText>
        </w:r>
        <w:r w:rsidRPr="00617A89">
          <w:rPr>
            <w:noProof/>
            <w:webHidden/>
          </w:rPr>
        </w:r>
        <w:r w:rsidRPr="00617A89">
          <w:rPr>
            <w:noProof/>
            <w:webHidden/>
          </w:rPr>
          <w:fldChar w:fldCharType="separate"/>
        </w:r>
        <w:r w:rsidR="002E7DD0" w:rsidRPr="00617A89">
          <w:rPr>
            <w:noProof/>
            <w:webHidden/>
          </w:rPr>
          <w:t>37</w:t>
        </w:r>
        <w:r w:rsidRPr="00617A89">
          <w:rPr>
            <w:noProof/>
            <w:webHidden/>
          </w:rPr>
          <w:fldChar w:fldCharType="end"/>
        </w:r>
      </w:hyperlink>
    </w:p>
    <w:p w14:paraId="39296F8B" w14:textId="06279053" w:rsidR="000539F2" w:rsidRPr="00617A89" w:rsidRDefault="000539F2">
      <w:pPr>
        <w:pStyle w:val="TableofFigures"/>
        <w:tabs>
          <w:tab w:val="right" w:leader="dot" w:pos="10450"/>
        </w:tabs>
        <w:rPr>
          <w:rFonts w:asciiTheme="minorHAnsi" w:eastAsiaTheme="minorEastAsia" w:hAnsiTheme="minorHAnsi"/>
          <w:noProof/>
          <w:color w:val="auto"/>
          <w:kern w:val="2"/>
          <w:sz w:val="24"/>
          <w:szCs w:val="24"/>
          <w:lang w:eastAsia="en-AU"/>
          <w14:ligatures w14:val="standardContextual"/>
        </w:rPr>
      </w:pPr>
      <w:hyperlink w:anchor="_Toc222868513" w:history="1">
        <w:r w:rsidRPr="00617A89">
          <w:rPr>
            <w:rStyle w:val="Hyperlink"/>
            <w:noProof/>
          </w:rPr>
          <w:t>Figure 19</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International graduate profile by study area and level (% based on responses to the 2025 GOS-L)</w:t>
        </w:r>
        <w:r w:rsidRPr="00617A89">
          <w:rPr>
            <w:noProof/>
            <w:webHidden/>
          </w:rPr>
          <w:tab/>
        </w:r>
        <w:r w:rsidRPr="00617A89">
          <w:rPr>
            <w:noProof/>
            <w:webHidden/>
          </w:rPr>
          <w:fldChar w:fldCharType="begin"/>
        </w:r>
        <w:r w:rsidRPr="00617A89">
          <w:rPr>
            <w:noProof/>
            <w:webHidden/>
          </w:rPr>
          <w:instrText xml:space="preserve"> PAGEREF _Toc222868513 \h </w:instrText>
        </w:r>
        <w:r w:rsidRPr="00617A89">
          <w:rPr>
            <w:noProof/>
            <w:webHidden/>
          </w:rPr>
        </w:r>
        <w:r w:rsidRPr="00617A89">
          <w:rPr>
            <w:noProof/>
            <w:webHidden/>
          </w:rPr>
          <w:fldChar w:fldCharType="separate"/>
        </w:r>
        <w:r w:rsidR="002E7DD0" w:rsidRPr="00617A89">
          <w:rPr>
            <w:noProof/>
            <w:webHidden/>
          </w:rPr>
          <w:t>44</w:t>
        </w:r>
        <w:r w:rsidRPr="00617A89">
          <w:rPr>
            <w:noProof/>
            <w:webHidden/>
          </w:rPr>
          <w:fldChar w:fldCharType="end"/>
        </w:r>
      </w:hyperlink>
    </w:p>
    <w:p w14:paraId="4A7CF046" w14:textId="6629FDB0" w:rsidR="002E7DD0" w:rsidRPr="00617A89" w:rsidRDefault="000539F2">
      <w:pPr>
        <w:pStyle w:val="TableofFigures"/>
        <w:tabs>
          <w:tab w:val="right" w:leader="dot" w:pos="10450"/>
        </w:tabs>
        <w:rPr>
          <w:noProof/>
        </w:rPr>
        <w:sectPr w:rsidR="002E7DD0" w:rsidRPr="00617A89" w:rsidSect="002E7DD0">
          <w:pgSz w:w="11900" w:h="16840"/>
          <w:pgMar w:top="720" w:right="720" w:bottom="720" w:left="720" w:header="567" w:footer="567" w:gutter="0"/>
          <w:pgNumType w:fmt="lowerRoman"/>
          <w:cols w:space="708"/>
          <w:docGrid w:linePitch="360"/>
        </w:sectPr>
      </w:pPr>
      <w:hyperlink w:anchor="_Toc222868514" w:history="1">
        <w:r w:rsidRPr="00617A89">
          <w:rPr>
            <w:rStyle w:val="Hyperlink"/>
            <w:noProof/>
          </w:rPr>
          <w:t>Figure 20</w:t>
        </w:r>
        <w:r w:rsidRPr="00617A89">
          <w:rPr>
            <w:rFonts w:asciiTheme="minorHAnsi" w:eastAsiaTheme="minorEastAsia" w:hAnsiTheme="minorHAnsi"/>
            <w:noProof/>
            <w:color w:val="auto"/>
            <w:kern w:val="2"/>
            <w:sz w:val="24"/>
            <w:szCs w:val="24"/>
            <w:lang w:eastAsia="en-AU"/>
            <w14:ligatures w14:val="standardContextual"/>
          </w:rPr>
          <w:tab/>
        </w:r>
        <w:r w:rsidRPr="00617A89">
          <w:rPr>
            <w:rStyle w:val="Hyperlink"/>
            <w:noProof/>
          </w:rPr>
          <w:t>Undergraduate full-time employment rate by citizenship status and study area (%)</w:t>
        </w:r>
        <w:r w:rsidRPr="00617A89">
          <w:rPr>
            <w:noProof/>
            <w:webHidden/>
          </w:rPr>
          <w:tab/>
        </w:r>
        <w:r w:rsidRPr="00617A89">
          <w:rPr>
            <w:noProof/>
            <w:webHidden/>
          </w:rPr>
          <w:fldChar w:fldCharType="begin"/>
        </w:r>
        <w:r w:rsidRPr="00617A89">
          <w:rPr>
            <w:noProof/>
            <w:webHidden/>
          </w:rPr>
          <w:instrText xml:space="preserve"> PAGEREF _Toc222868514 \h </w:instrText>
        </w:r>
        <w:r w:rsidRPr="00617A89">
          <w:rPr>
            <w:noProof/>
            <w:webHidden/>
          </w:rPr>
        </w:r>
        <w:r w:rsidRPr="00617A89">
          <w:rPr>
            <w:noProof/>
            <w:webHidden/>
          </w:rPr>
          <w:fldChar w:fldCharType="separate"/>
        </w:r>
        <w:r w:rsidR="002E7DD0" w:rsidRPr="00617A89">
          <w:rPr>
            <w:noProof/>
            <w:webHidden/>
          </w:rPr>
          <w:t>46</w:t>
        </w:r>
        <w:r w:rsidRPr="00617A89">
          <w:rPr>
            <w:noProof/>
            <w:webHidden/>
          </w:rPr>
          <w:fldChar w:fldCharType="end"/>
        </w:r>
      </w:hyperlink>
    </w:p>
    <w:p w14:paraId="132116A0" w14:textId="40E4238F" w:rsidR="00244416" w:rsidRPr="00617A89" w:rsidRDefault="006A1804" w:rsidP="00A01394">
      <w:pPr>
        <w:pStyle w:val="Heading1"/>
        <w:rPr>
          <w:color w:val="000000" w:themeColor="text1"/>
        </w:rPr>
      </w:pPr>
      <w:r w:rsidRPr="00617A89">
        <w:rPr>
          <w:rFonts w:eastAsia="Times New Roman" w:cs="Arial"/>
          <w:b/>
          <w:noProof/>
          <w:color w:val="000000" w:themeColor="text1"/>
          <w:sz w:val="20"/>
          <w:szCs w:val="20"/>
        </w:rPr>
        <w:fldChar w:fldCharType="end"/>
      </w:r>
      <w:bookmarkStart w:id="12" w:name="_Toc222868431"/>
      <w:r w:rsidR="00244416" w:rsidRPr="00617A89">
        <w:rPr>
          <w:color w:val="000000" w:themeColor="text1"/>
        </w:rPr>
        <w:t>About the GOS-L</w:t>
      </w:r>
      <w:bookmarkEnd w:id="11"/>
      <w:bookmarkEnd w:id="12"/>
    </w:p>
    <w:p w14:paraId="2D458D58" w14:textId="77777777" w:rsidR="0051460E" w:rsidRPr="00617A89" w:rsidRDefault="0051460E" w:rsidP="0051460E">
      <w:pPr>
        <w:pStyle w:val="Bodycopy"/>
        <w:rPr>
          <w:color w:val="000000" w:themeColor="text1"/>
        </w:rPr>
      </w:pPr>
      <w:r w:rsidRPr="00617A89">
        <w:rPr>
          <w:color w:val="000000" w:themeColor="text1"/>
        </w:rPr>
        <w:t xml:space="preserve">Graduates are invited to take the Graduate Outcomes Survey (GOS) 4 to 6 months after completing their studies. Graduates who responded to the GOS are invited to take the Graduate Outcomes Survey - Longitudinal (GOS-L) approximately 3 years later. </w:t>
      </w:r>
    </w:p>
    <w:p w14:paraId="20EF47A9" w14:textId="08D3EA93" w:rsidR="0051460E" w:rsidRPr="00617A89" w:rsidRDefault="0051460E" w:rsidP="0051460E">
      <w:pPr>
        <w:pStyle w:val="Bodycopy"/>
        <w:rPr>
          <w:color w:val="000000" w:themeColor="text1"/>
        </w:rPr>
      </w:pPr>
      <w:r w:rsidRPr="00617A89">
        <w:rPr>
          <w:color w:val="000000" w:themeColor="text1"/>
        </w:rPr>
        <w:t>The two surveys complement and supplement one another, as the 2025 GOS-L report analyses the short- and medium-term outcomes of graduates who responded to the 2022 GOS (i.e. completed their course between March 2021 and February 2022) and the corresponding follow-up survey 3 years later.</w:t>
      </w:r>
    </w:p>
    <w:p w14:paraId="76B07613" w14:textId="6613CEBE" w:rsidR="00244416" w:rsidRPr="00617A89" w:rsidRDefault="00244416" w:rsidP="0051460E">
      <w:pPr>
        <w:pStyle w:val="Bodycopy"/>
        <w:rPr>
          <w:color w:val="000000" w:themeColor="text1"/>
        </w:rPr>
      </w:pPr>
      <w:r w:rsidRPr="00617A89">
        <w:rPr>
          <w:color w:val="000000" w:themeColor="text1"/>
        </w:rPr>
        <w:t>The GOS-L is an ongoing part of the Quality Indicators for Learning and Teaching (QILT) survey suite. GOS-L reports, including this report, provide robust, rich information to improve higher education. As well as examining general labour market outcomes (rates of full-time employment, overall employment, labour force participation and median annual full-time salaries), the reports focus on areas such as the gender pay gap, reasons for underemployment and how well qualifications prepared graduates for their current jobs.</w:t>
      </w:r>
    </w:p>
    <w:p w14:paraId="6AAEB36E" w14:textId="6109F6FB" w:rsidR="00244416" w:rsidRPr="00617A89" w:rsidRDefault="00244416" w:rsidP="00244416">
      <w:pPr>
        <w:widowControl w:val="0"/>
        <w:suppressAutoHyphens/>
        <w:autoSpaceDE w:val="0"/>
        <w:autoSpaceDN w:val="0"/>
        <w:adjustRightInd w:val="0"/>
        <w:spacing w:before="142" w:line="290" w:lineRule="atLeast"/>
        <w:textAlignment w:val="center"/>
        <w:rPr>
          <w:rFonts w:cs="Arial"/>
          <w:color w:val="000000" w:themeColor="text1"/>
          <w:lang w:val="en-GB"/>
        </w:rPr>
      </w:pPr>
      <w:r w:rsidRPr="00617A89">
        <w:rPr>
          <w:rFonts w:cs="Arial"/>
          <w:color w:val="000000" w:themeColor="text1"/>
          <w:lang w:val="en-GB"/>
        </w:rPr>
        <w:t xml:space="preserve">Results for domestic graduates and international graduates, whether living in Australia or overseas, are presented separately in this report. This corresponds with presentation of short-term graduate outcomes published annually in the GOS National Report and GOS International Report (see </w:t>
      </w:r>
      <w:hyperlink r:id="rId41">
        <w:r w:rsidR="006A1804" w:rsidRPr="00617A89">
          <w:rPr>
            <w:rStyle w:val="Hyperlink"/>
            <w:rFonts w:cs="Arial"/>
          </w:rPr>
          <w:t>Graduate Outcomes Survey</w:t>
        </w:r>
      </w:hyperlink>
      <w:r w:rsidRPr="00617A89">
        <w:rPr>
          <w:rStyle w:val="Hyperlink"/>
          <w:rFonts w:cs="Arial"/>
          <w:lang w:val="en-GB"/>
        </w:rPr>
        <w:t>)</w:t>
      </w:r>
      <w:r w:rsidRPr="00617A89">
        <w:rPr>
          <w:rFonts w:cs="Arial"/>
          <w:color w:val="000000" w:themeColor="text1"/>
          <w:lang w:val="en-GB"/>
        </w:rPr>
        <w:t>.</w:t>
      </w:r>
    </w:p>
    <w:p w14:paraId="4B267EF8" w14:textId="77777777" w:rsidR="00244416" w:rsidRPr="00617A89" w:rsidRDefault="00244416" w:rsidP="0051460E">
      <w:pPr>
        <w:pStyle w:val="Heading2"/>
        <w:rPr>
          <w:color w:val="auto"/>
        </w:rPr>
      </w:pPr>
      <w:bookmarkStart w:id="13" w:name="_Toc192179846"/>
      <w:bookmarkStart w:id="14" w:name="_Toc222868432"/>
      <w:r w:rsidRPr="00617A89">
        <w:rPr>
          <w:color w:val="auto"/>
        </w:rPr>
        <w:t>Participation</w:t>
      </w:r>
      <w:bookmarkEnd w:id="13"/>
      <w:bookmarkEnd w:id="14"/>
    </w:p>
    <w:p w14:paraId="1EE1BB2D" w14:textId="542641C8" w:rsidR="00244416" w:rsidRPr="00617A89" w:rsidRDefault="00244416" w:rsidP="00244416">
      <w:pPr>
        <w:pStyle w:val="Bodycopy"/>
        <w:rPr>
          <w:color w:val="000000" w:themeColor="text1"/>
        </w:rPr>
      </w:pPr>
      <w:r w:rsidRPr="00617A89">
        <w:rPr>
          <w:color w:val="000000" w:themeColor="text1"/>
        </w:rPr>
        <w:t>The 202</w:t>
      </w:r>
      <w:r w:rsidR="004C7CFC" w:rsidRPr="00617A89">
        <w:rPr>
          <w:color w:val="000000" w:themeColor="text1"/>
        </w:rPr>
        <w:t>5</w:t>
      </w:r>
      <w:r w:rsidRPr="00617A89">
        <w:rPr>
          <w:color w:val="000000" w:themeColor="text1"/>
        </w:rPr>
        <w:t xml:space="preserve"> GOS-L was administered for all higher education institutions whose graduates participated in the 202</w:t>
      </w:r>
      <w:r w:rsidR="002D6CD5" w:rsidRPr="00617A89">
        <w:rPr>
          <w:color w:val="000000" w:themeColor="text1"/>
        </w:rPr>
        <w:t>2</w:t>
      </w:r>
      <w:r w:rsidRPr="00617A89">
        <w:rPr>
          <w:color w:val="000000" w:themeColor="text1"/>
        </w:rPr>
        <w:t xml:space="preserve"> GOS and were eligible to participate in the GOS-L.</w:t>
      </w:r>
    </w:p>
    <w:p w14:paraId="54D660F9" w14:textId="2D8BB358" w:rsidR="00244416" w:rsidRPr="00617A89" w:rsidRDefault="00244416" w:rsidP="00244416">
      <w:pPr>
        <w:pStyle w:val="Bodycopy"/>
        <w:rPr>
          <w:color w:val="000000" w:themeColor="text1"/>
        </w:rPr>
      </w:pPr>
      <w:r w:rsidRPr="00617A89">
        <w:rPr>
          <w:color w:val="000000" w:themeColor="text1"/>
        </w:rPr>
        <w:t>In total, 12</w:t>
      </w:r>
      <w:r w:rsidR="002D7E00" w:rsidRPr="00617A89">
        <w:rPr>
          <w:color w:val="000000" w:themeColor="text1"/>
        </w:rPr>
        <w:t>7</w:t>
      </w:r>
      <w:r w:rsidRPr="00617A89">
        <w:rPr>
          <w:color w:val="000000" w:themeColor="text1"/>
        </w:rPr>
        <w:t xml:space="preserve"> institutions were included, with </w:t>
      </w:r>
      <w:r w:rsidR="004902E1" w:rsidRPr="00617A89">
        <w:rPr>
          <w:color w:val="000000" w:themeColor="text1"/>
        </w:rPr>
        <w:t xml:space="preserve">43 </w:t>
      </w:r>
      <w:r w:rsidRPr="00617A89">
        <w:rPr>
          <w:color w:val="000000" w:themeColor="text1"/>
        </w:rPr>
        <w:t xml:space="preserve">universities and </w:t>
      </w:r>
      <w:r w:rsidR="004902E1" w:rsidRPr="00617A89">
        <w:rPr>
          <w:color w:val="000000" w:themeColor="text1"/>
        </w:rPr>
        <w:t xml:space="preserve">84 </w:t>
      </w:r>
      <w:r w:rsidRPr="00617A89">
        <w:rPr>
          <w:color w:val="000000" w:themeColor="text1"/>
        </w:rPr>
        <w:t>non-university higher education institutions (NUHEIs) across all study levels.</w:t>
      </w:r>
      <w:r w:rsidR="00525FB0" w:rsidRPr="00617A89">
        <w:rPr>
          <w:rStyle w:val="FootnoteReference"/>
          <w:color w:val="000000" w:themeColor="text1"/>
        </w:rPr>
        <w:footnoteReference w:id="2"/>
      </w:r>
      <w:r w:rsidRPr="00617A89">
        <w:rPr>
          <w:color w:val="000000" w:themeColor="text1"/>
        </w:rPr>
        <w:t xml:space="preserve"> The GOS-L achieved an overall </w:t>
      </w:r>
      <w:r w:rsidR="005C3820" w:rsidRPr="00617A89">
        <w:rPr>
          <w:color w:val="000000" w:themeColor="text1"/>
        </w:rPr>
        <w:t>53.6 per cent</w:t>
      </w:r>
      <w:r w:rsidR="00063D7A" w:rsidRPr="00617A89">
        <w:rPr>
          <w:color w:val="000000" w:themeColor="text1"/>
        </w:rPr>
        <w:t xml:space="preserve"> </w:t>
      </w:r>
      <w:r w:rsidRPr="00617A89">
        <w:rPr>
          <w:color w:val="000000" w:themeColor="text1"/>
        </w:rPr>
        <w:t>response rate in 202</w:t>
      </w:r>
      <w:r w:rsidR="00063D7A" w:rsidRPr="00617A89">
        <w:rPr>
          <w:color w:val="000000" w:themeColor="text1"/>
        </w:rPr>
        <w:t>5</w:t>
      </w:r>
      <w:r w:rsidRPr="00617A89">
        <w:rPr>
          <w:color w:val="000000" w:themeColor="text1"/>
        </w:rPr>
        <w:t xml:space="preserve"> (</w:t>
      </w:r>
      <w:r w:rsidR="00063D7A" w:rsidRPr="00617A89">
        <w:rPr>
          <w:color w:val="000000" w:themeColor="text1"/>
        </w:rPr>
        <w:t>48,314</w:t>
      </w:r>
      <w:r w:rsidRPr="00617A89">
        <w:rPr>
          <w:color w:val="000000" w:themeColor="text1"/>
        </w:rPr>
        <w:t xml:space="preserve"> completed surveys), up from </w:t>
      </w:r>
      <w:r w:rsidR="00063D7A" w:rsidRPr="00617A89">
        <w:rPr>
          <w:color w:val="000000" w:themeColor="text1"/>
        </w:rPr>
        <w:t xml:space="preserve">48.0 per cent in 2024 and </w:t>
      </w:r>
      <w:r w:rsidRPr="00617A89">
        <w:rPr>
          <w:color w:val="000000" w:themeColor="text1"/>
        </w:rPr>
        <w:t>45.0 per cent in 2023.</w:t>
      </w:r>
    </w:p>
    <w:p w14:paraId="39F7DEE1" w14:textId="77777777" w:rsidR="00200B73" w:rsidRPr="00617A89" w:rsidRDefault="00200B73" w:rsidP="00244416">
      <w:pPr>
        <w:pStyle w:val="Bodycopy"/>
        <w:rPr>
          <w:color w:val="000000" w:themeColor="text1"/>
        </w:rPr>
      </w:pPr>
    </w:p>
    <w:p w14:paraId="771985DD" w14:textId="77777777" w:rsidR="00200B73" w:rsidRPr="00617A89" w:rsidRDefault="00200B73" w:rsidP="00200B73">
      <w:pPr>
        <w:rPr>
          <w:b/>
          <w:bCs/>
          <w:color w:val="000000" w:themeColor="text1"/>
        </w:rPr>
      </w:pPr>
      <w:r w:rsidRPr="00617A89">
        <w:rPr>
          <w:b/>
          <w:bCs/>
          <w:color w:val="000000" w:themeColor="text1"/>
        </w:rPr>
        <w:t>2025 participation</w:t>
      </w:r>
    </w:p>
    <w:p w14:paraId="29315A22" w14:textId="77777777" w:rsidR="00200B73" w:rsidRPr="00617A89" w:rsidRDefault="00200B73" w:rsidP="00200B73">
      <w:pPr>
        <w:rPr>
          <w:color w:val="000000" w:themeColor="text1"/>
        </w:rPr>
      </w:pPr>
      <w:r w:rsidRPr="00617A89">
        <w:rPr>
          <w:color w:val="000000" w:themeColor="text1"/>
        </w:rPr>
        <w:t>127 institutions</w:t>
      </w:r>
    </w:p>
    <w:p w14:paraId="655BA4F0" w14:textId="77777777" w:rsidR="00200B73" w:rsidRPr="00617A89" w:rsidRDefault="00200B73" w:rsidP="00200B73">
      <w:pPr>
        <w:rPr>
          <w:color w:val="000000" w:themeColor="text1"/>
        </w:rPr>
      </w:pPr>
      <w:r w:rsidRPr="00617A89">
        <w:rPr>
          <w:color w:val="000000" w:themeColor="text1"/>
        </w:rPr>
        <w:t>100,340 invitations sent</w:t>
      </w:r>
    </w:p>
    <w:p w14:paraId="07D37C2F" w14:textId="77777777" w:rsidR="00200B73" w:rsidRPr="00617A89" w:rsidRDefault="00200B73" w:rsidP="00200B73">
      <w:pPr>
        <w:rPr>
          <w:color w:val="000000" w:themeColor="text1"/>
        </w:rPr>
      </w:pPr>
      <w:r w:rsidRPr="00617A89">
        <w:rPr>
          <w:color w:val="000000" w:themeColor="text1"/>
        </w:rPr>
        <w:t>48,314 completed surveys</w:t>
      </w:r>
    </w:p>
    <w:p w14:paraId="574FC741" w14:textId="77777777" w:rsidR="00200B73" w:rsidRPr="00617A89" w:rsidRDefault="00200B73" w:rsidP="00200B73">
      <w:pPr>
        <w:rPr>
          <w:color w:val="000000" w:themeColor="text1"/>
        </w:rPr>
      </w:pPr>
      <w:r w:rsidRPr="00617A89">
        <w:rPr>
          <w:color w:val="000000" w:themeColor="text1"/>
        </w:rPr>
        <w:t>53.6% response rate</w:t>
      </w:r>
    </w:p>
    <w:p w14:paraId="52F40967" w14:textId="77777777" w:rsidR="00200B73" w:rsidRPr="00617A89" w:rsidRDefault="00200B73" w:rsidP="00244416">
      <w:pPr>
        <w:pStyle w:val="Bodycopy"/>
        <w:rPr>
          <w:color w:val="000000" w:themeColor="text1"/>
        </w:rPr>
      </w:pPr>
    </w:p>
    <w:p w14:paraId="3F531011" w14:textId="2E6F40F9" w:rsidR="00244416" w:rsidRPr="00617A89" w:rsidRDefault="00244416" w:rsidP="0051460E">
      <w:pPr>
        <w:pStyle w:val="Heading2"/>
        <w:rPr>
          <w:color w:val="auto"/>
        </w:rPr>
      </w:pPr>
      <w:bookmarkStart w:id="15" w:name="_Toc192179847"/>
      <w:bookmarkStart w:id="16" w:name="_Toc222868433"/>
      <w:r w:rsidRPr="00617A89">
        <w:rPr>
          <w:color w:val="auto"/>
        </w:rPr>
        <w:t>Further detail</w:t>
      </w:r>
      <w:bookmarkEnd w:id="15"/>
      <w:bookmarkEnd w:id="16"/>
    </w:p>
    <w:p w14:paraId="709C2D52" w14:textId="77777777" w:rsidR="00244416" w:rsidRPr="00617A89" w:rsidRDefault="00244416" w:rsidP="00244416">
      <w:pPr>
        <w:pStyle w:val="Bodycopy"/>
        <w:rPr>
          <w:color w:val="000000" w:themeColor="text1"/>
        </w:rPr>
      </w:pPr>
      <w:r w:rsidRPr="00617A89">
        <w:rPr>
          <w:rFonts w:cs="Arial"/>
          <w:color w:val="000000" w:themeColor="text1"/>
        </w:rPr>
        <w:t xml:space="preserve">This report is a selection of high-level results, but other information, such as data related to how well courses prepared graduates for work and further study, and more detailed labour force breakdowns, is available from </w:t>
      </w:r>
      <w:hyperlink r:id="rId42" w:history="1">
        <w:r w:rsidRPr="00617A89">
          <w:rPr>
            <w:rStyle w:val="Hyperlink"/>
          </w:rPr>
          <w:t xml:space="preserve">Graduate Outcomes Survey </w:t>
        </w:r>
        <w:r w:rsidRPr="00617A89">
          <w:rPr>
            <w:color w:val="000000" w:themeColor="text1"/>
            <w:u w:val="single"/>
          </w:rPr>
          <w:t>-</w:t>
        </w:r>
        <w:r w:rsidRPr="00617A89">
          <w:rPr>
            <w:rStyle w:val="Hyperlink"/>
          </w:rPr>
          <w:t xml:space="preserve"> Longitudinal (qilt.edu.au)</w:t>
        </w:r>
      </w:hyperlink>
      <w:r w:rsidRPr="00617A89">
        <w:rPr>
          <w:rStyle w:val="Hyperlink"/>
        </w:rPr>
        <w:t>.</w:t>
      </w:r>
    </w:p>
    <w:p w14:paraId="32839821" w14:textId="576A6E46" w:rsidR="00244416" w:rsidRPr="00617A89" w:rsidRDefault="00244416" w:rsidP="00244416">
      <w:pPr>
        <w:widowControl w:val="0"/>
        <w:suppressAutoHyphens/>
        <w:autoSpaceDE w:val="0"/>
        <w:autoSpaceDN w:val="0"/>
        <w:adjustRightInd w:val="0"/>
        <w:spacing w:before="142" w:line="290" w:lineRule="atLeast"/>
        <w:textAlignment w:val="center"/>
        <w:rPr>
          <w:rFonts w:cs="Arial"/>
          <w:color w:val="000000" w:themeColor="text1"/>
          <w:szCs w:val="20"/>
          <w:lang w:val="en-GB"/>
        </w:rPr>
      </w:pPr>
      <w:r w:rsidRPr="00617A89">
        <w:rPr>
          <w:rFonts w:cs="Arial"/>
          <w:color w:val="000000" w:themeColor="text1"/>
          <w:szCs w:val="20"/>
          <w:lang w:val="en-GB"/>
        </w:rPr>
        <w:t xml:space="preserve">This report is supported by a </w:t>
      </w:r>
      <w:hyperlink r:id="rId43" w:history="1">
        <w:r w:rsidRPr="00617A89">
          <w:rPr>
            <w:rStyle w:val="Hyperlink"/>
            <w:rFonts w:cs="Arial"/>
            <w:szCs w:val="20"/>
            <w:lang w:val="en-GB"/>
          </w:rPr>
          <w:t>PowerBI workbook</w:t>
        </w:r>
      </w:hyperlink>
      <w:r w:rsidRPr="00617A89">
        <w:rPr>
          <w:rFonts w:cs="Arial"/>
          <w:color w:val="000000" w:themeColor="text1"/>
          <w:szCs w:val="20"/>
          <w:lang w:val="en-GB"/>
        </w:rPr>
        <w:t xml:space="preserve"> that allows readers to further explore data. Static Excel tables also provide supplementary data and detail.</w:t>
      </w:r>
    </w:p>
    <w:p w14:paraId="7D6FEED8" w14:textId="77777777" w:rsidR="00244416" w:rsidRPr="00617A89" w:rsidRDefault="00244416" w:rsidP="00244416">
      <w:pPr>
        <w:rPr>
          <w:rFonts w:eastAsiaTheme="majorEastAsia" w:cs="Arial"/>
          <w:b/>
          <w:bCs/>
          <w:color w:val="000000" w:themeColor="text1"/>
          <w:sz w:val="28"/>
          <w:szCs w:val="28"/>
        </w:rPr>
      </w:pPr>
      <w:r w:rsidRPr="00617A89">
        <w:rPr>
          <w:color w:val="000000" w:themeColor="text1"/>
        </w:rPr>
        <w:br w:type="page"/>
      </w:r>
    </w:p>
    <w:p w14:paraId="4A2AD1E6" w14:textId="4B96DDB6" w:rsidR="00244416" w:rsidRPr="00617A89" w:rsidRDefault="00244416" w:rsidP="00A01394">
      <w:pPr>
        <w:pStyle w:val="Heading1"/>
        <w:rPr>
          <w:color w:val="000000" w:themeColor="text1"/>
        </w:rPr>
      </w:pPr>
      <w:bookmarkStart w:id="17" w:name="_Toc192179848"/>
      <w:bookmarkStart w:id="18" w:name="_Toc222868434"/>
      <w:bookmarkStart w:id="19" w:name="_Toc75794926"/>
      <w:bookmarkStart w:id="20" w:name="_Toc79687690"/>
      <w:r w:rsidRPr="00617A89">
        <w:rPr>
          <w:color w:val="000000" w:themeColor="text1"/>
        </w:rPr>
        <w:t>Domestic graduate results</w:t>
      </w:r>
      <w:bookmarkEnd w:id="17"/>
      <w:bookmarkEnd w:id="18"/>
    </w:p>
    <w:p w14:paraId="2A0A5829" w14:textId="77777777" w:rsidR="001609C6" w:rsidRPr="00617A89" w:rsidRDefault="00B51933" w:rsidP="001006BD">
      <w:pPr>
        <w:pStyle w:val="Heading2"/>
        <w:rPr>
          <w:color w:val="000000" w:themeColor="text1"/>
        </w:rPr>
      </w:pPr>
      <w:bookmarkStart w:id="21" w:name="_Toc222868435"/>
      <w:bookmarkEnd w:id="19"/>
      <w:bookmarkEnd w:id="20"/>
      <w:r w:rsidRPr="00617A89">
        <w:rPr>
          <w:color w:val="000000" w:themeColor="text1"/>
        </w:rPr>
        <w:t>Labour force participation</w:t>
      </w:r>
      <w:bookmarkEnd w:id="21"/>
    </w:p>
    <w:p w14:paraId="08943C68" w14:textId="4CE774F6" w:rsidR="002A4075" w:rsidRPr="00617A89" w:rsidRDefault="00841A7E" w:rsidP="006754C0">
      <w:pPr>
        <w:pStyle w:val="Body"/>
        <w:rPr>
          <w:color w:val="000000" w:themeColor="text1"/>
        </w:rPr>
      </w:pPr>
      <w:r w:rsidRPr="00617A89">
        <w:rPr>
          <w:color w:val="000000" w:themeColor="text1"/>
        </w:rPr>
        <w:t xml:space="preserve">The labour force participation rate </w:t>
      </w:r>
      <w:r w:rsidR="00CD695F" w:rsidRPr="00617A89">
        <w:rPr>
          <w:color w:val="000000" w:themeColor="text1"/>
        </w:rPr>
        <w:t>has remained relatively stable across study levels</w:t>
      </w:r>
      <w:r w:rsidR="00435B8E" w:rsidRPr="00617A89">
        <w:rPr>
          <w:color w:val="000000" w:themeColor="text1"/>
        </w:rPr>
        <w:t xml:space="preserve"> since</w:t>
      </w:r>
      <w:r w:rsidR="003C5F2B" w:rsidRPr="00617A89">
        <w:rPr>
          <w:color w:val="000000" w:themeColor="text1"/>
        </w:rPr>
        <w:t xml:space="preserve"> the </w:t>
      </w:r>
      <w:r w:rsidR="004675E1" w:rsidRPr="00617A89">
        <w:rPr>
          <w:color w:val="000000" w:themeColor="text1"/>
        </w:rPr>
        <w:t>GOS and GOS-L</w:t>
      </w:r>
      <w:r w:rsidR="003C5F2B" w:rsidRPr="00617A89">
        <w:rPr>
          <w:color w:val="000000" w:themeColor="text1"/>
        </w:rPr>
        <w:t xml:space="preserve"> </w:t>
      </w:r>
      <w:r w:rsidR="00DF57B7" w:rsidRPr="00617A89">
        <w:rPr>
          <w:color w:val="000000" w:themeColor="text1"/>
        </w:rPr>
        <w:t>commenced</w:t>
      </w:r>
      <w:r w:rsidR="005B64EA" w:rsidRPr="00617A89">
        <w:rPr>
          <w:color w:val="000000" w:themeColor="text1"/>
        </w:rPr>
        <w:t xml:space="preserve"> (</w:t>
      </w:r>
      <w:r w:rsidR="005B64EA" w:rsidRPr="00617A89">
        <w:rPr>
          <w:b/>
          <w:bCs/>
          <w:color w:val="000000" w:themeColor="text1"/>
        </w:rPr>
        <w:fldChar w:fldCharType="begin"/>
      </w:r>
      <w:r w:rsidR="005B64EA" w:rsidRPr="00617A89">
        <w:rPr>
          <w:b/>
          <w:bCs/>
          <w:color w:val="000000" w:themeColor="text1"/>
        </w:rPr>
        <w:instrText xml:space="preserve"> REF _Ref201324238 \h </w:instrText>
      </w:r>
      <w:r w:rsidR="00317304" w:rsidRPr="00617A89">
        <w:rPr>
          <w:b/>
          <w:bCs/>
          <w:color w:val="000000" w:themeColor="text1"/>
        </w:rPr>
        <w:instrText xml:space="preserve"> \* MERGEFORMAT </w:instrText>
      </w:r>
      <w:r w:rsidR="005B64EA" w:rsidRPr="00617A89">
        <w:rPr>
          <w:b/>
          <w:bCs/>
          <w:color w:val="000000" w:themeColor="text1"/>
        </w:rPr>
      </w:r>
      <w:r w:rsidR="005B64EA"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1</w:t>
      </w:r>
      <w:r w:rsidR="005B64EA" w:rsidRPr="00617A89">
        <w:rPr>
          <w:b/>
          <w:bCs/>
          <w:color w:val="000000" w:themeColor="text1"/>
        </w:rPr>
        <w:fldChar w:fldCharType="end"/>
      </w:r>
      <w:r w:rsidR="00317304" w:rsidRPr="00617A89">
        <w:rPr>
          <w:color w:val="000000" w:themeColor="text1"/>
        </w:rPr>
        <w:t>)</w:t>
      </w:r>
      <w:r w:rsidR="003C5F2B" w:rsidRPr="00617A89">
        <w:rPr>
          <w:color w:val="000000" w:themeColor="text1"/>
        </w:rPr>
        <w:t>.</w:t>
      </w:r>
      <w:r w:rsidR="00CA1F11" w:rsidRPr="00617A89">
        <w:rPr>
          <w:rStyle w:val="FootnoteReference"/>
          <w:color w:val="000000" w:themeColor="text1"/>
        </w:rPr>
        <w:footnoteReference w:id="3"/>
      </w:r>
      <w:r w:rsidR="003C5F2B" w:rsidRPr="00617A89">
        <w:rPr>
          <w:color w:val="000000" w:themeColor="text1"/>
        </w:rPr>
        <w:t xml:space="preserve"> </w:t>
      </w:r>
      <w:r w:rsidR="008D3FB3" w:rsidRPr="00617A89">
        <w:rPr>
          <w:color w:val="000000" w:themeColor="text1"/>
        </w:rPr>
        <w:t>However, i</w:t>
      </w:r>
      <w:r w:rsidR="008F6D5F" w:rsidRPr="00617A89">
        <w:rPr>
          <w:color w:val="000000" w:themeColor="text1"/>
        </w:rPr>
        <w:t xml:space="preserve">n the 2025 GOS-L, </w:t>
      </w:r>
      <w:r w:rsidR="006663D6" w:rsidRPr="00617A89">
        <w:rPr>
          <w:color w:val="000000" w:themeColor="text1"/>
        </w:rPr>
        <w:t xml:space="preserve">there was a notable decrease in </w:t>
      </w:r>
      <w:r w:rsidR="00B9211F" w:rsidRPr="00617A89">
        <w:rPr>
          <w:color w:val="000000" w:themeColor="text1"/>
        </w:rPr>
        <w:t xml:space="preserve">the labour force participation rate across all study levels. </w:t>
      </w:r>
      <w:r w:rsidR="001F1D11" w:rsidRPr="00617A89">
        <w:rPr>
          <w:color w:val="000000" w:themeColor="text1"/>
        </w:rPr>
        <w:t>This decrease</w:t>
      </w:r>
      <w:r w:rsidR="00E666DC" w:rsidRPr="00617A89">
        <w:rPr>
          <w:color w:val="000000" w:themeColor="text1"/>
        </w:rPr>
        <w:t xml:space="preserve"> can be attributed</w:t>
      </w:r>
      <w:r w:rsidR="00A30C56" w:rsidRPr="00617A89">
        <w:rPr>
          <w:color w:val="000000" w:themeColor="text1"/>
        </w:rPr>
        <w:t xml:space="preserve"> to </w:t>
      </w:r>
      <w:r w:rsidR="00281259" w:rsidRPr="00617A89">
        <w:rPr>
          <w:color w:val="000000" w:themeColor="text1"/>
        </w:rPr>
        <w:t xml:space="preserve">a change to the </w:t>
      </w:r>
      <w:r w:rsidR="00CA1858" w:rsidRPr="00617A89">
        <w:rPr>
          <w:color w:val="000000" w:themeColor="text1"/>
        </w:rPr>
        <w:t>way</w:t>
      </w:r>
      <w:r w:rsidR="000D4490" w:rsidRPr="00617A89">
        <w:rPr>
          <w:color w:val="000000" w:themeColor="text1"/>
        </w:rPr>
        <w:t xml:space="preserve"> this metric is calculated</w:t>
      </w:r>
      <w:r w:rsidR="00AA75AC" w:rsidRPr="00617A89">
        <w:rPr>
          <w:color w:val="000000" w:themeColor="text1"/>
        </w:rPr>
        <w:t>.</w:t>
      </w:r>
      <w:r w:rsidR="00DE3DCD" w:rsidRPr="00617A89">
        <w:rPr>
          <w:rStyle w:val="FootnoteReference"/>
          <w:color w:val="000000" w:themeColor="text1"/>
        </w:rPr>
        <w:footnoteReference w:id="4"/>
      </w:r>
    </w:p>
    <w:p w14:paraId="0C2B228B" w14:textId="7DD26A4C" w:rsidR="00F87D04" w:rsidRPr="00617A89" w:rsidRDefault="00F87D04" w:rsidP="00F87D04">
      <w:pPr>
        <w:pStyle w:val="Body"/>
        <w:rPr>
          <w:color w:val="000000" w:themeColor="text1"/>
        </w:rPr>
      </w:pPr>
      <w:r w:rsidRPr="00617A89">
        <w:rPr>
          <w:color w:val="000000" w:themeColor="text1"/>
        </w:rPr>
        <w:t xml:space="preserve">Department of Education analysis (outlined in </w:t>
      </w:r>
      <w:r w:rsidRPr="00617A89">
        <w:rPr>
          <w:b/>
          <w:bCs/>
          <w:color w:val="000000" w:themeColor="text1"/>
        </w:rPr>
        <w:t>Appendix 1</w:t>
      </w:r>
      <w:r w:rsidRPr="00617A89">
        <w:rPr>
          <w:color w:val="000000" w:themeColor="text1"/>
        </w:rPr>
        <w:t>) indicates this change resulted in downward pressure on labour force participation rates of less than 1 percentage point for domestic undergraduates and postgraduate coursework graduates, and downward pressure of around 1.5</w:t>
      </w:r>
      <w:r w:rsidR="0018058F" w:rsidRPr="00617A89">
        <w:rPr>
          <w:color w:val="000000" w:themeColor="text1"/>
        </w:rPr>
        <w:t>-</w:t>
      </w:r>
      <w:r w:rsidRPr="00617A89">
        <w:rPr>
          <w:color w:val="000000" w:themeColor="text1"/>
        </w:rPr>
        <w:t>2.5 percentage points for domestic postgraduate research graduates. The relatively higher impact on domestic postgraduate research graduates reflects their higher propensity to report looking for work passively in the GOS-L in 2025. The change in methodology also affected the 2025 medium-term full time and overall employment rates presented in this report, and has implications on the comparability of 2025 medium-term data with historical data. Caution should be exercised when interpreting differences between 2025 medium-term results, and the short</w:t>
      </w:r>
      <w:r w:rsidR="0018058F" w:rsidRPr="00617A89">
        <w:rPr>
          <w:color w:val="000000" w:themeColor="text1"/>
        </w:rPr>
        <w:t>-</w:t>
      </w:r>
      <w:r w:rsidRPr="00617A89">
        <w:rPr>
          <w:color w:val="000000" w:themeColor="text1"/>
        </w:rPr>
        <w:t>term results and other medium-term results, as they partly reflect the change in methodology.</w:t>
      </w:r>
    </w:p>
    <w:p w14:paraId="356160FA" w14:textId="77777777" w:rsidR="00F87D04" w:rsidRPr="00617A89" w:rsidRDefault="00F87D04" w:rsidP="00F87D04">
      <w:pPr>
        <w:pStyle w:val="Body"/>
        <w:rPr>
          <w:color w:val="000000" w:themeColor="text1"/>
        </w:rPr>
      </w:pPr>
      <w:r w:rsidRPr="00617A89">
        <w:rPr>
          <w:color w:val="000000" w:themeColor="text1"/>
        </w:rPr>
        <w:t>Accounting for changes to how labour force participation is defined in 2025, patterns of labour force participation among domestic graduates in 2025 continued to be consistent with previous years. For instance, labour force participation rates continued to be lower in the medium-term than the short-term at the postgraduate level. Additionally, labour force participation remained above 90 per cent in the short- and medium-term across all study levels.</w:t>
      </w:r>
    </w:p>
    <w:p w14:paraId="7265E986" w14:textId="35591402" w:rsidR="006754C0" w:rsidRPr="00617A89" w:rsidRDefault="001C1D28" w:rsidP="00F87D04">
      <w:pPr>
        <w:pStyle w:val="Body"/>
        <w:rPr>
          <w:color w:val="000000" w:themeColor="text1"/>
        </w:rPr>
      </w:pPr>
      <w:r w:rsidRPr="00617A89">
        <w:rPr>
          <w:color w:val="000000" w:themeColor="text1"/>
        </w:rPr>
        <w:t xml:space="preserve">The main reason </w:t>
      </w:r>
      <w:r w:rsidR="00CD1DA3" w:rsidRPr="00617A89">
        <w:rPr>
          <w:color w:val="000000" w:themeColor="text1"/>
        </w:rPr>
        <w:t>graduates reported being no longer available to work and therefore not in the labour market</w:t>
      </w:r>
      <w:r w:rsidR="00976E29" w:rsidRPr="00617A89">
        <w:rPr>
          <w:color w:val="000000" w:themeColor="text1"/>
        </w:rPr>
        <w:t xml:space="preserve"> was because they were ‘studying or returning to studies’</w:t>
      </w:r>
      <w:r w:rsidR="000E682A" w:rsidRPr="00617A89">
        <w:rPr>
          <w:color w:val="000000" w:themeColor="text1"/>
        </w:rPr>
        <w:t xml:space="preserve">. Caring responsibilities affected postgraduate level graduates more than undergraduates which aligns with the typically older age </w:t>
      </w:r>
      <w:r w:rsidR="008C2EB8" w:rsidRPr="00617A89">
        <w:rPr>
          <w:color w:val="000000" w:themeColor="text1"/>
        </w:rPr>
        <w:t xml:space="preserve">of these cohorts. </w:t>
      </w:r>
    </w:p>
    <w:p w14:paraId="7592E2F2" w14:textId="76C36A72" w:rsidR="007C0E88" w:rsidRPr="00617A89" w:rsidRDefault="007C0E88" w:rsidP="007C0E88">
      <w:pPr>
        <w:pStyle w:val="Caption"/>
        <w:rPr>
          <w:color w:val="000000" w:themeColor="text1"/>
        </w:rPr>
      </w:pPr>
      <w:bookmarkStart w:id="22" w:name="_Ref201324238"/>
      <w:bookmarkStart w:id="23" w:name="_Toc222868495"/>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w:t>
      </w:r>
      <w:r w:rsidR="00DB7C31" w:rsidRPr="00617A89">
        <w:rPr>
          <w:noProof/>
          <w:color w:val="000000" w:themeColor="text1"/>
        </w:rPr>
        <w:fldChar w:fldCharType="end"/>
      </w:r>
      <w:bookmarkEnd w:id="22"/>
      <w:r w:rsidR="00200B73" w:rsidRPr="00617A89">
        <w:rPr>
          <w:color w:val="000000" w:themeColor="text1"/>
        </w:rPr>
        <w:tab/>
      </w:r>
      <w:r w:rsidR="008B7FB9" w:rsidRPr="00617A89">
        <w:rPr>
          <w:color w:val="000000" w:themeColor="text1"/>
        </w:rPr>
        <w:t>Short- and medium-term</w:t>
      </w:r>
      <w:r w:rsidRPr="00617A89">
        <w:rPr>
          <w:color w:val="000000" w:themeColor="text1"/>
        </w:rPr>
        <w:t xml:space="preserve"> </w:t>
      </w:r>
      <w:r w:rsidR="00FB2469" w:rsidRPr="00617A89">
        <w:rPr>
          <w:color w:val="000000" w:themeColor="text1"/>
        </w:rPr>
        <w:t xml:space="preserve">labour force participation </w:t>
      </w:r>
      <w:r w:rsidRPr="00617A89">
        <w:rPr>
          <w:color w:val="000000" w:themeColor="text1"/>
        </w:rPr>
        <w:t>rate for 2016 to 2022 domestic graduates</w:t>
      </w:r>
      <w:bookmarkEnd w:id="23"/>
    </w:p>
    <w:p w14:paraId="5D07213C" w14:textId="3AB3B10E" w:rsidR="007C0E88" w:rsidRPr="00617A89" w:rsidRDefault="007C0E88" w:rsidP="007C0E88">
      <w:pPr>
        <w:pStyle w:val="Body"/>
        <w:rPr>
          <w:color w:val="000000" w:themeColor="text1"/>
        </w:rPr>
      </w:pPr>
      <w:r w:rsidRPr="00617A89">
        <w:rPr>
          <w:noProof/>
          <w:color w:val="000000" w:themeColor="text1"/>
        </w:rPr>
        <w:drawing>
          <wp:inline distT="0" distB="0" distL="0" distR="0" wp14:anchorId="34767162" wp14:editId="368CCCB2">
            <wp:extent cx="2228850" cy="253365"/>
            <wp:effectExtent l="0" t="0" r="6350" b="635"/>
            <wp:docPr id="20637358" name="Picture 6">
              <a:extLst xmlns:a="http://schemas.openxmlformats.org/drawingml/2006/main">
                <a:ext uri="{FF2B5EF4-FFF2-40B4-BE49-F238E27FC236}">
                  <a16:creationId xmlns:a16="http://schemas.microsoft.com/office/drawing/2014/main" id="{32DF3B85-1407-42F1-1B49-6ED52380883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358" name="Picture 6">
                      <a:extLst>
                        <a:ext uri="{FF2B5EF4-FFF2-40B4-BE49-F238E27FC236}">
                          <a16:creationId xmlns:a16="http://schemas.microsoft.com/office/drawing/2014/main" id="{32DF3B85-1407-42F1-1B49-6ED523808839}"/>
                        </a:ext>
                        <a:ext uri="{C183D7F6-B498-43B3-948B-1728B52AA6E4}">
                          <adec:decorative xmlns:adec="http://schemas.microsoft.com/office/drawing/2017/decorative" val="1"/>
                        </a:ext>
                      </a:extLst>
                    </pic:cNvPr>
                    <pic:cNvPicPr>
                      <a:picLocks noChangeAspect="1"/>
                    </pic:cNvPicPr>
                  </pic:nvPicPr>
                  <pic:blipFill rotWithShape="1">
                    <a:blip r:embed="rId44">
                      <a:extLst>
                        <a:ext uri="{28A0092B-C50C-407E-A947-70E740481C1C}">
                          <a14:useLocalDpi xmlns:a14="http://schemas.microsoft.com/office/drawing/2010/main" val="0"/>
                        </a:ext>
                      </a:extLst>
                    </a:blip>
                    <a:srcRect l="35866" t="9583" r="35161" b="82603"/>
                    <a:stretch/>
                  </pic:blipFill>
                  <pic:spPr>
                    <a:xfrm>
                      <a:off x="0" y="0"/>
                      <a:ext cx="2228850" cy="253365"/>
                    </a:xfrm>
                    <a:prstGeom prst="rect">
                      <a:avLst/>
                    </a:prstGeom>
                  </pic:spPr>
                </pic:pic>
              </a:graphicData>
            </a:graphic>
          </wp:inline>
        </w:drawing>
      </w:r>
      <w:r w:rsidR="00EF6479" w:rsidRPr="00617A89">
        <w:rPr>
          <w:noProof/>
          <w:color w:val="000000" w:themeColor="text1"/>
        </w:rPr>
        <w:drawing>
          <wp:inline distT="0" distB="0" distL="0" distR="0" wp14:anchorId="6EA9A9D9" wp14:editId="28BECC63">
            <wp:extent cx="6645275" cy="2908300"/>
            <wp:effectExtent l="0" t="0" r="3175" b="6350"/>
            <wp:docPr id="15082697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275" cy="2908300"/>
                    </a:xfrm>
                    <a:prstGeom prst="rect">
                      <a:avLst/>
                    </a:prstGeom>
                    <a:noFill/>
                  </pic:spPr>
                </pic:pic>
              </a:graphicData>
            </a:graphic>
          </wp:inline>
        </w:drawing>
      </w:r>
    </w:p>
    <w:p w14:paraId="1D92CED0" w14:textId="1325AE98" w:rsidR="008E0DC1" w:rsidRPr="00617A89" w:rsidRDefault="00EF6479" w:rsidP="007C0E88">
      <w:pPr>
        <w:pStyle w:val="Body"/>
        <w:rPr>
          <w:color w:val="000000" w:themeColor="text1"/>
        </w:rPr>
      </w:pPr>
      <w:r w:rsidRPr="00617A89">
        <w:rPr>
          <w:noProof/>
          <w:color w:val="000000" w:themeColor="text1"/>
        </w:rPr>
        <w:drawing>
          <wp:inline distT="0" distB="0" distL="0" distR="0" wp14:anchorId="6634A157" wp14:editId="5409B305">
            <wp:extent cx="6645275" cy="2908300"/>
            <wp:effectExtent l="0" t="0" r="3175" b="6350"/>
            <wp:docPr id="15449259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275" cy="2908300"/>
                    </a:xfrm>
                    <a:prstGeom prst="rect">
                      <a:avLst/>
                    </a:prstGeom>
                    <a:noFill/>
                  </pic:spPr>
                </pic:pic>
              </a:graphicData>
            </a:graphic>
          </wp:inline>
        </w:drawing>
      </w:r>
    </w:p>
    <w:p w14:paraId="3257F4B7" w14:textId="1C71E320" w:rsidR="00EF6479" w:rsidRPr="00617A89" w:rsidRDefault="00EF6479" w:rsidP="007C0E88">
      <w:pPr>
        <w:pStyle w:val="Body"/>
        <w:rPr>
          <w:color w:val="000000" w:themeColor="text1"/>
        </w:rPr>
      </w:pPr>
      <w:r w:rsidRPr="00617A89">
        <w:rPr>
          <w:noProof/>
          <w:color w:val="000000" w:themeColor="text1"/>
        </w:rPr>
        <w:drawing>
          <wp:inline distT="0" distB="0" distL="0" distR="0" wp14:anchorId="714EEBA1" wp14:editId="299035EF">
            <wp:extent cx="6645275" cy="2908300"/>
            <wp:effectExtent l="0" t="0" r="3175" b="6350"/>
            <wp:docPr id="15560045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275" cy="2908300"/>
                    </a:xfrm>
                    <a:prstGeom prst="rect">
                      <a:avLst/>
                    </a:prstGeom>
                    <a:noFill/>
                  </pic:spPr>
                </pic:pic>
              </a:graphicData>
            </a:graphic>
          </wp:inline>
        </w:drawing>
      </w:r>
    </w:p>
    <w:p w14:paraId="19796F6B" w14:textId="250C736D" w:rsidR="006406E8" w:rsidRPr="00617A89" w:rsidRDefault="006406E8" w:rsidP="00A93A55">
      <w:pPr>
        <w:pStyle w:val="FigureNote"/>
        <w:rPr>
          <w:color w:val="000000" w:themeColor="text1"/>
          <w:sz w:val="18"/>
          <w:szCs w:val="24"/>
        </w:rPr>
      </w:pPr>
      <w:r w:rsidRPr="00617A89">
        <w:rPr>
          <w:color w:val="000000" w:themeColor="text1"/>
          <w:sz w:val="18"/>
          <w:szCs w:val="24"/>
        </w:rPr>
        <w:t>*</w:t>
      </w:r>
      <w:r w:rsidR="0026124A" w:rsidRPr="00617A89">
        <w:rPr>
          <w:color w:val="000000" w:themeColor="text1"/>
          <w:sz w:val="18"/>
          <w:szCs w:val="24"/>
        </w:rPr>
        <w:t xml:space="preserve"> </w:t>
      </w:r>
      <w:r w:rsidR="00F87D04" w:rsidRPr="00617A89">
        <w:rPr>
          <w:color w:val="000000" w:themeColor="text1"/>
          <w:sz w:val="18"/>
          <w:szCs w:val="24"/>
        </w:rPr>
        <w:t>Medium-term labour force participation rates from 2025 onwards are not directly comparable with earlier years due to a change to how the labour force is defined. Caution should be exercised when interpreting differences in labour force participation rates between 2025 medium term results, and the short</w:t>
      </w:r>
      <w:r w:rsidR="0018058F" w:rsidRPr="00617A89">
        <w:rPr>
          <w:color w:val="000000" w:themeColor="text1"/>
          <w:sz w:val="18"/>
          <w:szCs w:val="24"/>
        </w:rPr>
        <w:t>-</w:t>
      </w:r>
      <w:r w:rsidR="00F87D04" w:rsidRPr="00617A89">
        <w:rPr>
          <w:color w:val="000000" w:themeColor="text1"/>
          <w:sz w:val="18"/>
          <w:szCs w:val="24"/>
        </w:rPr>
        <w:t>term results and other medium-term results, as they partly reflect the change in methodology</w:t>
      </w:r>
      <w:r w:rsidR="007249C1" w:rsidRPr="00617A89">
        <w:rPr>
          <w:color w:val="000000" w:themeColor="text1"/>
          <w:sz w:val="18"/>
          <w:szCs w:val="24"/>
        </w:rPr>
        <w:t>.</w:t>
      </w:r>
      <w:r w:rsidR="000D3E90" w:rsidRPr="00617A89">
        <w:rPr>
          <w:color w:val="000000" w:themeColor="text1"/>
          <w:sz w:val="18"/>
          <w:szCs w:val="24"/>
        </w:rPr>
        <w:t xml:space="preserve"> See </w:t>
      </w:r>
      <w:r w:rsidR="000D3E90" w:rsidRPr="00617A89">
        <w:rPr>
          <w:b/>
          <w:bCs/>
          <w:color w:val="000000" w:themeColor="text1"/>
          <w:sz w:val="18"/>
          <w:szCs w:val="24"/>
        </w:rPr>
        <w:t>Appendix 1</w:t>
      </w:r>
      <w:r w:rsidR="000D3E90" w:rsidRPr="00617A89">
        <w:rPr>
          <w:color w:val="000000" w:themeColor="text1"/>
          <w:sz w:val="18"/>
          <w:szCs w:val="24"/>
        </w:rPr>
        <w:t xml:space="preserve"> for further information.</w:t>
      </w:r>
    </w:p>
    <w:p w14:paraId="63C4EC95" w14:textId="772F6B7F" w:rsidR="00E354E2" w:rsidRPr="00617A89" w:rsidRDefault="00A56598" w:rsidP="001006BD">
      <w:pPr>
        <w:pStyle w:val="Heading2"/>
        <w:rPr>
          <w:color w:val="000000" w:themeColor="text1"/>
        </w:rPr>
      </w:pPr>
      <w:bookmarkStart w:id="24" w:name="_Full-time_employment"/>
      <w:bookmarkStart w:id="25" w:name="_Ref202256364"/>
      <w:bookmarkStart w:id="26" w:name="_Toc222868436"/>
      <w:bookmarkEnd w:id="24"/>
      <w:r w:rsidRPr="00617A89">
        <w:rPr>
          <w:color w:val="000000" w:themeColor="text1"/>
        </w:rPr>
        <w:t>Full</w:t>
      </w:r>
      <w:r w:rsidR="00940F52" w:rsidRPr="00617A89">
        <w:rPr>
          <w:color w:val="000000" w:themeColor="text1"/>
        </w:rPr>
        <w:t>-time employment</w:t>
      </w:r>
      <w:bookmarkEnd w:id="25"/>
      <w:bookmarkEnd w:id="26"/>
    </w:p>
    <w:p w14:paraId="154481F9" w14:textId="3FBAE8A3" w:rsidR="00965B6C" w:rsidRPr="00617A89" w:rsidRDefault="00965B6C" w:rsidP="00965B6C">
      <w:pPr>
        <w:pStyle w:val="Body"/>
        <w:rPr>
          <w:color w:val="000000" w:themeColor="text1"/>
        </w:rPr>
      </w:pPr>
      <w:bookmarkStart w:id="27" w:name="_Ref178673699"/>
      <w:bookmarkStart w:id="28" w:name="_Ref135683755"/>
      <w:r w:rsidRPr="00617A89">
        <w:rPr>
          <w:color w:val="000000" w:themeColor="text1"/>
        </w:rPr>
        <w:t>Graduates who completed the 2025 GOS-L completed the 2022 GOS when labour</w:t>
      </w:r>
      <w:r w:rsidRPr="00617A89">
        <w:rPr>
          <w:color w:val="000000" w:themeColor="text1"/>
          <w:lang w:val="en-GB"/>
        </w:rPr>
        <w:t xml:space="preserve"> market tightness peaked following the removal of pandemic-related restrictions. This is reflected in the sharp rise in the short-term full-time employment rate from 2021 to 2022 (</w:t>
      </w:r>
      <w:r w:rsidR="004E26C0" w:rsidRPr="00617A89">
        <w:rPr>
          <w:b/>
          <w:bCs/>
          <w:color w:val="000000" w:themeColor="text1"/>
          <w:lang w:val="en-GB"/>
        </w:rPr>
        <w:fldChar w:fldCharType="begin"/>
      </w:r>
      <w:r w:rsidR="004E26C0" w:rsidRPr="00617A89">
        <w:rPr>
          <w:b/>
          <w:bCs/>
          <w:color w:val="000000" w:themeColor="text1"/>
          <w:lang w:val="en-GB"/>
        </w:rPr>
        <w:instrText xml:space="preserve"> REF _Ref201326956 \h </w:instrText>
      </w:r>
      <w:r w:rsidR="00BA396F" w:rsidRPr="00617A89">
        <w:rPr>
          <w:b/>
          <w:bCs/>
          <w:color w:val="000000" w:themeColor="text1"/>
          <w:lang w:val="en-GB"/>
        </w:rPr>
        <w:instrText xml:space="preserve"> \* MERGEFORMAT </w:instrText>
      </w:r>
      <w:r w:rsidR="004E26C0" w:rsidRPr="00617A89">
        <w:rPr>
          <w:b/>
          <w:bCs/>
          <w:color w:val="000000" w:themeColor="text1"/>
          <w:lang w:val="en-GB"/>
        </w:rPr>
      </w:r>
      <w:r w:rsidR="004E26C0" w:rsidRPr="00617A89">
        <w:rPr>
          <w:b/>
          <w:bCs/>
          <w:color w:val="000000" w:themeColor="text1"/>
          <w:lang w:val="en-GB"/>
        </w:rPr>
        <w:fldChar w:fldCharType="separate"/>
      </w:r>
      <w:r w:rsidR="00DB7C31" w:rsidRPr="00617A89">
        <w:rPr>
          <w:b/>
          <w:bCs/>
          <w:color w:val="000000" w:themeColor="text1"/>
        </w:rPr>
        <w:t xml:space="preserve">Figure </w:t>
      </w:r>
      <w:r w:rsidR="00DB7C31" w:rsidRPr="00617A89">
        <w:rPr>
          <w:b/>
          <w:bCs/>
          <w:noProof/>
          <w:color w:val="000000" w:themeColor="text1"/>
        </w:rPr>
        <w:t>2</w:t>
      </w:r>
      <w:r w:rsidR="004E26C0" w:rsidRPr="00617A89">
        <w:rPr>
          <w:b/>
          <w:bCs/>
          <w:color w:val="000000" w:themeColor="text1"/>
          <w:lang w:val="en-GB"/>
        </w:rPr>
        <w:fldChar w:fldCharType="end"/>
      </w:r>
      <w:r w:rsidRPr="00617A89">
        <w:rPr>
          <w:color w:val="000000" w:themeColor="text1"/>
          <w:lang w:val="en-GB"/>
        </w:rPr>
        <w:t xml:space="preserve">) which is </w:t>
      </w:r>
      <w:r w:rsidRPr="00617A89">
        <w:rPr>
          <w:color w:val="000000" w:themeColor="text1"/>
        </w:rPr>
        <w:t>consistent with results from the Australian Bureau of Statistics (ABS)</w:t>
      </w:r>
      <w:r w:rsidR="00266873" w:rsidRPr="00617A89">
        <w:rPr>
          <w:color w:val="000000" w:themeColor="text1"/>
        </w:rPr>
        <w:t xml:space="preserve"> L</w:t>
      </w:r>
      <w:r w:rsidRPr="00617A89">
        <w:rPr>
          <w:color w:val="000000" w:themeColor="text1"/>
        </w:rPr>
        <w:t>abour Force Survey.</w:t>
      </w:r>
    </w:p>
    <w:p w14:paraId="76613966" w14:textId="3BB67EB5" w:rsidR="00B37087" w:rsidRPr="00617A89" w:rsidRDefault="00B37087" w:rsidP="00965B6C">
      <w:pPr>
        <w:pStyle w:val="Body"/>
        <w:rPr>
          <w:color w:val="000000" w:themeColor="text1"/>
        </w:rPr>
      </w:pPr>
      <w:r w:rsidRPr="00617A89">
        <w:rPr>
          <w:color w:val="000000" w:themeColor="text1"/>
        </w:rPr>
        <w:t>Despite the short-term undergraduate full-time employment rate</w:t>
      </w:r>
      <w:r w:rsidR="00870BA5" w:rsidRPr="00617A89">
        <w:rPr>
          <w:color w:val="000000" w:themeColor="text1"/>
        </w:rPr>
        <w:t xml:space="preserve"> increasing markedly in 2022, it continu</w:t>
      </w:r>
      <w:r w:rsidR="00A758CE" w:rsidRPr="00617A89">
        <w:rPr>
          <w:color w:val="000000" w:themeColor="text1"/>
        </w:rPr>
        <w:t>ed to be lower than</w:t>
      </w:r>
      <w:r w:rsidR="00216C16" w:rsidRPr="00617A89">
        <w:rPr>
          <w:color w:val="000000" w:themeColor="text1"/>
        </w:rPr>
        <w:t xml:space="preserve"> the</w:t>
      </w:r>
      <w:r w:rsidR="00A758CE" w:rsidRPr="00617A89">
        <w:rPr>
          <w:color w:val="000000" w:themeColor="text1"/>
        </w:rPr>
        <w:t xml:space="preserve"> full-time employment </w:t>
      </w:r>
      <w:r w:rsidR="00216C16" w:rsidRPr="00617A89">
        <w:rPr>
          <w:color w:val="000000" w:themeColor="text1"/>
        </w:rPr>
        <w:t xml:space="preserve">rate </w:t>
      </w:r>
      <w:r w:rsidR="00A758CE" w:rsidRPr="00617A89">
        <w:rPr>
          <w:color w:val="000000" w:themeColor="text1"/>
        </w:rPr>
        <w:t>for postgraduate</w:t>
      </w:r>
      <w:r w:rsidR="0040427F" w:rsidRPr="00617A89">
        <w:rPr>
          <w:color w:val="000000" w:themeColor="text1"/>
        </w:rPr>
        <w:t>-</w:t>
      </w:r>
      <w:r w:rsidR="00A758CE" w:rsidRPr="00617A89">
        <w:rPr>
          <w:color w:val="000000" w:themeColor="text1"/>
        </w:rPr>
        <w:t>level graduates</w:t>
      </w:r>
      <w:r w:rsidR="000F1ABA" w:rsidRPr="00617A89">
        <w:rPr>
          <w:color w:val="000000" w:themeColor="text1"/>
        </w:rPr>
        <w:t>. Over time, however, this gap narrows substantially, which suggests it takes time for undergraduates</w:t>
      </w:r>
      <w:r w:rsidR="00AE07EB" w:rsidRPr="00617A89">
        <w:rPr>
          <w:color w:val="000000" w:themeColor="text1"/>
        </w:rPr>
        <w:t xml:space="preserve"> to obtain full-time employment – likely due to their lack of </w:t>
      </w:r>
      <w:r w:rsidR="008A1532" w:rsidRPr="00617A89">
        <w:rPr>
          <w:color w:val="000000" w:themeColor="text1"/>
        </w:rPr>
        <w:t>prior</w:t>
      </w:r>
      <w:r w:rsidR="008516EB" w:rsidRPr="00617A89">
        <w:rPr>
          <w:color w:val="000000" w:themeColor="text1"/>
        </w:rPr>
        <w:t xml:space="preserve"> </w:t>
      </w:r>
      <w:r w:rsidR="00AE07EB" w:rsidRPr="00617A89">
        <w:rPr>
          <w:color w:val="000000" w:themeColor="text1"/>
        </w:rPr>
        <w:t>experience in the labour market.</w:t>
      </w:r>
    </w:p>
    <w:p w14:paraId="22AC5C03" w14:textId="4D9BDC3F" w:rsidR="004D359D" w:rsidRPr="00617A89" w:rsidRDefault="008516EB" w:rsidP="004D359D">
      <w:pPr>
        <w:pStyle w:val="Body"/>
        <w:rPr>
          <w:color w:val="000000" w:themeColor="text1"/>
          <w:lang w:val="en-GB"/>
        </w:rPr>
      </w:pPr>
      <w:r w:rsidRPr="00617A89">
        <w:rPr>
          <w:color w:val="000000" w:themeColor="text1"/>
          <w:lang w:val="en-GB"/>
        </w:rPr>
        <w:t>In general</w:t>
      </w:r>
      <w:r w:rsidR="004D359D" w:rsidRPr="00617A89">
        <w:rPr>
          <w:color w:val="000000" w:themeColor="text1"/>
          <w:lang w:val="en-GB"/>
        </w:rPr>
        <w:t>, medium-term labour market outcomes for graduates have been less volatile than short-term outc</w:t>
      </w:r>
      <w:r w:rsidR="009C3C47" w:rsidRPr="00617A89">
        <w:rPr>
          <w:color w:val="000000" w:themeColor="text1"/>
          <w:lang w:val="en-GB"/>
        </w:rPr>
        <w:t>omes</w:t>
      </w:r>
      <w:r w:rsidR="004D359D" w:rsidRPr="00617A89">
        <w:rPr>
          <w:color w:val="000000" w:themeColor="text1"/>
          <w:lang w:val="en-GB"/>
        </w:rPr>
        <w:t>.</w:t>
      </w:r>
      <w:r w:rsidR="004D359D" w:rsidRPr="00617A89" w:rsidDel="00B14B5A">
        <w:rPr>
          <w:color w:val="000000" w:themeColor="text1"/>
          <w:lang w:val="en-GB"/>
        </w:rPr>
        <w:t xml:space="preserve"> </w:t>
      </w:r>
      <w:r w:rsidR="00251ADE" w:rsidRPr="00617A89">
        <w:rPr>
          <w:color w:val="000000" w:themeColor="text1"/>
          <w:lang w:val="en-GB"/>
        </w:rPr>
        <w:t>This is likely due to graduates being more established in their jobs</w:t>
      </w:r>
      <w:r w:rsidR="0056548E" w:rsidRPr="00617A89">
        <w:rPr>
          <w:color w:val="000000" w:themeColor="text1"/>
          <w:lang w:val="en-GB"/>
        </w:rPr>
        <w:t xml:space="preserve"> </w:t>
      </w:r>
      <w:r w:rsidR="007232C7" w:rsidRPr="00617A89">
        <w:rPr>
          <w:color w:val="000000" w:themeColor="text1"/>
          <w:lang w:val="en-GB"/>
        </w:rPr>
        <w:t xml:space="preserve">3 </w:t>
      </w:r>
      <w:r w:rsidR="0056548E" w:rsidRPr="00617A89">
        <w:rPr>
          <w:color w:val="000000" w:themeColor="text1"/>
          <w:lang w:val="en-GB"/>
        </w:rPr>
        <w:t xml:space="preserve">years </w:t>
      </w:r>
      <w:r w:rsidR="001229F1" w:rsidRPr="00617A89">
        <w:rPr>
          <w:color w:val="000000" w:themeColor="text1"/>
          <w:lang w:val="en-GB"/>
        </w:rPr>
        <w:t>after completing their studies</w:t>
      </w:r>
      <w:r w:rsidR="0048751F" w:rsidRPr="00617A89">
        <w:rPr>
          <w:color w:val="000000" w:themeColor="text1"/>
          <w:lang w:val="en-GB"/>
        </w:rPr>
        <w:t xml:space="preserve">, as well as </w:t>
      </w:r>
      <w:r w:rsidR="006E153B" w:rsidRPr="00617A89">
        <w:rPr>
          <w:color w:val="000000" w:themeColor="text1"/>
          <w:lang w:val="en-GB"/>
        </w:rPr>
        <w:t>the increased proportions of graduates employed in managerial and professional occ</w:t>
      </w:r>
      <w:r w:rsidR="004609EB" w:rsidRPr="00617A89">
        <w:rPr>
          <w:color w:val="000000" w:themeColor="text1"/>
          <w:lang w:val="en-GB"/>
        </w:rPr>
        <w:t>upation</w:t>
      </w:r>
      <w:r w:rsidR="00B158E2" w:rsidRPr="00617A89">
        <w:rPr>
          <w:color w:val="000000" w:themeColor="text1"/>
          <w:lang w:val="en-GB"/>
        </w:rPr>
        <w:t>s</w:t>
      </w:r>
      <w:r w:rsidR="009C0785" w:rsidRPr="00617A89">
        <w:rPr>
          <w:color w:val="000000" w:themeColor="text1"/>
          <w:lang w:val="en-GB"/>
        </w:rPr>
        <w:t xml:space="preserve">. See </w:t>
      </w:r>
      <w:hyperlink w:anchor="_Domestic_graduate_skills" w:history="1">
        <w:r w:rsidR="009C0785" w:rsidRPr="00617A89">
          <w:rPr>
            <w:rStyle w:val="Hyperlink"/>
            <w:lang w:val="en-GB"/>
          </w:rPr>
          <w:t>Domestic graduate skills utilisation</w:t>
        </w:r>
      </w:hyperlink>
      <w:r w:rsidR="00E52CB6" w:rsidRPr="00617A89">
        <w:rPr>
          <w:color w:val="000000" w:themeColor="text1"/>
          <w:lang w:val="en-GB"/>
        </w:rPr>
        <w:t>.</w:t>
      </w:r>
    </w:p>
    <w:p w14:paraId="44B54583" w14:textId="44DABF93" w:rsidR="008D166C" w:rsidRPr="00617A89" w:rsidRDefault="004D6C1B" w:rsidP="004D359D">
      <w:pPr>
        <w:pStyle w:val="Body"/>
        <w:rPr>
          <w:color w:val="000000" w:themeColor="text1"/>
          <w:lang w:val="en-GB"/>
        </w:rPr>
      </w:pPr>
      <w:r w:rsidRPr="00617A89">
        <w:rPr>
          <w:color w:val="000000" w:themeColor="text1"/>
          <w:lang w:val="en-GB"/>
        </w:rPr>
        <w:t xml:space="preserve">In 2025, </w:t>
      </w:r>
      <w:r w:rsidR="00F87D04" w:rsidRPr="00617A89">
        <w:rPr>
          <w:color w:val="000000" w:themeColor="text1"/>
          <w:lang w:val="en-GB"/>
        </w:rPr>
        <w:t xml:space="preserve">medium-term full-time employment rates appeared to increase year-on-year across all study levels. However, part of this change can be attributed to the change to how the labour force is defined. Department of Education analysis indicates this change resulted in upward pressure on medium-term full-time employment rates of less than 1.5 percentage points for domestic undergraduates, upward pressure of less than 1 percentage point for domestic postgraduate coursework graduates, and upward pressure of around 1.5-2.5 percentage points for domestic postgraduate research graduates. The relatively higher impact on domestic postgraduate research graduates reflects their higher propensity to report looking for work passively in the GOS-L in 2025. Caution should be exercised when interpreting differences between 2025 medium-term results, and the short-term results and other medium-term results, as they partly reflect the change in methodology. See </w:t>
      </w:r>
      <w:r w:rsidR="00F87D04" w:rsidRPr="00617A89">
        <w:rPr>
          <w:b/>
          <w:bCs/>
          <w:color w:val="000000" w:themeColor="text1"/>
          <w:lang w:val="en-GB"/>
        </w:rPr>
        <w:t>Appendix 1</w:t>
      </w:r>
      <w:r w:rsidR="00F87D04" w:rsidRPr="00617A89">
        <w:rPr>
          <w:color w:val="000000" w:themeColor="text1"/>
          <w:lang w:val="en-GB"/>
        </w:rPr>
        <w:t xml:space="preserve"> for more information about this change.</w:t>
      </w:r>
    </w:p>
    <w:p w14:paraId="0F052506" w14:textId="6CFBA9B9" w:rsidR="00FB2469" w:rsidRPr="00617A89" w:rsidRDefault="00FB2469" w:rsidP="00FB2469">
      <w:pPr>
        <w:pStyle w:val="Caption"/>
        <w:rPr>
          <w:color w:val="000000" w:themeColor="text1"/>
        </w:rPr>
      </w:pPr>
      <w:bookmarkStart w:id="29" w:name="_Ref201326956"/>
      <w:bookmarkStart w:id="30" w:name="_Toc222868496"/>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2</w:t>
      </w:r>
      <w:r w:rsidR="00DB7C31" w:rsidRPr="00617A89">
        <w:rPr>
          <w:noProof/>
          <w:color w:val="000000" w:themeColor="text1"/>
        </w:rPr>
        <w:fldChar w:fldCharType="end"/>
      </w:r>
      <w:bookmarkStart w:id="31" w:name="_Hlk136509892"/>
      <w:bookmarkEnd w:id="27"/>
      <w:bookmarkEnd w:id="28"/>
      <w:bookmarkEnd w:id="29"/>
      <w:r w:rsidR="00200B73" w:rsidRPr="00617A89">
        <w:rPr>
          <w:color w:val="000000" w:themeColor="text1"/>
        </w:rPr>
        <w:tab/>
      </w:r>
      <w:r w:rsidR="008B7FB9" w:rsidRPr="00617A89">
        <w:rPr>
          <w:color w:val="000000" w:themeColor="text1"/>
        </w:rPr>
        <w:t>Short- and medium-term</w:t>
      </w:r>
      <w:r w:rsidRPr="00617A89">
        <w:rPr>
          <w:color w:val="000000" w:themeColor="text1"/>
        </w:rPr>
        <w:t xml:space="preserve"> full-time employment rate for 2016 to 2022 domestic graduates</w:t>
      </w:r>
      <w:bookmarkStart w:id="32" w:name="_Ref71033086"/>
      <w:bookmarkStart w:id="33" w:name="_Toc71028415"/>
      <w:bookmarkStart w:id="34" w:name="_Toc71028468"/>
      <w:bookmarkEnd w:id="30"/>
      <w:bookmarkEnd w:id="31"/>
    </w:p>
    <w:p w14:paraId="24494AF4" w14:textId="357F8118" w:rsidR="00EF6479" w:rsidRPr="00617A89" w:rsidRDefault="00FB2469" w:rsidP="00FB2469">
      <w:pPr>
        <w:rPr>
          <w:noProof/>
          <w:color w:val="000000" w:themeColor="text1"/>
        </w:rPr>
      </w:pPr>
      <w:r w:rsidRPr="00617A89">
        <w:rPr>
          <w:noProof/>
          <w:color w:val="000000" w:themeColor="text1"/>
        </w:rPr>
        <w:drawing>
          <wp:inline distT="0" distB="0" distL="0" distR="0" wp14:anchorId="10A770BC" wp14:editId="4F8C6B9A">
            <wp:extent cx="2228850" cy="253365"/>
            <wp:effectExtent l="0" t="0" r="6350" b="635"/>
            <wp:docPr id="7" name="Picture 6">
              <a:extLst xmlns:a="http://schemas.openxmlformats.org/drawingml/2006/main">
                <a:ext uri="{FF2B5EF4-FFF2-40B4-BE49-F238E27FC236}">
                  <a16:creationId xmlns:a16="http://schemas.microsoft.com/office/drawing/2014/main" id="{32DF3B85-1407-42F1-1B49-6ED52380883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2DF3B85-1407-42F1-1B49-6ED523808839}"/>
                        </a:ext>
                        <a:ext uri="{C183D7F6-B498-43B3-948B-1728B52AA6E4}">
                          <adec:decorative xmlns:adec="http://schemas.microsoft.com/office/drawing/2017/decorative" val="1"/>
                        </a:ext>
                      </a:extLst>
                    </pic:cNvPr>
                    <pic:cNvPicPr>
                      <a:picLocks noChangeAspect="1"/>
                    </pic:cNvPicPr>
                  </pic:nvPicPr>
                  <pic:blipFill rotWithShape="1">
                    <a:blip r:embed="rId44">
                      <a:extLst>
                        <a:ext uri="{28A0092B-C50C-407E-A947-70E740481C1C}">
                          <a14:useLocalDpi xmlns:a14="http://schemas.microsoft.com/office/drawing/2010/main" val="0"/>
                        </a:ext>
                      </a:extLst>
                    </a:blip>
                    <a:srcRect l="35866" t="9583" r="35161" b="82603"/>
                    <a:stretch/>
                  </pic:blipFill>
                  <pic:spPr>
                    <a:xfrm>
                      <a:off x="0" y="0"/>
                      <a:ext cx="2228850" cy="253365"/>
                    </a:xfrm>
                    <a:prstGeom prst="rect">
                      <a:avLst/>
                    </a:prstGeom>
                  </pic:spPr>
                </pic:pic>
              </a:graphicData>
            </a:graphic>
          </wp:inline>
        </w:drawing>
      </w:r>
      <w:r w:rsidR="00EF6479" w:rsidRPr="00617A89">
        <w:rPr>
          <w:noProof/>
          <w:color w:val="000000" w:themeColor="text1"/>
        </w:rPr>
        <w:drawing>
          <wp:inline distT="0" distB="0" distL="0" distR="0" wp14:anchorId="505667B2" wp14:editId="0DBB31CF">
            <wp:extent cx="6163310" cy="2646045"/>
            <wp:effectExtent l="0" t="0" r="8890" b="1905"/>
            <wp:docPr id="1351639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3310" cy="2646045"/>
                    </a:xfrm>
                    <a:prstGeom prst="rect">
                      <a:avLst/>
                    </a:prstGeom>
                    <a:noFill/>
                  </pic:spPr>
                </pic:pic>
              </a:graphicData>
            </a:graphic>
          </wp:inline>
        </w:drawing>
      </w:r>
    </w:p>
    <w:p w14:paraId="41670962" w14:textId="11958581" w:rsidR="00EF6479" w:rsidRPr="00617A89" w:rsidRDefault="00EF6479" w:rsidP="00FB2469">
      <w:pPr>
        <w:rPr>
          <w:noProof/>
          <w:color w:val="000000" w:themeColor="text1"/>
        </w:rPr>
      </w:pPr>
      <w:r w:rsidRPr="00617A89">
        <w:rPr>
          <w:noProof/>
          <w:color w:val="000000" w:themeColor="text1"/>
        </w:rPr>
        <w:drawing>
          <wp:inline distT="0" distB="0" distL="0" distR="0" wp14:anchorId="6630A91D" wp14:editId="24ED700B">
            <wp:extent cx="6218555" cy="2512060"/>
            <wp:effectExtent l="0" t="0" r="0" b="2540"/>
            <wp:docPr id="17425765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8555" cy="2512060"/>
                    </a:xfrm>
                    <a:prstGeom prst="rect">
                      <a:avLst/>
                    </a:prstGeom>
                    <a:noFill/>
                  </pic:spPr>
                </pic:pic>
              </a:graphicData>
            </a:graphic>
          </wp:inline>
        </w:drawing>
      </w:r>
    </w:p>
    <w:p w14:paraId="56EED5E0" w14:textId="3E40BE9C" w:rsidR="00EF6479" w:rsidRPr="00617A89" w:rsidRDefault="00EF6479" w:rsidP="00FB2469">
      <w:pPr>
        <w:rPr>
          <w:noProof/>
          <w:color w:val="000000" w:themeColor="text1"/>
        </w:rPr>
      </w:pPr>
      <w:r w:rsidRPr="00617A89">
        <w:rPr>
          <w:noProof/>
          <w:color w:val="000000" w:themeColor="text1"/>
        </w:rPr>
        <w:drawing>
          <wp:inline distT="0" distB="0" distL="0" distR="0" wp14:anchorId="57E0BEC2" wp14:editId="23FD0F4D">
            <wp:extent cx="6059805" cy="2517775"/>
            <wp:effectExtent l="0" t="0" r="0" b="0"/>
            <wp:docPr id="17442150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9805" cy="2517775"/>
                    </a:xfrm>
                    <a:prstGeom prst="rect">
                      <a:avLst/>
                    </a:prstGeom>
                    <a:noFill/>
                  </pic:spPr>
                </pic:pic>
              </a:graphicData>
            </a:graphic>
          </wp:inline>
        </w:drawing>
      </w:r>
    </w:p>
    <w:p w14:paraId="12566BD7" w14:textId="47AD2B81" w:rsidR="00CA68F6" w:rsidRPr="00617A89" w:rsidRDefault="00FB2469" w:rsidP="00EF6479">
      <w:pPr>
        <w:rPr>
          <w:color w:val="000000" w:themeColor="text1"/>
          <w:sz w:val="18"/>
          <w:szCs w:val="24"/>
        </w:rPr>
      </w:pPr>
      <w:r w:rsidRPr="00617A89">
        <w:rPr>
          <w:noProof/>
          <w:color w:val="000000" w:themeColor="text1"/>
        </w:rPr>
        <w:t xml:space="preserve"> </w:t>
      </w:r>
      <w:r w:rsidR="00CA68F6" w:rsidRPr="00617A89">
        <w:rPr>
          <w:color w:val="000000" w:themeColor="text1"/>
          <w:sz w:val="18"/>
          <w:szCs w:val="24"/>
        </w:rPr>
        <w:t xml:space="preserve">* </w:t>
      </w:r>
      <w:r w:rsidR="00F87D04" w:rsidRPr="00617A89">
        <w:rPr>
          <w:color w:val="000000" w:themeColor="text1"/>
          <w:sz w:val="18"/>
          <w:szCs w:val="24"/>
        </w:rPr>
        <w:t>Medium-term full-time employment rates from 2025 onwards are not directly comparable with earlier years due to a change to how the labour force is defined. Caution should be exercised when interpreting differences in full-time employment rates between 2025 medium-term results, and the short</w:t>
      </w:r>
      <w:r w:rsidR="0018058F" w:rsidRPr="00617A89">
        <w:rPr>
          <w:color w:val="000000" w:themeColor="text1"/>
          <w:sz w:val="18"/>
          <w:szCs w:val="24"/>
        </w:rPr>
        <w:t>-</w:t>
      </w:r>
      <w:r w:rsidR="00F87D04" w:rsidRPr="00617A89">
        <w:rPr>
          <w:color w:val="000000" w:themeColor="text1"/>
          <w:sz w:val="18"/>
          <w:szCs w:val="24"/>
        </w:rPr>
        <w:t>term results and other medium-term results, as they partly reflect the change in methodology.</w:t>
      </w:r>
      <w:r w:rsidR="00CA68F6" w:rsidRPr="00617A89">
        <w:rPr>
          <w:color w:val="000000" w:themeColor="text1"/>
          <w:sz w:val="18"/>
          <w:szCs w:val="24"/>
        </w:rPr>
        <w:t xml:space="preserve"> See </w:t>
      </w:r>
      <w:r w:rsidR="00CA68F6" w:rsidRPr="00617A89">
        <w:rPr>
          <w:b/>
          <w:bCs/>
          <w:color w:val="000000" w:themeColor="text1"/>
          <w:sz w:val="18"/>
          <w:szCs w:val="24"/>
        </w:rPr>
        <w:t>Appendix 1</w:t>
      </w:r>
      <w:r w:rsidR="00CA68F6" w:rsidRPr="00617A89">
        <w:rPr>
          <w:color w:val="000000" w:themeColor="text1"/>
          <w:sz w:val="18"/>
          <w:szCs w:val="24"/>
        </w:rPr>
        <w:t xml:space="preserve"> for further information.</w:t>
      </w:r>
    </w:p>
    <w:p w14:paraId="305DD3A1" w14:textId="55D27A56" w:rsidR="00E354E2" w:rsidRPr="00617A89" w:rsidRDefault="00E354E2" w:rsidP="001006BD">
      <w:pPr>
        <w:pStyle w:val="Heading2"/>
        <w:rPr>
          <w:color w:val="000000" w:themeColor="text1"/>
        </w:rPr>
      </w:pPr>
      <w:bookmarkStart w:id="35" w:name="_Toc222868437"/>
      <w:bookmarkEnd w:id="32"/>
      <w:bookmarkEnd w:id="33"/>
      <w:bookmarkEnd w:id="34"/>
      <w:r w:rsidRPr="00617A89">
        <w:rPr>
          <w:color w:val="000000" w:themeColor="text1"/>
        </w:rPr>
        <w:t>Overall employment</w:t>
      </w:r>
      <w:bookmarkEnd w:id="35"/>
    </w:p>
    <w:p w14:paraId="604D49BD" w14:textId="49D9CC0B" w:rsidR="006E599A" w:rsidRPr="00617A89" w:rsidRDefault="00331298" w:rsidP="006E599A">
      <w:pPr>
        <w:pStyle w:val="Body"/>
        <w:rPr>
          <w:color w:val="000000" w:themeColor="text1"/>
        </w:rPr>
      </w:pPr>
      <w:r w:rsidRPr="00617A89">
        <w:rPr>
          <w:color w:val="000000" w:themeColor="text1"/>
        </w:rPr>
        <w:t>In general, the</w:t>
      </w:r>
      <w:r w:rsidR="00AC1D0D" w:rsidRPr="00617A89">
        <w:rPr>
          <w:color w:val="000000" w:themeColor="text1"/>
        </w:rPr>
        <w:t>re is a gap</w:t>
      </w:r>
      <w:r w:rsidR="006E599A" w:rsidRPr="00617A89">
        <w:rPr>
          <w:color w:val="000000" w:themeColor="text1"/>
        </w:rPr>
        <w:t xml:space="preserve"> between the full-time employment rate and the </w:t>
      </w:r>
      <w:r w:rsidR="006E599A" w:rsidRPr="00617A89">
        <w:rPr>
          <w:i/>
          <w:iCs/>
          <w:color w:val="000000" w:themeColor="text1"/>
        </w:rPr>
        <w:t>overall</w:t>
      </w:r>
      <w:r w:rsidR="006E599A" w:rsidRPr="00617A89">
        <w:rPr>
          <w:color w:val="000000" w:themeColor="text1"/>
        </w:rPr>
        <w:t xml:space="preserve"> employment rate (including part-time and full-time) of recent </w:t>
      </w:r>
      <w:r w:rsidR="00E966D3" w:rsidRPr="00617A89">
        <w:rPr>
          <w:color w:val="000000" w:themeColor="text1"/>
        </w:rPr>
        <w:t>graduates, 4 to 6 months after course completion</w:t>
      </w:r>
      <w:r w:rsidR="00177A87" w:rsidRPr="00617A89">
        <w:rPr>
          <w:color w:val="000000" w:themeColor="text1"/>
        </w:rPr>
        <w:t xml:space="preserve">. </w:t>
      </w:r>
      <w:r w:rsidR="006E599A" w:rsidRPr="00617A89">
        <w:rPr>
          <w:color w:val="000000" w:themeColor="text1"/>
        </w:rPr>
        <w:t xml:space="preserve">Three years later, this gap </w:t>
      </w:r>
      <w:r w:rsidR="00177A87" w:rsidRPr="00617A89">
        <w:rPr>
          <w:color w:val="000000" w:themeColor="text1"/>
        </w:rPr>
        <w:t>narrows which may</w:t>
      </w:r>
      <w:r w:rsidR="006E599A" w:rsidRPr="00617A89">
        <w:rPr>
          <w:color w:val="000000" w:themeColor="text1"/>
        </w:rPr>
        <w:t xml:space="preserve"> indicate that while most graduates are </w:t>
      </w:r>
      <w:r w:rsidR="006E599A" w:rsidRPr="00617A89">
        <w:rPr>
          <w:i/>
          <w:iCs/>
          <w:color w:val="000000" w:themeColor="text1"/>
        </w:rPr>
        <w:t>available</w:t>
      </w:r>
      <w:r w:rsidR="006E599A" w:rsidRPr="00617A89">
        <w:rPr>
          <w:color w:val="000000" w:themeColor="text1"/>
        </w:rPr>
        <w:t xml:space="preserve"> to work soon after completing their studies, accessing full-time hours can take time.</w:t>
      </w:r>
      <w:r w:rsidR="004960BE" w:rsidRPr="00617A89">
        <w:rPr>
          <w:color w:val="000000" w:themeColor="text1"/>
        </w:rPr>
        <w:t xml:space="preserve"> </w:t>
      </w:r>
      <w:r w:rsidR="003C2422" w:rsidRPr="00617A89">
        <w:rPr>
          <w:color w:val="000000" w:themeColor="text1"/>
        </w:rPr>
        <w:t>This pattern is most notable at the undergraduate level</w:t>
      </w:r>
      <w:r w:rsidR="009B6C33" w:rsidRPr="00617A89">
        <w:rPr>
          <w:color w:val="000000" w:themeColor="text1"/>
        </w:rPr>
        <w:t xml:space="preserve"> but can also be seen at the postgraduate research and, to a lesser extent, postgraduate coursework levels.</w:t>
      </w:r>
    </w:p>
    <w:p w14:paraId="752517D7" w14:textId="67FD37AE" w:rsidR="00D9035E" w:rsidRPr="00617A89" w:rsidRDefault="00D9035E" w:rsidP="006E599A">
      <w:pPr>
        <w:pStyle w:val="Body"/>
        <w:rPr>
          <w:color w:val="000000" w:themeColor="text1"/>
        </w:rPr>
      </w:pPr>
      <w:r w:rsidRPr="00617A89">
        <w:rPr>
          <w:color w:val="000000" w:themeColor="text1"/>
        </w:rPr>
        <w:t xml:space="preserve">For example, </w:t>
      </w:r>
      <w:r w:rsidR="00AB3E45" w:rsidRPr="00617A89">
        <w:rPr>
          <w:color w:val="000000" w:themeColor="text1"/>
        </w:rPr>
        <w:t xml:space="preserve">the full-time employment rate of recent </w:t>
      </w:r>
      <w:r w:rsidR="00F87D04" w:rsidRPr="00617A89">
        <w:rPr>
          <w:color w:val="000000" w:themeColor="text1"/>
        </w:rPr>
        <w:t>under</w:t>
      </w:r>
      <w:r w:rsidR="00AB3E45" w:rsidRPr="00617A89">
        <w:rPr>
          <w:color w:val="000000" w:themeColor="text1"/>
        </w:rPr>
        <w:t xml:space="preserve">graduates in 2022 was </w:t>
      </w:r>
      <w:r w:rsidR="00D27069" w:rsidRPr="00617A89">
        <w:rPr>
          <w:color w:val="000000" w:themeColor="text1"/>
        </w:rPr>
        <w:t>79.5</w:t>
      </w:r>
      <w:r w:rsidR="0029754B" w:rsidRPr="00617A89">
        <w:rPr>
          <w:color w:val="000000" w:themeColor="text1"/>
        </w:rPr>
        <w:t xml:space="preserve"> per cent (</w:t>
      </w:r>
      <w:r w:rsidR="0029754B" w:rsidRPr="00617A89">
        <w:rPr>
          <w:b/>
          <w:bCs/>
          <w:color w:val="000000" w:themeColor="text1"/>
        </w:rPr>
        <w:fldChar w:fldCharType="begin"/>
      </w:r>
      <w:r w:rsidR="0029754B" w:rsidRPr="00617A89">
        <w:rPr>
          <w:b/>
          <w:bCs/>
          <w:color w:val="000000" w:themeColor="text1"/>
        </w:rPr>
        <w:instrText xml:space="preserve"> REF _Ref201326956 \h  \* MERGEFORMAT </w:instrText>
      </w:r>
      <w:r w:rsidR="0029754B" w:rsidRPr="00617A89">
        <w:rPr>
          <w:b/>
          <w:bCs/>
          <w:color w:val="000000" w:themeColor="text1"/>
        </w:rPr>
      </w:r>
      <w:r w:rsidR="0029754B"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2</w:t>
      </w:r>
      <w:r w:rsidR="0029754B" w:rsidRPr="00617A89">
        <w:rPr>
          <w:b/>
          <w:bCs/>
          <w:color w:val="000000" w:themeColor="text1"/>
        </w:rPr>
        <w:fldChar w:fldCharType="end"/>
      </w:r>
      <w:r w:rsidR="0029754B" w:rsidRPr="00617A89">
        <w:rPr>
          <w:color w:val="000000" w:themeColor="text1"/>
        </w:rPr>
        <w:t>)</w:t>
      </w:r>
      <w:r w:rsidR="002B2000" w:rsidRPr="00617A89">
        <w:rPr>
          <w:color w:val="000000" w:themeColor="text1"/>
        </w:rPr>
        <w:t xml:space="preserve"> and </w:t>
      </w:r>
      <w:r w:rsidR="002139EC" w:rsidRPr="00617A89">
        <w:rPr>
          <w:color w:val="000000" w:themeColor="text1"/>
        </w:rPr>
        <w:t xml:space="preserve">the overall employment rate was </w:t>
      </w:r>
      <w:r w:rsidR="002B2000" w:rsidRPr="00617A89">
        <w:rPr>
          <w:color w:val="000000" w:themeColor="text1"/>
        </w:rPr>
        <w:t>89.2 per cent</w:t>
      </w:r>
      <w:r w:rsidR="002A08CE" w:rsidRPr="00617A89">
        <w:rPr>
          <w:color w:val="000000" w:themeColor="text1"/>
        </w:rPr>
        <w:t xml:space="preserve"> (</w:t>
      </w:r>
      <w:r w:rsidR="002A08CE" w:rsidRPr="00617A89">
        <w:rPr>
          <w:b/>
          <w:bCs/>
          <w:color w:val="000000" w:themeColor="text1"/>
        </w:rPr>
        <w:t>Figure 3</w:t>
      </w:r>
      <w:r w:rsidR="002A08CE" w:rsidRPr="00617A89">
        <w:rPr>
          <w:color w:val="000000" w:themeColor="text1"/>
        </w:rPr>
        <w:t>)</w:t>
      </w:r>
      <w:r w:rsidR="002139EC" w:rsidRPr="00617A89">
        <w:rPr>
          <w:color w:val="000000" w:themeColor="text1"/>
        </w:rPr>
        <w:t xml:space="preserve">, a difference of 9.7 percentage points. </w:t>
      </w:r>
      <w:r w:rsidR="007A47D0" w:rsidRPr="00617A89">
        <w:rPr>
          <w:color w:val="000000" w:themeColor="text1"/>
        </w:rPr>
        <w:t xml:space="preserve">Three years later in 2025, the full-time employment rate had risen to </w:t>
      </w:r>
      <w:r w:rsidR="00ED141E" w:rsidRPr="00617A89">
        <w:rPr>
          <w:color w:val="000000" w:themeColor="text1"/>
        </w:rPr>
        <w:t xml:space="preserve">91.7 per cent and the overall employment rate </w:t>
      </w:r>
      <w:r w:rsidR="00743D8B" w:rsidRPr="00617A89">
        <w:rPr>
          <w:color w:val="000000" w:themeColor="text1"/>
        </w:rPr>
        <w:t xml:space="preserve">was 94.6 per cent, a difference of only 2.9 percentage points. </w:t>
      </w:r>
      <w:r w:rsidR="0060203B" w:rsidRPr="00617A89">
        <w:rPr>
          <w:color w:val="000000" w:themeColor="text1"/>
        </w:rPr>
        <w:t xml:space="preserve">Note that the short-term difference </w:t>
      </w:r>
      <w:r w:rsidR="0008059D" w:rsidRPr="00617A89">
        <w:rPr>
          <w:color w:val="000000" w:themeColor="text1"/>
        </w:rPr>
        <w:t xml:space="preserve">in 2022 </w:t>
      </w:r>
      <w:r w:rsidR="0060203B" w:rsidRPr="00617A89">
        <w:rPr>
          <w:color w:val="000000" w:themeColor="text1"/>
        </w:rPr>
        <w:t>was smaller</w:t>
      </w:r>
      <w:r w:rsidR="0006637B" w:rsidRPr="00617A89">
        <w:rPr>
          <w:color w:val="000000" w:themeColor="text1"/>
        </w:rPr>
        <w:t xml:space="preserve"> than </w:t>
      </w:r>
      <w:r w:rsidR="0008059D" w:rsidRPr="00617A89">
        <w:rPr>
          <w:color w:val="000000" w:themeColor="text1"/>
        </w:rPr>
        <w:t>in previous years</w:t>
      </w:r>
      <w:r w:rsidR="0006637B" w:rsidRPr="00617A89">
        <w:rPr>
          <w:color w:val="000000" w:themeColor="text1"/>
        </w:rPr>
        <w:t xml:space="preserve"> due to the sharp rise in full-time employment d</w:t>
      </w:r>
      <w:r w:rsidR="003C1779" w:rsidRPr="00617A89">
        <w:rPr>
          <w:color w:val="000000" w:themeColor="text1"/>
        </w:rPr>
        <w:t xml:space="preserve">iscussed </w:t>
      </w:r>
      <w:r w:rsidR="0030281B" w:rsidRPr="00617A89">
        <w:rPr>
          <w:color w:val="000000" w:themeColor="text1"/>
        </w:rPr>
        <w:t xml:space="preserve">previously </w:t>
      </w:r>
      <w:r w:rsidR="00FC6875" w:rsidRPr="00617A89">
        <w:rPr>
          <w:color w:val="000000" w:themeColor="text1"/>
        </w:rPr>
        <w:t xml:space="preserve">(see </w:t>
      </w:r>
      <w:hyperlink w:anchor="_Full-time_employment" w:history="1">
        <w:r w:rsidR="00FC6875" w:rsidRPr="00617A89">
          <w:rPr>
            <w:rStyle w:val="Hyperlink"/>
          </w:rPr>
          <w:t>Full-time employment</w:t>
        </w:r>
      </w:hyperlink>
      <w:r w:rsidR="00D86FD7" w:rsidRPr="00617A89">
        <w:rPr>
          <w:color w:val="000000" w:themeColor="text1"/>
        </w:rPr>
        <w:t>).</w:t>
      </w:r>
    </w:p>
    <w:p w14:paraId="0F4AB7BC" w14:textId="6C2552AC" w:rsidR="00701128" w:rsidRPr="00617A89" w:rsidRDefault="00F87D04" w:rsidP="006E599A">
      <w:pPr>
        <w:pStyle w:val="Body"/>
        <w:rPr>
          <w:color w:val="000000" w:themeColor="text1"/>
        </w:rPr>
      </w:pPr>
      <w:r w:rsidRPr="00617A89">
        <w:rPr>
          <w:color w:val="000000" w:themeColor="text1"/>
        </w:rPr>
        <w:t>Please note that medium-term overall employment rates in 2025 did appear to increase year-on-year, however, this increase partly reflects the change in methodology. Department of Education analysis indicates the change to how the labour force is defined in 2025 resulted in upward pressure on medium term overall employment rates of less than 1 percentage point for both domestic undergraduates and postgraduate coursework graduates, and upward pressure of around 1.5</w:t>
      </w:r>
      <w:r w:rsidR="0018058F" w:rsidRPr="00617A89">
        <w:rPr>
          <w:color w:val="000000" w:themeColor="text1"/>
        </w:rPr>
        <w:t>-</w:t>
      </w:r>
      <w:r w:rsidRPr="00617A89">
        <w:rPr>
          <w:color w:val="000000" w:themeColor="text1"/>
        </w:rPr>
        <w:t xml:space="preserve">2.5 percentage points for domestic postgraduate research graduates. The relatively higher impact on domestic postgraduate research graduates reflects their higher propensity to report looking for work passively in the GOS-L in 2025. Caution should be exercised when interpreting differences between 2025 medium-term results, and the short-term results and other medium-term results. See </w:t>
      </w:r>
      <w:r w:rsidRPr="00617A89">
        <w:rPr>
          <w:b/>
          <w:bCs/>
          <w:color w:val="000000" w:themeColor="text1"/>
        </w:rPr>
        <w:t>Appendix 1</w:t>
      </w:r>
      <w:r w:rsidRPr="00617A89">
        <w:rPr>
          <w:color w:val="000000" w:themeColor="text1"/>
        </w:rPr>
        <w:t xml:space="preserve"> for more information about this change</w:t>
      </w:r>
      <w:r w:rsidR="00884BD9" w:rsidRPr="00617A89">
        <w:rPr>
          <w:color w:val="000000" w:themeColor="text1"/>
        </w:rPr>
        <w:t>.</w:t>
      </w:r>
    </w:p>
    <w:p w14:paraId="402A7639" w14:textId="23E55F0E" w:rsidR="00FB2469" w:rsidRPr="00617A89" w:rsidRDefault="00FB2469" w:rsidP="00FB2469">
      <w:pPr>
        <w:pStyle w:val="Caption"/>
        <w:rPr>
          <w:color w:val="000000" w:themeColor="text1"/>
        </w:rPr>
      </w:pPr>
      <w:bookmarkStart w:id="36" w:name="_Toc222868497"/>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3</w:t>
      </w:r>
      <w:r w:rsidR="00DB7C31" w:rsidRPr="00617A89">
        <w:rPr>
          <w:noProof/>
          <w:color w:val="000000" w:themeColor="text1"/>
        </w:rPr>
        <w:fldChar w:fldCharType="end"/>
      </w:r>
      <w:r w:rsidR="00200B73" w:rsidRPr="00617A89">
        <w:rPr>
          <w:color w:val="000000" w:themeColor="text1"/>
        </w:rPr>
        <w:tab/>
      </w:r>
      <w:r w:rsidR="008B7FB9" w:rsidRPr="00617A89">
        <w:rPr>
          <w:color w:val="000000" w:themeColor="text1"/>
        </w:rPr>
        <w:t>Short- and medium-term</w:t>
      </w:r>
      <w:r w:rsidRPr="00617A89">
        <w:rPr>
          <w:color w:val="000000" w:themeColor="text1"/>
        </w:rPr>
        <w:t xml:space="preserve"> overall employment rate for 2016 to 2022 domestic graduates</w:t>
      </w:r>
      <w:bookmarkEnd w:id="36"/>
    </w:p>
    <w:p w14:paraId="600C0ADF" w14:textId="75F79781" w:rsidR="00FB2469" w:rsidRPr="00617A89" w:rsidRDefault="00FB2469" w:rsidP="00FB2469">
      <w:pPr>
        <w:rPr>
          <w:rFonts w:ascii="Times New Roman" w:eastAsia="Times New Roman" w:hAnsi="Times New Roman" w:cs="Times New Roman"/>
          <w:color w:val="000000" w:themeColor="text1"/>
          <w:sz w:val="24"/>
          <w:szCs w:val="24"/>
          <w:lang w:eastAsia="en-AU"/>
        </w:rPr>
      </w:pPr>
      <w:r w:rsidRPr="00617A89">
        <w:rPr>
          <w:noProof/>
          <w:color w:val="000000" w:themeColor="text1"/>
        </w:rPr>
        <w:drawing>
          <wp:inline distT="0" distB="0" distL="0" distR="0" wp14:anchorId="532A904E" wp14:editId="1249A3C3">
            <wp:extent cx="2228850" cy="253365"/>
            <wp:effectExtent l="0" t="0" r="6350" b="635"/>
            <wp:docPr id="1790386557" name="Picture 6">
              <a:extLst xmlns:a="http://schemas.openxmlformats.org/drawingml/2006/main">
                <a:ext uri="{FF2B5EF4-FFF2-40B4-BE49-F238E27FC236}">
                  <a16:creationId xmlns:a16="http://schemas.microsoft.com/office/drawing/2014/main" id="{32DF3B85-1407-42F1-1B49-6ED52380883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86557" name="Picture 6">
                      <a:extLst>
                        <a:ext uri="{FF2B5EF4-FFF2-40B4-BE49-F238E27FC236}">
                          <a16:creationId xmlns:a16="http://schemas.microsoft.com/office/drawing/2014/main" id="{32DF3B85-1407-42F1-1B49-6ED523808839}"/>
                        </a:ext>
                        <a:ext uri="{C183D7F6-B498-43B3-948B-1728B52AA6E4}">
                          <adec:decorative xmlns:adec="http://schemas.microsoft.com/office/drawing/2017/decorative" val="1"/>
                        </a:ext>
                      </a:extLst>
                    </pic:cNvPr>
                    <pic:cNvPicPr>
                      <a:picLocks noChangeAspect="1"/>
                    </pic:cNvPicPr>
                  </pic:nvPicPr>
                  <pic:blipFill rotWithShape="1">
                    <a:blip r:embed="rId44">
                      <a:extLst>
                        <a:ext uri="{28A0092B-C50C-407E-A947-70E740481C1C}">
                          <a14:useLocalDpi xmlns:a14="http://schemas.microsoft.com/office/drawing/2010/main" val="0"/>
                        </a:ext>
                      </a:extLst>
                    </a:blip>
                    <a:srcRect l="35866" t="9583" r="35161" b="82603"/>
                    <a:stretch/>
                  </pic:blipFill>
                  <pic:spPr>
                    <a:xfrm>
                      <a:off x="0" y="0"/>
                      <a:ext cx="2228850" cy="253365"/>
                    </a:xfrm>
                    <a:prstGeom prst="rect">
                      <a:avLst/>
                    </a:prstGeom>
                  </pic:spPr>
                </pic:pic>
              </a:graphicData>
            </a:graphic>
          </wp:inline>
        </w:drawing>
      </w:r>
    </w:p>
    <w:p w14:paraId="28D6D2BF" w14:textId="247414C3" w:rsidR="00EF6479" w:rsidRPr="00617A89" w:rsidRDefault="00EF6479" w:rsidP="00FB2469">
      <w:pPr>
        <w:rPr>
          <w:rFonts w:ascii="Times New Roman" w:eastAsia="Times New Roman" w:hAnsi="Times New Roman" w:cs="Times New Roman"/>
          <w:color w:val="000000" w:themeColor="text1"/>
          <w:sz w:val="24"/>
          <w:szCs w:val="24"/>
          <w:lang w:eastAsia="en-AU"/>
        </w:rPr>
      </w:pPr>
      <w:r w:rsidRPr="00617A89">
        <w:rPr>
          <w:rFonts w:ascii="Times New Roman" w:eastAsia="Times New Roman" w:hAnsi="Times New Roman" w:cs="Times New Roman"/>
          <w:noProof/>
          <w:color w:val="000000" w:themeColor="text1"/>
          <w:sz w:val="24"/>
          <w:szCs w:val="24"/>
          <w:lang w:eastAsia="en-AU"/>
        </w:rPr>
        <w:drawing>
          <wp:inline distT="0" distB="0" distL="0" distR="0" wp14:anchorId="7961E94D" wp14:editId="7C5A04B9">
            <wp:extent cx="5913755" cy="2451100"/>
            <wp:effectExtent l="0" t="0" r="0" b="6350"/>
            <wp:docPr id="12533026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3755" cy="2451100"/>
                    </a:xfrm>
                    <a:prstGeom prst="rect">
                      <a:avLst/>
                    </a:prstGeom>
                    <a:noFill/>
                  </pic:spPr>
                </pic:pic>
              </a:graphicData>
            </a:graphic>
          </wp:inline>
        </w:drawing>
      </w:r>
    </w:p>
    <w:p w14:paraId="10AC0225" w14:textId="77777777" w:rsidR="00EF6479" w:rsidRPr="00617A89" w:rsidRDefault="00EF6479" w:rsidP="00FB2469">
      <w:pPr>
        <w:rPr>
          <w:rFonts w:ascii="Times New Roman" w:eastAsia="Times New Roman" w:hAnsi="Times New Roman" w:cs="Times New Roman"/>
          <w:color w:val="000000" w:themeColor="text1"/>
          <w:sz w:val="24"/>
          <w:szCs w:val="24"/>
          <w:lang w:eastAsia="en-AU"/>
        </w:rPr>
      </w:pPr>
    </w:p>
    <w:p w14:paraId="4909ED85" w14:textId="686BB9FF" w:rsidR="00FB2469" w:rsidRPr="00617A89" w:rsidRDefault="00FB2469" w:rsidP="00FB2469">
      <w:pPr>
        <w:rPr>
          <w:noProof/>
          <w:color w:val="000000" w:themeColor="text1"/>
        </w:rPr>
      </w:pPr>
      <w:r w:rsidRPr="00617A89">
        <w:rPr>
          <w:noProof/>
          <w:color w:val="000000" w:themeColor="text1"/>
        </w:rPr>
        <w:t xml:space="preserve"> </w:t>
      </w:r>
      <w:r w:rsidR="00EF6479" w:rsidRPr="00617A89">
        <w:rPr>
          <w:noProof/>
          <w:color w:val="000000" w:themeColor="text1"/>
        </w:rPr>
        <w:drawing>
          <wp:inline distT="0" distB="0" distL="0" distR="0" wp14:anchorId="4D853956" wp14:editId="5653D052">
            <wp:extent cx="5852795" cy="2329180"/>
            <wp:effectExtent l="0" t="0" r="0" b="0"/>
            <wp:docPr id="18626826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2795" cy="2329180"/>
                    </a:xfrm>
                    <a:prstGeom prst="rect">
                      <a:avLst/>
                    </a:prstGeom>
                    <a:noFill/>
                  </pic:spPr>
                </pic:pic>
              </a:graphicData>
            </a:graphic>
          </wp:inline>
        </w:drawing>
      </w:r>
    </w:p>
    <w:p w14:paraId="6CAAF148" w14:textId="77777777" w:rsidR="00EF6479" w:rsidRPr="00617A89" w:rsidRDefault="00EF6479" w:rsidP="00FB2469">
      <w:pPr>
        <w:rPr>
          <w:noProof/>
          <w:color w:val="000000" w:themeColor="text1"/>
        </w:rPr>
      </w:pPr>
    </w:p>
    <w:p w14:paraId="4E097EE3" w14:textId="10CD20D0" w:rsidR="00386F89" w:rsidRPr="00617A89" w:rsidRDefault="00EF6479" w:rsidP="00FB2469">
      <w:pPr>
        <w:rPr>
          <w:rFonts w:ascii="Times New Roman" w:eastAsia="Times New Roman" w:hAnsi="Times New Roman" w:cs="Times New Roman"/>
          <w:color w:val="000000" w:themeColor="text1"/>
          <w:sz w:val="24"/>
          <w:szCs w:val="24"/>
          <w:lang w:eastAsia="en-AU"/>
        </w:rPr>
      </w:pPr>
      <w:r w:rsidRPr="00617A89">
        <w:rPr>
          <w:rFonts w:ascii="Times New Roman" w:eastAsia="Times New Roman" w:hAnsi="Times New Roman" w:cs="Times New Roman"/>
          <w:noProof/>
          <w:color w:val="000000" w:themeColor="text1"/>
          <w:sz w:val="24"/>
          <w:szCs w:val="24"/>
          <w:lang w:eastAsia="en-AU"/>
        </w:rPr>
        <w:drawing>
          <wp:inline distT="0" distB="0" distL="0" distR="0" wp14:anchorId="4EFACD3A" wp14:editId="70A54ECE">
            <wp:extent cx="5852795" cy="2463165"/>
            <wp:effectExtent l="0" t="0" r="0" b="0"/>
            <wp:docPr id="14993641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2795" cy="2463165"/>
                    </a:xfrm>
                    <a:prstGeom prst="rect">
                      <a:avLst/>
                    </a:prstGeom>
                    <a:noFill/>
                  </pic:spPr>
                </pic:pic>
              </a:graphicData>
            </a:graphic>
          </wp:inline>
        </w:drawing>
      </w:r>
    </w:p>
    <w:p w14:paraId="05CFF0EE" w14:textId="5E958878" w:rsidR="00CA68F6" w:rsidRPr="00617A89" w:rsidRDefault="00CA68F6" w:rsidP="00CA68F6">
      <w:pPr>
        <w:pStyle w:val="FigureNote"/>
        <w:rPr>
          <w:color w:val="000000" w:themeColor="text1"/>
          <w:sz w:val="18"/>
          <w:szCs w:val="24"/>
        </w:rPr>
      </w:pPr>
      <w:r w:rsidRPr="00617A89">
        <w:rPr>
          <w:color w:val="000000" w:themeColor="text1"/>
          <w:sz w:val="18"/>
          <w:szCs w:val="24"/>
        </w:rPr>
        <w:t xml:space="preserve">* </w:t>
      </w:r>
      <w:r w:rsidR="00F87D04" w:rsidRPr="00617A89">
        <w:rPr>
          <w:color w:val="000000" w:themeColor="text1"/>
          <w:sz w:val="18"/>
          <w:szCs w:val="24"/>
        </w:rPr>
        <w:t>Medium-term overall employment rates from 2025 onwards are not directly comparable with earlier years due to a change to how the labour force is defined. Caution should be exercised when interpreting differences in overall employment rates between 2025 medium-term results, and the short</w:t>
      </w:r>
      <w:r w:rsidR="0018058F" w:rsidRPr="00617A89">
        <w:rPr>
          <w:color w:val="000000" w:themeColor="text1"/>
          <w:sz w:val="18"/>
          <w:szCs w:val="24"/>
        </w:rPr>
        <w:t>-</w:t>
      </w:r>
      <w:r w:rsidR="00F87D04" w:rsidRPr="00617A89">
        <w:rPr>
          <w:color w:val="000000" w:themeColor="text1"/>
          <w:sz w:val="18"/>
          <w:szCs w:val="24"/>
        </w:rPr>
        <w:t>term results and other medium-term results, as they partly reflect the change in methodology</w:t>
      </w:r>
      <w:r w:rsidRPr="00617A89">
        <w:rPr>
          <w:color w:val="000000" w:themeColor="text1"/>
          <w:sz w:val="18"/>
          <w:szCs w:val="24"/>
        </w:rPr>
        <w:t xml:space="preserve">. See </w:t>
      </w:r>
      <w:r w:rsidRPr="00617A89">
        <w:rPr>
          <w:b/>
          <w:bCs/>
          <w:color w:val="000000" w:themeColor="text1"/>
          <w:sz w:val="18"/>
          <w:szCs w:val="24"/>
        </w:rPr>
        <w:t>Appendix 1</w:t>
      </w:r>
      <w:r w:rsidRPr="00617A89">
        <w:rPr>
          <w:color w:val="000000" w:themeColor="text1"/>
          <w:sz w:val="18"/>
          <w:szCs w:val="24"/>
        </w:rPr>
        <w:t xml:space="preserve"> for further information.</w:t>
      </w:r>
    </w:p>
    <w:p w14:paraId="0487B5F9" w14:textId="5771827E" w:rsidR="00B51933" w:rsidRPr="00617A89" w:rsidRDefault="00E354E2" w:rsidP="007A292C">
      <w:pPr>
        <w:pStyle w:val="Heading2"/>
        <w:rPr>
          <w:color w:val="000000" w:themeColor="text1"/>
        </w:rPr>
      </w:pPr>
      <w:bookmarkStart w:id="37" w:name="_Toc222868438"/>
      <w:r w:rsidRPr="00617A89">
        <w:rPr>
          <w:color w:val="000000" w:themeColor="text1"/>
        </w:rPr>
        <w:t>Median annual full-time salary</w:t>
      </w:r>
      <w:bookmarkEnd w:id="37"/>
    </w:p>
    <w:p w14:paraId="7CA3A493" w14:textId="5B1C61E0" w:rsidR="00C74C73" w:rsidRPr="00617A89" w:rsidRDefault="00B307A5" w:rsidP="004C3A06">
      <w:pPr>
        <w:pStyle w:val="Body"/>
        <w:rPr>
          <w:color w:val="000000" w:themeColor="text1"/>
        </w:rPr>
      </w:pPr>
      <w:r w:rsidRPr="00617A89">
        <w:rPr>
          <w:color w:val="000000" w:themeColor="text1"/>
        </w:rPr>
        <w:t>Domestic g</w:t>
      </w:r>
      <w:r w:rsidR="003459A3" w:rsidRPr="00617A89">
        <w:rPr>
          <w:color w:val="000000" w:themeColor="text1"/>
        </w:rPr>
        <w:t xml:space="preserve">raduates with </w:t>
      </w:r>
      <w:r w:rsidR="00F95A57" w:rsidRPr="00617A89">
        <w:rPr>
          <w:color w:val="000000" w:themeColor="text1"/>
        </w:rPr>
        <w:t>postgraduate</w:t>
      </w:r>
      <w:r w:rsidR="003459A3" w:rsidRPr="00617A89">
        <w:rPr>
          <w:color w:val="000000" w:themeColor="text1"/>
        </w:rPr>
        <w:t xml:space="preserve"> qualifications</w:t>
      </w:r>
      <w:r w:rsidR="0039496B" w:rsidRPr="00617A89">
        <w:rPr>
          <w:color w:val="000000" w:themeColor="text1"/>
        </w:rPr>
        <w:t xml:space="preserve"> have higher median salaries than </w:t>
      </w:r>
      <w:r w:rsidR="00F95A57" w:rsidRPr="00617A89">
        <w:rPr>
          <w:color w:val="000000" w:themeColor="text1"/>
        </w:rPr>
        <w:t xml:space="preserve">those with </w:t>
      </w:r>
      <w:r w:rsidR="0039496B" w:rsidRPr="00617A89">
        <w:rPr>
          <w:color w:val="000000" w:themeColor="text1"/>
        </w:rPr>
        <w:t>undergraduate</w:t>
      </w:r>
      <w:r w:rsidR="00F95A57" w:rsidRPr="00617A89">
        <w:rPr>
          <w:color w:val="000000" w:themeColor="text1"/>
        </w:rPr>
        <w:t xml:space="preserve"> qualification</w:t>
      </w:r>
      <w:r w:rsidR="0039496B" w:rsidRPr="00617A89">
        <w:rPr>
          <w:color w:val="000000" w:themeColor="text1"/>
        </w:rPr>
        <w:t>s in</w:t>
      </w:r>
      <w:r w:rsidR="006E1709" w:rsidRPr="00617A89">
        <w:rPr>
          <w:color w:val="000000" w:themeColor="text1"/>
        </w:rPr>
        <w:t xml:space="preserve"> the </w:t>
      </w:r>
      <w:r w:rsidR="008B7FB9" w:rsidRPr="00617A89">
        <w:rPr>
          <w:color w:val="000000" w:themeColor="text1"/>
        </w:rPr>
        <w:t>short- and medium-term</w:t>
      </w:r>
      <w:r w:rsidR="006E1709" w:rsidRPr="00617A89">
        <w:rPr>
          <w:color w:val="000000" w:themeColor="text1"/>
        </w:rPr>
        <w:t xml:space="preserve"> (</w:t>
      </w:r>
      <w:r w:rsidR="00E43A8A" w:rsidRPr="00617A89">
        <w:rPr>
          <w:b/>
          <w:bCs/>
          <w:color w:val="000000" w:themeColor="text1"/>
        </w:rPr>
        <w:fldChar w:fldCharType="begin"/>
      </w:r>
      <w:r w:rsidR="00E43A8A" w:rsidRPr="00617A89">
        <w:rPr>
          <w:b/>
          <w:bCs/>
          <w:color w:val="000000" w:themeColor="text1"/>
        </w:rPr>
        <w:instrText xml:space="preserve"> REF _Ref201834075 \h  \* MERGEFORMAT </w:instrText>
      </w:r>
      <w:r w:rsidR="00E43A8A" w:rsidRPr="00617A89">
        <w:rPr>
          <w:b/>
          <w:bCs/>
          <w:color w:val="000000" w:themeColor="text1"/>
        </w:rPr>
      </w:r>
      <w:r w:rsidR="00E43A8A"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4</w:t>
      </w:r>
      <w:r w:rsidR="00E43A8A" w:rsidRPr="00617A89">
        <w:rPr>
          <w:b/>
          <w:bCs/>
          <w:color w:val="000000" w:themeColor="text1"/>
        </w:rPr>
        <w:fldChar w:fldCharType="end"/>
      </w:r>
      <w:r w:rsidR="00E43A8A" w:rsidRPr="00617A89">
        <w:rPr>
          <w:color w:val="000000" w:themeColor="text1"/>
        </w:rPr>
        <w:t>)</w:t>
      </w:r>
      <w:r w:rsidR="006E1709" w:rsidRPr="00617A89">
        <w:rPr>
          <w:color w:val="000000" w:themeColor="text1"/>
        </w:rPr>
        <w:t xml:space="preserve">. </w:t>
      </w:r>
      <w:r w:rsidR="00605BFB" w:rsidRPr="00617A89">
        <w:rPr>
          <w:color w:val="000000" w:themeColor="text1"/>
        </w:rPr>
        <w:t xml:space="preserve">This </w:t>
      </w:r>
      <w:r w:rsidR="00D05C62" w:rsidRPr="00617A89">
        <w:rPr>
          <w:color w:val="000000" w:themeColor="text1"/>
        </w:rPr>
        <w:t>differen</w:t>
      </w:r>
      <w:r w:rsidR="006808CF" w:rsidRPr="00617A89">
        <w:rPr>
          <w:color w:val="000000" w:themeColor="text1"/>
        </w:rPr>
        <w:t>ce</w:t>
      </w:r>
      <w:r w:rsidR="00D05C62" w:rsidRPr="00617A89">
        <w:rPr>
          <w:color w:val="000000" w:themeColor="text1"/>
        </w:rPr>
        <w:t xml:space="preserve"> in median salar</w:t>
      </w:r>
      <w:r w:rsidR="007C5C0F" w:rsidRPr="00617A89">
        <w:rPr>
          <w:color w:val="000000" w:themeColor="text1"/>
        </w:rPr>
        <w:t xml:space="preserve">ies by study levels may be attributed to </w:t>
      </w:r>
      <w:r w:rsidR="00F20B46" w:rsidRPr="00617A89">
        <w:rPr>
          <w:color w:val="000000" w:themeColor="text1"/>
        </w:rPr>
        <w:t xml:space="preserve">more advanced or specialised skills and knowledge </w:t>
      </w:r>
      <w:r w:rsidR="00F11A54" w:rsidRPr="00617A89">
        <w:rPr>
          <w:color w:val="000000" w:themeColor="text1"/>
        </w:rPr>
        <w:t xml:space="preserve">acquired in a postgraduate level course, but </w:t>
      </w:r>
      <w:r w:rsidR="00505C04" w:rsidRPr="00617A89">
        <w:rPr>
          <w:color w:val="000000" w:themeColor="text1"/>
        </w:rPr>
        <w:t xml:space="preserve">it </w:t>
      </w:r>
      <w:r w:rsidR="00F11A54" w:rsidRPr="00617A89">
        <w:rPr>
          <w:color w:val="000000" w:themeColor="text1"/>
        </w:rPr>
        <w:t xml:space="preserve">is also likely driven by </w:t>
      </w:r>
      <w:r w:rsidR="00A32EEF" w:rsidRPr="00617A89">
        <w:rPr>
          <w:color w:val="000000" w:themeColor="text1"/>
        </w:rPr>
        <w:t xml:space="preserve">graduates’ </w:t>
      </w:r>
      <w:r w:rsidR="004D2746" w:rsidRPr="00617A89">
        <w:rPr>
          <w:color w:val="000000" w:themeColor="text1"/>
        </w:rPr>
        <w:t xml:space="preserve">prior labour </w:t>
      </w:r>
      <w:r w:rsidR="002A08CE" w:rsidRPr="00617A89">
        <w:rPr>
          <w:color w:val="000000" w:themeColor="text1"/>
        </w:rPr>
        <w:t xml:space="preserve">market </w:t>
      </w:r>
      <w:r w:rsidR="004D2746" w:rsidRPr="00617A89">
        <w:rPr>
          <w:color w:val="000000" w:themeColor="text1"/>
        </w:rPr>
        <w:t>experience</w:t>
      </w:r>
      <w:r w:rsidR="00E84E2E" w:rsidRPr="00617A89">
        <w:rPr>
          <w:color w:val="000000" w:themeColor="text1"/>
        </w:rPr>
        <w:t xml:space="preserve"> or </w:t>
      </w:r>
      <w:r w:rsidR="0019795A" w:rsidRPr="00617A89">
        <w:rPr>
          <w:color w:val="000000" w:themeColor="text1"/>
        </w:rPr>
        <w:t>establishment in the labour force</w:t>
      </w:r>
      <w:r w:rsidR="00F11A54" w:rsidRPr="00617A89">
        <w:rPr>
          <w:color w:val="000000" w:themeColor="text1"/>
        </w:rPr>
        <w:t xml:space="preserve"> </w:t>
      </w:r>
      <w:r w:rsidR="002A08CE" w:rsidRPr="00617A89">
        <w:rPr>
          <w:color w:val="000000" w:themeColor="text1"/>
        </w:rPr>
        <w:t xml:space="preserve">before or </w:t>
      </w:r>
      <w:r w:rsidR="004B48EA" w:rsidRPr="00617A89">
        <w:rPr>
          <w:color w:val="000000" w:themeColor="text1"/>
        </w:rPr>
        <w:t>during their studies.</w:t>
      </w:r>
      <w:r w:rsidR="00AA735F" w:rsidRPr="00617A89">
        <w:rPr>
          <w:color w:val="000000" w:themeColor="text1"/>
        </w:rPr>
        <w:t xml:space="preserve"> </w:t>
      </w:r>
    </w:p>
    <w:p w14:paraId="7ED5B222" w14:textId="68CE2E13" w:rsidR="007D1F2F" w:rsidRPr="00617A89" w:rsidRDefault="00533949" w:rsidP="007D1F2F">
      <w:pPr>
        <w:pStyle w:val="Body"/>
        <w:rPr>
          <w:rFonts w:ascii="ArialMT" w:hAnsi="ArialMT" w:cs="ArialMT"/>
          <w:color w:val="000000" w:themeColor="text1"/>
          <w:lang w:val="en-GB"/>
        </w:rPr>
      </w:pPr>
      <w:r w:rsidRPr="00617A89">
        <w:rPr>
          <w:color w:val="000000" w:themeColor="text1"/>
        </w:rPr>
        <w:t>While undergraduate median salaries</w:t>
      </w:r>
      <w:r w:rsidR="0078781E" w:rsidRPr="00617A89">
        <w:rPr>
          <w:color w:val="000000" w:themeColor="text1"/>
        </w:rPr>
        <w:t xml:space="preserve"> are lower in the short</w:t>
      </w:r>
      <w:r w:rsidR="008809F9" w:rsidRPr="00617A89">
        <w:rPr>
          <w:color w:val="000000" w:themeColor="text1"/>
        </w:rPr>
        <w:t>-</w:t>
      </w:r>
      <w:r w:rsidR="00851C83" w:rsidRPr="00617A89">
        <w:rPr>
          <w:color w:val="000000" w:themeColor="text1"/>
        </w:rPr>
        <w:t xml:space="preserve"> </w:t>
      </w:r>
      <w:r w:rsidR="0078781E" w:rsidRPr="00617A89">
        <w:rPr>
          <w:color w:val="000000" w:themeColor="text1"/>
        </w:rPr>
        <w:t>and medium-term, they do increase at a higher rate than both postgraduate coursework and postgraduate research median salaries</w:t>
      </w:r>
      <w:r w:rsidR="000D3F18" w:rsidRPr="00617A89">
        <w:rPr>
          <w:color w:val="000000" w:themeColor="text1"/>
        </w:rPr>
        <w:t>.</w:t>
      </w:r>
      <w:r w:rsidR="008F48E2" w:rsidRPr="00617A89">
        <w:rPr>
          <w:color w:val="000000" w:themeColor="text1"/>
        </w:rPr>
        <w:t xml:space="preserve"> </w:t>
      </w:r>
      <w:r w:rsidR="007D1F2F" w:rsidRPr="00617A89">
        <w:rPr>
          <w:rFonts w:ascii="ArialMT" w:hAnsi="ArialMT" w:cs="ArialMT"/>
          <w:color w:val="000000" w:themeColor="text1"/>
          <w:lang w:val="en-GB"/>
        </w:rPr>
        <w:t>Despite increasing at a higher rate over the 3-year period, in dollar terms, the gap in median salaries remained: the postgraduate coursework median salary was $22,</w:t>
      </w:r>
      <w:r w:rsidR="007232C7" w:rsidRPr="00617A89">
        <w:rPr>
          <w:rFonts w:ascii="ArialMT" w:hAnsi="ArialMT" w:cs="ArialMT"/>
          <w:color w:val="000000" w:themeColor="text1"/>
          <w:lang w:val="en-GB"/>
        </w:rPr>
        <w:t>3</w:t>
      </w:r>
      <w:r w:rsidR="007D1F2F" w:rsidRPr="00617A89">
        <w:rPr>
          <w:rFonts w:ascii="ArialMT" w:hAnsi="ArialMT" w:cs="ArialMT"/>
          <w:color w:val="000000" w:themeColor="text1"/>
          <w:lang w:val="en-GB"/>
        </w:rPr>
        <w:t>00 higher than the undergraduate median salary in the short-term and this increased to $25,000 in the medium-term.</w:t>
      </w:r>
    </w:p>
    <w:p w14:paraId="02229AC3" w14:textId="198E80F5" w:rsidR="0045410B" w:rsidRPr="00617A89" w:rsidRDefault="0045410B" w:rsidP="007D1F2F">
      <w:pPr>
        <w:pStyle w:val="Body"/>
        <w:rPr>
          <w:rFonts w:ascii="ArialMT" w:hAnsi="ArialMT" w:cs="ArialMT"/>
          <w:color w:val="000000" w:themeColor="text1"/>
          <w:lang w:val="en-GB"/>
        </w:rPr>
      </w:pPr>
      <w:r w:rsidRPr="00617A89">
        <w:rPr>
          <w:rFonts w:ascii="ArialMT" w:hAnsi="ArialMT" w:cs="ArialMT"/>
          <w:color w:val="000000" w:themeColor="text1"/>
          <w:lang w:val="en-GB"/>
        </w:rPr>
        <w:t xml:space="preserve">Postgraduate research graduates </w:t>
      </w:r>
      <w:r w:rsidR="00F44D5B" w:rsidRPr="00617A89">
        <w:rPr>
          <w:rFonts w:ascii="ArialMT" w:hAnsi="ArialMT" w:cs="ArialMT"/>
          <w:color w:val="000000" w:themeColor="text1"/>
          <w:lang w:val="en-GB"/>
        </w:rPr>
        <w:t xml:space="preserve">continued to report </w:t>
      </w:r>
      <w:r w:rsidRPr="00617A89">
        <w:rPr>
          <w:rFonts w:ascii="ArialMT" w:hAnsi="ArialMT" w:cs="ArialMT"/>
          <w:color w:val="000000" w:themeColor="text1"/>
          <w:lang w:val="en-GB"/>
        </w:rPr>
        <w:t>the highest median salary of the 3 study levels</w:t>
      </w:r>
      <w:r w:rsidR="00206F5F" w:rsidRPr="00617A89">
        <w:rPr>
          <w:rFonts w:ascii="ArialMT" w:hAnsi="ArialMT" w:cs="ArialMT"/>
          <w:color w:val="000000" w:themeColor="text1"/>
          <w:lang w:val="en-GB"/>
        </w:rPr>
        <w:t>:</w:t>
      </w:r>
      <w:r w:rsidRPr="00617A89">
        <w:rPr>
          <w:rFonts w:ascii="ArialMT" w:hAnsi="ArialMT" w:cs="ArialMT"/>
          <w:color w:val="000000" w:themeColor="text1"/>
          <w:lang w:val="en-GB"/>
        </w:rPr>
        <w:t xml:space="preserve"> $28,000 more than undergraduates and $5,700 more than postgraduate coursework graduates in the short-term. However, from a high starting point, their median salary grew at a slower rate, reaching $120,0</w:t>
      </w:r>
      <w:r w:rsidR="00C95622" w:rsidRPr="00617A89">
        <w:rPr>
          <w:rFonts w:ascii="ArialMT" w:hAnsi="ArialMT" w:cs="ArialMT"/>
          <w:color w:val="000000" w:themeColor="text1"/>
          <w:lang w:val="en-GB"/>
        </w:rPr>
        <w:t>0</w:t>
      </w:r>
      <w:r w:rsidRPr="00617A89">
        <w:rPr>
          <w:rFonts w:ascii="ArialMT" w:hAnsi="ArialMT" w:cs="ArialMT"/>
          <w:color w:val="000000" w:themeColor="text1"/>
          <w:lang w:val="en-GB"/>
        </w:rPr>
        <w:t>0 by 2025 (up 23.7 per cent), compared to increases of 31.9 per cent and 27.1 per cent for undergraduates and postgraduate coursework graduates respectively.</w:t>
      </w:r>
    </w:p>
    <w:p w14:paraId="42A0C368" w14:textId="2E613A7B" w:rsidR="007D1F2F" w:rsidRPr="00617A89" w:rsidRDefault="00E72D41" w:rsidP="007D1F2F">
      <w:pPr>
        <w:pStyle w:val="Body"/>
        <w:rPr>
          <w:rFonts w:ascii="ArialMT" w:hAnsi="ArialMT" w:cs="ArialMT"/>
          <w:color w:val="000000" w:themeColor="text1"/>
          <w:lang w:val="en-GB"/>
        </w:rPr>
      </w:pPr>
      <w:r w:rsidRPr="00617A89">
        <w:rPr>
          <w:rFonts w:ascii="ArialMT" w:hAnsi="ArialMT" w:cs="ArialMT"/>
          <w:color w:val="000000" w:themeColor="text1"/>
          <w:lang w:val="en-GB"/>
        </w:rPr>
        <w:t xml:space="preserve">Notably, </w:t>
      </w:r>
      <w:r w:rsidR="00F6688C" w:rsidRPr="00617A89">
        <w:rPr>
          <w:rFonts w:ascii="ArialMT" w:hAnsi="ArialMT" w:cs="ArialMT"/>
          <w:color w:val="000000" w:themeColor="text1"/>
          <w:lang w:val="en-GB"/>
        </w:rPr>
        <w:t>there has been a marked</w:t>
      </w:r>
      <w:r w:rsidR="00813777" w:rsidRPr="00617A89">
        <w:rPr>
          <w:rFonts w:ascii="ArialMT" w:hAnsi="ArialMT" w:cs="ArialMT"/>
          <w:color w:val="000000" w:themeColor="text1"/>
          <w:lang w:val="en-GB"/>
        </w:rPr>
        <w:t xml:space="preserve"> </w:t>
      </w:r>
      <w:r w:rsidR="00633761" w:rsidRPr="00617A89">
        <w:rPr>
          <w:rFonts w:ascii="ArialMT" w:hAnsi="ArialMT" w:cs="ArialMT"/>
          <w:color w:val="000000" w:themeColor="text1"/>
          <w:lang w:val="en-GB"/>
        </w:rPr>
        <w:t>i</w:t>
      </w:r>
      <w:r w:rsidR="00813777" w:rsidRPr="00617A89">
        <w:rPr>
          <w:rFonts w:ascii="ArialMT" w:hAnsi="ArialMT" w:cs="ArialMT"/>
          <w:color w:val="000000" w:themeColor="text1"/>
          <w:lang w:val="en-GB"/>
        </w:rPr>
        <w:t xml:space="preserve">ncrease </w:t>
      </w:r>
      <w:r w:rsidR="00F079D3" w:rsidRPr="00617A89">
        <w:rPr>
          <w:rFonts w:ascii="ArialMT" w:hAnsi="ArialMT" w:cs="ArialMT"/>
          <w:color w:val="000000" w:themeColor="text1"/>
          <w:lang w:val="en-GB"/>
        </w:rPr>
        <w:t>i</w:t>
      </w:r>
      <w:r w:rsidR="00813777" w:rsidRPr="00617A89">
        <w:rPr>
          <w:rFonts w:ascii="ArialMT" w:hAnsi="ArialMT" w:cs="ArialMT"/>
          <w:color w:val="000000" w:themeColor="text1"/>
          <w:lang w:val="en-GB"/>
        </w:rPr>
        <w:t>n 3-year salary growth</w:t>
      </w:r>
      <w:r w:rsidR="007C519E" w:rsidRPr="00617A89">
        <w:rPr>
          <w:rFonts w:ascii="ArialMT" w:hAnsi="ArialMT" w:cs="ArialMT"/>
          <w:color w:val="000000" w:themeColor="text1"/>
          <w:lang w:val="en-GB"/>
        </w:rPr>
        <w:t xml:space="preserve"> (from short to medium-term) across all study levels, starting with the 2020-2023 cohort</w:t>
      </w:r>
      <w:r w:rsidR="001F2784" w:rsidRPr="00617A89">
        <w:rPr>
          <w:rFonts w:ascii="ArialMT" w:hAnsi="ArialMT" w:cs="ArialMT"/>
          <w:color w:val="000000" w:themeColor="text1"/>
          <w:lang w:val="en-GB"/>
        </w:rPr>
        <w:t xml:space="preserve"> of graduates</w:t>
      </w:r>
      <w:r w:rsidR="007C519E" w:rsidRPr="00617A89">
        <w:rPr>
          <w:rFonts w:ascii="ArialMT" w:hAnsi="ArialMT" w:cs="ArialMT"/>
          <w:color w:val="000000" w:themeColor="text1"/>
          <w:lang w:val="en-GB"/>
        </w:rPr>
        <w:t>.</w:t>
      </w:r>
      <w:r w:rsidR="00020F2E" w:rsidRPr="00617A89">
        <w:rPr>
          <w:rFonts w:ascii="ArialMT" w:hAnsi="ArialMT" w:cs="ArialMT"/>
          <w:color w:val="000000" w:themeColor="text1"/>
          <w:lang w:val="en-GB"/>
        </w:rPr>
        <w:t xml:space="preserve"> This </w:t>
      </w:r>
      <w:r w:rsidR="001F2784" w:rsidRPr="00617A89">
        <w:rPr>
          <w:rFonts w:ascii="ArialMT" w:hAnsi="ArialMT" w:cs="ArialMT"/>
          <w:color w:val="000000" w:themeColor="text1"/>
          <w:lang w:val="en-GB"/>
        </w:rPr>
        <w:t xml:space="preserve">salary </w:t>
      </w:r>
      <w:r w:rsidR="00020F2E" w:rsidRPr="00617A89">
        <w:rPr>
          <w:rFonts w:ascii="ArialMT" w:hAnsi="ArialMT" w:cs="ArialMT"/>
          <w:color w:val="000000" w:themeColor="text1"/>
          <w:lang w:val="en-GB"/>
        </w:rPr>
        <w:t xml:space="preserve">growth </w:t>
      </w:r>
      <w:r w:rsidR="004150B3" w:rsidRPr="00617A89">
        <w:rPr>
          <w:rFonts w:ascii="ArialMT" w:hAnsi="ArialMT" w:cs="ArialMT"/>
          <w:color w:val="000000" w:themeColor="text1"/>
          <w:lang w:val="en-GB"/>
        </w:rPr>
        <w:t>i</w:t>
      </w:r>
      <w:r w:rsidR="00020F2E" w:rsidRPr="00617A89">
        <w:rPr>
          <w:rFonts w:ascii="ArialMT" w:hAnsi="ArialMT" w:cs="ArialMT"/>
          <w:color w:val="000000" w:themeColor="text1"/>
          <w:lang w:val="en-GB"/>
        </w:rPr>
        <w:t xml:space="preserve">s consistent with </w:t>
      </w:r>
      <w:r w:rsidR="00550045" w:rsidRPr="00617A89">
        <w:rPr>
          <w:rFonts w:ascii="ArialMT" w:hAnsi="ArialMT" w:cs="ArialMT"/>
          <w:color w:val="000000" w:themeColor="text1"/>
          <w:lang w:val="en-GB"/>
        </w:rPr>
        <w:t>the ABS' Wage Price Index</w:t>
      </w:r>
      <w:r w:rsidR="00013975" w:rsidRPr="00617A89">
        <w:rPr>
          <w:rFonts w:ascii="ArialMT" w:hAnsi="ArialMT" w:cs="ArialMT"/>
          <w:color w:val="000000" w:themeColor="text1"/>
          <w:lang w:val="en-GB"/>
        </w:rPr>
        <w:t xml:space="preserve"> and </w:t>
      </w:r>
      <w:r w:rsidR="00484DF7" w:rsidRPr="00617A89">
        <w:rPr>
          <w:rFonts w:ascii="ArialMT" w:hAnsi="ArialMT" w:cs="ArialMT"/>
          <w:color w:val="000000" w:themeColor="text1"/>
          <w:lang w:val="en-GB"/>
        </w:rPr>
        <w:t>Average Weekly Ordinary Time Earnings for full-time adult employees</w:t>
      </w:r>
      <w:r w:rsidR="00490640" w:rsidRPr="00617A89">
        <w:rPr>
          <w:rFonts w:ascii="ArialMT" w:hAnsi="ArialMT" w:cs="ArialMT"/>
          <w:color w:val="000000" w:themeColor="text1"/>
          <w:lang w:val="en-GB"/>
        </w:rPr>
        <w:t xml:space="preserve">, </w:t>
      </w:r>
      <w:r w:rsidR="00013975" w:rsidRPr="00617A89">
        <w:rPr>
          <w:rFonts w:ascii="ArialMT" w:hAnsi="ArialMT" w:cs="ArialMT"/>
          <w:color w:val="000000" w:themeColor="text1"/>
          <w:lang w:val="en-GB"/>
        </w:rPr>
        <w:t xml:space="preserve">both of which </w:t>
      </w:r>
      <w:r w:rsidR="00490640" w:rsidRPr="00617A89">
        <w:rPr>
          <w:rFonts w:ascii="ArialMT" w:hAnsi="ArialMT" w:cs="ArialMT"/>
          <w:color w:val="000000" w:themeColor="text1"/>
          <w:lang w:val="en-GB"/>
        </w:rPr>
        <w:t xml:space="preserve">show </w:t>
      </w:r>
      <w:r w:rsidR="00881699" w:rsidRPr="00617A89">
        <w:rPr>
          <w:rFonts w:ascii="ArialMT" w:hAnsi="ArialMT" w:cs="ArialMT"/>
          <w:color w:val="000000" w:themeColor="text1"/>
          <w:lang w:val="en-GB"/>
        </w:rPr>
        <w:t xml:space="preserve">a steady rise </w:t>
      </w:r>
      <w:r w:rsidR="004150B3" w:rsidRPr="00617A89">
        <w:rPr>
          <w:rFonts w:ascii="ArialMT" w:hAnsi="ArialMT" w:cs="ArialMT"/>
          <w:color w:val="000000" w:themeColor="text1"/>
          <w:lang w:val="en-GB"/>
        </w:rPr>
        <w:t>i</w:t>
      </w:r>
      <w:r w:rsidR="00881699" w:rsidRPr="00617A89">
        <w:rPr>
          <w:rFonts w:ascii="ArialMT" w:hAnsi="ArialMT" w:cs="ArialMT"/>
          <w:color w:val="000000" w:themeColor="text1"/>
          <w:lang w:val="en-GB"/>
        </w:rPr>
        <w:t>n growth</w:t>
      </w:r>
      <w:r w:rsidR="0057660B" w:rsidRPr="00617A89">
        <w:rPr>
          <w:rFonts w:ascii="ArialMT" w:hAnsi="ArialMT" w:cs="ArialMT"/>
          <w:color w:val="000000" w:themeColor="text1"/>
          <w:lang w:val="en-GB"/>
        </w:rPr>
        <w:t xml:space="preserve"> </w:t>
      </w:r>
      <w:r w:rsidR="006F0331" w:rsidRPr="00617A89">
        <w:rPr>
          <w:rFonts w:ascii="ArialMT" w:hAnsi="ArialMT" w:cs="ArialMT"/>
          <w:color w:val="000000" w:themeColor="text1"/>
          <w:lang w:val="en-GB"/>
        </w:rPr>
        <w:t>during this period.</w:t>
      </w:r>
      <w:r w:rsidR="006F0331" w:rsidRPr="00617A89">
        <w:rPr>
          <w:rStyle w:val="FootnoteReference"/>
          <w:rFonts w:cs="ArialMT"/>
          <w:color w:val="000000" w:themeColor="text1"/>
          <w:lang w:val="en-GB"/>
        </w:rPr>
        <w:footnoteReference w:id="5"/>
      </w:r>
      <w:r w:rsidR="00013975" w:rsidRPr="00617A89">
        <w:rPr>
          <w:rFonts w:ascii="ArialMT" w:hAnsi="ArialMT" w:cs="ArialMT"/>
          <w:color w:val="000000" w:themeColor="text1"/>
          <w:vertAlign w:val="superscript"/>
          <w:lang w:val="en-GB"/>
        </w:rPr>
        <w:t>,</w:t>
      </w:r>
      <w:r w:rsidR="00013975" w:rsidRPr="00617A89">
        <w:rPr>
          <w:rStyle w:val="FootnoteReference"/>
          <w:rFonts w:cs="ArialMT"/>
          <w:color w:val="000000" w:themeColor="text1"/>
          <w:lang w:val="en-GB"/>
        </w:rPr>
        <w:footnoteReference w:id="6"/>
      </w:r>
    </w:p>
    <w:p w14:paraId="295DA787" w14:textId="77777777" w:rsidR="00296E15" w:rsidRPr="00617A89" w:rsidRDefault="00296E15">
      <w:pPr>
        <w:spacing w:before="60" w:after="60"/>
        <w:rPr>
          <w:rFonts w:eastAsia="Times New Roman" w:cs="Arial"/>
          <w:b/>
          <w:bCs/>
          <w:color w:val="000000" w:themeColor="text1"/>
          <w:szCs w:val="21"/>
          <w:lang w:eastAsia="en-AU"/>
        </w:rPr>
      </w:pPr>
      <w:r w:rsidRPr="00617A89">
        <w:rPr>
          <w:color w:val="000000" w:themeColor="text1"/>
        </w:rPr>
        <w:br w:type="page"/>
      </w:r>
    </w:p>
    <w:p w14:paraId="0E4E3525" w14:textId="509B049F" w:rsidR="00441B19" w:rsidRPr="00617A89" w:rsidRDefault="00441B19" w:rsidP="00441B19">
      <w:pPr>
        <w:pStyle w:val="Caption"/>
        <w:rPr>
          <w:color w:val="000000" w:themeColor="text1"/>
        </w:rPr>
      </w:pPr>
      <w:bookmarkStart w:id="39" w:name="_Ref201834075"/>
      <w:bookmarkStart w:id="40" w:name="_Toc222868498"/>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4</w:t>
      </w:r>
      <w:r w:rsidR="00DB7C31" w:rsidRPr="00617A89">
        <w:rPr>
          <w:noProof/>
          <w:color w:val="000000" w:themeColor="text1"/>
        </w:rPr>
        <w:fldChar w:fldCharType="end"/>
      </w:r>
      <w:bookmarkEnd w:id="39"/>
      <w:r w:rsidR="00200B73" w:rsidRPr="00617A89">
        <w:rPr>
          <w:color w:val="000000" w:themeColor="text1"/>
        </w:rPr>
        <w:tab/>
      </w:r>
      <w:r w:rsidR="008B7FB9" w:rsidRPr="00617A89">
        <w:rPr>
          <w:color w:val="000000" w:themeColor="text1"/>
        </w:rPr>
        <w:t>Short- and medium-term</w:t>
      </w:r>
      <w:r w:rsidRPr="00617A89">
        <w:rPr>
          <w:color w:val="000000" w:themeColor="text1"/>
        </w:rPr>
        <w:t xml:space="preserve"> </w:t>
      </w:r>
      <w:r w:rsidR="0073596A" w:rsidRPr="00617A89">
        <w:rPr>
          <w:color w:val="000000" w:themeColor="text1"/>
        </w:rPr>
        <w:t>median salary</w:t>
      </w:r>
      <w:r w:rsidRPr="00617A89">
        <w:rPr>
          <w:color w:val="000000" w:themeColor="text1"/>
        </w:rPr>
        <w:t xml:space="preserve"> for 2016 to 2022 domestic graduates</w:t>
      </w:r>
      <w:bookmarkEnd w:id="40"/>
    </w:p>
    <w:p w14:paraId="553EEBBA" w14:textId="77777777" w:rsidR="00EF6479" w:rsidRPr="00617A89" w:rsidRDefault="00B24DE3" w:rsidP="00D74D0C">
      <w:pPr>
        <w:pStyle w:val="Sourcenote"/>
        <w:rPr>
          <w:noProof/>
          <w:color w:val="000000" w:themeColor="text1"/>
        </w:rPr>
      </w:pPr>
      <w:r w:rsidRPr="00617A89">
        <w:rPr>
          <w:noProof/>
          <w:color w:val="000000" w:themeColor="text1"/>
        </w:rPr>
        <w:drawing>
          <wp:inline distT="0" distB="0" distL="0" distR="0" wp14:anchorId="555149B6" wp14:editId="4E78E74E">
            <wp:extent cx="6447106" cy="198783"/>
            <wp:effectExtent l="0" t="0" r="5080" b="4445"/>
            <wp:docPr id="7588973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9737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t="10979" b="83671"/>
                    <a:stretch>
                      <a:fillRect/>
                    </a:stretch>
                  </pic:blipFill>
                  <pic:spPr bwMode="auto">
                    <a:xfrm>
                      <a:off x="0" y="0"/>
                      <a:ext cx="9159591" cy="282417"/>
                    </a:xfrm>
                    <a:prstGeom prst="rect">
                      <a:avLst/>
                    </a:prstGeom>
                    <a:noFill/>
                    <a:ln>
                      <a:noFill/>
                    </a:ln>
                    <a:extLst>
                      <a:ext uri="{53640926-AAD7-44D8-BBD7-CCE9431645EC}">
                        <a14:shadowObscured xmlns:a14="http://schemas.microsoft.com/office/drawing/2010/main"/>
                      </a:ext>
                    </a:extLst>
                  </pic:spPr>
                </pic:pic>
              </a:graphicData>
            </a:graphic>
          </wp:inline>
        </w:drawing>
      </w:r>
    </w:p>
    <w:p w14:paraId="3A29927E" w14:textId="640F11E8" w:rsidR="00EF6479" w:rsidRPr="00617A89" w:rsidRDefault="00EF6479" w:rsidP="00EF6479">
      <w:r w:rsidRPr="00617A89">
        <w:rPr>
          <w:noProof/>
        </w:rPr>
        <w:drawing>
          <wp:inline distT="0" distB="0" distL="0" distR="0" wp14:anchorId="721209C7" wp14:editId="555CCC1B">
            <wp:extent cx="6120765" cy="3066415"/>
            <wp:effectExtent l="0" t="0" r="0" b="635"/>
            <wp:docPr id="5877960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066415"/>
                    </a:xfrm>
                    <a:prstGeom prst="rect">
                      <a:avLst/>
                    </a:prstGeom>
                    <a:noFill/>
                  </pic:spPr>
                </pic:pic>
              </a:graphicData>
            </a:graphic>
          </wp:inline>
        </w:drawing>
      </w:r>
    </w:p>
    <w:p w14:paraId="4789B860" w14:textId="2473F8CE" w:rsidR="00EF6479" w:rsidRPr="00617A89" w:rsidRDefault="00EF6479" w:rsidP="00EF6479">
      <w:r w:rsidRPr="00617A89">
        <w:rPr>
          <w:noProof/>
        </w:rPr>
        <w:drawing>
          <wp:inline distT="0" distB="0" distL="0" distR="0" wp14:anchorId="42F5AA7B" wp14:editId="7BFFEEAA">
            <wp:extent cx="6120765" cy="2560320"/>
            <wp:effectExtent l="0" t="0" r="0" b="0"/>
            <wp:docPr id="8581893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2560320"/>
                    </a:xfrm>
                    <a:prstGeom prst="rect">
                      <a:avLst/>
                    </a:prstGeom>
                    <a:noFill/>
                  </pic:spPr>
                </pic:pic>
              </a:graphicData>
            </a:graphic>
          </wp:inline>
        </w:drawing>
      </w:r>
    </w:p>
    <w:p w14:paraId="6FDBEFD0" w14:textId="5B80B5FC" w:rsidR="00EF6479" w:rsidRPr="00617A89" w:rsidRDefault="00EF6479" w:rsidP="00EF6479">
      <w:r w:rsidRPr="00617A89">
        <w:rPr>
          <w:noProof/>
        </w:rPr>
        <w:drawing>
          <wp:inline distT="0" distB="0" distL="0" distR="0" wp14:anchorId="0363EC83" wp14:editId="4453BCD9">
            <wp:extent cx="6120765" cy="2944495"/>
            <wp:effectExtent l="0" t="0" r="0" b="8255"/>
            <wp:docPr id="14935964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2944495"/>
                    </a:xfrm>
                    <a:prstGeom prst="rect">
                      <a:avLst/>
                    </a:prstGeom>
                    <a:noFill/>
                  </pic:spPr>
                </pic:pic>
              </a:graphicData>
            </a:graphic>
          </wp:inline>
        </w:drawing>
      </w:r>
    </w:p>
    <w:p w14:paraId="4C330CC4" w14:textId="101CB2DB" w:rsidR="0023434B" w:rsidRPr="00617A89" w:rsidRDefault="00AE696C" w:rsidP="00D74D0C">
      <w:pPr>
        <w:pStyle w:val="Sourcenote"/>
        <w:rPr>
          <w:noProof/>
          <w:color w:val="000000" w:themeColor="text1"/>
        </w:rPr>
      </w:pPr>
      <w:r w:rsidRPr="00617A89">
        <w:rPr>
          <w:noProof/>
          <w:color w:val="000000" w:themeColor="text1"/>
        </w:rPr>
        <w:t xml:space="preserve"> </w:t>
      </w:r>
      <w:r w:rsidR="00F7579F" w:rsidRPr="00617A89">
        <w:rPr>
          <w:noProof/>
          <w:color w:val="000000" w:themeColor="text1"/>
        </w:rPr>
        <w:t xml:space="preserve"> </w:t>
      </w:r>
    </w:p>
    <w:p w14:paraId="3A560F14" w14:textId="73D266A0" w:rsidR="005D4E71" w:rsidRPr="00617A89" w:rsidRDefault="005D4E71" w:rsidP="00441B19">
      <w:pPr>
        <w:rPr>
          <w:noProof/>
          <w:color w:val="000000" w:themeColor="text1"/>
        </w:rPr>
      </w:pPr>
    </w:p>
    <w:p w14:paraId="28BBB719" w14:textId="3A7374CE" w:rsidR="00296E15" w:rsidRPr="00617A89" w:rsidRDefault="00296E15" w:rsidP="00296E15">
      <w:pPr>
        <w:pStyle w:val="Body"/>
        <w:rPr>
          <w:rFonts w:ascii="ArialMT" w:hAnsi="ArialMT" w:cs="ArialMT"/>
          <w:color w:val="000000" w:themeColor="text1"/>
          <w:lang w:val="en-GB"/>
        </w:rPr>
      </w:pPr>
      <w:r w:rsidRPr="00617A89">
        <w:rPr>
          <w:rFonts w:ascii="ArialMT" w:hAnsi="ArialMT" w:cs="ArialMT"/>
          <w:color w:val="000000" w:themeColor="text1"/>
          <w:lang w:val="en-GB"/>
        </w:rPr>
        <w:t xml:space="preserve">Undergraduate 3-year salary growth peaked for the 2021-2024 cohort (33.9 per cent) but remained high for the 2022-2025 cohort (31.9 per cent). The slightly lower growth rate for the 2022-2025 cohort can be attributed to the high short-term median salary recorded in 2022 as demand in the labour market peaked. </w:t>
      </w:r>
    </w:p>
    <w:p w14:paraId="208650C7" w14:textId="05533F1F" w:rsidR="00441B19" w:rsidRPr="00617A89" w:rsidRDefault="00296E15" w:rsidP="00296E15">
      <w:pPr>
        <w:pStyle w:val="Body"/>
        <w:rPr>
          <w:color w:val="000000" w:themeColor="text1"/>
          <w:lang w:val="en-GB"/>
        </w:rPr>
      </w:pPr>
      <w:r w:rsidRPr="00617A89">
        <w:rPr>
          <w:rFonts w:ascii="ArialMT" w:hAnsi="ArialMT" w:cs="ArialMT"/>
          <w:color w:val="000000" w:themeColor="text1"/>
        </w:rPr>
        <w:t xml:space="preserve">Postgraduate coursework and postgraduate research 3-year salary growth was the highest on record for this 2022-2025 cohort at 27.1 per cent and 23.7 per cent respectively. This high 3-year salary growth across all study levels reflects strong demand in the labour market, as opposed to the qualifications themselves, with the relative differences in the dollar value between study levels remaining largely intact.  </w:t>
      </w:r>
    </w:p>
    <w:p w14:paraId="6FAC6202" w14:textId="77777777" w:rsidR="00244416" w:rsidRPr="00617A89" w:rsidRDefault="00244416" w:rsidP="00D36500">
      <w:pPr>
        <w:pStyle w:val="Heading2"/>
        <w:rPr>
          <w:color w:val="000000" w:themeColor="text1"/>
        </w:rPr>
      </w:pPr>
      <w:bookmarkStart w:id="41" w:name="_Toc136603824"/>
      <w:bookmarkStart w:id="42" w:name="_Toc136603872"/>
      <w:bookmarkStart w:id="43" w:name="_Toc136603920"/>
      <w:bookmarkStart w:id="44" w:name="_Toc136616388"/>
      <w:bookmarkStart w:id="45" w:name="_Toc136616436"/>
      <w:bookmarkStart w:id="46" w:name="_Toc136616484"/>
      <w:bookmarkStart w:id="47" w:name="_Toc136950959"/>
      <w:bookmarkStart w:id="48" w:name="_Toc136603827"/>
      <w:bookmarkStart w:id="49" w:name="_Toc136603875"/>
      <w:bookmarkStart w:id="50" w:name="_Toc136603923"/>
      <w:bookmarkStart w:id="51" w:name="_Toc136616391"/>
      <w:bookmarkStart w:id="52" w:name="_Toc136616439"/>
      <w:bookmarkStart w:id="53" w:name="_Toc136616487"/>
      <w:bookmarkStart w:id="54" w:name="_Toc136950962"/>
      <w:bookmarkStart w:id="55" w:name="_Toc192179851"/>
      <w:bookmarkStart w:id="56" w:name="_Toc222868439"/>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617A89">
        <w:rPr>
          <w:color w:val="000000" w:themeColor="text1"/>
        </w:rPr>
        <w:t>Underemployment</w:t>
      </w:r>
      <w:bookmarkEnd w:id="55"/>
      <w:bookmarkEnd w:id="56"/>
    </w:p>
    <w:p w14:paraId="4338DC84" w14:textId="2582EE3A" w:rsidR="00244416" w:rsidRPr="00617A89" w:rsidRDefault="00244416" w:rsidP="00244416">
      <w:pPr>
        <w:pStyle w:val="Body"/>
        <w:rPr>
          <w:b/>
          <w:bCs/>
          <w:color w:val="000000" w:themeColor="text1"/>
        </w:rPr>
      </w:pPr>
      <w:r w:rsidRPr="00617A89">
        <w:rPr>
          <w:color w:val="000000" w:themeColor="text1"/>
        </w:rPr>
        <w:t xml:space="preserve">An ‘underemployed’ person is someone employed part-time (less than 35 hours per week) who would prefer to work more hours – regardless of if they are available to work those additional hours. </w:t>
      </w:r>
      <w:r w:rsidR="00A55D6D" w:rsidRPr="00617A89">
        <w:rPr>
          <w:color w:val="000000" w:themeColor="text1"/>
        </w:rPr>
        <w:t xml:space="preserve">Rates of underemployment </w:t>
      </w:r>
      <w:r w:rsidR="006055FE" w:rsidRPr="00617A89">
        <w:rPr>
          <w:color w:val="000000" w:themeColor="text1"/>
        </w:rPr>
        <w:t xml:space="preserve">are </w:t>
      </w:r>
      <w:r w:rsidR="00A55D6D" w:rsidRPr="00617A89">
        <w:rPr>
          <w:color w:val="000000" w:themeColor="text1"/>
        </w:rPr>
        <w:t xml:space="preserve">typically </w:t>
      </w:r>
      <w:r w:rsidR="006055FE" w:rsidRPr="00617A89">
        <w:rPr>
          <w:color w:val="000000" w:themeColor="text1"/>
        </w:rPr>
        <w:t xml:space="preserve">higher </w:t>
      </w:r>
      <w:r w:rsidR="00A55D6D" w:rsidRPr="00617A89">
        <w:rPr>
          <w:color w:val="000000" w:themeColor="text1"/>
        </w:rPr>
        <w:t>in the short-term, 4 to 6 months after course completion</w:t>
      </w:r>
      <w:r w:rsidR="00F55D19" w:rsidRPr="00617A89">
        <w:rPr>
          <w:color w:val="000000" w:themeColor="text1"/>
        </w:rPr>
        <w:t>, but narrow over time</w:t>
      </w:r>
      <w:r w:rsidR="0058107F" w:rsidRPr="00617A89">
        <w:rPr>
          <w:color w:val="000000" w:themeColor="text1"/>
        </w:rPr>
        <w:t xml:space="preserve">, as seen in </w:t>
      </w:r>
      <w:r w:rsidR="00752DAE" w:rsidRPr="00617A89">
        <w:rPr>
          <w:b/>
          <w:bCs/>
          <w:color w:val="000000" w:themeColor="text1"/>
        </w:rPr>
        <w:fldChar w:fldCharType="begin"/>
      </w:r>
      <w:r w:rsidR="00752DAE" w:rsidRPr="00617A89">
        <w:rPr>
          <w:b/>
          <w:bCs/>
          <w:color w:val="000000" w:themeColor="text1"/>
        </w:rPr>
        <w:instrText xml:space="preserve"> REF _Ref207361109 \h  \* MERGEFORMAT </w:instrText>
      </w:r>
      <w:r w:rsidR="00752DAE" w:rsidRPr="00617A89">
        <w:rPr>
          <w:b/>
          <w:bCs/>
          <w:color w:val="000000" w:themeColor="text1"/>
        </w:rPr>
      </w:r>
      <w:r w:rsidR="00752DAE"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5</w:t>
      </w:r>
      <w:r w:rsidR="00752DAE" w:rsidRPr="00617A89">
        <w:rPr>
          <w:b/>
          <w:bCs/>
          <w:color w:val="000000" w:themeColor="text1"/>
        </w:rPr>
        <w:fldChar w:fldCharType="end"/>
      </w:r>
      <w:r w:rsidRPr="00617A89">
        <w:rPr>
          <w:color w:val="000000" w:themeColor="text1"/>
        </w:rPr>
        <w:t>.</w:t>
      </w:r>
    </w:p>
    <w:p w14:paraId="77707C1B" w14:textId="7270C0AD" w:rsidR="00244416" w:rsidRPr="00617A89" w:rsidRDefault="00D11999" w:rsidP="00244416">
      <w:pPr>
        <w:pStyle w:val="Body"/>
        <w:rPr>
          <w:color w:val="000000" w:themeColor="text1"/>
        </w:rPr>
      </w:pPr>
      <w:r w:rsidRPr="00617A89">
        <w:rPr>
          <w:color w:val="000000" w:themeColor="text1"/>
        </w:rPr>
        <w:t>There was a substantial decline in short-term underemployment rates across all study levels in 2022</w:t>
      </w:r>
      <w:r w:rsidR="00A762BF" w:rsidRPr="00617A89">
        <w:rPr>
          <w:color w:val="000000" w:themeColor="text1"/>
        </w:rPr>
        <w:t xml:space="preserve">. This corresponds to the sharp rise in employment outcomes </w:t>
      </w:r>
      <w:r w:rsidR="0003731A" w:rsidRPr="00617A89">
        <w:rPr>
          <w:color w:val="000000" w:themeColor="text1"/>
        </w:rPr>
        <w:t>and strong demand in the labour market at this time</w:t>
      </w:r>
      <w:r w:rsidR="00FA7464" w:rsidRPr="00617A89">
        <w:rPr>
          <w:color w:val="000000" w:themeColor="text1"/>
        </w:rPr>
        <w:t>.</w:t>
      </w:r>
      <w:r w:rsidR="00AB5F17" w:rsidRPr="00617A89">
        <w:rPr>
          <w:color w:val="000000" w:themeColor="text1"/>
        </w:rPr>
        <w:t xml:space="preserve"> </w:t>
      </w:r>
      <w:r w:rsidR="00FA7464" w:rsidRPr="00617A89">
        <w:rPr>
          <w:color w:val="000000" w:themeColor="text1"/>
        </w:rPr>
        <w:t>S</w:t>
      </w:r>
      <w:r w:rsidR="00AB5F17" w:rsidRPr="00617A89">
        <w:rPr>
          <w:color w:val="000000" w:themeColor="text1"/>
        </w:rPr>
        <w:t xml:space="preserve">ee </w:t>
      </w:r>
      <w:hyperlink w:anchor="_Full-time_employment" w:history="1">
        <w:r w:rsidR="00AB5F17" w:rsidRPr="00617A89">
          <w:rPr>
            <w:rStyle w:val="Hyperlink"/>
          </w:rPr>
          <w:t>Full-time employment</w:t>
        </w:r>
      </w:hyperlink>
      <w:r w:rsidR="006055FE" w:rsidRPr="00617A89">
        <w:rPr>
          <w:color w:val="000000" w:themeColor="text1"/>
        </w:rPr>
        <w:t>.</w:t>
      </w:r>
    </w:p>
    <w:p w14:paraId="6C772E44" w14:textId="3E952C40" w:rsidR="00246D33" w:rsidRPr="00617A89" w:rsidRDefault="00B83AC9" w:rsidP="001A3BC7">
      <w:pPr>
        <w:pStyle w:val="Body"/>
        <w:rPr>
          <w:color w:val="000000" w:themeColor="text1"/>
        </w:rPr>
      </w:pPr>
      <w:r w:rsidRPr="00617A89">
        <w:rPr>
          <w:color w:val="000000" w:themeColor="text1"/>
        </w:rPr>
        <w:t xml:space="preserve">There was a slight increase in the underemployment rate across study levels in </w:t>
      </w:r>
      <w:r w:rsidR="00E57359" w:rsidRPr="00617A89">
        <w:rPr>
          <w:color w:val="000000" w:themeColor="text1"/>
        </w:rPr>
        <w:t>2025 but these</w:t>
      </w:r>
      <w:r w:rsidR="00786BDB" w:rsidRPr="00617A89">
        <w:rPr>
          <w:color w:val="000000" w:themeColor="text1"/>
        </w:rPr>
        <w:t xml:space="preserve"> rates </w:t>
      </w:r>
      <w:r w:rsidR="001A3BC7" w:rsidRPr="00617A89">
        <w:rPr>
          <w:color w:val="000000" w:themeColor="text1"/>
        </w:rPr>
        <w:t xml:space="preserve">have returned to ranges observed prior to 2022. </w:t>
      </w:r>
    </w:p>
    <w:p w14:paraId="42520083" w14:textId="77777777" w:rsidR="00F911EC" w:rsidRPr="00617A89" w:rsidRDefault="00F911EC" w:rsidP="00780937">
      <w:pPr>
        <w:pStyle w:val="Caption"/>
        <w:ind w:left="0" w:firstLine="0"/>
        <w:rPr>
          <w:color w:val="000000" w:themeColor="text1"/>
        </w:rPr>
      </w:pPr>
      <w:bookmarkStart w:id="57" w:name="_Ref144980246"/>
      <w:bookmarkStart w:id="58" w:name="_Ref178421530"/>
      <w:r w:rsidRPr="00617A89">
        <w:rPr>
          <w:color w:val="000000" w:themeColor="text1"/>
        </w:rPr>
        <w:br w:type="page"/>
      </w:r>
    </w:p>
    <w:p w14:paraId="1417C516" w14:textId="74A658F1" w:rsidR="00244416" w:rsidRPr="00617A89" w:rsidRDefault="00244416" w:rsidP="00780937">
      <w:pPr>
        <w:pStyle w:val="Caption"/>
        <w:ind w:left="0" w:firstLine="0"/>
        <w:rPr>
          <w:color w:val="000000" w:themeColor="text1"/>
        </w:rPr>
      </w:pPr>
      <w:bookmarkStart w:id="59" w:name="_Ref207361109"/>
      <w:bookmarkStart w:id="60" w:name="_Toc222868499"/>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5</w:t>
      </w:r>
      <w:r w:rsidR="00DB7C31" w:rsidRPr="00617A89">
        <w:rPr>
          <w:noProof/>
          <w:color w:val="000000" w:themeColor="text1"/>
        </w:rPr>
        <w:fldChar w:fldCharType="end"/>
      </w:r>
      <w:bookmarkEnd w:id="57"/>
      <w:bookmarkEnd w:id="58"/>
      <w:bookmarkEnd w:id="59"/>
      <w:r w:rsidR="00200B73" w:rsidRPr="00617A89">
        <w:rPr>
          <w:color w:val="000000" w:themeColor="text1"/>
        </w:rPr>
        <w:tab/>
      </w:r>
      <w:r w:rsidR="008B7FB9" w:rsidRPr="00617A89">
        <w:rPr>
          <w:color w:val="000000" w:themeColor="text1"/>
        </w:rPr>
        <w:t>Short- and medium-term</w:t>
      </w:r>
      <w:r w:rsidR="004C0E47" w:rsidRPr="00617A89">
        <w:rPr>
          <w:color w:val="000000" w:themeColor="text1"/>
        </w:rPr>
        <w:t xml:space="preserve"> underemployment rate</w:t>
      </w:r>
      <w:r w:rsidRPr="00617A89">
        <w:rPr>
          <w:color w:val="000000" w:themeColor="text1"/>
        </w:rPr>
        <w:t xml:space="preserve"> (% of those employed)</w:t>
      </w:r>
      <w:bookmarkEnd w:id="60"/>
    </w:p>
    <w:p w14:paraId="6EF08D52" w14:textId="01272DD7" w:rsidR="00244416" w:rsidRPr="00617A89" w:rsidRDefault="005650DB" w:rsidP="00244416">
      <w:pPr>
        <w:pStyle w:val="Body"/>
        <w:rPr>
          <w:color w:val="000000" w:themeColor="text1"/>
        </w:rPr>
      </w:pPr>
      <w:r w:rsidRPr="00617A89">
        <w:rPr>
          <w:noProof/>
          <w:color w:val="000000" w:themeColor="text1"/>
        </w:rPr>
        <w:drawing>
          <wp:inline distT="0" distB="0" distL="0" distR="0" wp14:anchorId="57163033" wp14:editId="4F002EE0">
            <wp:extent cx="2228850" cy="253365"/>
            <wp:effectExtent l="0" t="0" r="6350" b="635"/>
            <wp:docPr id="1205266885" name="Picture 6">
              <a:extLst xmlns:a="http://schemas.openxmlformats.org/drawingml/2006/main">
                <a:ext uri="{FF2B5EF4-FFF2-40B4-BE49-F238E27FC236}">
                  <a16:creationId xmlns:a16="http://schemas.microsoft.com/office/drawing/2014/main" id="{32DF3B85-1407-42F1-1B49-6ED52380883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66885" name="Picture 6">
                      <a:extLst>
                        <a:ext uri="{FF2B5EF4-FFF2-40B4-BE49-F238E27FC236}">
                          <a16:creationId xmlns:a16="http://schemas.microsoft.com/office/drawing/2014/main" id="{32DF3B85-1407-42F1-1B49-6ED523808839}"/>
                        </a:ext>
                        <a:ext uri="{C183D7F6-B498-43B3-948B-1728B52AA6E4}">
                          <adec:decorative xmlns:adec="http://schemas.microsoft.com/office/drawing/2017/decorative" val="1"/>
                        </a:ext>
                      </a:extLst>
                    </pic:cNvPr>
                    <pic:cNvPicPr>
                      <a:picLocks noChangeAspect="1"/>
                    </pic:cNvPicPr>
                  </pic:nvPicPr>
                  <pic:blipFill rotWithShape="1">
                    <a:blip r:embed="rId44">
                      <a:extLst>
                        <a:ext uri="{28A0092B-C50C-407E-A947-70E740481C1C}">
                          <a14:useLocalDpi xmlns:a14="http://schemas.microsoft.com/office/drawing/2010/main" val="0"/>
                        </a:ext>
                      </a:extLst>
                    </a:blip>
                    <a:srcRect l="35866" t="9583" r="35161" b="82603"/>
                    <a:stretch/>
                  </pic:blipFill>
                  <pic:spPr>
                    <a:xfrm>
                      <a:off x="0" y="0"/>
                      <a:ext cx="2228850" cy="253365"/>
                    </a:xfrm>
                    <a:prstGeom prst="rect">
                      <a:avLst/>
                    </a:prstGeom>
                  </pic:spPr>
                </pic:pic>
              </a:graphicData>
            </a:graphic>
          </wp:inline>
        </w:drawing>
      </w:r>
    </w:p>
    <w:p w14:paraId="1020ABD3" w14:textId="77777777" w:rsidR="00EF6479" w:rsidRPr="00617A89" w:rsidRDefault="00244416" w:rsidP="00244416">
      <w:pPr>
        <w:pStyle w:val="Body"/>
        <w:rPr>
          <w:noProof/>
          <w:color w:val="000000" w:themeColor="text1"/>
        </w:rPr>
      </w:pPr>
      <w:r w:rsidRPr="00617A89">
        <w:rPr>
          <w:noProof/>
          <w:color w:val="000000" w:themeColor="text1"/>
        </w:rPr>
        <w:t xml:space="preserve"> </w:t>
      </w:r>
      <w:r w:rsidR="00EF6479" w:rsidRPr="00617A89">
        <w:rPr>
          <w:noProof/>
          <w:color w:val="000000" w:themeColor="text1"/>
        </w:rPr>
        <w:drawing>
          <wp:inline distT="0" distB="0" distL="0" distR="0" wp14:anchorId="72A97816" wp14:editId="596CCFB2">
            <wp:extent cx="6645275" cy="2517775"/>
            <wp:effectExtent l="0" t="0" r="3175" b="0"/>
            <wp:docPr id="4312146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275" cy="2517775"/>
                    </a:xfrm>
                    <a:prstGeom prst="rect">
                      <a:avLst/>
                    </a:prstGeom>
                    <a:noFill/>
                  </pic:spPr>
                </pic:pic>
              </a:graphicData>
            </a:graphic>
          </wp:inline>
        </w:drawing>
      </w:r>
      <w:r w:rsidR="005650DB" w:rsidRPr="00617A89">
        <w:rPr>
          <w:noProof/>
          <w:color w:val="000000" w:themeColor="text1"/>
        </w:rPr>
        <w:t xml:space="preserve"> </w:t>
      </w:r>
    </w:p>
    <w:p w14:paraId="6B485024" w14:textId="153EA1E6" w:rsidR="00EF6479" w:rsidRPr="00617A89" w:rsidRDefault="00EF6479" w:rsidP="00244416">
      <w:pPr>
        <w:pStyle w:val="Body"/>
        <w:rPr>
          <w:noProof/>
          <w:color w:val="000000" w:themeColor="text1"/>
        </w:rPr>
      </w:pPr>
      <w:r w:rsidRPr="00617A89">
        <w:rPr>
          <w:noProof/>
          <w:color w:val="000000" w:themeColor="text1"/>
        </w:rPr>
        <w:drawing>
          <wp:inline distT="0" distB="0" distL="0" distR="0" wp14:anchorId="72F51564" wp14:editId="0F9D0111">
            <wp:extent cx="6645275" cy="2517775"/>
            <wp:effectExtent l="0" t="0" r="3175" b="0"/>
            <wp:docPr id="5943457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275" cy="2517775"/>
                    </a:xfrm>
                    <a:prstGeom prst="rect">
                      <a:avLst/>
                    </a:prstGeom>
                    <a:noFill/>
                  </pic:spPr>
                </pic:pic>
              </a:graphicData>
            </a:graphic>
          </wp:inline>
        </w:drawing>
      </w:r>
    </w:p>
    <w:p w14:paraId="3282F67D" w14:textId="637A2420" w:rsidR="00D37DDB" w:rsidRPr="00617A89" w:rsidRDefault="005650DB" w:rsidP="00244416">
      <w:pPr>
        <w:pStyle w:val="Body"/>
        <w:rPr>
          <w:noProof/>
          <w:color w:val="000000" w:themeColor="text1"/>
        </w:rPr>
      </w:pPr>
      <w:r w:rsidRPr="00617A89">
        <w:rPr>
          <w:noProof/>
          <w:color w:val="000000" w:themeColor="text1"/>
        </w:rPr>
        <w:t xml:space="preserve"> </w:t>
      </w:r>
      <w:r w:rsidR="00EF6479" w:rsidRPr="00617A89">
        <w:rPr>
          <w:noProof/>
          <w:color w:val="000000" w:themeColor="text1"/>
        </w:rPr>
        <w:drawing>
          <wp:inline distT="0" distB="0" distL="0" distR="0" wp14:anchorId="605F3B60" wp14:editId="020830A1">
            <wp:extent cx="6645275" cy="2517775"/>
            <wp:effectExtent l="0" t="0" r="3175" b="0"/>
            <wp:docPr id="16214007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275" cy="2517775"/>
                    </a:xfrm>
                    <a:prstGeom prst="rect">
                      <a:avLst/>
                    </a:prstGeom>
                    <a:noFill/>
                  </pic:spPr>
                </pic:pic>
              </a:graphicData>
            </a:graphic>
          </wp:inline>
        </w:drawing>
      </w:r>
    </w:p>
    <w:p w14:paraId="6FB52C88" w14:textId="77777777" w:rsidR="00244416" w:rsidRPr="00617A89" w:rsidRDefault="00244416" w:rsidP="00031877">
      <w:pPr>
        <w:pStyle w:val="Heading3"/>
        <w:rPr>
          <w:color w:val="000000" w:themeColor="text1"/>
        </w:rPr>
      </w:pPr>
      <w:bookmarkStart w:id="61" w:name="_Reasons_for_not"/>
      <w:bookmarkStart w:id="62" w:name="_Toc222868440"/>
      <w:bookmarkEnd w:id="61"/>
      <w:r w:rsidRPr="00617A89">
        <w:rPr>
          <w:color w:val="000000" w:themeColor="text1"/>
        </w:rPr>
        <w:t>Reasons for not working more hours</w:t>
      </w:r>
      <w:bookmarkEnd w:id="62"/>
    </w:p>
    <w:p w14:paraId="5559039C" w14:textId="6CED1BB1" w:rsidR="00434728" w:rsidRPr="00617A89" w:rsidRDefault="00434728" w:rsidP="00434728">
      <w:pPr>
        <w:spacing w:before="120" w:after="120" w:line="300" w:lineRule="auto"/>
        <w:rPr>
          <w:rFonts w:eastAsia="Times New Roman" w:cs="Times New Roman"/>
          <w:color w:val="000000" w:themeColor="text1"/>
        </w:rPr>
      </w:pPr>
      <w:r w:rsidRPr="00617A89">
        <w:rPr>
          <w:rFonts w:eastAsia="Times New Roman" w:cs="Times New Roman"/>
          <w:color w:val="000000" w:themeColor="text1"/>
        </w:rPr>
        <w:t xml:space="preserve">Examining why graduates </w:t>
      </w:r>
      <w:r w:rsidR="00032015" w:rsidRPr="00617A89">
        <w:rPr>
          <w:rFonts w:eastAsia="Times New Roman" w:cs="Times New Roman"/>
          <w:color w:val="000000" w:themeColor="text1"/>
        </w:rPr>
        <w:t xml:space="preserve">employed part-time </w:t>
      </w:r>
      <w:r w:rsidRPr="00617A89">
        <w:rPr>
          <w:rFonts w:eastAsia="Times New Roman" w:cs="Times New Roman"/>
          <w:color w:val="000000" w:themeColor="text1"/>
        </w:rPr>
        <w:t xml:space="preserve">are working the number of hours they do, despite their preference to work more, provides some insight into differences between underemployed graduates </w:t>
      </w:r>
      <w:r w:rsidR="006C0786" w:rsidRPr="00617A89">
        <w:rPr>
          <w:rFonts w:eastAsia="Times New Roman" w:cs="Times New Roman"/>
          <w:color w:val="000000" w:themeColor="text1"/>
        </w:rPr>
        <w:t xml:space="preserve">across study levels and how </w:t>
      </w:r>
      <w:r w:rsidR="004A052B" w:rsidRPr="00617A89">
        <w:rPr>
          <w:rFonts w:eastAsia="Times New Roman" w:cs="Times New Roman"/>
          <w:color w:val="000000" w:themeColor="text1"/>
        </w:rPr>
        <w:t xml:space="preserve">these </w:t>
      </w:r>
      <w:r w:rsidR="006C0786" w:rsidRPr="00617A89">
        <w:rPr>
          <w:rFonts w:eastAsia="Times New Roman" w:cs="Times New Roman"/>
          <w:color w:val="000000" w:themeColor="text1"/>
        </w:rPr>
        <w:t>reasons may shift from the short-</w:t>
      </w:r>
      <w:r w:rsidR="007B30C5" w:rsidRPr="00617A89">
        <w:rPr>
          <w:rFonts w:eastAsia="Times New Roman" w:cs="Times New Roman"/>
          <w:color w:val="000000" w:themeColor="text1"/>
        </w:rPr>
        <w:t xml:space="preserve"> </w:t>
      </w:r>
      <w:r w:rsidR="006C0786" w:rsidRPr="00617A89">
        <w:rPr>
          <w:rFonts w:eastAsia="Times New Roman" w:cs="Times New Roman"/>
          <w:color w:val="000000" w:themeColor="text1"/>
        </w:rPr>
        <w:t xml:space="preserve">to the medium-term </w:t>
      </w:r>
      <w:r w:rsidRPr="00617A89">
        <w:rPr>
          <w:rFonts w:eastAsia="Times New Roman" w:cs="Times New Roman"/>
          <w:color w:val="000000" w:themeColor="text1"/>
        </w:rPr>
        <w:t>(</w:t>
      </w:r>
      <w:r w:rsidR="00A85517" w:rsidRPr="00617A89">
        <w:rPr>
          <w:rFonts w:eastAsia="Times New Roman" w:cs="Times New Roman"/>
          <w:b/>
          <w:color w:val="000000" w:themeColor="text1"/>
        </w:rPr>
        <w:fldChar w:fldCharType="begin"/>
      </w:r>
      <w:r w:rsidR="00A85517" w:rsidRPr="00617A89">
        <w:rPr>
          <w:rFonts w:eastAsia="Times New Roman" w:cs="Times New Roman"/>
          <w:b/>
          <w:color w:val="000000" w:themeColor="text1"/>
        </w:rPr>
        <w:instrText xml:space="preserve"> REF _Ref202278791 \h  \* MERGEFORMAT </w:instrText>
      </w:r>
      <w:r w:rsidR="00A85517" w:rsidRPr="00617A89">
        <w:rPr>
          <w:rFonts w:eastAsia="Times New Roman" w:cs="Times New Roman"/>
          <w:b/>
          <w:color w:val="000000" w:themeColor="text1"/>
        </w:rPr>
      </w:r>
      <w:r w:rsidR="00A85517" w:rsidRPr="00617A89">
        <w:rPr>
          <w:rFonts w:eastAsia="Times New Roman" w:cs="Times New Roman"/>
          <w:b/>
          <w:color w:val="000000" w:themeColor="text1"/>
        </w:rPr>
        <w:fldChar w:fldCharType="separate"/>
      </w:r>
      <w:r w:rsidR="00DB7C31" w:rsidRPr="00617A89">
        <w:rPr>
          <w:b/>
          <w:bCs/>
          <w:color w:val="000000" w:themeColor="text1"/>
        </w:rPr>
        <w:t xml:space="preserve">Table </w:t>
      </w:r>
      <w:r w:rsidR="00DB7C31" w:rsidRPr="00617A89">
        <w:rPr>
          <w:b/>
          <w:bCs/>
          <w:noProof/>
          <w:color w:val="000000" w:themeColor="text1"/>
        </w:rPr>
        <w:t>1</w:t>
      </w:r>
      <w:r w:rsidR="00A85517" w:rsidRPr="00617A89">
        <w:rPr>
          <w:rFonts w:eastAsia="Times New Roman" w:cs="Times New Roman"/>
          <w:b/>
          <w:color w:val="000000" w:themeColor="text1"/>
        </w:rPr>
        <w:fldChar w:fldCharType="end"/>
      </w:r>
      <w:r w:rsidRPr="00617A89">
        <w:rPr>
          <w:rFonts w:eastAsia="Times New Roman" w:cs="Times New Roman"/>
          <w:color w:val="000000" w:themeColor="text1"/>
        </w:rPr>
        <w:t xml:space="preserve">). </w:t>
      </w:r>
    </w:p>
    <w:p w14:paraId="1016C3BF" w14:textId="094EB86C" w:rsidR="0020351F" w:rsidRPr="00617A89" w:rsidRDefault="0020351F" w:rsidP="00244416">
      <w:pPr>
        <w:pStyle w:val="Body"/>
        <w:rPr>
          <w:color w:val="000000" w:themeColor="text1"/>
        </w:rPr>
      </w:pPr>
      <w:r w:rsidRPr="00617A89">
        <w:rPr>
          <w:color w:val="000000" w:themeColor="text1"/>
        </w:rPr>
        <w:t>Across all study lev</w:t>
      </w:r>
      <w:r w:rsidR="00C83B4D" w:rsidRPr="00617A89">
        <w:rPr>
          <w:color w:val="000000" w:themeColor="text1"/>
        </w:rPr>
        <w:t xml:space="preserve">els, </w:t>
      </w:r>
      <w:r w:rsidR="007002D4" w:rsidRPr="00617A89">
        <w:rPr>
          <w:color w:val="000000" w:themeColor="text1"/>
        </w:rPr>
        <w:t>‘no more hours available in current position’ was the main reason graduates reported</w:t>
      </w:r>
      <w:r w:rsidR="00F14B48" w:rsidRPr="00617A89">
        <w:rPr>
          <w:color w:val="000000" w:themeColor="text1"/>
        </w:rPr>
        <w:t xml:space="preserve"> working the number of hours they do, despite their preference to work more.</w:t>
      </w:r>
      <w:r w:rsidR="00CE0ED0" w:rsidRPr="00617A89">
        <w:rPr>
          <w:color w:val="000000" w:themeColor="text1"/>
        </w:rPr>
        <w:t xml:space="preserve"> This</w:t>
      </w:r>
      <w:r w:rsidR="00A01EB0" w:rsidRPr="00617A89">
        <w:rPr>
          <w:color w:val="000000" w:themeColor="text1"/>
        </w:rPr>
        <w:t xml:space="preserve"> was the top reason in the short-term</w:t>
      </w:r>
      <w:r w:rsidR="00AA29B0" w:rsidRPr="00617A89">
        <w:rPr>
          <w:color w:val="000000" w:themeColor="text1"/>
        </w:rPr>
        <w:t xml:space="preserve"> and was an even bigger reason </w:t>
      </w:r>
      <w:r w:rsidR="007232C7" w:rsidRPr="00617A89">
        <w:rPr>
          <w:color w:val="000000" w:themeColor="text1"/>
        </w:rPr>
        <w:t>3</w:t>
      </w:r>
      <w:r w:rsidR="00AA29B0" w:rsidRPr="00617A89">
        <w:rPr>
          <w:color w:val="000000" w:themeColor="text1"/>
        </w:rPr>
        <w:t xml:space="preserve"> years later in the medium-term. </w:t>
      </w:r>
      <w:r w:rsidR="00680516" w:rsidRPr="00617A89">
        <w:rPr>
          <w:color w:val="000000" w:themeColor="text1"/>
        </w:rPr>
        <w:t xml:space="preserve">Note that </w:t>
      </w:r>
      <w:r w:rsidR="00E86073" w:rsidRPr="00617A89">
        <w:rPr>
          <w:color w:val="000000" w:themeColor="text1"/>
        </w:rPr>
        <w:t>the higher proportion reporting this reason in the medium-term may also be</w:t>
      </w:r>
      <w:r w:rsidR="00C00FFC" w:rsidRPr="00617A89">
        <w:rPr>
          <w:color w:val="000000" w:themeColor="text1"/>
        </w:rPr>
        <w:t xml:space="preserve"> due to other reasons diminishing over time</w:t>
      </w:r>
      <w:r w:rsidR="000F7EEE" w:rsidRPr="00617A89">
        <w:rPr>
          <w:color w:val="000000" w:themeColor="text1"/>
        </w:rPr>
        <w:t xml:space="preserve"> as graduates establish themselves in the labour market. For example, </w:t>
      </w:r>
      <w:r w:rsidR="0031456D" w:rsidRPr="00617A89">
        <w:rPr>
          <w:color w:val="000000" w:themeColor="text1"/>
        </w:rPr>
        <w:t>when recent graduates completed</w:t>
      </w:r>
      <w:r w:rsidR="00C41E42" w:rsidRPr="00617A89">
        <w:rPr>
          <w:color w:val="000000" w:themeColor="text1"/>
        </w:rPr>
        <w:t xml:space="preserve"> the GOS in 2022, COVID</w:t>
      </w:r>
      <w:r w:rsidR="00CB576B" w:rsidRPr="00617A89">
        <w:rPr>
          <w:color w:val="000000" w:themeColor="text1"/>
        </w:rPr>
        <w:t xml:space="preserve">-19 </w:t>
      </w:r>
      <w:r w:rsidR="00C41E42" w:rsidRPr="00617A89">
        <w:rPr>
          <w:color w:val="000000" w:themeColor="text1"/>
        </w:rPr>
        <w:t xml:space="preserve">restrictions were still impacting the labour market and this is seen in </w:t>
      </w:r>
      <w:r w:rsidR="00BD4639" w:rsidRPr="00617A89">
        <w:rPr>
          <w:color w:val="000000" w:themeColor="text1"/>
        </w:rPr>
        <w:t xml:space="preserve">the short-term reasons across all study levels. </w:t>
      </w:r>
      <w:r w:rsidR="004B05B1" w:rsidRPr="00617A89">
        <w:rPr>
          <w:color w:val="000000" w:themeColor="text1"/>
        </w:rPr>
        <w:t>While t</w:t>
      </w:r>
      <w:r w:rsidR="004A052B" w:rsidRPr="00617A89">
        <w:rPr>
          <w:color w:val="000000" w:themeColor="text1"/>
        </w:rPr>
        <w:t>hese restrictions were</w:t>
      </w:r>
      <w:r w:rsidR="00BD4639" w:rsidRPr="00617A89">
        <w:rPr>
          <w:color w:val="000000" w:themeColor="text1"/>
        </w:rPr>
        <w:t xml:space="preserve"> no longer relevant</w:t>
      </w:r>
      <w:r w:rsidR="00B42815" w:rsidRPr="00617A89">
        <w:rPr>
          <w:color w:val="000000" w:themeColor="text1"/>
        </w:rPr>
        <w:t xml:space="preserve"> in 2025</w:t>
      </w:r>
      <w:r w:rsidR="00EF6BDC" w:rsidRPr="00617A89">
        <w:rPr>
          <w:color w:val="000000" w:themeColor="text1"/>
        </w:rPr>
        <w:t xml:space="preserve">, some </w:t>
      </w:r>
      <w:r w:rsidR="005E33A9" w:rsidRPr="00617A89">
        <w:rPr>
          <w:color w:val="000000" w:themeColor="text1"/>
        </w:rPr>
        <w:t>localised</w:t>
      </w:r>
      <w:r w:rsidR="00EF6BDC" w:rsidRPr="00617A89">
        <w:rPr>
          <w:color w:val="000000" w:themeColor="text1"/>
        </w:rPr>
        <w:t xml:space="preserve"> scarring </w:t>
      </w:r>
      <w:r w:rsidR="00442D4C" w:rsidRPr="00617A89">
        <w:rPr>
          <w:color w:val="000000" w:themeColor="text1"/>
        </w:rPr>
        <w:t xml:space="preserve">from the pandemic </w:t>
      </w:r>
      <w:r w:rsidR="00EF6BDC" w:rsidRPr="00617A89">
        <w:rPr>
          <w:color w:val="000000" w:themeColor="text1"/>
        </w:rPr>
        <w:t xml:space="preserve">is still </w:t>
      </w:r>
      <w:r w:rsidR="004B05B1" w:rsidRPr="00617A89">
        <w:rPr>
          <w:color w:val="000000" w:themeColor="text1"/>
        </w:rPr>
        <w:t>visible</w:t>
      </w:r>
      <w:r w:rsidR="005E33A9" w:rsidRPr="00617A89">
        <w:rPr>
          <w:color w:val="000000" w:themeColor="text1"/>
        </w:rPr>
        <w:t xml:space="preserve">. </w:t>
      </w:r>
      <w:r w:rsidR="004B05B1" w:rsidRPr="00617A89">
        <w:rPr>
          <w:color w:val="000000" w:themeColor="text1"/>
        </w:rPr>
        <w:t xml:space="preserve">A small number of </w:t>
      </w:r>
      <w:r w:rsidR="005E33A9" w:rsidRPr="00617A89">
        <w:rPr>
          <w:color w:val="000000" w:themeColor="text1"/>
        </w:rPr>
        <w:t>undergraduates continue to report being affected by reduced demand and employment opportunities stemming from business closures during the pandemic</w:t>
      </w:r>
      <w:r w:rsidR="00BD4639" w:rsidRPr="00617A89">
        <w:rPr>
          <w:color w:val="000000" w:themeColor="text1"/>
        </w:rPr>
        <w:t>.</w:t>
      </w:r>
    </w:p>
    <w:p w14:paraId="1CED64BE" w14:textId="1E28795B" w:rsidR="004143E6" w:rsidRPr="00617A89" w:rsidRDefault="002D0089" w:rsidP="00244416">
      <w:pPr>
        <w:pStyle w:val="Body"/>
        <w:rPr>
          <w:color w:val="000000" w:themeColor="text1"/>
        </w:rPr>
      </w:pPr>
      <w:r w:rsidRPr="00617A89">
        <w:rPr>
          <w:color w:val="000000" w:themeColor="text1"/>
        </w:rPr>
        <w:t>‘Studying’ was the second highest reason for undergraduates in both the short- and medium-term</w:t>
      </w:r>
      <w:r w:rsidR="00FB1714" w:rsidRPr="00617A89">
        <w:rPr>
          <w:color w:val="000000" w:themeColor="text1"/>
        </w:rPr>
        <w:t>,</w:t>
      </w:r>
      <w:r w:rsidR="003561EF" w:rsidRPr="00617A89">
        <w:rPr>
          <w:color w:val="000000" w:themeColor="text1"/>
        </w:rPr>
        <w:t xml:space="preserve"> but this was less of an issue at the postgraduate level. These differences</w:t>
      </w:r>
      <w:r w:rsidR="00E17C11" w:rsidRPr="00617A89">
        <w:rPr>
          <w:color w:val="000000" w:themeColor="text1"/>
        </w:rPr>
        <w:t xml:space="preserve"> are consistent with the rates of further full-time study</w:t>
      </w:r>
      <w:r w:rsidR="0082014E" w:rsidRPr="00617A89">
        <w:rPr>
          <w:color w:val="000000" w:themeColor="text1"/>
        </w:rPr>
        <w:t xml:space="preserve"> reported by graduates across study levels. See </w:t>
      </w:r>
      <w:hyperlink w:anchor="_Domestic__graduates" w:history="1">
        <w:r w:rsidR="00A11A84" w:rsidRPr="00617A89">
          <w:rPr>
            <w:rStyle w:val="Hyperlink"/>
          </w:rPr>
          <w:t>Domestic graduates in further full-time study</w:t>
        </w:r>
      </w:hyperlink>
      <w:r w:rsidR="00A11A84" w:rsidRPr="00617A89">
        <w:rPr>
          <w:color w:val="000000" w:themeColor="text1"/>
        </w:rPr>
        <w:t>.</w:t>
      </w:r>
    </w:p>
    <w:p w14:paraId="75C8C185" w14:textId="268B6A17" w:rsidR="008847B5" w:rsidRPr="00617A89" w:rsidRDefault="00A74542" w:rsidP="00244416">
      <w:pPr>
        <w:pStyle w:val="Body"/>
        <w:rPr>
          <w:color w:val="000000" w:themeColor="text1"/>
        </w:rPr>
      </w:pPr>
      <w:r w:rsidRPr="00617A89">
        <w:rPr>
          <w:color w:val="000000" w:themeColor="text1"/>
        </w:rPr>
        <w:t>‘No jobs in my area of expertise’</w:t>
      </w:r>
      <w:r w:rsidR="00AD0774" w:rsidRPr="00617A89">
        <w:rPr>
          <w:color w:val="000000" w:themeColor="text1"/>
        </w:rPr>
        <w:t xml:space="preserve"> was a top reason reported by postgraduate research </w:t>
      </w:r>
      <w:r w:rsidR="007F4105" w:rsidRPr="00617A89">
        <w:rPr>
          <w:color w:val="000000" w:themeColor="text1"/>
        </w:rPr>
        <w:t>graduates</w:t>
      </w:r>
      <w:r w:rsidR="00800A37" w:rsidRPr="00617A89">
        <w:rPr>
          <w:color w:val="000000" w:themeColor="text1"/>
        </w:rPr>
        <w:t xml:space="preserve">. Notably, </w:t>
      </w:r>
      <w:r w:rsidR="005D37B5" w:rsidRPr="00617A89">
        <w:rPr>
          <w:color w:val="000000" w:themeColor="text1"/>
        </w:rPr>
        <w:t xml:space="preserve">undergraduates and postgraduate coursework graduates </w:t>
      </w:r>
      <w:r w:rsidR="00695DC0" w:rsidRPr="00617A89">
        <w:rPr>
          <w:color w:val="000000" w:themeColor="text1"/>
        </w:rPr>
        <w:t xml:space="preserve">were much less likely to report this issue in both the short- and medium-term compared to postgraduate research graduates. This </w:t>
      </w:r>
      <w:r w:rsidR="00F2100D" w:rsidRPr="00617A89">
        <w:rPr>
          <w:color w:val="000000" w:themeColor="text1"/>
        </w:rPr>
        <w:t>may indicate</w:t>
      </w:r>
      <w:r w:rsidR="007B6C63" w:rsidRPr="00617A89">
        <w:rPr>
          <w:color w:val="000000" w:themeColor="text1"/>
        </w:rPr>
        <w:t xml:space="preserve"> postgraduate research graduates </w:t>
      </w:r>
      <w:r w:rsidR="006B25B9" w:rsidRPr="00617A89">
        <w:rPr>
          <w:color w:val="000000" w:themeColor="text1"/>
        </w:rPr>
        <w:t>face intense</w:t>
      </w:r>
      <w:r w:rsidR="00C0639F" w:rsidRPr="00617A89">
        <w:rPr>
          <w:color w:val="000000" w:themeColor="text1"/>
        </w:rPr>
        <w:t xml:space="preserve"> competition for fewer </w:t>
      </w:r>
      <w:r w:rsidR="00DE0206" w:rsidRPr="00617A89">
        <w:rPr>
          <w:color w:val="000000" w:themeColor="text1"/>
        </w:rPr>
        <w:t xml:space="preserve">specialised </w:t>
      </w:r>
      <w:r w:rsidR="00C0639F" w:rsidRPr="00617A89">
        <w:rPr>
          <w:color w:val="000000" w:themeColor="text1"/>
        </w:rPr>
        <w:t xml:space="preserve">roles when trying </w:t>
      </w:r>
      <w:r w:rsidR="007B0A31" w:rsidRPr="00617A89">
        <w:rPr>
          <w:color w:val="000000" w:themeColor="text1"/>
        </w:rPr>
        <w:t>to obtain employment that aligns with their specialised skills and education.</w:t>
      </w:r>
    </w:p>
    <w:p w14:paraId="08CC5F09" w14:textId="76C80D0A" w:rsidR="008E6F99" w:rsidRPr="00617A89" w:rsidRDefault="008E6F99" w:rsidP="00244416">
      <w:pPr>
        <w:pStyle w:val="Body"/>
        <w:rPr>
          <w:color w:val="000000" w:themeColor="text1"/>
        </w:rPr>
      </w:pPr>
      <w:r w:rsidRPr="00617A89">
        <w:rPr>
          <w:color w:val="000000" w:themeColor="text1"/>
        </w:rPr>
        <w:t>Graduates who completed postgraduate qualifications</w:t>
      </w:r>
      <w:r w:rsidR="00D97AEF" w:rsidRPr="00617A89">
        <w:rPr>
          <w:color w:val="000000" w:themeColor="text1"/>
        </w:rPr>
        <w:t xml:space="preserve"> were more likely to report ‘caring for children’ than undergraduates</w:t>
      </w:r>
      <w:r w:rsidR="00D3446B" w:rsidRPr="00617A89">
        <w:rPr>
          <w:color w:val="000000" w:themeColor="text1"/>
        </w:rPr>
        <w:t>. This align</w:t>
      </w:r>
      <w:r w:rsidR="00F31576" w:rsidRPr="00617A89">
        <w:rPr>
          <w:color w:val="000000" w:themeColor="text1"/>
        </w:rPr>
        <w:t>s with differences in age</w:t>
      </w:r>
      <w:r w:rsidR="00CC010A" w:rsidRPr="00617A89">
        <w:rPr>
          <w:color w:val="000000" w:themeColor="text1"/>
        </w:rPr>
        <w:t xml:space="preserve"> and life stage, particularly between undergraduates and postgraduate coursework graduates. </w:t>
      </w:r>
    </w:p>
    <w:p w14:paraId="460B27D0" w14:textId="0343FFEE" w:rsidR="00E46CFE" w:rsidRPr="00617A89" w:rsidRDefault="00592DF5" w:rsidP="00034502">
      <w:pPr>
        <w:pStyle w:val="Caption"/>
        <w:keepNext/>
        <w:rPr>
          <w:color w:val="000000" w:themeColor="text1"/>
        </w:rPr>
      </w:pPr>
      <w:bookmarkStart w:id="63" w:name="_Ref202278791"/>
      <w:bookmarkStart w:id="64" w:name="_Toc222868471"/>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1</w:t>
      </w:r>
      <w:r w:rsidR="00DB7C31" w:rsidRPr="00617A89">
        <w:rPr>
          <w:noProof/>
          <w:color w:val="000000" w:themeColor="text1"/>
        </w:rPr>
        <w:fldChar w:fldCharType="end"/>
      </w:r>
      <w:bookmarkEnd w:id="63"/>
      <w:r w:rsidR="00034502" w:rsidRPr="00617A89">
        <w:rPr>
          <w:color w:val="000000" w:themeColor="text1"/>
        </w:rPr>
        <w:tab/>
      </w:r>
      <w:r w:rsidR="00EB50A7" w:rsidRPr="00617A89">
        <w:rPr>
          <w:color w:val="000000" w:themeColor="text1"/>
        </w:rPr>
        <w:t>Main reason not working more hours, of graduates employed part-time who would prefer to work more hours (% of those employed)</w:t>
      </w:r>
      <w:bookmarkEnd w:id="64"/>
    </w:p>
    <w:tbl>
      <w:tblPr>
        <w:tblStyle w:val="TableGrid"/>
        <w:tblW w:w="10786" w:type="dxa"/>
        <w:tblLayout w:type="fixed"/>
        <w:tblLook w:val="04A0" w:firstRow="1" w:lastRow="0" w:firstColumn="1" w:lastColumn="0" w:noHBand="0" w:noVBand="1"/>
      </w:tblPr>
      <w:tblGrid>
        <w:gridCol w:w="3256"/>
        <w:gridCol w:w="1255"/>
        <w:gridCol w:w="1255"/>
        <w:gridCol w:w="1255"/>
        <w:gridCol w:w="1255"/>
        <w:gridCol w:w="1255"/>
        <w:gridCol w:w="1255"/>
      </w:tblGrid>
      <w:tr w:rsidR="00C22852" w:rsidRPr="00617A89" w14:paraId="1E21FDB3" w14:textId="77777777" w:rsidTr="00C22852">
        <w:trPr>
          <w:cnfStyle w:val="100000000000" w:firstRow="1" w:lastRow="0" w:firstColumn="0" w:lastColumn="0" w:oddVBand="0" w:evenVBand="0" w:oddHBand="0" w:evenHBand="0" w:firstRowFirstColumn="0" w:firstRowLastColumn="0" w:lastRowFirstColumn="0" w:lastRowLastColumn="0"/>
          <w:trHeight w:val="809"/>
          <w:tblHeader/>
        </w:trPr>
        <w:tc>
          <w:tcPr>
            <w:tcW w:w="3256" w:type="dxa"/>
            <w:hideMark/>
          </w:tcPr>
          <w:p w14:paraId="4567799F" w14:textId="74B09F14" w:rsidR="003356C7" w:rsidRPr="00617A89" w:rsidRDefault="00034502" w:rsidP="00A3768D">
            <w:pPr>
              <w:rPr>
                <w:rFonts w:cs="Arial"/>
                <w:sz w:val="18"/>
                <w:szCs w:val="18"/>
              </w:rPr>
            </w:pPr>
            <w:r w:rsidRPr="00617A89">
              <w:rPr>
                <w:rFonts w:cs="Arial"/>
                <w:sz w:val="18"/>
                <w:szCs w:val="18"/>
              </w:rPr>
              <w:t>Reason</w:t>
            </w:r>
            <w:r w:rsidR="00F87D04" w:rsidRPr="00617A89">
              <w:rPr>
                <w:rFonts w:cs="Arial"/>
                <w:sz w:val="18"/>
                <w:szCs w:val="18"/>
              </w:rPr>
              <w:t xml:space="preserve"> type: Detailed reasons</w:t>
            </w:r>
          </w:p>
        </w:tc>
        <w:tc>
          <w:tcPr>
            <w:tcW w:w="1255" w:type="dxa"/>
            <w:hideMark/>
          </w:tcPr>
          <w:p w14:paraId="1F6D0268" w14:textId="11210CD0" w:rsidR="00796C63" w:rsidRPr="00617A89" w:rsidRDefault="00034502" w:rsidP="00C22852">
            <w:pPr>
              <w:jc w:val="center"/>
              <w:rPr>
                <w:rFonts w:cs="Arial"/>
                <w:b w:val="0"/>
                <w:sz w:val="18"/>
                <w:szCs w:val="18"/>
              </w:rPr>
            </w:pPr>
            <w:r w:rsidRPr="00617A89">
              <w:rPr>
                <w:rFonts w:cs="Arial"/>
                <w:sz w:val="18"/>
                <w:szCs w:val="18"/>
              </w:rPr>
              <w:t>Undergraduate:</w:t>
            </w:r>
          </w:p>
          <w:p w14:paraId="2DB19CE8" w14:textId="5EEF5A6D" w:rsidR="003356C7" w:rsidRPr="00617A89" w:rsidRDefault="003356C7" w:rsidP="00C22852">
            <w:pPr>
              <w:jc w:val="center"/>
              <w:rPr>
                <w:rFonts w:cs="Arial"/>
                <w:b w:val="0"/>
                <w:bCs/>
                <w:sz w:val="18"/>
                <w:szCs w:val="18"/>
              </w:rPr>
            </w:pPr>
            <w:r w:rsidRPr="00617A89">
              <w:rPr>
                <w:rFonts w:cs="Arial"/>
                <w:bCs/>
                <w:sz w:val="18"/>
                <w:szCs w:val="18"/>
              </w:rPr>
              <w:t>Short-term (2022)</w:t>
            </w:r>
          </w:p>
        </w:tc>
        <w:tc>
          <w:tcPr>
            <w:tcW w:w="1255" w:type="dxa"/>
            <w:hideMark/>
          </w:tcPr>
          <w:p w14:paraId="11DD4973" w14:textId="095D64E2" w:rsidR="003356C7" w:rsidRPr="00617A89" w:rsidRDefault="00034502" w:rsidP="00C22852">
            <w:pPr>
              <w:jc w:val="center"/>
              <w:rPr>
                <w:rFonts w:cs="Arial"/>
                <w:b w:val="0"/>
                <w:bCs/>
                <w:sz w:val="18"/>
                <w:szCs w:val="18"/>
              </w:rPr>
            </w:pPr>
            <w:r w:rsidRPr="00617A89">
              <w:rPr>
                <w:rFonts w:cs="Arial"/>
                <w:sz w:val="18"/>
                <w:szCs w:val="18"/>
              </w:rPr>
              <w:t xml:space="preserve">Undergraduate: </w:t>
            </w:r>
            <w:r w:rsidR="003356C7" w:rsidRPr="00617A89">
              <w:rPr>
                <w:rFonts w:cs="Arial"/>
                <w:bCs/>
                <w:sz w:val="18"/>
                <w:szCs w:val="18"/>
              </w:rPr>
              <w:t>Medium-term (2025)</w:t>
            </w:r>
          </w:p>
        </w:tc>
        <w:tc>
          <w:tcPr>
            <w:tcW w:w="1255" w:type="dxa"/>
            <w:hideMark/>
          </w:tcPr>
          <w:p w14:paraId="71577A18" w14:textId="2F8B2095" w:rsidR="003356C7" w:rsidRPr="00617A89" w:rsidRDefault="00034502" w:rsidP="00C22852">
            <w:pPr>
              <w:jc w:val="center"/>
              <w:rPr>
                <w:rFonts w:cs="Arial"/>
                <w:b w:val="0"/>
                <w:bCs/>
                <w:sz w:val="18"/>
                <w:szCs w:val="18"/>
              </w:rPr>
            </w:pPr>
            <w:r w:rsidRPr="00617A89">
              <w:rPr>
                <w:rFonts w:cs="Arial"/>
                <w:sz w:val="18"/>
                <w:szCs w:val="18"/>
              </w:rPr>
              <w:t xml:space="preserve">Postgraduate coursework: </w:t>
            </w:r>
            <w:r w:rsidR="003356C7" w:rsidRPr="00617A89">
              <w:rPr>
                <w:rFonts w:cs="Arial"/>
                <w:bCs/>
                <w:sz w:val="18"/>
                <w:szCs w:val="18"/>
              </w:rPr>
              <w:t>Short-term (2022)</w:t>
            </w:r>
          </w:p>
        </w:tc>
        <w:tc>
          <w:tcPr>
            <w:tcW w:w="1255" w:type="dxa"/>
            <w:hideMark/>
          </w:tcPr>
          <w:p w14:paraId="43F3E933" w14:textId="16EE7E06" w:rsidR="003356C7" w:rsidRPr="00617A89" w:rsidRDefault="00034502" w:rsidP="00C22852">
            <w:pPr>
              <w:jc w:val="center"/>
              <w:rPr>
                <w:rFonts w:cs="Arial"/>
                <w:b w:val="0"/>
                <w:bCs/>
                <w:sz w:val="18"/>
                <w:szCs w:val="18"/>
              </w:rPr>
            </w:pPr>
            <w:r w:rsidRPr="00617A89">
              <w:rPr>
                <w:rFonts w:cs="Arial"/>
                <w:sz w:val="18"/>
                <w:szCs w:val="18"/>
              </w:rPr>
              <w:t xml:space="preserve">Postgraduate coursework: </w:t>
            </w:r>
            <w:r w:rsidR="003356C7" w:rsidRPr="00617A89">
              <w:rPr>
                <w:rFonts w:cs="Arial"/>
                <w:bCs/>
                <w:sz w:val="18"/>
                <w:szCs w:val="18"/>
              </w:rPr>
              <w:t>Medium-term (2025)</w:t>
            </w:r>
          </w:p>
        </w:tc>
        <w:tc>
          <w:tcPr>
            <w:tcW w:w="1255" w:type="dxa"/>
            <w:hideMark/>
          </w:tcPr>
          <w:p w14:paraId="7F461461" w14:textId="790A8A8B" w:rsidR="003356C7" w:rsidRPr="00617A89" w:rsidRDefault="00034502" w:rsidP="00C22852">
            <w:pPr>
              <w:jc w:val="center"/>
              <w:rPr>
                <w:rFonts w:cs="Arial"/>
                <w:b w:val="0"/>
                <w:bCs/>
                <w:sz w:val="18"/>
                <w:szCs w:val="18"/>
              </w:rPr>
            </w:pPr>
            <w:r w:rsidRPr="00617A89">
              <w:rPr>
                <w:rFonts w:cs="Arial"/>
                <w:sz w:val="18"/>
                <w:szCs w:val="18"/>
              </w:rPr>
              <w:t xml:space="preserve">Postgraduate research: </w:t>
            </w:r>
            <w:r w:rsidR="003356C7" w:rsidRPr="00617A89">
              <w:rPr>
                <w:rFonts w:cs="Arial"/>
                <w:bCs/>
                <w:sz w:val="18"/>
                <w:szCs w:val="18"/>
              </w:rPr>
              <w:t>Short-term (2022)</w:t>
            </w:r>
          </w:p>
        </w:tc>
        <w:tc>
          <w:tcPr>
            <w:tcW w:w="1255" w:type="dxa"/>
            <w:hideMark/>
          </w:tcPr>
          <w:p w14:paraId="3E88B8B0" w14:textId="43BE7B04" w:rsidR="003356C7" w:rsidRPr="00617A89" w:rsidRDefault="00034502" w:rsidP="00C22852">
            <w:pPr>
              <w:jc w:val="center"/>
              <w:rPr>
                <w:rFonts w:cs="Arial"/>
                <w:b w:val="0"/>
                <w:bCs/>
                <w:sz w:val="18"/>
                <w:szCs w:val="18"/>
              </w:rPr>
            </w:pPr>
            <w:r w:rsidRPr="00617A89">
              <w:rPr>
                <w:rFonts w:cs="Arial"/>
                <w:sz w:val="18"/>
                <w:szCs w:val="18"/>
              </w:rPr>
              <w:t xml:space="preserve">Postgraduate research: </w:t>
            </w:r>
            <w:r w:rsidR="003356C7" w:rsidRPr="00617A89">
              <w:rPr>
                <w:rFonts w:cs="Arial"/>
                <w:bCs/>
                <w:sz w:val="18"/>
                <w:szCs w:val="18"/>
              </w:rPr>
              <w:t>Medium-term (2025)</w:t>
            </w:r>
          </w:p>
        </w:tc>
      </w:tr>
      <w:tr w:rsidR="00C22852" w:rsidRPr="00617A89" w14:paraId="7D021B6E" w14:textId="77777777" w:rsidTr="00034502">
        <w:trPr>
          <w:trHeight w:val="403"/>
        </w:trPr>
        <w:tc>
          <w:tcPr>
            <w:tcW w:w="3256" w:type="dxa"/>
            <w:noWrap/>
            <w:vAlign w:val="center"/>
            <w:hideMark/>
          </w:tcPr>
          <w:p w14:paraId="5A76926C" w14:textId="4FD61B18"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Personal factors: </w:t>
            </w:r>
            <w:r w:rsidR="003356C7" w:rsidRPr="00617A89">
              <w:rPr>
                <w:rFonts w:cs="Arial"/>
                <w:color w:val="000000" w:themeColor="text1"/>
                <w:sz w:val="18"/>
                <w:szCs w:val="18"/>
              </w:rPr>
              <w:t>Studying</w:t>
            </w:r>
          </w:p>
        </w:tc>
        <w:tc>
          <w:tcPr>
            <w:tcW w:w="1255" w:type="dxa"/>
            <w:noWrap/>
            <w:vAlign w:val="center"/>
            <w:hideMark/>
          </w:tcPr>
          <w:p w14:paraId="11DC1626" w14:textId="2DFB6EAF"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15.9</w:t>
            </w:r>
          </w:p>
        </w:tc>
        <w:tc>
          <w:tcPr>
            <w:tcW w:w="1255" w:type="dxa"/>
            <w:noWrap/>
            <w:vAlign w:val="center"/>
            <w:hideMark/>
          </w:tcPr>
          <w:p w14:paraId="434A6C46" w14:textId="21D1E886"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17.4</w:t>
            </w:r>
          </w:p>
        </w:tc>
        <w:tc>
          <w:tcPr>
            <w:tcW w:w="1255" w:type="dxa"/>
            <w:noWrap/>
            <w:vAlign w:val="center"/>
            <w:hideMark/>
          </w:tcPr>
          <w:p w14:paraId="19288350" w14:textId="0CD211F5"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6.0</w:t>
            </w:r>
          </w:p>
        </w:tc>
        <w:tc>
          <w:tcPr>
            <w:tcW w:w="1255" w:type="dxa"/>
            <w:noWrap/>
            <w:vAlign w:val="center"/>
            <w:hideMark/>
          </w:tcPr>
          <w:p w14:paraId="42424B49" w14:textId="72079D19"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9.0</w:t>
            </w:r>
          </w:p>
        </w:tc>
        <w:tc>
          <w:tcPr>
            <w:tcW w:w="1255" w:type="dxa"/>
            <w:noWrap/>
            <w:vAlign w:val="center"/>
            <w:hideMark/>
          </w:tcPr>
          <w:p w14:paraId="044F0458" w14:textId="2922B1A8"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1.0</w:t>
            </w:r>
          </w:p>
        </w:tc>
        <w:tc>
          <w:tcPr>
            <w:tcW w:w="1255" w:type="dxa"/>
            <w:noWrap/>
            <w:vAlign w:val="center"/>
            <w:hideMark/>
          </w:tcPr>
          <w:p w14:paraId="666648C2" w14:textId="33065153"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5.1</w:t>
            </w:r>
          </w:p>
        </w:tc>
      </w:tr>
      <w:tr w:rsidR="00C22852" w:rsidRPr="00617A89" w14:paraId="55875E91" w14:textId="77777777" w:rsidTr="00034502">
        <w:trPr>
          <w:trHeight w:val="403"/>
        </w:trPr>
        <w:tc>
          <w:tcPr>
            <w:tcW w:w="3256" w:type="dxa"/>
            <w:noWrap/>
            <w:vAlign w:val="center"/>
            <w:hideMark/>
          </w:tcPr>
          <w:p w14:paraId="176B6FAD" w14:textId="7F2CAA8C"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Personal factors: </w:t>
            </w:r>
            <w:r w:rsidR="003356C7" w:rsidRPr="00617A89">
              <w:rPr>
                <w:rFonts w:cs="Arial"/>
                <w:color w:val="000000" w:themeColor="text1"/>
                <w:sz w:val="18"/>
                <w:szCs w:val="18"/>
              </w:rPr>
              <w:t>Caring for children</w:t>
            </w:r>
          </w:p>
        </w:tc>
        <w:tc>
          <w:tcPr>
            <w:tcW w:w="1255" w:type="dxa"/>
            <w:noWrap/>
            <w:vAlign w:val="center"/>
            <w:hideMark/>
          </w:tcPr>
          <w:p w14:paraId="0FA80469" w14:textId="146AA815"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4.3</w:t>
            </w:r>
          </w:p>
        </w:tc>
        <w:tc>
          <w:tcPr>
            <w:tcW w:w="1255" w:type="dxa"/>
            <w:noWrap/>
            <w:vAlign w:val="center"/>
            <w:hideMark/>
          </w:tcPr>
          <w:p w14:paraId="3BBDEB57" w14:textId="5ABEF9AE"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5.5</w:t>
            </w:r>
          </w:p>
        </w:tc>
        <w:tc>
          <w:tcPr>
            <w:tcW w:w="1255" w:type="dxa"/>
            <w:noWrap/>
            <w:vAlign w:val="center"/>
            <w:hideMark/>
          </w:tcPr>
          <w:p w14:paraId="7FFA2F1C" w14:textId="6B7D700F"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10.9</w:t>
            </w:r>
          </w:p>
        </w:tc>
        <w:tc>
          <w:tcPr>
            <w:tcW w:w="1255" w:type="dxa"/>
            <w:noWrap/>
            <w:vAlign w:val="center"/>
            <w:hideMark/>
          </w:tcPr>
          <w:p w14:paraId="3BEE4274" w14:textId="4640E636"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12.7</w:t>
            </w:r>
          </w:p>
        </w:tc>
        <w:tc>
          <w:tcPr>
            <w:tcW w:w="1255" w:type="dxa"/>
            <w:noWrap/>
            <w:vAlign w:val="center"/>
            <w:hideMark/>
          </w:tcPr>
          <w:p w14:paraId="3E782A97" w14:textId="42CC7BB6"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7.3</w:t>
            </w:r>
          </w:p>
        </w:tc>
        <w:tc>
          <w:tcPr>
            <w:tcW w:w="1255" w:type="dxa"/>
            <w:noWrap/>
            <w:vAlign w:val="center"/>
            <w:hideMark/>
          </w:tcPr>
          <w:p w14:paraId="2306C384" w14:textId="39B2C3A5"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11.2</w:t>
            </w:r>
          </w:p>
        </w:tc>
      </w:tr>
      <w:tr w:rsidR="00C22852" w:rsidRPr="00617A89" w14:paraId="1B42A4F8" w14:textId="77777777" w:rsidTr="00034502">
        <w:trPr>
          <w:trHeight w:val="403"/>
        </w:trPr>
        <w:tc>
          <w:tcPr>
            <w:tcW w:w="3256" w:type="dxa"/>
            <w:noWrap/>
            <w:vAlign w:val="center"/>
            <w:hideMark/>
          </w:tcPr>
          <w:p w14:paraId="6AA7BE28" w14:textId="6F97B903"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Personal factors: </w:t>
            </w:r>
            <w:r w:rsidR="003356C7" w:rsidRPr="00617A89">
              <w:rPr>
                <w:rFonts w:cs="Arial"/>
                <w:color w:val="000000" w:themeColor="text1"/>
                <w:sz w:val="18"/>
                <w:szCs w:val="18"/>
              </w:rPr>
              <w:t>Long-term health condition or disability</w:t>
            </w:r>
          </w:p>
        </w:tc>
        <w:tc>
          <w:tcPr>
            <w:tcW w:w="1255" w:type="dxa"/>
            <w:noWrap/>
            <w:vAlign w:val="center"/>
            <w:hideMark/>
          </w:tcPr>
          <w:p w14:paraId="4036F84C" w14:textId="2996C254"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0.5</w:t>
            </w:r>
          </w:p>
        </w:tc>
        <w:tc>
          <w:tcPr>
            <w:tcW w:w="1255" w:type="dxa"/>
            <w:noWrap/>
            <w:vAlign w:val="center"/>
            <w:hideMark/>
          </w:tcPr>
          <w:p w14:paraId="17E04771" w14:textId="17A9D2E8"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3.5</w:t>
            </w:r>
          </w:p>
        </w:tc>
        <w:tc>
          <w:tcPr>
            <w:tcW w:w="1255" w:type="dxa"/>
            <w:noWrap/>
            <w:vAlign w:val="center"/>
            <w:hideMark/>
          </w:tcPr>
          <w:p w14:paraId="122166A3" w14:textId="690CBF35"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0.5</w:t>
            </w:r>
          </w:p>
        </w:tc>
        <w:tc>
          <w:tcPr>
            <w:tcW w:w="1255" w:type="dxa"/>
            <w:noWrap/>
            <w:vAlign w:val="center"/>
            <w:hideMark/>
          </w:tcPr>
          <w:p w14:paraId="266B319D" w14:textId="2910458C"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3.4</w:t>
            </w:r>
          </w:p>
        </w:tc>
        <w:tc>
          <w:tcPr>
            <w:tcW w:w="1255" w:type="dxa"/>
            <w:noWrap/>
            <w:vAlign w:val="center"/>
            <w:hideMark/>
          </w:tcPr>
          <w:p w14:paraId="795B28ED" w14:textId="7048D7E9"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0.5</w:t>
            </w:r>
          </w:p>
        </w:tc>
        <w:tc>
          <w:tcPr>
            <w:tcW w:w="1255" w:type="dxa"/>
            <w:noWrap/>
            <w:vAlign w:val="center"/>
            <w:hideMark/>
          </w:tcPr>
          <w:p w14:paraId="393E0495" w14:textId="358FED7F"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3.1</w:t>
            </w:r>
          </w:p>
        </w:tc>
      </w:tr>
      <w:tr w:rsidR="00C22852" w:rsidRPr="00617A89" w14:paraId="3BC681F3" w14:textId="77777777" w:rsidTr="00034502">
        <w:trPr>
          <w:trHeight w:val="568"/>
        </w:trPr>
        <w:tc>
          <w:tcPr>
            <w:tcW w:w="3256" w:type="dxa"/>
            <w:noWrap/>
            <w:vAlign w:val="center"/>
            <w:hideMark/>
          </w:tcPr>
          <w:p w14:paraId="291698A1" w14:textId="2AA1A78B"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Personal factors: </w:t>
            </w:r>
            <w:r w:rsidR="003356C7" w:rsidRPr="00617A89">
              <w:rPr>
                <w:rFonts w:cs="Arial"/>
                <w:color w:val="000000" w:themeColor="text1"/>
                <w:sz w:val="18"/>
                <w:szCs w:val="18"/>
              </w:rPr>
              <w:t>Due to other commitments outside of main job</w:t>
            </w:r>
          </w:p>
        </w:tc>
        <w:tc>
          <w:tcPr>
            <w:tcW w:w="1255" w:type="dxa"/>
            <w:noWrap/>
            <w:vAlign w:val="center"/>
            <w:hideMark/>
          </w:tcPr>
          <w:p w14:paraId="62EA1ACC" w14:textId="6D96F1AF"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0.8</w:t>
            </w:r>
          </w:p>
        </w:tc>
        <w:tc>
          <w:tcPr>
            <w:tcW w:w="1255" w:type="dxa"/>
            <w:noWrap/>
            <w:vAlign w:val="center"/>
            <w:hideMark/>
          </w:tcPr>
          <w:p w14:paraId="4A12FACC" w14:textId="52C2AA87"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4.2</w:t>
            </w:r>
          </w:p>
        </w:tc>
        <w:tc>
          <w:tcPr>
            <w:tcW w:w="1255" w:type="dxa"/>
            <w:noWrap/>
            <w:vAlign w:val="center"/>
            <w:hideMark/>
          </w:tcPr>
          <w:p w14:paraId="552C3328" w14:textId="1114E2E0"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0.3</w:t>
            </w:r>
          </w:p>
        </w:tc>
        <w:tc>
          <w:tcPr>
            <w:tcW w:w="1255" w:type="dxa"/>
            <w:noWrap/>
            <w:vAlign w:val="center"/>
            <w:hideMark/>
          </w:tcPr>
          <w:p w14:paraId="1BB37793" w14:textId="69505914"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3.6</w:t>
            </w:r>
          </w:p>
        </w:tc>
        <w:tc>
          <w:tcPr>
            <w:tcW w:w="1255" w:type="dxa"/>
            <w:noWrap/>
            <w:vAlign w:val="center"/>
            <w:hideMark/>
          </w:tcPr>
          <w:p w14:paraId="4EFF0769" w14:textId="4A764CD3"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0.0</w:t>
            </w:r>
          </w:p>
        </w:tc>
        <w:tc>
          <w:tcPr>
            <w:tcW w:w="1255" w:type="dxa"/>
            <w:noWrap/>
            <w:vAlign w:val="center"/>
            <w:hideMark/>
          </w:tcPr>
          <w:p w14:paraId="28CC2C26" w14:textId="376E1E75"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1.0</w:t>
            </w:r>
          </w:p>
        </w:tc>
      </w:tr>
      <w:tr w:rsidR="00C22852" w:rsidRPr="00617A89" w14:paraId="0B40610F" w14:textId="77777777" w:rsidTr="00034502">
        <w:trPr>
          <w:trHeight w:val="403"/>
        </w:trPr>
        <w:tc>
          <w:tcPr>
            <w:tcW w:w="3256" w:type="dxa"/>
            <w:noWrap/>
            <w:vAlign w:val="center"/>
          </w:tcPr>
          <w:p w14:paraId="00326811" w14:textId="16A5584A" w:rsidR="00D73C45" w:rsidRPr="00617A89" w:rsidRDefault="00F87D04" w:rsidP="00D73C45">
            <w:pPr>
              <w:rPr>
                <w:rFonts w:cs="Arial"/>
                <w:color w:val="000000" w:themeColor="text1"/>
                <w:sz w:val="18"/>
              </w:rPr>
            </w:pPr>
            <w:r w:rsidRPr="00617A89">
              <w:rPr>
                <w:rFonts w:cs="Arial"/>
                <w:color w:val="000000" w:themeColor="text1"/>
                <w:sz w:val="18"/>
                <w:szCs w:val="18"/>
              </w:rPr>
              <w:t xml:space="preserve">Personal factors: </w:t>
            </w:r>
            <w:r w:rsidR="00D73C45" w:rsidRPr="00617A89">
              <w:rPr>
                <w:rFonts w:cs="Arial"/>
                <w:color w:val="000000" w:themeColor="text1"/>
                <w:sz w:val="18"/>
              </w:rPr>
              <w:t>Other personal factors</w:t>
            </w:r>
          </w:p>
        </w:tc>
        <w:tc>
          <w:tcPr>
            <w:tcW w:w="1255" w:type="dxa"/>
            <w:noWrap/>
            <w:vAlign w:val="center"/>
          </w:tcPr>
          <w:p w14:paraId="28CEF96B" w14:textId="3CD0E7FB" w:rsidR="00D73C45" w:rsidRPr="00617A89" w:rsidRDefault="00D73C45" w:rsidP="00D73C45">
            <w:pPr>
              <w:jc w:val="center"/>
              <w:rPr>
                <w:rFonts w:cs="Arial"/>
                <w:color w:val="000000" w:themeColor="text1"/>
                <w:sz w:val="18"/>
              </w:rPr>
            </w:pPr>
            <w:r w:rsidRPr="00617A89">
              <w:rPr>
                <w:rFonts w:cs="Arial"/>
                <w:color w:val="000000" w:themeColor="text1"/>
                <w:sz w:val="18"/>
                <w:szCs w:val="18"/>
              </w:rPr>
              <w:t>0.8</w:t>
            </w:r>
          </w:p>
        </w:tc>
        <w:tc>
          <w:tcPr>
            <w:tcW w:w="1255" w:type="dxa"/>
            <w:noWrap/>
            <w:vAlign w:val="center"/>
          </w:tcPr>
          <w:p w14:paraId="27433BEA" w14:textId="3560536A" w:rsidR="00D73C45" w:rsidRPr="00617A89" w:rsidRDefault="00D73C45" w:rsidP="00D73C45">
            <w:pPr>
              <w:jc w:val="center"/>
              <w:rPr>
                <w:rFonts w:cs="Arial"/>
                <w:color w:val="000000" w:themeColor="text1"/>
                <w:sz w:val="18"/>
              </w:rPr>
            </w:pPr>
            <w:r w:rsidRPr="00617A89">
              <w:rPr>
                <w:rFonts w:cs="Arial"/>
                <w:color w:val="000000" w:themeColor="text1"/>
                <w:sz w:val="18"/>
                <w:szCs w:val="18"/>
              </w:rPr>
              <w:t>3.1</w:t>
            </w:r>
          </w:p>
        </w:tc>
        <w:tc>
          <w:tcPr>
            <w:tcW w:w="1255" w:type="dxa"/>
            <w:noWrap/>
            <w:vAlign w:val="center"/>
          </w:tcPr>
          <w:p w14:paraId="595E5127" w14:textId="4B6CCB12" w:rsidR="00D73C45" w:rsidRPr="00617A89" w:rsidRDefault="00D73C45" w:rsidP="00D73C45">
            <w:pPr>
              <w:jc w:val="center"/>
              <w:rPr>
                <w:rFonts w:cs="Arial"/>
                <w:color w:val="000000" w:themeColor="text1"/>
                <w:sz w:val="18"/>
              </w:rPr>
            </w:pPr>
            <w:r w:rsidRPr="00617A89">
              <w:rPr>
                <w:rFonts w:cs="Arial"/>
                <w:color w:val="000000" w:themeColor="text1"/>
                <w:sz w:val="18"/>
                <w:szCs w:val="18"/>
              </w:rPr>
              <w:t>1.6</w:t>
            </w:r>
          </w:p>
        </w:tc>
        <w:tc>
          <w:tcPr>
            <w:tcW w:w="1255" w:type="dxa"/>
            <w:noWrap/>
            <w:vAlign w:val="center"/>
          </w:tcPr>
          <w:p w14:paraId="125C3A82" w14:textId="27B748E8" w:rsidR="00D73C45" w:rsidRPr="00617A89" w:rsidRDefault="00D73C45" w:rsidP="00D73C45">
            <w:pPr>
              <w:jc w:val="center"/>
              <w:rPr>
                <w:rFonts w:cs="Arial"/>
                <w:color w:val="000000" w:themeColor="text1"/>
                <w:sz w:val="18"/>
              </w:rPr>
            </w:pPr>
            <w:r w:rsidRPr="00617A89">
              <w:rPr>
                <w:rFonts w:cs="Arial"/>
                <w:color w:val="000000" w:themeColor="text1"/>
                <w:sz w:val="18"/>
                <w:szCs w:val="18"/>
              </w:rPr>
              <w:t>3.9</w:t>
            </w:r>
          </w:p>
        </w:tc>
        <w:tc>
          <w:tcPr>
            <w:tcW w:w="1255" w:type="dxa"/>
            <w:noWrap/>
            <w:vAlign w:val="center"/>
          </w:tcPr>
          <w:p w14:paraId="773D51EF" w14:textId="3D74BE2E" w:rsidR="00D73C45" w:rsidRPr="00617A89" w:rsidRDefault="00D73C45" w:rsidP="00D73C45">
            <w:pPr>
              <w:jc w:val="center"/>
              <w:rPr>
                <w:rFonts w:cs="Arial"/>
                <w:color w:val="000000" w:themeColor="text1"/>
                <w:sz w:val="18"/>
              </w:rPr>
            </w:pPr>
            <w:r w:rsidRPr="00617A89">
              <w:rPr>
                <w:rFonts w:cs="Arial"/>
                <w:color w:val="000000" w:themeColor="text1"/>
                <w:sz w:val="18"/>
                <w:szCs w:val="18"/>
              </w:rPr>
              <w:t>0.0</w:t>
            </w:r>
          </w:p>
        </w:tc>
        <w:tc>
          <w:tcPr>
            <w:tcW w:w="1255" w:type="dxa"/>
            <w:noWrap/>
            <w:vAlign w:val="center"/>
          </w:tcPr>
          <w:p w14:paraId="067D2D52" w14:textId="42B0B2A4" w:rsidR="00D73C45" w:rsidRPr="00617A89" w:rsidRDefault="00D73C45" w:rsidP="00D73C45">
            <w:pPr>
              <w:jc w:val="center"/>
              <w:rPr>
                <w:rFonts w:cs="Arial"/>
                <w:color w:val="000000" w:themeColor="text1"/>
                <w:sz w:val="18"/>
              </w:rPr>
            </w:pPr>
            <w:r w:rsidRPr="00617A89">
              <w:rPr>
                <w:rFonts w:cs="Arial"/>
                <w:color w:val="000000" w:themeColor="text1"/>
                <w:sz w:val="18"/>
                <w:szCs w:val="18"/>
              </w:rPr>
              <w:t>0.0</w:t>
            </w:r>
          </w:p>
        </w:tc>
      </w:tr>
      <w:tr w:rsidR="00C22852" w:rsidRPr="00617A89" w14:paraId="488F2952" w14:textId="77777777" w:rsidTr="00034502">
        <w:trPr>
          <w:trHeight w:val="403"/>
        </w:trPr>
        <w:tc>
          <w:tcPr>
            <w:tcW w:w="3256" w:type="dxa"/>
            <w:shd w:val="clear" w:color="auto" w:fill="F2F2F2" w:themeFill="background1" w:themeFillShade="F2"/>
            <w:noWrap/>
            <w:vAlign w:val="center"/>
            <w:hideMark/>
          </w:tcPr>
          <w:p w14:paraId="61FF82D8" w14:textId="6038CBB9"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Personal factors: </w:t>
            </w:r>
            <w:r w:rsidR="00A8034D" w:rsidRPr="00617A89">
              <w:rPr>
                <w:rFonts w:cs="Arial"/>
                <w:color w:val="000000" w:themeColor="text1"/>
                <w:sz w:val="18"/>
                <w:szCs w:val="18"/>
              </w:rPr>
              <w:t>P</w:t>
            </w:r>
            <w:r w:rsidR="003356C7" w:rsidRPr="00617A89">
              <w:rPr>
                <w:rFonts w:cs="Arial"/>
                <w:color w:val="000000" w:themeColor="text1"/>
                <w:sz w:val="18"/>
                <w:szCs w:val="18"/>
              </w:rPr>
              <w:t>ersonal factors</w:t>
            </w:r>
            <w:r w:rsidR="00AE7E93" w:rsidRPr="00617A89">
              <w:rPr>
                <w:rFonts w:cs="Arial"/>
                <w:color w:val="000000" w:themeColor="text1"/>
                <w:sz w:val="18"/>
                <w:szCs w:val="18"/>
              </w:rPr>
              <w:t xml:space="preserve"> sub-total</w:t>
            </w:r>
          </w:p>
        </w:tc>
        <w:tc>
          <w:tcPr>
            <w:tcW w:w="1255" w:type="dxa"/>
            <w:shd w:val="clear" w:color="auto" w:fill="F2F2F2" w:themeFill="background1" w:themeFillShade="F2"/>
            <w:noWrap/>
            <w:vAlign w:val="center"/>
            <w:hideMark/>
          </w:tcPr>
          <w:p w14:paraId="224B94ED" w14:textId="1693463F"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22.3</w:t>
            </w:r>
          </w:p>
        </w:tc>
        <w:tc>
          <w:tcPr>
            <w:tcW w:w="1255" w:type="dxa"/>
            <w:shd w:val="clear" w:color="auto" w:fill="F2F2F2" w:themeFill="background1" w:themeFillShade="F2"/>
            <w:noWrap/>
            <w:vAlign w:val="center"/>
            <w:hideMark/>
          </w:tcPr>
          <w:p w14:paraId="489D169F" w14:textId="2AFAAD43"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33.7</w:t>
            </w:r>
          </w:p>
        </w:tc>
        <w:tc>
          <w:tcPr>
            <w:tcW w:w="1255" w:type="dxa"/>
            <w:shd w:val="clear" w:color="auto" w:fill="F2F2F2" w:themeFill="background1" w:themeFillShade="F2"/>
            <w:noWrap/>
            <w:vAlign w:val="center"/>
            <w:hideMark/>
          </w:tcPr>
          <w:p w14:paraId="4D79B963" w14:textId="6DD5BD07"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19.3</w:t>
            </w:r>
          </w:p>
        </w:tc>
        <w:tc>
          <w:tcPr>
            <w:tcW w:w="1255" w:type="dxa"/>
            <w:shd w:val="clear" w:color="auto" w:fill="F2F2F2" w:themeFill="background1" w:themeFillShade="F2"/>
            <w:noWrap/>
            <w:vAlign w:val="center"/>
            <w:hideMark/>
          </w:tcPr>
          <w:p w14:paraId="51C9ECD2" w14:textId="3BC19FA4"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32.5</w:t>
            </w:r>
          </w:p>
        </w:tc>
        <w:tc>
          <w:tcPr>
            <w:tcW w:w="1255" w:type="dxa"/>
            <w:shd w:val="clear" w:color="auto" w:fill="F2F2F2" w:themeFill="background1" w:themeFillShade="F2"/>
            <w:noWrap/>
            <w:vAlign w:val="center"/>
            <w:hideMark/>
          </w:tcPr>
          <w:p w14:paraId="4A8F16AB" w14:textId="0E163837"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8.9</w:t>
            </w:r>
          </w:p>
        </w:tc>
        <w:tc>
          <w:tcPr>
            <w:tcW w:w="1255" w:type="dxa"/>
            <w:shd w:val="clear" w:color="auto" w:fill="F2F2F2" w:themeFill="background1" w:themeFillShade="F2"/>
            <w:noWrap/>
            <w:vAlign w:val="center"/>
            <w:hideMark/>
          </w:tcPr>
          <w:p w14:paraId="6E658AEA" w14:textId="05773D19"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20.4</w:t>
            </w:r>
          </w:p>
        </w:tc>
      </w:tr>
      <w:tr w:rsidR="00C22852" w:rsidRPr="00617A89" w14:paraId="2DBAB93A" w14:textId="77777777" w:rsidTr="00034502">
        <w:trPr>
          <w:trHeight w:val="403"/>
        </w:trPr>
        <w:tc>
          <w:tcPr>
            <w:tcW w:w="3256" w:type="dxa"/>
            <w:noWrap/>
            <w:vAlign w:val="center"/>
            <w:hideMark/>
          </w:tcPr>
          <w:p w14:paraId="5FF5545A" w14:textId="0715A0D6"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Labour market factors: </w:t>
            </w:r>
            <w:r w:rsidR="003356C7" w:rsidRPr="00617A89">
              <w:rPr>
                <w:rFonts w:cs="Arial"/>
                <w:color w:val="000000" w:themeColor="text1"/>
                <w:sz w:val="18"/>
                <w:szCs w:val="18"/>
              </w:rPr>
              <w:t>No suitable job in my local area</w:t>
            </w:r>
          </w:p>
        </w:tc>
        <w:tc>
          <w:tcPr>
            <w:tcW w:w="1255" w:type="dxa"/>
            <w:noWrap/>
            <w:vAlign w:val="center"/>
            <w:hideMark/>
          </w:tcPr>
          <w:p w14:paraId="61B1DF7A" w14:textId="4A6F9484"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4.2</w:t>
            </w:r>
          </w:p>
        </w:tc>
        <w:tc>
          <w:tcPr>
            <w:tcW w:w="1255" w:type="dxa"/>
            <w:noWrap/>
            <w:vAlign w:val="center"/>
            <w:hideMark/>
          </w:tcPr>
          <w:p w14:paraId="7FD742E7" w14:textId="35A15AC7"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2.7</w:t>
            </w:r>
          </w:p>
        </w:tc>
        <w:tc>
          <w:tcPr>
            <w:tcW w:w="1255" w:type="dxa"/>
            <w:noWrap/>
            <w:vAlign w:val="center"/>
            <w:hideMark/>
          </w:tcPr>
          <w:p w14:paraId="002E943A" w14:textId="0A24616F"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6.3</w:t>
            </w:r>
          </w:p>
        </w:tc>
        <w:tc>
          <w:tcPr>
            <w:tcW w:w="1255" w:type="dxa"/>
            <w:noWrap/>
            <w:vAlign w:val="center"/>
            <w:hideMark/>
          </w:tcPr>
          <w:p w14:paraId="15F935BC" w14:textId="30BA8A56"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4.2</w:t>
            </w:r>
          </w:p>
        </w:tc>
        <w:tc>
          <w:tcPr>
            <w:tcW w:w="1255" w:type="dxa"/>
            <w:noWrap/>
            <w:vAlign w:val="center"/>
            <w:hideMark/>
          </w:tcPr>
          <w:p w14:paraId="148F3DC6" w14:textId="7F59C2C1"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5.8</w:t>
            </w:r>
          </w:p>
        </w:tc>
        <w:tc>
          <w:tcPr>
            <w:tcW w:w="1255" w:type="dxa"/>
            <w:noWrap/>
            <w:vAlign w:val="center"/>
            <w:hideMark/>
          </w:tcPr>
          <w:p w14:paraId="564199EB" w14:textId="31916B30"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3.1</w:t>
            </w:r>
          </w:p>
        </w:tc>
      </w:tr>
      <w:tr w:rsidR="00C22852" w:rsidRPr="00617A89" w14:paraId="7ED9CBBE" w14:textId="77777777" w:rsidTr="00034502">
        <w:trPr>
          <w:trHeight w:val="403"/>
        </w:trPr>
        <w:tc>
          <w:tcPr>
            <w:tcW w:w="3256" w:type="dxa"/>
            <w:noWrap/>
            <w:vAlign w:val="center"/>
            <w:hideMark/>
          </w:tcPr>
          <w:p w14:paraId="5FC55E92" w14:textId="3912763D"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Labour market factors: </w:t>
            </w:r>
            <w:r w:rsidR="003356C7" w:rsidRPr="00617A89">
              <w:rPr>
                <w:rFonts w:cs="Arial"/>
                <w:color w:val="000000" w:themeColor="text1"/>
                <w:sz w:val="18"/>
                <w:szCs w:val="18"/>
              </w:rPr>
              <w:t>No job with a suitable number of hours</w:t>
            </w:r>
          </w:p>
        </w:tc>
        <w:tc>
          <w:tcPr>
            <w:tcW w:w="1255" w:type="dxa"/>
            <w:noWrap/>
            <w:vAlign w:val="center"/>
            <w:hideMark/>
          </w:tcPr>
          <w:p w14:paraId="31C9DFAE" w14:textId="32C9DAB1"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3.6</w:t>
            </w:r>
          </w:p>
        </w:tc>
        <w:tc>
          <w:tcPr>
            <w:tcW w:w="1255" w:type="dxa"/>
            <w:noWrap/>
            <w:vAlign w:val="center"/>
            <w:hideMark/>
          </w:tcPr>
          <w:p w14:paraId="2896EB7B" w14:textId="04D7925E"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2.1</w:t>
            </w:r>
          </w:p>
        </w:tc>
        <w:tc>
          <w:tcPr>
            <w:tcW w:w="1255" w:type="dxa"/>
            <w:noWrap/>
            <w:vAlign w:val="center"/>
            <w:hideMark/>
          </w:tcPr>
          <w:p w14:paraId="40D49C49" w14:textId="5D16E05C"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5.4</w:t>
            </w:r>
          </w:p>
        </w:tc>
        <w:tc>
          <w:tcPr>
            <w:tcW w:w="1255" w:type="dxa"/>
            <w:noWrap/>
            <w:vAlign w:val="center"/>
            <w:hideMark/>
          </w:tcPr>
          <w:p w14:paraId="377C64C0" w14:textId="51AA1CD0"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3.0</w:t>
            </w:r>
          </w:p>
        </w:tc>
        <w:tc>
          <w:tcPr>
            <w:tcW w:w="1255" w:type="dxa"/>
            <w:noWrap/>
            <w:vAlign w:val="center"/>
            <w:hideMark/>
          </w:tcPr>
          <w:p w14:paraId="3A31F77C" w14:textId="062026EA"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3.7</w:t>
            </w:r>
          </w:p>
        </w:tc>
        <w:tc>
          <w:tcPr>
            <w:tcW w:w="1255" w:type="dxa"/>
            <w:noWrap/>
            <w:vAlign w:val="center"/>
            <w:hideMark/>
          </w:tcPr>
          <w:p w14:paraId="29F032CE" w14:textId="1A81A033"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4.1</w:t>
            </w:r>
          </w:p>
        </w:tc>
      </w:tr>
      <w:tr w:rsidR="00C22852" w:rsidRPr="00617A89" w14:paraId="1ACABBD7" w14:textId="77777777" w:rsidTr="00034502">
        <w:trPr>
          <w:trHeight w:val="403"/>
        </w:trPr>
        <w:tc>
          <w:tcPr>
            <w:tcW w:w="3256" w:type="dxa"/>
            <w:noWrap/>
            <w:vAlign w:val="center"/>
            <w:hideMark/>
          </w:tcPr>
          <w:p w14:paraId="02324432" w14:textId="144EE658"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Labour market factors: </w:t>
            </w:r>
            <w:r w:rsidR="003356C7" w:rsidRPr="00617A89">
              <w:rPr>
                <w:rFonts w:cs="Arial"/>
                <w:color w:val="000000" w:themeColor="text1"/>
                <w:sz w:val="18"/>
                <w:szCs w:val="18"/>
              </w:rPr>
              <w:t>No suitable job in my area of expertise</w:t>
            </w:r>
          </w:p>
        </w:tc>
        <w:tc>
          <w:tcPr>
            <w:tcW w:w="1255" w:type="dxa"/>
            <w:noWrap/>
            <w:vAlign w:val="center"/>
            <w:hideMark/>
          </w:tcPr>
          <w:p w14:paraId="5D6EE783" w14:textId="79EB790D"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9.1</w:t>
            </w:r>
          </w:p>
        </w:tc>
        <w:tc>
          <w:tcPr>
            <w:tcW w:w="1255" w:type="dxa"/>
            <w:noWrap/>
            <w:vAlign w:val="center"/>
            <w:hideMark/>
          </w:tcPr>
          <w:p w14:paraId="02B47306" w14:textId="598FCE39"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4.9</w:t>
            </w:r>
          </w:p>
        </w:tc>
        <w:tc>
          <w:tcPr>
            <w:tcW w:w="1255" w:type="dxa"/>
            <w:noWrap/>
            <w:vAlign w:val="center"/>
            <w:hideMark/>
          </w:tcPr>
          <w:p w14:paraId="5FAD5CE8" w14:textId="7CE74D20"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8.4</w:t>
            </w:r>
          </w:p>
        </w:tc>
        <w:tc>
          <w:tcPr>
            <w:tcW w:w="1255" w:type="dxa"/>
            <w:noWrap/>
            <w:vAlign w:val="center"/>
            <w:hideMark/>
          </w:tcPr>
          <w:p w14:paraId="18D2252D" w14:textId="5086BE75"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4.9</w:t>
            </w:r>
          </w:p>
        </w:tc>
        <w:tc>
          <w:tcPr>
            <w:tcW w:w="1255" w:type="dxa"/>
            <w:noWrap/>
            <w:vAlign w:val="center"/>
            <w:hideMark/>
          </w:tcPr>
          <w:p w14:paraId="50E8E140" w14:textId="5C4575D4"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26.7</w:t>
            </w:r>
          </w:p>
        </w:tc>
        <w:tc>
          <w:tcPr>
            <w:tcW w:w="1255" w:type="dxa"/>
            <w:noWrap/>
            <w:vAlign w:val="center"/>
            <w:hideMark/>
          </w:tcPr>
          <w:p w14:paraId="11162D0B" w14:textId="6FC6325C"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13.3</w:t>
            </w:r>
          </w:p>
        </w:tc>
      </w:tr>
      <w:tr w:rsidR="00C22852" w:rsidRPr="00617A89" w14:paraId="4F275BB8" w14:textId="77777777" w:rsidTr="00034502">
        <w:trPr>
          <w:trHeight w:val="403"/>
        </w:trPr>
        <w:tc>
          <w:tcPr>
            <w:tcW w:w="3256" w:type="dxa"/>
            <w:noWrap/>
            <w:vAlign w:val="center"/>
            <w:hideMark/>
          </w:tcPr>
          <w:p w14:paraId="59B43424" w14:textId="31E76BD3"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Labour market factors: </w:t>
            </w:r>
            <w:r w:rsidR="003356C7" w:rsidRPr="00617A89">
              <w:rPr>
                <w:rFonts w:cs="Arial"/>
                <w:color w:val="000000" w:themeColor="text1"/>
                <w:sz w:val="18"/>
                <w:szCs w:val="18"/>
              </w:rPr>
              <w:t>No more hours available in current position</w:t>
            </w:r>
          </w:p>
        </w:tc>
        <w:tc>
          <w:tcPr>
            <w:tcW w:w="1255" w:type="dxa"/>
            <w:noWrap/>
            <w:vAlign w:val="center"/>
            <w:hideMark/>
          </w:tcPr>
          <w:p w14:paraId="71413772" w14:textId="29ACE06F"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44.4</w:t>
            </w:r>
          </w:p>
        </w:tc>
        <w:tc>
          <w:tcPr>
            <w:tcW w:w="1255" w:type="dxa"/>
            <w:noWrap/>
            <w:vAlign w:val="center"/>
            <w:hideMark/>
          </w:tcPr>
          <w:p w14:paraId="6DF8FF9B" w14:textId="682AC203"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50.4</w:t>
            </w:r>
          </w:p>
        </w:tc>
        <w:tc>
          <w:tcPr>
            <w:tcW w:w="1255" w:type="dxa"/>
            <w:noWrap/>
            <w:vAlign w:val="center"/>
            <w:hideMark/>
          </w:tcPr>
          <w:p w14:paraId="0472CC6E" w14:textId="4B61D610"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40.1</w:t>
            </w:r>
          </w:p>
        </w:tc>
        <w:tc>
          <w:tcPr>
            <w:tcW w:w="1255" w:type="dxa"/>
            <w:noWrap/>
            <w:vAlign w:val="center"/>
            <w:hideMark/>
          </w:tcPr>
          <w:p w14:paraId="431959D3" w14:textId="035E1003"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45.7</w:t>
            </w:r>
          </w:p>
        </w:tc>
        <w:tc>
          <w:tcPr>
            <w:tcW w:w="1255" w:type="dxa"/>
            <w:noWrap/>
            <w:vAlign w:val="center"/>
            <w:hideMark/>
          </w:tcPr>
          <w:p w14:paraId="3E97C087" w14:textId="4A9901A8"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37.7</w:t>
            </w:r>
          </w:p>
        </w:tc>
        <w:tc>
          <w:tcPr>
            <w:tcW w:w="1255" w:type="dxa"/>
            <w:noWrap/>
            <w:vAlign w:val="center"/>
            <w:hideMark/>
          </w:tcPr>
          <w:p w14:paraId="5EC1E2D1" w14:textId="6AE15735"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53.1</w:t>
            </w:r>
          </w:p>
        </w:tc>
      </w:tr>
      <w:tr w:rsidR="00C22852" w:rsidRPr="00617A89" w14:paraId="0BDE7D59" w14:textId="77777777" w:rsidTr="00034502">
        <w:trPr>
          <w:trHeight w:val="508"/>
        </w:trPr>
        <w:tc>
          <w:tcPr>
            <w:tcW w:w="3256" w:type="dxa"/>
            <w:noWrap/>
            <w:vAlign w:val="center"/>
            <w:hideMark/>
          </w:tcPr>
          <w:p w14:paraId="25DAE50F" w14:textId="16205DCA" w:rsidR="003356C7" w:rsidRPr="00617A89" w:rsidRDefault="00F87D04" w:rsidP="003356C7">
            <w:pPr>
              <w:rPr>
                <w:rFonts w:cs="Arial"/>
                <w:color w:val="000000" w:themeColor="text1"/>
                <w:sz w:val="18"/>
                <w:szCs w:val="18"/>
              </w:rPr>
            </w:pPr>
            <w:r w:rsidRPr="00617A89">
              <w:rPr>
                <w:rFonts w:cs="Arial"/>
                <w:color w:val="000000" w:themeColor="text1"/>
                <w:sz w:val="18"/>
                <w:szCs w:val="18"/>
              </w:rPr>
              <w:t xml:space="preserve">Labour market factors: </w:t>
            </w:r>
            <w:r w:rsidR="003356C7" w:rsidRPr="00617A89">
              <w:rPr>
                <w:rFonts w:cs="Arial"/>
                <w:color w:val="000000" w:themeColor="text1"/>
                <w:sz w:val="18"/>
                <w:szCs w:val="18"/>
              </w:rPr>
              <w:t>Work has been reduced/shutdown due to COVID-19</w:t>
            </w:r>
          </w:p>
        </w:tc>
        <w:tc>
          <w:tcPr>
            <w:tcW w:w="1255" w:type="dxa"/>
            <w:noWrap/>
            <w:vAlign w:val="center"/>
            <w:hideMark/>
          </w:tcPr>
          <w:p w14:paraId="59923B74" w14:textId="0DD20A58"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5.4</w:t>
            </w:r>
          </w:p>
        </w:tc>
        <w:tc>
          <w:tcPr>
            <w:tcW w:w="1255" w:type="dxa"/>
            <w:noWrap/>
            <w:vAlign w:val="center"/>
            <w:hideMark/>
          </w:tcPr>
          <w:p w14:paraId="59FFAFA9" w14:textId="4DE39BC6"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0.1</w:t>
            </w:r>
          </w:p>
        </w:tc>
        <w:tc>
          <w:tcPr>
            <w:tcW w:w="1255" w:type="dxa"/>
            <w:noWrap/>
            <w:vAlign w:val="center"/>
            <w:hideMark/>
          </w:tcPr>
          <w:p w14:paraId="4102D8BC" w14:textId="2FDBD18C"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6.7</w:t>
            </w:r>
          </w:p>
        </w:tc>
        <w:tc>
          <w:tcPr>
            <w:tcW w:w="1255" w:type="dxa"/>
            <w:noWrap/>
            <w:vAlign w:val="center"/>
            <w:hideMark/>
          </w:tcPr>
          <w:p w14:paraId="2541852E" w14:textId="1F02C0CD"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0.0</w:t>
            </w:r>
          </w:p>
        </w:tc>
        <w:tc>
          <w:tcPr>
            <w:tcW w:w="1255" w:type="dxa"/>
            <w:noWrap/>
            <w:vAlign w:val="center"/>
            <w:hideMark/>
          </w:tcPr>
          <w:p w14:paraId="5D9F0A3B" w14:textId="47AB4340"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4.7</w:t>
            </w:r>
          </w:p>
        </w:tc>
        <w:tc>
          <w:tcPr>
            <w:tcW w:w="1255" w:type="dxa"/>
            <w:noWrap/>
            <w:vAlign w:val="center"/>
            <w:hideMark/>
          </w:tcPr>
          <w:p w14:paraId="39584F14" w14:textId="103FD2BB" w:rsidR="003356C7" w:rsidRPr="00617A89" w:rsidRDefault="003356C7" w:rsidP="0081789C">
            <w:pPr>
              <w:jc w:val="center"/>
              <w:rPr>
                <w:rFonts w:cs="Arial"/>
                <w:color w:val="000000" w:themeColor="text1"/>
                <w:sz w:val="18"/>
                <w:szCs w:val="18"/>
              </w:rPr>
            </w:pPr>
            <w:r w:rsidRPr="00617A89">
              <w:rPr>
                <w:rFonts w:cs="Arial"/>
                <w:color w:val="000000" w:themeColor="text1"/>
                <w:sz w:val="18"/>
                <w:szCs w:val="18"/>
              </w:rPr>
              <w:t>0.0</w:t>
            </w:r>
          </w:p>
        </w:tc>
      </w:tr>
      <w:tr w:rsidR="00C22852" w:rsidRPr="00617A89" w14:paraId="10B71D20" w14:textId="77777777" w:rsidTr="00034502">
        <w:trPr>
          <w:trHeight w:val="508"/>
        </w:trPr>
        <w:tc>
          <w:tcPr>
            <w:tcW w:w="3256" w:type="dxa"/>
            <w:noWrap/>
            <w:vAlign w:val="center"/>
          </w:tcPr>
          <w:p w14:paraId="7E45DF0B" w14:textId="72BAC394" w:rsidR="00352F7E" w:rsidRPr="00617A89" w:rsidRDefault="00F87D04" w:rsidP="00352F7E">
            <w:pPr>
              <w:rPr>
                <w:rFonts w:cs="Arial"/>
                <w:color w:val="000000" w:themeColor="text1"/>
                <w:sz w:val="18"/>
              </w:rPr>
            </w:pPr>
            <w:r w:rsidRPr="00617A89">
              <w:rPr>
                <w:rFonts w:cs="Arial"/>
                <w:color w:val="000000" w:themeColor="text1"/>
                <w:sz w:val="18"/>
                <w:szCs w:val="18"/>
              </w:rPr>
              <w:t xml:space="preserve">Labour market factors: </w:t>
            </w:r>
            <w:r w:rsidR="00352F7E" w:rsidRPr="00617A89">
              <w:rPr>
                <w:rFonts w:cs="Arial"/>
                <w:color w:val="000000" w:themeColor="text1"/>
                <w:sz w:val="18"/>
              </w:rPr>
              <w:t>Other labour market factors</w:t>
            </w:r>
          </w:p>
        </w:tc>
        <w:tc>
          <w:tcPr>
            <w:tcW w:w="1255" w:type="dxa"/>
            <w:noWrap/>
            <w:vAlign w:val="center"/>
          </w:tcPr>
          <w:p w14:paraId="598AA274" w14:textId="4120FDE1" w:rsidR="00352F7E" w:rsidRPr="00617A89" w:rsidRDefault="00352F7E" w:rsidP="00352F7E">
            <w:pPr>
              <w:jc w:val="center"/>
              <w:rPr>
                <w:rFonts w:cs="Arial"/>
                <w:color w:val="000000" w:themeColor="text1"/>
                <w:sz w:val="18"/>
              </w:rPr>
            </w:pPr>
            <w:r w:rsidRPr="00617A89">
              <w:rPr>
                <w:rFonts w:cs="Arial"/>
                <w:color w:val="000000" w:themeColor="text1"/>
                <w:sz w:val="18"/>
                <w:szCs w:val="18"/>
              </w:rPr>
              <w:t>1.7</w:t>
            </w:r>
          </w:p>
        </w:tc>
        <w:tc>
          <w:tcPr>
            <w:tcW w:w="1255" w:type="dxa"/>
            <w:noWrap/>
            <w:vAlign w:val="center"/>
          </w:tcPr>
          <w:p w14:paraId="368726EA" w14:textId="29B88871" w:rsidR="00352F7E" w:rsidRPr="00617A89" w:rsidRDefault="00352F7E" w:rsidP="00352F7E">
            <w:pPr>
              <w:jc w:val="center"/>
              <w:rPr>
                <w:rFonts w:cs="Arial"/>
                <w:color w:val="000000" w:themeColor="text1"/>
                <w:sz w:val="18"/>
              </w:rPr>
            </w:pPr>
            <w:r w:rsidRPr="00617A89">
              <w:rPr>
                <w:rFonts w:cs="Arial"/>
                <w:color w:val="000000" w:themeColor="text1"/>
                <w:sz w:val="18"/>
                <w:szCs w:val="18"/>
              </w:rPr>
              <w:t>0.8</w:t>
            </w:r>
          </w:p>
        </w:tc>
        <w:tc>
          <w:tcPr>
            <w:tcW w:w="1255" w:type="dxa"/>
            <w:noWrap/>
            <w:vAlign w:val="center"/>
          </w:tcPr>
          <w:p w14:paraId="79ECB2A0" w14:textId="27571984" w:rsidR="00352F7E" w:rsidRPr="00617A89" w:rsidRDefault="00352F7E" w:rsidP="00352F7E">
            <w:pPr>
              <w:jc w:val="center"/>
              <w:rPr>
                <w:rFonts w:cs="Arial"/>
                <w:color w:val="000000" w:themeColor="text1"/>
                <w:sz w:val="18"/>
              </w:rPr>
            </w:pPr>
            <w:r w:rsidRPr="00617A89">
              <w:rPr>
                <w:rFonts w:cs="Arial"/>
                <w:color w:val="000000" w:themeColor="text1"/>
                <w:sz w:val="18"/>
                <w:szCs w:val="18"/>
              </w:rPr>
              <w:t>2.5</w:t>
            </w:r>
          </w:p>
        </w:tc>
        <w:tc>
          <w:tcPr>
            <w:tcW w:w="1255" w:type="dxa"/>
            <w:noWrap/>
            <w:vAlign w:val="center"/>
          </w:tcPr>
          <w:p w14:paraId="088D993E" w14:textId="537A94D9" w:rsidR="00352F7E" w:rsidRPr="00617A89" w:rsidRDefault="00352F7E" w:rsidP="00352F7E">
            <w:pPr>
              <w:jc w:val="center"/>
              <w:rPr>
                <w:rFonts w:cs="Arial"/>
                <w:color w:val="000000" w:themeColor="text1"/>
                <w:sz w:val="18"/>
              </w:rPr>
            </w:pPr>
            <w:r w:rsidRPr="00617A89">
              <w:rPr>
                <w:rFonts w:cs="Arial"/>
                <w:color w:val="000000" w:themeColor="text1"/>
                <w:sz w:val="18"/>
                <w:szCs w:val="18"/>
              </w:rPr>
              <w:t>1.5</w:t>
            </w:r>
          </w:p>
        </w:tc>
        <w:tc>
          <w:tcPr>
            <w:tcW w:w="1255" w:type="dxa"/>
            <w:noWrap/>
            <w:vAlign w:val="center"/>
          </w:tcPr>
          <w:p w14:paraId="3B3C8F67" w14:textId="20AD3601" w:rsidR="00352F7E" w:rsidRPr="00617A89" w:rsidRDefault="00352F7E" w:rsidP="00352F7E">
            <w:pPr>
              <w:jc w:val="center"/>
              <w:rPr>
                <w:rFonts w:cs="Arial"/>
                <w:color w:val="000000" w:themeColor="text1"/>
                <w:sz w:val="18"/>
              </w:rPr>
            </w:pPr>
            <w:r w:rsidRPr="00617A89">
              <w:rPr>
                <w:rFonts w:cs="Arial"/>
                <w:color w:val="000000" w:themeColor="text1"/>
                <w:sz w:val="18"/>
                <w:szCs w:val="18"/>
              </w:rPr>
              <w:t>2.1</w:t>
            </w:r>
          </w:p>
        </w:tc>
        <w:tc>
          <w:tcPr>
            <w:tcW w:w="1255" w:type="dxa"/>
            <w:noWrap/>
            <w:vAlign w:val="center"/>
          </w:tcPr>
          <w:p w14:paraId="1D563EE2" w14:textId="2FFD90CB" w:rsidR="00352F7E" w:rsidRPr="00617A89" w:rsidRDefault="00352F7E" w:rsidP="00352F7E">
            <w:pPr>
              <w:jc w:val="center"/>
              <w:rPr>
                <w:rFonts w:cs="Arial"/>
                <w:color w:val="000000" w:themeColor="text1"/>
                <w:sz w:val="18"/>
              </w:rPr>
            </w:pPr>
            <w:r w:rsidRPr="00617A89">
              <w:rPr>
                <w:rFonts w:cs="Arial"/>
                <w:color w:val="000000" w:themeColor="text1"/>
                <w:sz w:val="18"/>
                <w:szCs w:val="18"/>
              </w:rPr>
              <w:t>2.0</w:t>
            </w:r>
          </w:p>
        </w:tc>
      </w:tr>
      <w:tr w:rsidR="00C22852" w:rsidRPr="00617A89" w14:paraId="2D607551" w14:textId="77777777" w:rsidTr="00034502">
        <w:trPr>
          <w:trHeight w:val="403"/>
        </w:trPr>
        <w:tc>
          <w:tcPr>
            <w:tcW w:w="3256" w:type="dxa"/>
            <w:shd w:val="clear" w:color="auto" w:fill="F2F2F2" w:themeFill="background1" w:themeFillShade="F2"/>
            <w:noWrap/>
            <w:vAlign w:val="center"/>
            <w:hideMark/>
          </w:tcPr>
          <w:p w14:paraId="088E90C1" w14:textId="01EE03A0" w:rsidR="00352F7E" w:rsidRPr="00617A89" w:rsidRDefault="00F87D04" w:rsidP="00352F7E">
            <w:pPr>
              <w:rPr>
                <w:rFonts w:cs="Arial"/>
                <w:color w:val="000000" w:themeColor="text1"/>
                <w:sz w:val="18"/>
                <w:szCs w:val="18"/>
              </w:rPr>
            </w:pPr>
            <w:r w:rsidRPr="00617A89">
              <w:rPr>
                <w:rFonts w:cs="Arial"/>
                <w:color w:val="000000" w:themeColor="text1"/>
                <w:sz w:val="18"/>
                <w:szCs w:val="18"/>
              </w:rPr>
              <w:t xml:space="preserve">Labour market factors: </w:t>
            </w:r>
            <w:r w:rsidR="00352F7E" w:rsidRPr="00617A89">
              <w:rPr>
                <w:rFonts w:cs="Arial"/>
                <w:color w:val="000000" w:themeColor="text1"/>
                <w:sz w:val="18"/>
                <w:szCs w:val="18"/>
              </w:rPr>
              <w:t>Labour market factors sub-total</w:t>
            </w:r>
          </w:p>
        </w:tc>
        <w:tc>
          <w:tcPr>
            <w:tcW w:w="1255" w:type="dxa"/>
            <w:shd w:val="clear" w:color="auto" w:fill="F2F2F2" w:themeFill="background1" w:themeFillShade="F2"/>
            <w:noWrap/>
            <w:vAlign w:val="center"/>
            <w:hideMark/>
          </w:tcPr>
          <w:p w14:paraId="6053FAE7" w14:textId="7B8419A9"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68.4</w:t>
            </w:r>
          </w:p>
        </w:tc>
        <w:tc>
          <w:tcPr>
            <w:tcW w:w="1255" w:type="dxa"/>
            <w:shd w:val="clear" w:color="auto" w:fill="F2F2F2" w:themeFill="background1" w:themeFillShade="F2"/>
            <w:noWrap/>
            <w:vAlign w:val="center"/>
            <w:hideMark/>
          </w:tcPr>
          <w:p w14:paraId="10CD5201" w14:textId="15D95E69"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61.0</w:t>
            </w:r>
          </w:p>
        </w:tc>
        <w:tc>
          <w:tcPr>
            <w:tcW w:w="1255" w:type="dxa"/>
            <w:shd w:val="clear" w:color="auto" w:fill="F2F2F2" w:themeFill="background1" w:themeFillShade="F2"/>
            <w:noWrap/>
            <w:vAlign w:val="center"/>
            <w:hideMark/>
          </w:tcPr>
          <w:p w14:paraId="2FCF9AED" w14:textId="4F0798EB"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69.4</w:t>
            </w:r>
          </w:p>
        </w:tc>
        <w:tc>
          <w:tcPr>
            <w:tcW w:w="1255" w:type="dxa"/>
            <w:shd w:val="clear" w:color="auto" w:fill="F2F2F2" w:themeFill="background1" w:themeFillShade="F2"/>
            <w:noWrap/>
            <w:vAlign w:val="center"/>
            <w:hideMark/>
          </w:tcPr>
          <w:p w14:paraId="4A77302B" w14:textId="718240BE"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59.4</w:t>
            </w:r>
          </w:p>
        </w:tc>
        <w:tc>
          <w:tcPr>
            <w:tcW w:w="1255" w:type="dxa"/>
            <w:shd w:val="clear" w:color="auto" w:fill="F2F2F2" w:themeFill="background1" w:themeFillShade="F2"/>
            <w:noWrap/>
            <w:vAlign w:val="center"/>
            <w:hideMark/>
          </w:tcPr>
          <w:p w14:paraId="597FB2B1" w14:textId="2CFA9CE8"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80.6</w:t>
            </w:r>
          </w:p>
        </w:tc>
        <w:tc>
          <w:tcPr>
            <w:tcW w:w="1255" w:type="dxa"/>
            <w:shd w:val="clear" w:color="auto" w:fill="F2F2F2" w:themeFill="background1" w:themeFillShade="F2"/>
            <w:noWrap/>
            <w:vAlign w:val="center"/>
            <w:hideMark/>
          </w:tcPr>
          <w:p w14:paraId="12F71EAC" w14:textId="256228B4"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75.5</w:t>
            </w:r>
          </w:p>
        </w:tc>
      </w:tr>
      <w:tr w:rsidR="00C22852" w:rsidRPr="00617A89" w14:paraId="7E3BE8FC" w14:textId="77777777" w:rsidTr="00034502">
        <w:trPr>
          <w:trHeight w:val="403"/>
        </w:trPr>
        <w:tc>
          <w:tcPr>
            <w:tcW w:w="3256" w:type="dxa"/>
            <w:shd w:val="clear" w:color="auto" w:fill="F2F2F2" w:themeFill="background1" w:themeFillShade="F2"/>
            <w:noWrap/>
            <w:vAlign w:val="center"/>
            <w:hideMark/>
          </w:tcPr>
          <w:p w14:paraId="625B4768" w14:textId="7669CADB" w:rsidR="00352F7E" w:rsidRPr="00617A89" w:rsidRDefault="00352F7E" w:rsidP="00352F7E">
            <w:pPr>
              <w:rPr>
                <w:rFonts w:cs="Arial"/>
                <w:color w:val="000000" w:themeColor="text1"/>
                <w:sz w:val="18"/>
                <w:szCs w:val="18"/>
              </w:rPr>
            </w:pPr>
            <w:r w:rsidRPr="00617A89">
              <w:rPr>
                <w:rFonts w:cs="Arial"/>
                <w:color w:val="000000" w:themeColor="text1"/>
                <w:sz w:val="18"/>
                <w:szCs w:val="18"/>
              </w:rPr>
              <w:t>Other factors</w:t>
            </w:r>
          </w:p>
        </w:tc>
        <w:tc>
          <w:tcPr>
            <w:tcW w:w="1255" w:type="dxa"/>
            <w:shd w:val="clear" w:color="auto" w:fill="F2F2F2" w:themeFill="background1" w:themeFillShade="F2"/>
            <w:noWrap/>
            <w:vAlign w:val="center"/>
            <w:hideMark/>
          </w:tcPr>
          <w:p w14:paraId="62CF555E" w14:textId="2FF52A6B"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9.3</w:t>
            </w:r>
          </w:p>
        </w:tc>
        <w:tc>
          <w:tcPr>
            <w:tcW w:w="1255" w:type="dxa"/>
            <w:shd w:val="clear" w:color="auto" w:fill="F2F2F2" w:themeFill="background1" w:themeFillShade="F2"/>
            <w:noWrap/>
            <w:vAlign w:val="center"/>
            <w:hideMark/>
          </w:tcPr>
          <w:p w14:paraId="470AE944" w14:textId="6B69211C"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5.2</w:t>
            </w:r>
          </w:p>
        </w:tc>
        <w:tc>
          <w:tcPr>
            <w:tcW w:w="1255" w:type="dxa"/>
            <w:shd w:val="clear" w:color="auto" w:fill="F2F2F2" w:themeFill="background1" w:themeFillShade="F2"/>
            <w:noWrap/>
            <w:vAlign w:val="center"/>
            <w:hideMark/>
          </w:tcPr>
          <w:p w14:paraId="08A3A1AF" w14:textId="3B2831FF"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11.2</w:t>
            </w:r>
          </w:p>
        </w:tc>
        <w:tc>
          <w:tcPr>
            <w:tcW w:w="1255" w:type="dxa"/>
            <w:shd w:val="clear" w:color="auto" w:fill="F2F2F2" w:themeFill="background1" w:themeFillShade="F2"/>
            <w:noWrap/>
            <w:vAlign w:val="center"/>
            <w:hideMark/>
          </w:tcPr>
          <w:p w14:paraId="087E7119" w14:textId="1012E32C"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8.1</w:t>
            </w:r>
          </w:p>
        </w:tc>
        <w:tc>
          <w:tcPr>
            <w:tcW w:w="1255" w:type="dxa"/>
            <w:shd w:val="clear" w:color="auto" w:fill="F2F2F2" w:themeFill="background1" w:themeFillShade="F2"/>
            <w:noWrap/>
            <w:vAlign w:val="center"/>
            <w:hideMark/>
          </w:tcPr>
          <w:p w14:paraId="75C57A3C" w14:textId="3FA1D92A"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10.5</w:t>
            </w:r>
          </w:p>
        </w:tc>
        <w:tc>
          <w:tcPr>
            <w:tcW w:w="1255" w:type="dxa"/>
            <w:shd w:val="clear" w:color="auto" w:fill="F2F2F2" w:themeFill="background1" w:themeFillShade="F2"/>
            <w:noWrap/>
            <w:vAlign w:val="center"/>
            <w:hideMark/>
          </w:tcPr>
          <w:p w14:paraId="33EF4BCE" w14:textId="3F14F35B" w:rsidR="00352F7E" w:rsidRPr="00617A89" w:rsidRDefault="00352F7E" w:rsidP="00352F7E">
            <w:pPr>
              <w:jc w:val="center"/>
              <w:rPr>
                <w:rFonts w:cs="Arial"/>
                <w:color w:val="000000" w:themeColor="text1"/>
                <w:sz w:val="18"/>
                <w:szCs w:val="18"/>
              </w:rPr>
            </w:pPr>
            <w:r w:rsidRPr="00617A89">
              <w:rPr>
                <w:rFonts w:cs="Arial"/>
                <w:color w:val="000000" w:themeColor="text1"/>
                <w:sz w:val="18"/>
                <w:szCs w:val="18"/>
              </w:rPr>
              <w:t>4.1</w:t>
            </w:r>
          </w:p>
        </w:tc>
      </w:tr>
      <w:tr w:rsidR="00C22852" w:rsidRPr="00617A89" w14:paraId="757A855E" w14:textId="77777777" w:rsidTr="00034502">
        <w:trPr>
          <w:trHeight w:val="403"/>
        </w:trPr>
        <w:tc>
          <w:tcPr>
            <w:tcW w:w="3256" w:type="dxa"/>
            <w:noWrap/>
            <w:vAlign w:val="center"/>
            <w:hideMark/>
          </w:tcPr>
          <w:p w14:paraId="5A8A56F7" w14:textId="60004295" w:rsidR="00352F7E" w:rsidRPr="00617A89" w:rsidRDefault="00352F7E" w:rsidP="00352F7E">
            <w:pPr>
              <w:rPr>
                <w:rFonts w:cs="Arial"/>
                <w:b/>
                <w:bCs/>
                <w:color w:val="000000" w:themeColor="text1"/>
                <w:sz w:val="18"/>
                <w:szCs w:val="18"/>
              </w:rPr>
            </w:pPr>
            <w:r w:rsidRPr="00617A89">
              <w:rPr>
                <w:rFonts w:cs="Arial"/>
                <w:b/>
                <w:bCs/>
                <w:color w:val="000000" w:themeColor="text1"/>
                <w:sz w:val="18"/>
                <w:szCs w:val="18"/>
              </w:rPr>
              <w:t>Total</w:t>
            </w:r>
          </w:p>
        </w:tc>
        <w:tc>
          <w:tcPr>
            <w:tcW w:w="1255" w:type="dxa"/>
            <w:noWrap/>
            <w:vAlign w:val="center"/>
            <w:hideMark/>
          </w:tcPr>
          <w:p w14:paraId="083730DA" w14:textId="21C8AE65" w:rsidR="00352F7E" w:rsidRPr="00617A89" w:rsidRDefault="00352F7E" w:rsidP="00352F7E">
            <w:pPr>
              <w:jc w:val="center"/>
              <w:rPr>
                <w:rFonts w:cs="Arial"/>
                <w:b/>
                <w:bCs/>
                <w:color w:val="000000" w:themeColor="text1"/>
                <w:sz w:val="18"/>
                <w:szCs w:val="18"/>
              </w:rPr>
            </w:pPr>
            <w:r w:rsidRPr="00617A89">
              <w:rPr>
                <w:rFonts w:cs="Arial"/>
                <w:b/>
                <w:bCs/>
                <w:color w:val="000000" w:themeColor="text1"/>
                <w:sz w:val="18"/>
                <w:szCs w:val="18"/>
              </w:rPr>
              <w:t>100.0</w:t>
            </w:r>
          </w:p>
        </w:tc>
        <w:tc>
          <w:tcPr>
            <w:tcW w:w="1255" w:type="dxa"/>
            <w:noWrap/>
            <w:vAlign w:val="center"/>
            <w:hideMark/>
          </w:tcPr>
          <w:p w14:paraId="4859DCFB" w14:textId="2AD72558" w:rsidR="00352F7E" w:rsidRPr="00617A89" w:rsidRDefault="00352F7E" w:rsidP="00352F7E">
            <w:pPr>
              <w:jc w:val="center"/>
              <w:rPr>
                <w:rFonts w:cs="Arial"/>
                <w:b/>
                <w:bCs/>
                <w:color w:val="000000" w:themeColor="text1"/>
                <w:sz w:val="18"/>
                <w:szCs w:val="18"/>
              </w:rPr>
            </w:pPr>
            <w:r w:rsidRPr="00617A89">
              <w:rPr>
                <w:rFonts w:cs="Arial"/>
                <w:b/>
                <w:bCs/>
                <w:color w:val="000000" w:themeColor="text1"/>
                <w:sz w:val="18"/>
                <w:szCs w:val="18"/>
              </w:rPr>
              <w:t>100.0</w:t>
            </w:r>
          </w:p>
        </w:tc>
        <w:tc>
          <w:tcPr>
            <w:tcW w:w="1255" w:type="dxa"/>
            <w:noWrap/>
            <w:vAlign w:val="center"/>
            <w:hideMark/>
          </w:tcPr>
          <w:p w14:paraId="3A7F7575" w14:textId="1AC073D8" w:rsidR="00352F7E" w:rsidRPr="00617A89" w:rsidRDefault="00352F7E" w:rsidP="00352F7E">
            <w:pPr>
              <w:jc w:val="center"/>
              <w:rPr>
                <w:rFonts w:cs="Arial"/>
                <w:b/>
                <w:bCs/>
                <w:color w:val="000000" w:themeColor="text1"/>
                <w:sz w:val="18"/>
                <w:szCs w:val="18"/>
              </w:rPr>
            </w:pPr>
            <w:r w:rsidRPr="00617A89">
              <w:rPr>
                <w:rFonts w:cs="Arial"/>
                <w:b/>
                <w:bCs/>
                <w:color w:val="000000" w:themeColor="text1"/>
                <w:sz w:val="18"/>
                <w:szCs w:val="18"/>
              </w:rPr>
              <w:t>100.0</w:t>
            </w:r>
          </w:p>
        </w:tc>
        <w:tc>
          <w:tcPr>
            <w:tcW w:w="1255" w:type="dxa"/>
            <w:noWrap/>
            <w:vAlign w:val="center"/>
            <w:hideMark/>
          </w:tcPr>
          <w:p w14:paraId="46C9CF0A" w14:textId="6428D4E5" w:rsidR="00352F7E" w:rsidRPr="00617A89" w:rsidRDefault="00352F7E" w:rsidP="00352F7E">
            <w:pPr>
              <w:jc w:val="center"/>
              <w:rPr>
                <w:rFonts w:cs="Arial"/>
                <w:b/>
                <w:bCs/>
                <w:color w:val="000000" w:themeColor="text1"/>
                <w:sz w:val="18"/>
                <w:szCs w:val="18"/>
              </w:rPr>
            </w:pPr>
            <w:r w:rsidRPr="00617A89">
              <w:rPr>
                <w:rFonts w:cs="Arial"/>
                <w:b/>
                <w:bCs/>
                <w:color w:val="000000" w:themeColor="text1"/>
                <w:sz w:val="18"/>
                <w:szCs w:val="18"/>
              </w:rPr>
              <w:t>100.0</w:t>
            </w:r>
          </w:p>
        </w:tc>
        <w:tc>
          <w:tcPr>
            <w:tcW w:w="1255" w:type="dxa"/>
            <w:noWrap/>
            <w:vAlign w:val="center"/>
            <w:hideMark/>
          </w:tcPr>
          <w:p w14:paraId="47187BB0" w14:textId="0D7C5493" w:rsidR="00352F7E" w:rsidRPr="00617A89" w:rsidRDefault="00352F7E" w:rsidP="00352F7E">
            <w:pPr>
              <w:jc w:val="center"/>
              <w:rPr>
                <w:rFonts w:cs="Arial"/>
                <w:b/>
                <w:bCs/>
                <w:color w:val="000000" w:themeColor="text1"/>
                <w:sz w:val="18"/>
                <w:szCs w:val="18"/>
              </w:rPr>
            </w:pPr>
            <w:r w:rsidRPr="00617A89">
              <w:rPr>
                <w:rFonts w:cs="Arial"/>
                <w:b/>
                <w:bCs/>
                <w:color w:val="000000" w:themeColor="text1"/>
                <w:sz w:val="18"/>
                <w:szCs w:val="18"/>
              </w:rPr>
              <w:t>100.0</w:t>
            </w:r>
          </w:p>
        </w:tc>
        <w:tc>
          <w:tcPr>
            <w:tcW w:w="1255" w:type="dxa"/>
            <w:noWrap/>
            <w:vAlign w:val="center"/>
            <w:hideMark/>
          </w:tcPr>
          <w:p w14:paraId="114DEC9A" w14:textId="75C536C8" w:rsidR="00352F7E" w:rsidRPr="00617A89" w:rsidRDefault="00352F7E" w:rsidP="00352F7E">
            <w:pPr>
              <w:jc w:val="center"/>
              <w:rPr>
                <w:rFonts w:cs="Arial"/>
                <w:b/>
                <w:bCs/>
                <w:color w:val="000000" w:themeColor="text1"/>
                <w:sz w:val="18"/>
                <w:szCs w:val="18"/>
              </w:rPr>
            </w:pPr>
            <w:r w:rsidRPr="00617A89">
              <w:rPr>
                <w:rFonts w:cs="Arial"/>
                <w:b/>
                <w:bCs/>
                <w:color w:val="000000" w:themeColor="text1"/>
                <w:sz w:val="18"/>
                <w:szCs w:val="18"/>
              </w:rPr>
              <w:t>100.0</w:t>
            </w:r>
          </w:p>
        </w:tc>
      </w:tr>
      <w:tr w:rsidR="00C22852" w:rsidRPr="00617A89" w14:paraId="1B369AF9" w14:textId="77777777" w:rsidTr="00034502">
        <w:trPr>
          <w:trHeight w:val="597"/>
        </w:trPr>
        <w:tc>
          <w:tcPr>
            <w:tcW w:w="3256" w:type="dxa"/>
            <w:noWrap/>
            <w:vAlign w:val="center"/>
          </w:tcPr>
          <w:p w14:paraId="450AE98F" w14:textId="774FF6EF" w:rsidR="000E3306" w:rsidRPr="00617A89" w:rsidRDefault="000E3306" w:rsidP="000E3306">
            <w:pPr>
              <w:rPr>
                <w:rFonts w:cs="Arial"/>
                <w:b/>
                <w:bCs/>
                <w:color w:val="000000" w:themeColor="text1"/>
                <w:sz w:val="18"/>
              </w:rPr>
            </w:pPr>
            <w:r w:rsidRPr="00617A89">
              <w:rPr>
                <w:rFonts w:cs="Arial"/>
                <w:b/>
                <w:bCs/>
                <w:color w:val="000000" w:themeColor="text1"/>
                <w:sz w:val="18"/>
              </w:rPr>
              <w:t xml:space="preserve">Employed part-time, </w:t>
            </w:r>
            <w:r w:rsidR="00C031E8" w:rsidRPr="00617A89">
              <w:rPr>
                <w:rFonts w:cs="Arial"/>
                <w:b/>
                <w:bCs/>
                <w:color w:val="000000" w:themeColor="text1"/>
                <w:sz w:val="18"/>
              </w:rPr>
              <w:t>would</w:t>
            </w:r>
            <w:r w:rsidRPr="00617A89">
              <w:rPr>
                <w:rFonts w:cs="Arial"/>
                <w:b/>
                <w:bCs/>
                <w:color w:val="000000" w:themeColor="text1"/>
                <w:sz w:val="18"/>
              </w:rPr>
              <w:t xml:space="preserve"> </w:t>
            </w:r>
            <w:r w:rsidR="00284FA1" w:rsidRPr="00617A89">
              <w:rPr>
                <w:rFonts w:cs="Arial"/>
                <w:b/>
                <w:bCs/>
                <w:color w:val="000000" w:themeColor="text1"/>
                <w:sz w:val="18"/>
              </w:rPr>
              <w:t xml:space="preserve">prefer </w:t>
            </w:r>
            <w:r w:rsidRPr="00617A89">
              <w:rPr>
                <w:rFonts w:cs="Arial"/>
                <w:b/>
                <w:bCs/>
                <w:color w:val="000000" w:themeColor="text1"/>
                <w:sz w:val="18"/>
              </w:rPr>
              <w:t>more hours (% of those employed)</w:t>
            </w:r>
          </w:p>
        </w:tc>
        <w:tc>
          <w:tcPr>
            <w:tcW w:w="1255" w:type="dxa"/>
            <w:noWrap/>
            <w:vAlign w:val="center"/>
          </w:tcPr>
          <w:p w14:paraId="4EAEF601" w14:textId="475FECCA" w:rsidR="000E3306" w:rsidRPr="00617A89" w:rsidRDefault="000E3306" w:rsidP="000E3306">
            <w:pPr>
              <w:jc w:val="center"/>
              <w:rPr>
                <w:rFonts w:cs="Arial"/>
                <w:b/>
                <w:bCs/>
                <w:color w:val="000000" w:themeColor="text1"/>
                <w:sz w:val="18"/>
                <w:szCs w:val="18"/>
              </w:rPr>
            </w:pPr>
            <w:r w:rsidRPr="00617A89">
              <w:rPr>
                <w:rFonts w:cs="Arial"/>
                <w:b/>
                <w:bCs/>
                <w:color w:val="000000" w:themeColor="text1"/>
                <w:sz w:val="18"/>
                <w:szCs w:val="18"/>
              </w:rPr>
              <w:t>13.7</w:t>
            </w:r>
          </w:p>
        </w:tc>
        <w:tc>
          <w:tcPr>
            <w:tcW w:w="1255" w:type="dxa"/>
            <w:noWrap/>
            <w:vAlign w:val="center"/>
          </w:tcPr>
          <w:p w14:paraId="29206326" w14:textId="460BCE8F" w:rsidR="000E3306" w:rsidRPr="00617A89" w:rsidRDefault="000E3306" w:rsidP="000E3306">
            <w:pPr>
              <w:jc w:val="center"/>
              <w:rPr>
                <w:rFonts w:cs="Arial"/>
                <w:b/>
                <w:bCs/>
                <w:color w:val="000000" w:themeColor="text1"/>
                <w:sz w:val="18"/>
                <w:szCs w:val="18"/>
              </w:rPr>
            </w:pPr>
            <w:r w:rsidRPr="00617A89">
              <w:rPr>
                <w:rFonts w:cs="Arial"/>
                <w:b/>
                <w:bCs/>
                <w:color w:val="000000" w:themeColor="text1"/>
                <w:sz w:val="18"/>
                <w:szCs w:val="18"/>
              </w:rPr>
              <w:t>7.2</w:t>
            </w:r>
          </w:p>
        </w:tc>
        <w:tc>
          <w:tcPr>
            <w:tcW w:w="1255" w:type="dxa"/>
            <w:noWrap/>
            <w:vAlign w:val="center"/>
          </w:tcPr>
          <w:p w14:paraId="5A887A07" w14:textId="5BF983F6" w:rsidR="000E3306" w:rsidRPr="00617A89" w:rsidRDefault="000E3306" w:rsidP="000E3306">
            <w:pPr>
              <w:jc w:val="center"/>
              <w:rPr>
                <w:rFonts w:cs="Arial"/>
                <w:b/>
                <w:bCs/>
                <w:color w:val="000000" w:themeColor="text1"/>
                <w:sz w:val="18"/>
                <w:szCs w:val="18"/>
              </w:rPr>
            </w:pPr>
            <w:r w:rsidRPr="00617A89">
              <w:rPr>
                <w:rFonts w:cs="Arial"/>
                <w:b/>
                <w:bCs/>
                <w:color w:val="000000" w:themeColor="text1"/>
                <w:sz w:val="18"/>
                <w:szCs w:val="18"/>
              </w:rPr>
              <w:t>7.2</w:t>
            </w:r>
          </w:p>
        </w:tc>
        <w:tc>
          <w:tcPr>
            <w:tcW w:w="1255" w:type="dxa"/>
            <w:noWrap/>
            <w:vAlign w:val="center"/>
          </w:tcPr>
          <w:p w14:paraId="40BE347C" w14:textId="0E485E2B" w:rsidR="000E3306" w:rsidRPr="00617A89" w:rsidRDefault="000E3306" w:rsidP="000E3306">
            <w:pPr>
              <w:jc w:val="center"/>
              <w:rPr>
                <w:rFonts w:cs="Arial"/>
                <w:b/>
                <w:bCs/>
                <w:color w:val="000000" w:themeColor="text1"/>
                <w:sz w:val="18"/>
                <w:szCs w:val="18"/>
              </w:rPr>
            </w:pPr>
            <w:r w:rsidRPr="00617A89">
              <w:rPr>
                <w:rFonts w:cs="Arial"/>
                <w:b/>
                <w:bCs/>
                <w:color w:val="000000" w:themeColor="text1"/>
                <w:sz w:val="18"/>
                <w:szCs w:val="18"/>
              </w:rPr>
              <w:t>4.5</w:t>
            </w:r>
          </w:p>
        </w:tc>
        <w:tc>
          <w:tcPr>
            <w:tcW w:w="1255" w:type="dxa"/>
            <w:noWrap/>
            <w:vAlign w:val="center"/>
          </w:tcPr>
          <w:p w14:paraId="5BF05FFF" w14:textId="5DFAA81F" w:rsidR="000E3306" w:rsidRPr="00617A89" w:rsidRDefault="000E3306" w:rsidP="000E3306">
            <w:pPr>
              <w:jc w:val="center"/>
              <w:rPr>
                <w:rFonts w:cs="Arial"/>
                <w:b/>
                <w:bCs/>
                <w:color w:val="000000" w:themeColor="text1"/>
                <w:sz w:val="18"/>
                <w:szCs w:val="18"/>
              </w:rPr>
            </w:pPr>
            <w:r w:rsidRPr="00617A89">
              <w:rPr>
                <w:rFonts w:cs="Arial"/>
                <w:b/>
                <w:bCs/>
                <w:color w:val="000000" w:themeColor="text1"/>
                <w:sz w:val="18"/>
                <w:szCs w:val="18"/>
              </w:rPr>
              <w:t>10.8</w:t>
            </w:r>
          </w:p>
        </w:tc>
        <w:tc>
          <w:tcPr>
            <w:tcW w:w="1255" w:type="dxa"/>
            <w:noWrap/>
            <w:vAlign w:val="center"/>
          </w:tcPr>
          <w:p w14:paraId="2F9FA982" w14:textId="7410A3CC" w:rsidR="000E3306" w:rsidRPr="00617A89" w:rsidRDefault="000E3306" w:rsidP="000E3306">
            <w:pPr>
              <w:jc w:val="center"/>
              <w:rPr>
                <w:rFonts w:cs="Arial"/>
                <w:b/>
                <w:bCs/>
                <w:color w:val="000000" w:themeColor="text1"/>
                <w:sz w:val="18"/>
                <w:szCs w:val="18"/>
              </w:rPr>
            </w:pPr>
            <w:r w:rsidRPr="00617A89">
              <w:rPr>
                <w:rFonts w:cs="Arial"/>
                <w:b/>
                <w:bCs/>
                <w:color w:val="000000" w:themeColor="text1"/>
                <w:sz w:val="18"/>
                <w:szCs w:val="18"/>
              </w:rPr>
              <w:t>5.7</w:t>
            </w:r>
          </w:p>
        </w:tc>
      </w:tr>
    </w:tbl>
    <w:p w14:paraId="503F9C84" w14:textId="5E893B17" w:rsidR="00244416" w:rsidRPr="00617A89" w:rsidRDefault="00244416" w:rsidP="00244416">
      <w:pPr>
        <w:rPr>
          <w:color w:val="000000" w:themeColor="text1"/>
        </w:rPr>
      </w:pPr>
    </w:p>
    <w:p w14:paraId="339E707D" w14:textId="77777777" w:rsidR="00244416" w:rsidRPr="00617A89" w:rsidRDefault="00244416" w:rsidP="00625E4C">
      <w:pPr>
        <w:pStyle w:val="Heading2"/>
        <w:rPr>
          <w:color w:val="000000" w:themeColor="text1"/>
        </w:rPr>
      </w:pPr>
      <w:bookmarkStart w:id="65" w:name="_Toc207707321"/>
      <w:bookmarkStart w:id="66" w:name="_Domestic_graduate_skills"/>
      <w:bookmarkStart w:id="67" w:name="_Toc75794927"/>
      <w:bookmarkStart w:id="68" w:name="_Toc79687691"/>
      <w:bookmarkStart w:id="69" w:name="_Ref140606077"/>
      <w:bookmarkStart w:id="70" w:name="_Ref140606086"/>
      <w:bookmarkStart w:id="71" w:name="_Ref140606091"/>
      <w:bookmarkStart w:id="72" w:name="_Toc192179855"/>
      <w:bookmarkStart w:id="73" w:name="_Toc222868441"/>
      <w:bookmarkEnd w:id="65"/>
      <w:bookmarkEnd w:id="66"/>
      <w:r w:rsidRPr="00617A89">
        <w:rPr>
          <w:color w:val="000000" w:themeColor="text1"/>
        </w:rPr>
        <w:t>Domestic graduate skills utilisation</w:t>
      </w:r>
      <w:bookmarkEnd w:id="67"/>
      <w:bookmarkEnd w:id="68"/>
      <w:bookmarkEnd w:id="69"/>
      <w:bookmarkEnd w:id="70"/>
      <w:bookmarkEnd w:id="71"/>
      <w:bookmarkEnd w:id="72"/>
      <w:bookmarkEnd w:id="73"/>
    </w:p>
    <w:p w14:paraId="604E33B7" w14:textId="77777777" w:rsidR="00244416" w:rsidRPr="00617A89" w:rsidRDefault="00244416"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The GOS and GOS-L include a rich array of information about the nature of graduate employment.</w:t>
      </w:r>
    </w:p>
    <w:p w14:paraId="3322D82F" w14:textId="77777777" w:rsidR="00244416" w:rsidRPr="00617A89" w:rsidRDefault="00244416"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This section focuses on some common measures of ‘skills utilisation’ (or the ‘quality’ of graduate jobs). These include the proportion of graduates employed in managerial or professional occupations, and whether graduates believe they are utilising their skills and education in their current role.</w:t>
      </w:r>
    </w:p>
    <w:p w14:paraId="0977AD76" w14:textId="6BBD11C6" w:rsidR="00DB0C8E" w:rsidRPr="00617A89" w:rsidRDefault="00244416" w:rsidP="00DB0C8E">
      <w:pPr>
        <w:pStyle w:val="Body"/>
        <w:rPr>
          <w:color w:val="000000" w:themeColor="text1"/>
        </w:rPr>
      </w:pPr>
      <w:r w:rsidRPr="00617A89">
        <w:rPr>
          <w:rFonts w:ascii="ArialMT" w:hAnsi="ArialMT" w:cs="ArialMT"/>
          <w:color w:val="000000" w:themeColor="text1"/>
          <w:lang w:val="en-GB"/>
        </w:rPr>
        <w:t>These measures provide useful information about how well graduates' skills are matched with employment, and how these change from the short-</w:t>
      </w:r>
      <w:r w:rsidR="00C47C7E" w:rsidRPr="00617A89">
        <w:rPr>
          <w:rFonts w:ascii="ArialMT" w:hAnsi="ArialMT" w:cs="ArialMT"/>
          <w:color w:val="000000" w:themeColor="text1"/>
          <w:lang w:val="en-GB"/>
        </w:rPr>
        <w:t xml:space="preserve"> </w:t>
      </w:r>
      <w:r w:rsidRPr="00617A89">
        <w:rPr>
          <w:rFonts w:ascii="ArialMT" w:hAnsi="ArialMT" w:cs="ArialMT"/>
          <w:color w:val="000000" w:themeColor="text1"/>
          <w:lang w:val="en-GB"/>
        </w:rPr>
        <w:t>to medium-term.</w:t>
      </w:r>
      <w:r w:rsidR="00091677" w:rsidRPr="00617A89">
        <w:rPr>
          <w:rFonts w:ascii="ArialMT" w:hAnsi="ArialMT" w:cs="ArialMT"/>
          <w:color w:val="000000" w:themeColor="text1"/>
          <w:lang w:val="en-GB"/>
        </w:rPr>
        <w:t xml:space="preserve"> </w:t>
      </w:r>
      <w:r w:rsidR="00DB0C8E" w:rsidRPr="00617A89">
        <w:rPr>
          <w:rFonts w:ascii="ArialMT" w:hAnsi="ArialMT" w:cs="ArialMT"/>
          <w:color w:val="000000" w:themeColor="text1"/>
          <w:lang w:val="en-GB"/>
        </w:rPr>
        <w:t xml:space="preserve">However, it is important to note that </w:t>
      </w:r>
      <w:r w:rsidR="00DB0C8E" w:rsidRPr="00617A89">
        <w:rPr>
          <w:color w:val="000000" w:themeColor="text1"/>
        </w:rPr>
        <w:t>there are a range of factors, beyond the quality of educational experience, that may influence occupational outcomes. This includes the proportion of graduates undertaking further full-time study, registration or professional accreditation timelines and graduate choice.</w:t>
      </w:r>
    </w:p>
    <w:p w14:paraId="04EB9B6E" w14:textId="516DB7F3" w:rsidR="007C528D" w:rsidRPr="00617A89" w:rsidRDefault="007F7135" w:rsidP="00280B87">
      <w:pPr>
        <w:pStyle w:val="Heading3"/>
        <w:rPr>
          <w:color w:val="000000" w:themeColor="text1"/>
          <w:lang w:val="en-GB"/>
        </w:rPr>
      </w:pPr>
      <w:bookmarkStart w:id="74" w:name="_Toc222868442"/>
      <w:r w:rsidRPr="00617A89">
        <w:rPr>
          <w:color w:val="000000" w:themeColor="text1"/>
          <w:lang w:val="en-GB"/>
        </w:rPr>
        <w:t>O</w:t>
      </w:r>
      <w:r w:rsidR="0090006F" w:rsidRPr="00617A89">
        <w:rPr>
          <w:color w:val="000000" w:themeColor="text1"/>
          <w:lang w:val="en-GB"/>
        </w:rPr>
        <w:t>ccupation</w:t>
      </w:r>
      <w:r w:rsidRPr="00617A89">
        <w:rPr>
          <w:color w:val="000000" w:themeColor="text1"/>
          <w:lang w:val="en-GB"/>
        </w:rPr>
        <w:t xml:space="preserve"> type</w:t>
      </w:r>
      <w:bookmarkEnd w:id="74"/>
    </w:p>
    <w:p w14:paraId="258E80CC" w14:textId="292BB544" w:rsidR="007D59C1" w:rsidRPr="00617A89" w:rsidRDefault="007D59C1" w:rsidP="007D59C1">
      <w:pPr>
        <w:pStyle w:val="Body"/>
        <w:rPr>
          <w:color w:val="000000" w:themeColor="text1"/>
        </w:rPr>
      </w:pPr>
      <w:r w:rsidRPr="00617A89">
        <w:rPr>
          <w:color w:val="000000" w:themeColor="text1"/>
        </w:rPr>
        <w:t>The proportion of</w:t>
      </w:r>
      <w:r w:rsidR="00387E86" w:rsidRPr="00617A89">
        <w:rPr>
          <w:color w:val="000000" w:themeColor="text1"/>
        </w:rPr>
        <w:t xml:space="preserve"> </w:t>
      </w:r>
      <w:r w:rsidRPr="00617A89">
        <w:rPr>
          <w:color w:val="000000" w:themeColor="text1"/>
        </w:rPr>
        <w:t xml:space="preserve">graduates working in managerial and professional occupations </w:t>
      </w:r>
      <w:r w:rsidR="00410A0C" w:rsidRPr="00617A89">
        <w:rPr>
          <w:color w:val="000000" w:themeColor="text1"/>
        </w:rPr>
        <w:t>can be used as</w:t>
      </w:r>
      <w:r w:rsidRPr="00617A89">
        <w:rPr>
          <w:color w:val="000000" w:themeColor="text1"/>
        </w:rPr>
        <w:t xml:space="preserve"> a proxy measure of skills utilisation. </w:t>
      </w:r>
      <w:bookmarkStart w:id="75" w:name="_Hlk153963760"/>
      <w:r w:rsidRPr="00617A89">
        <w:rPr>
          <w:color w:val="000000" w:themeColor="text1"/>
        </w:rPr>
        <w:t>This is because the classification of occupations used by the ABS suggests that most managerial and professional occupations have a skill level commensurate with qualifications at the bachelor level or higher.</w:t>
      </w:r>
      <w:bookmarkEnd w:id="75"/>
      <w:r w:rsidR="00C71CF2" w:rsidRPr="00617A89">
        <w:rPr>
          <w:rStyle w:val="FootnoteReference"/>
          <w:rFonts w:eastAsiaTheme="majorEastAsia"/>
          <w:color w:val="000000" w:themeColor="text1"/>
        </w:rPr>
        <w:footnoteReference w:id="7"/>
      </w:r>
      <w:r w:rsidRPr="00617A89">
        <w:rPr>
          <w:color w:val="000000" w:themeColor="text1"/>
        </w:rPr>
        <w:t xml:space="preserve"> </w:t>
      </w:r>
    </w:p>
    <w:p w14:paraId="3337F8AC" w14:textId="135E9FBC" w:rsidR="00BD1A6B" w:rsidRPr="00617A89" w:rsidRDefault="00244416" w:rsidP="00244416">
      <w:pPr>
        <w:widowControl w:val="0"/>
        <w:suppressAutoHyphens/>
        <w:autoSpaceDE w:val="0"/>
        <w:autoSpaceDN w:val="0"/>
        <w:adjustRightInd w:val="0"/>
        <w:spacing w:before="142" w:line="290" w:lineRule="atLeast"/>
        <w:textAlignment w:val="center"/>
        <w:rPr>
          <w:rFonts w:ascii="ArialMT" w:hAnsi="ArialMT" w:cs="ArialMT"/>
          <w:b/>
          <w:bCs/>
          <w:color w:val="000000" w:themeColor="text1"/>
          <w:lang w:val="en-GB"/>
        </w:rPr>
      </w:pPr>
      <w:r w:rsidRPr="00617A89">
        <w:rPr>
          <w:rFonts w:ascii="ArialMT" w:hAnsi="ArialMT" w:cs="ArialMT"/>
          <w:color w:val="000000" w:themeColor="text1"/>
          <w:lang w:val="en-GB"/>
        </w:rPr>
        <w:t>The 202</w:t>
      </w:r>
      <w:r w:rsidR="00043488" w:rsidRPr="00617A89">
        <w:rPr>
          <w:rFonts w:ascii="ArialMT" w:hAnsi="ArialMT" w:cs="ArialMT"/>
          <w:color w:val="000000" w:themeColor="text1"/>
          <w:lang w:val="en-GB"/>
        </w:rPr>
        <w:t>5</w:t>
      </w:r>
      <w:r w:rsidRPr="00617A89">
        <w:rPr>
          <w:rFonts w:ascii="ArialMT" w:hAnsi="ArialMT" w:cs="ArialMT"/>
          <w:color w:val="000000" w:themeColor="text1"/>
          <w:lang w:val="en-GB"/>
        </w:rPr>
        <w:t xml:space="preserve"> GOS-L </w:t>
      </w:r>
      <w:r w:rsidR="000237CC" w:rsidRPr="00617A89">
        <w:rPr>
          <w:rFonts w:ascii="ArialMT" w:hAnsi="ArialMT" w:cs="ArialMT"/>
          <w:color w:val="000000" w:themeColor="text1"/>
          <w:lang w:val="en-GB"/>
        </w:rPr>
        <w:t>reaffirms</w:t>
      </w:r>
      <w:r w:rsidR="00135243" w:rsidRPr="00617A89">
        <w:rPr>
          <w:rFonts w:ascii="ArialMT" w:hAnsi="ArialMT" w:cs="ArialMT"/>
          <w:color w:val="000000" w:themeColor="text1"/>
          <w:lang w:val="en-GB"/>
        </w:rPr>
        <w:t xml:space="preserve"> previous findings</w:t>
      </w:r>
      <w:r w:rsidRPr="00617A89">
        <w:rPr>
          <w:rFonts w:ascii="ArialMT" w:hAnsi="ArialMT" w:cs="ArialMT"/>
          <w:color w:val="000000" w:themeColor="text1"/>
          <w:lang w:val="en-GB"/>
        </w:rPr>
        <w:t xml:space="preserve"> that undergraduates </w:t>
      </w:r>
      <w:r w:rsidR="00095708" w:rsidRPr="00617A89">
        <w:rPr>
          <w:rFonts w:ascii="ArialMT" w:hAnsi="ArialMT" w:cs="ArialMT"/>
          <w:color w:val="000000" w:themeColor="text1"/>
          <w:lang w:val="en-GB"/>
        </w:rPr>
        <w:t xml:space="preserve">may take longer to </w:t>
      </w:r>
      <w:r w:rsidRPr="00617A89">
        <w:rPr>
          <w:rFonts w:ascii="ArialMT" w:hAnsi="ArialMT" w:cs="ArialMT"/>
          <w:color w:val="000000" w:themeColor="text1"/>
          <w:lang w:val="en-GB"/>
        </w:rPr>
        <w:t>find work in managerial or professional occupations</w:t>
      </w:r>
      <w:r w:rsidR="00F85CF6" w:rsidRPr="00617A89">
        <w:rPr>
          <w:rFonts w:ascii="ArialMT" w:hAnsi="ArialMT" w:cs="ArialMT"/>
          <w:color w:val="000000" w:themeColor="text1"/>
          <w:lang w:val="en-GB"/>
        </w:rPr>
        <w:t xml:space="preserve">, while </w:t>
      </w:r>
      <w:r w:rsidR="00A447AD" w:rsidRPr="00617A89">
        <w:rPr>
          <w:rFonts w:ascii="ArialMT" w:hAnsi="ArialMT" w:cs="ArialMT"/>
          <w:color w:val="000000" w:themeColor="text1"/>
          <w:lang w:val="en-GB"/>
        </w:rPr>
        <w:t>d</w:t>
      </w:r>
      <w:r w:rsidRPr="00617A89">
        <w:rPr>
          <w:rFonts w:ascii="ArialMT" w:hAnsi="ArialMT" w:cs="ArialMT"/>
          <w:color w:val="000000" w:themeColor="text1"/>
          <w:lang w:val="en-GB"/>
        </w:rPr>
        <w:t xml:space="preserve">omestic graduates </w:t>
      </w:r>
      <w:r w:rsidR="00A447AD" w:rsidRPr="00617A89">
        <w:rPr>
          <w:rFonts w:ascii="ArialMT" w:hAnsi="ArialMT" w:cs="ArialMT"/>
          <w:color w:val="000000" w:themeColor="text1"/>
          <w:lang w:val="en-GB"/>
        </w:rPr>
        <w:t>with</w:t>
      </w:r>
      <w:r w:rsidRPr="00617A89">
        <w:rPr>
          <w:rFonts w:ascii="ArialMT" w:hAnsi="ArialMT" w:cs="ArialMT"/>
          <w:color w:val="000000" w:themeColor="text1"/>
          <w:lang w:val="en-GB"/>
        </w:rPr>
        <w:t xml:space="preserve"> postgraduate qualifications are more likely </w:t>
      </w:r>
      <w:r w:rsidR="00CB228B" w:rsidRPr="00617A89">
        <w:rPr>
          <w:rFonts w:ascii="ArialMT" w:hAnsi="ArialMT" w:cs="ArialMT"/>
          <w:color w:val="000000" w:themeColor="text1"/>
          <w:lang w:val="en-GB"/>
        </w:rPr>
        <w:t>to be employed in managerial</w:t>
      </w:r>
      <w:r w:rsidR="00207B09" w:rsidRPr="00617A89">
        <w:rPr>
          <w:rFonts w:ascii="ArialMT" w:hAnsi="ArialMT" w:cs="ArialMT"/>
          <w:color w:val="000000" w:themeColor="text1"/>
          <w:lang w:val="en-GB"/>
        </w:rPr>
        <w:t xml:space="preserve"> or professional occupations 4 to 6 months after course completion</w:t>
      </w:r>
      <w:r w:rsidR="00FA45B5" w:rsidRPr="00617A89">
        <w:rPr>
          <w:rFonts w:ascii="ArialMT" w:hAnsi="ArialMT" w:cs="ArialMT"/>
          <w:color w:val="000000" w:themeColor="text1"/>
          <w:lang w:val="en-GB"/>
        </w:rPr>
        <w:t>,</w:t>
      </w:r>
      <w:r w:rsidR="009E3774" w:rsidRPr="00617A89">
        <w:rPr>
          <w:rFonts w:ascii="ArialMT" w:hAnsi="ArialMT" w:cs="ArialMT"/>
          <w:color w:val="000000" w:themeColor="text1"/>
          <w:lang w:val="en-GB"/>
        </w:rPr>
        <w:t xml:space="preserve"> and this</w:t>
      </w:r>
      <w:r w:rsidR="00E023BC" w:rsidRPr="00617A89">
        <w:rPr>
          <w:rFonts w:ascii="ArialMT" w:hAnsi="ArialMT" w:cs="ArialMT"/>
          <w:color w:val="000000" w:themeColor="text1"/>
          <w:lang w:val="en-GB"/>
        </w:rPr>
        <w:t xml:space="preserve"> continues to rise</w:t>
      </w:r>
      <w:r w:rsidR="00A125F6" w:rsidRPr="00617A89">
        <w:rPr>
          <w:rFonts w:ascii="ArialMT" w:hAnsi="ArialMT" w:cs="ArialMT"/>
          <w:color w:val="000000" w:themeColor="text1"/>
          <w:lang w:val="en-GB"/>
        </w:rPr>
        <w:t xml:space="preserve"> over </w:t>
      </w:r>
      <w:r w:rsidR="00286939" w:rsidRPr="00617A89">
        <w:rPr>
          <w:rFonts w:ascii="ArialMT" w:hAnsi="ArialMT" w:cs="ArialMT"/>
          <w:color w:val="000000" w:themeColor="text1"/>
          <w:lang w:val="en-GB"/>
        </w:rPr>
        <w:t>the 3</w:t>
      </w:r>
      <w:r w:rsidR="00CA4308" w:rsidRPr="00617A89">
        <w:rPr>
          <w:rFonts w:ascii="ArialMT" w:hAnsi="ArialMT" w:cs="ArialMT"/>
          <w:color w:val="000000" w:themeColor="text1"/>
          <w:lang w:val="en-GB"/>
        </w:rPr>
        <w:t>-</w:t>
      </w:r>
      <w:r w:rsidR="00286939" w:rsidRPr="00617A89">
        <w:rPr>
          <w:rFonts w:ascii="ArialMT" w:hAnsi="ArialMT" w:cs="ArialMT"/>
          <w:color w:val="000000" w:themeColor="text1"/>
          <w:lang w:val="en-GB"/>
        </w:rPr>
        <w:t>year</w:t>
      </w:r>
      <w:r w:rsidR="00CA4308" w:rsidRPr="00617A89">
        <w:rPr>
          <w:rFonts w:ascii="ArialMT" w:hAnsi="ArialMT" w:cs="ArialMT"/>
          <w:color w:val="000000" w:themeColor="text1"/>
          <w:lang w:val="en-GB"/>
        </w:rPr>
        <w:t xml:space="preserve"> </w:t>
      </w:r>
      <w:r w:rsidR="00286939" w:rsidRPr="00617A89">
        <w:rPr>
          <w:rFonts w:ascii="ArialMT" w:hAnsi="ArialMT" w:cs="ArialMT"/>
          <w:color w:val="000000" w:themeColor="text1"/>
          <w:lang w:val="en-GB"/>
        </w:rPr>
        <w:t>period</w:t>
      </w:r>
      <w:r w:rsidRPr="00617A89">
        <w:rPr>
          <w:rFonts w:ascii="ArialMT" w:hAnsi="ArialMT" w:cs="ArialMT"/>
          <w:color w:val="000000" w:themeColor="text1"/>
          <w:lang w:val="en-GB"/>
        </w:rPr>
        <w:t xml:space="preserve"> (</w:t>
      </w:r>
      <w:r w:rsidRPr="00617A89">
        <w:rPr>
          <w:rFonts w:ascii="ArialMT" w:hAnsi="ArialMT" w:cs="ArialMT"/>
          <w:b/>
          <w:bCs/>
          <w:color w:val="000000" w:themeColor="text1"/>
          <w:lang w:val="en-GB"/>
        </w:rPr>
        <w:fldChar w:fldCharType="begin"/>
      </w:r>
      <w:r w:rsidRPr="00617A89">
        <w:rPr>
          <w:rFonts w:ascii="ArialMT" w:hAnsi="ArialMT" w:cs="ArialMT"/>
          <w:b/>
          <w:bCs/>
          <w:color w:val="000000" w:themeColor="text1"/>
          <w:lang w:val="en-GB"/>
        </w:rPr>
        <w:instrText xml:space="preserve"> REF _Ref135596505 \h  \* MERGEFORMAT </w:instrText>
      </w:r>
      <w:r w:rsidRPr="00617A89">
        <w:rPr>
          <w:rFonts w:ascii="ArialMT" w:hAnsi="ArialMT" w:cs="ArialMT"/>
          <w:b/>
          <w:bCs/>
          <w:color w:val="000000" w:themeColor="text1"/>
          <w:lang w:val="en-GB"/>
        </w:rPr>
      </w:r>
      <w:r w:rsidRPr="00617A89">
        <w:rPr>
          <w:rFonts w:ascii="ArialMT" w:hAnsi="ArialMT" w:cs="ArialMT"/>
          <w:b/>
          <w:bCs/>
          <w:color w:val="000000" w:themeColor="text1"/>
          <w:lang w:val="en-GB"/>
        </w:rPr>
        <w:fldChar w:fldCharType="separate"/>
      </w:r>
      <w:r w:rsidR="00DB7C31" w:rsidRPr="00617A89">
        <w:rPr>
          <w:b/>
          <w:bCs/>
          <w:color w:val="000000" w:themeColor="text1"/>
        </w:rPr>
        <w:t xml:space="preserve">Table </w:t>
      </w:r>
      <w:r w:rsidR="00DB7C31" w:rsidRPr="00617A89">
        <w:rPr>
          <w:b/>
          <w:bCs/>
          <w:noProof/>
          <w:color w:val="000000" w:themeColor="text1"/>
        </w:rPr>
        <w:t>2</w:t>
      </w:r>
      <w:r w:rsidRPr="00617A89">
        <w:rPr>
          <w:rFonts w:ascii="ArialMT" w:hAnsi="ArialMT" w:cs="ArialMT"/>
          <w:b/>
          <w:bCs/>
          <w:color w:val="000000" w:themeColor="text1"/>
          <w:lang w:val="en-GB"/>
        </w:rPr>
        <w:fldChar w:fldCharType="end"/>
      </w:r>
      <w:r w:rsidRPr="00617A89">
        <w:rPr>
          <w:rFonts w:ascii="ArialMT" w:hAnsi="ArialMT" w:cs="ArialMT"/>
          <w:color w:val="000000" w:themeColor="text1"/>
          <w:lang w:val="en-GB"/>
        </w:rPr>
        <w:t>)</w:t>
      </w:r>
      <w:r w:rsidRPr="00617A89">
        <w:rPr>
          <w:rFonts w:ascii="ArialMT" w:hAnsi="ArialMT" w:cs="ArialMT"/>
          <w:b/>
          <w:bCs/>
          <w:color w:val="000000" w:themeColor="text1"/>
          <w:lang w:val="en-GB"/>
        </w:rPr>
        <w:t>.</w:t>
      </w:r>
      <w:r w:rsidR="00E023BC" w:rsidRPr="00617A89">
        <w:rPr>
          <w:rFonts w:ascii="ArialMT" w:hAnsi="ArialMT" w:cs="ArialMT"/>
          <w:b/>
          <w:bCs/>
          <w:color w:val="000000" w:themeColor="text1"/>
          <w:lang w:val="en-GB"/>
        </w:rPr>
        <w:t xml:space="preserve"> </w:t>
      </w:r>
    </w:p>
    <w:p w14:paraId="7712BB9A" w14:textId="7FB58BCA" w:rsidR="00244416" w:rsidRPr="00617A89" w:rsidRDefault="004B2F79"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 xml:space="preserve">The </w:t>
      </w:r>
      <w:r w:rsidR="00B5273B" w:rsidRPr="00617A89">
        <w:rPr>
          <w:rFonts w:ascii="ArialMT" w:hAnsi="ArialMT" w:cs="ArialMT"/>
          <w:color w:val="000000" w:themeColor="text1"/>
          <w:lang w:val="en-GB"/>
        </w:rPr>
        <w:t>high</w:t>
      </w:r>
      <w:r w:rsidR="00BD1A6B" w:rsidRPr="00617A89">
        <w:rPr>
          <w:rFonts w:ascii="ArialMT" w:hAnsi="ArialMT" w:cs="ArialMT"/>
          <w:color w:val="000000" w:themeColor="text1"/>
          <w:lang w:val="en-GB"/>
        </w:rPr>
        <w:t>er</w:t>
      </w:r>
      <w:r w:rsidR="00B5273B" w:rsidRPr="00617A89">
        <w:rPr>
          <w:rFonts w:ascii="ArialMT" w:hAnsi="ArialMT" w:cs="ArialMT"/>
          <w:color w:val="000000" w:themeColor="text1"/>
          <w:lang w:val="en-GB"/>
        </w:rPr>
        <w:t xml:space="preserve"> </w:t>
      </w:r>
      <w:r w:rsidRPr="00617A89">
        <w:rPr>
          <w:rFonts w:ascii="ArialMT" w:hAnsi="ArialMT" w:cs="ArialMT"/>
          <w:color w:val="000000" w:themeColor="text1"/>
          <w:lang w:val="en-GB"/>
        </w:rPr>
        <w:t>rates of postgraduate graduates</w:t>
      </w:r>
      <w:r w:rsidR="00B5273B" w:rsidRPr="00617A89">
        <w:rPr>
          <w:rFonts w:ascii="ArialMT" w:hAnsi="ArialMT" w:cs="ArialMT"/>
          <w:color w:val="000000" w:themeColor="text1"/>
          <w:lang w:val="en-GB"/>
        </w:rPr>
        <w:t xml:space="preserve"> employed in managerial or professional occupations shortly after</w:t>
      </w:r>
      <w:r w:rsidR="000367E9" w:rsidRPr="00617A89">
        <w:rPr>
          <w:rFonts w:ascii="ArialMT" w:hAnsi="ArialMT" w:cs="ArialMT"/>
          <w:color w:val="000000" w:themeColor="text1"/>
          <w:lang w:val="en-GB"/>
        </w:rPr>
        <w:t xml:space="preserve"> course completion reflects the older</w:t>
      </w:r>
      <w:r w:rsidR="00B577AE" w:rsidRPr="00617A89">
        <w:rPr>
          <w:rFonts w:ascii="ArialMT" w:hAnsi="ArialMT" w:cs="ArialMT"/>
          <w:color w:val="000000" w:themeColor="text1"/>
          <w:lang w:val="en-GB"/>
        </w:rPr>
        <w:t xml:space="preserve"> profile of these graduates and their establishment in the labour</w:t>
      </w:r>
      <w:r w:rsidR="006410E0" w:rsidRPr="00617A89">
        <w:rPr>
          <w:rFonts w:ascii="ArialMT" w:hAnsi="ArialMT" w:cs="ArialMT"/>
          <w:color w:val="000000" w:themeColor="text1"/>
          <w:lang w:val="en-GB"/>
        </w:rPr>
        <w:t xml:space="preserve"> market</w:t>
      </w:r>
      <w:r w:rsidR="00272B07" w:rsidRPr="00617A89">
        <w:rPr>
          <w:rFonts w:ascii="ArialMT" w:hAnsi="ArialMT" w:cs="ArialMT"/>
          <w:color w:val="000000" w:themeColor="text1"/>
          <w:lang w:val="en-GB"/>
        </w:rPr>
        <w:t xml:space="preserve">. These differences in occupation type </w:t>
      </w:r>
      <w:r w:rsidR="00E702FB" w:rsidRPr="00617A89">
        <w:rPr>
          <w:rFonts w:ascii="ArialMT" w:hAnsi="ArialMT" w:cs="ArialMT"/>
          <w:color w:val="000000" w:themeColor="text1"/>
          <w:lang w:val="en-GB"/>
        </w:rPr>
        <w:t>across study levels also correspond w</w:t>
      </w:r>
      <w:r w:rsidR="00BE3636" w:rsidRPr="00617A89">
        <w:rPr>
          <w:rFonts w:ascii="ArialMT" w:hAnsi="ArialMT" w:cs="ArialMT"/>
          <w:color w:val="000000" w:themeColor="text1"/>
          <w:lang w:val="en-GB"/>
        </w:rPr>
        <w:t>ith differences in median salaries</w:t>
      </w:r>
      <w:r w:rsidR="001A5F10" w:rsidRPr="00617A89">
        <w:rPr>
          <w:rFonts w:ascii="ArialMT" w:hAnsi="ArialMT" w:cs="ArialMT"/>
          <w:color w:val="000000" w:themeColor="text1"/>
          <w:lang w:val="en-GB"/>
        </w:rPr>
        <w:t>. S</w:t>
      </w:r>
      <w:r w:rsidR="0077299E" w:rsidRPr="00617A89">
        <w:rPr>
          <w:rFonts w:ascii="ArialMT" w:hAnsi="ArialMT" w:cs="ArialMT"/>
          <w:color w:val="000000" w:themeColor="text1"/>
          <w:lang w:val="en-GB"/>
        </w:rPr>
        <w:t xml:space="preserve">ee </w:t>
      </w:r>
      <w:hyperlink w:anchor="_Median__annual" w:history="1">
        <w:r w:rsidR="0077299E" w:rsidRPr="00617A89">
          <w:rPr>
            <w:rStyle w:val="Hyperlink"/>
            <w:rFonts w:ascii="ArialMT" w:hAnsi="ArialMT" w:cs="ArialMT"/>
            <w:lang w:val="en-GB"/>
          </w:rPr>
          <w:t>Median annual full-time salary</w:t>
        </w:r>
      </w:hyperlink>
      <w:r w:rsidR="00E225A8" w:rsidRPr="00617A89">
        <w:rPr>
          <w:rFonts w:ascii="ArialMT" w:hAnsi="ArialMT" w:cs="ArialMT"/>
          <w:color w:val="000000" w:themeColor="text1"/>
          <w:lang w:val="en-GB"/>
        </w:rPr>
        <w:t xml:space="preserve">. </w:t>
      </w:r>
    </w:p>
    <w:p w14:paraId="6F847710" w14:textId="15820595" w:rsidR="00E80377" w:rsidRPr="00617A89" w:rsidRDefault="00244416" w:rsidP="00034502">
      <w:pPr>
        <w:pStyle w:val="Caption"/>
        <w:rPr>
          <w:color w:val="000000" w:themeColor="text1"/>
        </w:rPr>
      </w:pPr>
      <w:bookmarkStart w:id="76" w:name="_Ref135596505"/>
      <w:bookmarkStart w:id="77" w:name="_Toc222868472"/>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2</w:t>
      </w:r>
      <w:r w:rsidR="00DB7C31" w:rsidRPr="00617A89">
        <w:rPr>
          <w:noProof/>
          <w:color w:val="000000" w:themeColor="text1"/>
        </w:rPr>
        <w:fldChar w:fldCharType="end"/>
      </w:r>
      <w:bookmarkEnd w:id="76"/>
      <w:r w:rsidR="00034502" w:rsidRPr="00617A89">
        <w:rPr>
          <w:color w:val="000000" w:themeColor="text1"/>
        </w:rPr>
        <w:tab/>
      </w:r>
      <w:r w:rsidRPr="00617A89">
        <w:rPr>
          <w:color w:val="000000" w:themeColor="text1"/>
        </w:rPr>
        <w:t>Domestic graduates employed in managerial and professional occupations by employment type and study level (% of those employed)</w:t>
      </w:r>
      <w:bookmarkEnd w:id="77"/>
    </w:p>
    <w:tbl>
      <w:tblPr>
        <w:tblStyle w:val="TableGrid1"/>
        <w:tblW w:w="4914" w:type="pct"/>
        <w:tblLayout w:type="fixed"/>
        <w:tblLook w:val="0020" w:firstRow="1" w:lastRow="0" w:firstColumn="0" w:lastColumn="0" w:noHBand="0" w:noVBand="0"/>
      </w:tblPr>
      <w:tblGrid>
        <w:gridCol w:w="1981"/>
        <w:gridCol w:w="1381"/>
        <w:gridCol w:w="1383"/>
        <w:gridCol w:w="1381"/>
        <w:gridCol w:w="1382"/>
        <w:gridCol w:w="1380"/>
        <w:gridCol w:w="1382"/>
      </w:tblGrid>
      <w:tr w:rsidR="00C22852" w:rsidRPr="00617A89" w14:paraId="3EAC3B7A" w14:textId="77777777" w:rsidTr="00992970">
        <w:trPr>
          <w:trHeight w:val="86"/>
          <w:tblHeader/>
        </w:trPr>
        <w:tc>
          <w:tcPr>
            <w:tcW w:w="964" w:type="pct"/>
            <w:vAlign w:val="bottom"/>
          </w:tcPr>
          <w:p w14:paraId="1A92324A" w14:textId="77777777" w:rsidR="009A73BA" w:rsidRPr="00617A89" w:rsidRDefault="009A73BA" w:rsidP="00C22852">
            <w:pPr>
              <w:pStyle w:val="TablecolumnheadTABLES"/>
              <w:rPr>
                <w:rFonts w:ascii="Arial" w:hAnsi="Arial" w:cs="Arial"/>
                <w:b/>
                <w:color w:val="000000" w:themeColor="text1"/>
                <w:sz w:val="18"/>
                <w:szCs w:val="18"/>
              </w:rPr>
            </w:pPr>
            <w:bookmarkStart w:id="78" w:name="_Hlk109652119"/>
          </w:p>
        </w:tc>
        <w:tc>
          <w:tcPr>
            <w:tcW w:w="672" w:type="pct"/>
            <w:vAlign w:val="bottom"/>
          </w:tcPr>
          <w:p w14:paraId="759FF1A8" w14:textId="330A9C1C" w:rsidR="009A73BA" w:rsidRPr="00617A89" w:rsidRDefault="00034502" w:rsidP="00C22852">
            <w:pPr>
              <w:jc w:val="center"/>
              <w:rPr>
                <w:rFonts w:cs="Arial"/>
                <w:b/>
                <w:bCs/>
                <w:color w:val="000000" w:themeColor="text1"/>
                <w:spacing w:val="-2"/>
                <w:sz w:val="18"/>
              </w:rPr>
            </w:pPr>
            <w:r w:rsidRPr="00617A89">
              <w:rPr>
                <w:rFonts w:cs="Arial"/>
                <w:b/>
                <w:color w:val="000000" w:themeColor="text1"/>
                <w:sz w:val="18"/>
                <w:szCs w:val="18"/>
              </w:rPr>
              <w:t>Undergraduate</w:t>
            </w:r>
            <w:r w:rsidRPr="00617A89">
              <w:rPr>
                <w:rFonts w:cs="Arial"/>
                <w:b/>
                <w:color w:val="000000" w:themeColor="text1"/>
                <w:sz w:val="18"/>
              </w:rPr>
              <w:t>:</w:t>
            </w:r>
            <w:r w:rsidRPr="00617A89">
              <w:rPr>
                <w:rFonts w:cs="Arial"/>
                <w:b/>
                <w:bCs/>
                <w:color w:val="000000" w:themeColor="text1"/>
                <w:spacing w:val="-2"/>
                <w:sz w:val="18"/>
              </w:rPr>
              <w:t xml:space="preserve"> </w:t>
            </w:r>
            <w:r w:rsidR="009A73BA" w:rsidRPr="00617A89">
              <w:rPr>
                <w:rFonts w:cs="Arial"/>
                <w:b/>
                <w:bCs/>
                <w:color w:val="000000" w:themeColor="text1"/>
                <w:spacing w:val="-2"/>
                <w:sz w:val="18"/>
              </w:rPr>
              <w:t>Short-term</w:t>
            </w:r>
          </w:p>
          <w:p w14:paraId="1406C3C1" w14:textId="49EDDD32" w:rsidR="009A73BA" w:rsidRPr="00617A89" w:rsidRDefault="009A73BA" w:rsidP="00C22852">
            <w:pPr>
              <w:pStyle w:val="TablecolumnheadTABLES"/>
              <w:rPr>
                <w:rFonts w:ascii="Arial" w:hAnsi="Arial" w:cs="Arial"/>
                <w:b/>
                <w:color w:val="000000" w:themeColor="text1"/>
                <w:sz w:val="18"/>
                <w:szCs w:val="18"/>
              </w:rPr>
            </w:pPr>
            <w:r w:rsidRPr="00617A89">
              <w:rPr>
                <w:rFonts w:ascii="Arial" w:hAnsi="Arial" w:cs="Arial"/>
                <w:b/>
                <w:bCs/>
                <w:color w:val="000000" w:themeColor="text1"/>
                <w:spacing w:val="-2"/>
                <w:sz w:val="18"/>
                <w:szCs w:val="18"/>
              </w:rPr>
              <w:t>(2022)</w:t>
            </w:r>
          </w:p>
        </w:tc>
        <w:tc>
          <w:tcPr>
            <w:tcW w:w="673" w:type="pct"/>
            <w:vAlign w:val="bottom"/>
          </w:tcPr>
          <w:p w14:paraId="62907131" w14:textId="45A238FB" w:rsidR="009A73BA" w:rsidRPr="00617A89" w:rsidRDefault="00034502" w:rsidP="00C22852">
            <w:pPr>
              <w:jc w:val="center"/>
              <w:rPr>
                <w:rFonts w:cs="Arial"/>
                <w:b/>
                <w:bCs/>
                <w:color w:val="000000" w:themeColor="text1"/>
                <w:spacing w:val="-2"/>
                <w:sz w:val="18"/>
              </w:rPr>
            </w:pPr>
            <w:r w:rsidRPr="00617A89">
              <w:rPr>
                <w:rFonts w:cs="Arial"/>
                <w:b/>
                <w:color w:val="000000" w:themeColor="text1"/>
                <w:sz w:val="18"/>
                <w:szCs w:val="18"/>
              </w:rPr>
              <w:t>Undergraduate</w:t>
            </w:r>
            <w:r w:rsidRPr="00617A89">
              <w:rPr>
                <w:rFonts w:cs="Arial"/>
                <w:b/>
                <w:color w:val="000000" w:themeColor="text1"/>
                <w:sz w:val="18"/>
              </w:rPr>
              <w:t xml:space="preserve">: </w:t>
            </w:r>
            <w:r w:rsidR="009A73BA" w:rsidRPr="00617A89">
              <w:rPr>
                <w:rFonts w:cs="Arial"/>
                <w:b/>
                <w:bCs/>
                <w:color w:val="000000" w:themeColor="text1"/>
                <w:spacing w:val="-2"/>
                <w:sz w:val="18"/>
              </w:rPr>
              <w:t>Medium-term</w:t>
            </w:r>
          </w:p>
          <w:p w14:paraId="5A5359D6" w14:textId="020A8DED" w:rsidR="009A73BA" w:rsidRPr="00617A89" w:rsidRDefault="009A73BA" w:rsidP="00C22852">
            <w:pPr>
              <w:pStyle w:val="TablecolumnheadTABLES"/>
              <w:rPr>
                <w:rFonts w:ascii="Arial" w:hAnsi="Arial" w:cs="Arial"/>
                <w:b/>
                <w:color w:val="000000" w:themeColor="text1"/>
                <w:sz w:val="18"/>
                <w:szCs w:val="18"/>
              </w:rPr>
            </w:pPr>
            <w:r w:rsidRPr="00617A89">
              <w:rPr>
                <w:rFonts w:ascii="Arial" w:hAnsi="Arial" w:cs="Arial"/>
                <w:b/>
                <w:bCs/>
                <w:color w:val="000000" w:themeColor="text1"/>
                <w:spacing w:val="-2"/>
                <w:sz w:val="18"/>
                <w:szCs w:val="18"/>
              </w:rPr>
              <w:t>(2025)</w:t>
            </w:r>
          </w:p>
        </w:tc>
        <w:tc>
          <w:tcPr>
            <w:tcW w:w="672" w:type="pct"/>
            <w:vAlign w:val="bottom"/>
          </w:tcPr>
          <w:p w14:paraId="71602536" w14:textId="154AD4E0" w:rsidR="009A73BA" w:rsidRPr="00617A89" w:rsidRDefault="00034502" w:rsidP="00C22852">
            <w:pPr>
              <w:jc w:val="center"/>
              <w:rPr>
                <w:rFonts w:cs="Arial"/>
                <w:b/>
                <w:bCs/>
                <w:color w:val="000000" w:themeColor="text1"/>
                <w:spacing w:val="-2"/>
                <w:sz w:val="18"/>
              </w:rPr>
            </w:pPr>
            <w:r w:rsidRPr="00617A89">
              <w:rPr>
                <w:rFonts w:cs="Arial"/>
                <w:b/>
                <w:color w:val="000000" w:themeColor="text1"/>
                <w:sz w:val="18"/>
                <w:szCs w:val="18"/>
              </w:rPr>
              <w:t>Postgraduate coursework</w:t>
            </w:r>
            <w:r w:rsidRPr="00617A89">
              <w:rPr>
                <w:rFonts w:cs="Arial"/>
                <w:b/>
                <w:color w:val="000000" w:themeColor="text1"/>
                <w:sz w:val="18"/>
              </w:rPr>
              <w:t>:</w:t>
            </w:r>
            <w:r w:rsidRPr="00617A89">
              <w:rPr>
                <w:rFonts w:cs="Arial"/>
                <w:b/>
                <w:bCs/>
                <w:color w:val="000000" w:themeColor="text1"/>
                <w:spacing w:val="-2"/>
                <w:sz w:val="18"/>
              </w:rPr>
              <w:t xml:space="preserve">  </w:t>
            </w:r>
            <w:r w:rsidR="009A73BA" w:rsidRPr="00617A89">
              <w:rPr>
                <w:rFonts w:cs="Arial"/>
                <w:b/>
                <w:bCs/>
                <w:color w:val="000000" w:themeColor="text1"/>
                <w:spacing w:val="-2"/>
                <w:sz w:val="18"/>
              </w:rPr>
              <w:t>Short-term</w:t>
            </w:r>
          </w:p>
          <w:p w14:paraId="04A3F5F4" w14:textId="108086A6" w:rsidR="009A73BA" w:rsidRPr="00617A89" w:rsidRDefault="009A73BA" w:rsidP="00C22852">
            <w:pPr>
              <w:pStyle w:val="TablecolumnheadTABLES"/>
              <w:rPr>
                <w:rFonts w:ascii="Arial" w:hAnsi="Arial" w:cs="Arial"/>
                <w:b/>
                <w:color w:val="000000" w:themeColor="text1"/>
                <w:sz w:val="18"/>
                <w:szCs w:val="18"/>
              </w:rPr>
            </w:pPr>
            <w:r w:rsidRPr="00617A89">
              <w:rPr>
                <w:rFonts w:ascii="Arial" w:hAnsi="Arial" w:cs="Arial"/>
                <w:b/>
                <w:bCs/>
                <w:color w:val="000000" w:themeColor="text1"/>
                <w:spacing w:val="-2"/>
                <w:sz w:val="18"/>
                <w:szCs w:val="18"/>
              </w:rPr>
              <w:t>(2022)</w:t>
            </w:r>
          </w:p>
        </w:tc>
        <w:tc>
          <w:tcPr>
            <w:tcW w:w="673" w:type="pct"/>
            <w:vAlign w:val="bottom"/>
          </w:tcPr>
          <w:p w14:paraId="607CC4AB" w14:textId="1F798E0A" w:rsidR="009A73BA" w:rsidRPr="00617A89" w:rsidRDefault="00034502" w:rsidP="00C22852">
            <w:pPr>
              <w:jc w:val="center"/>
              <w:rPr>
                <w:rFonts w:cs="Arial"/>
                <w:b/>
                <w:bCs/>
                <w:color w:val="000000" w:themeColor="text1"/>
                <w:spacing w:val="-2"/>
                <w:sz w:val="18"/>
              </w:rPr>
            </w:pPr>
            <w:r w:rsidRPr="00617A89">
              <w:rPr>
                <w:rFonts w:cs="Arial"/>
                <w:b/>
                <w:color w:val="000000" w:themeColor="text1"/>
                <w:sz w:val="18"/>
                <w:szCs w:val="18"/>
              </w:rPr>
              <w:t>Postgraduate coursework</w:t>
            </w:r>
            <w:r w:rsidRPr="00617A89">
              <w:rPr>
                <w:rFonts w:cs="Arial"/>
                <w:b/>
                <w:color w:val="000000" w:themeColor="text1"/>
                <w:sz w:val="18"/>
              </w:rPr>
              <w:t>:</w:t>
            </w:r>
            <w:r w:rsidRPr="00617A89">
              <w:rPr>
                <w:rFonts w:cs="Arial"/>
                <w:b/>
                <w:bCs/>
                <w:color w:val="000000" w:themeColor="text1"/>
                <w:spacing w:val="-2"/>
                <w:sz w:val="18"/>
              </w:rPr>
              <w:t xml:space="preserve"> </w:t>
            </w:r>
            <w:r w:rsidR="009A73BA" w:rsidRPr="00617A89">
              <w:rPr>
                <w:rFonts w:cs="Arial"/>
                <w:b/>
                <w:bCs/>
                <w:color w:val="000000" w:themeColor="text1"/>
                <w:spacing w:val="-2"/>
                <w:sz w:val="18"/>
              </w:rPr>
              <w:t>Medium-term</w:t>
            </w:r>
          </w:p>
          <w:p w14:paraId="490FD189" w14:textId="2D91B59B" w:rsidR="009A73BA" w:rsidRPr="00617A89" w:rsidRDefault="009A73BA" w:rsidP="00C22852">
            <w:pPr>
              <w:pStyle w:val="TablecolumnheadTABLES"/>
              <w:rPr>
                <w:rFonts w:ascii="Arial" w:hAnsi="Arial" w:cs="Arial"/>
                <w:b/>
                <w:color w:val="000000" w:themeColor="text1"/>
                <w:sz w:val="18"/>
                <w:szCs w:val="18"/>
              </w:rPr>
            </w:pPr>
            <w:r w:rsidRPr="00617A89">
              <w:rPr>
                <w:rFonts w:ascii="Arial" w:hAnsi="Arial" w:cs="Arial"/>
                <w:b/>
                <w:bCs/>
                <w:color w:val="000000" w:themeColor="text1"/>
                <w:spacing w:val="-2"/>
                <w:sz w:val="18"/>
                <w:szCs w:val="18"/>
              </w:rPr>
              <w:t>(2025)</w:t>
            </w:r>
          </w:p>
        </w:tc>
        <w:tc>
          <w:tcPr>
            <w:tcW w:w="672" w:type="pct"/>
            <w:vAlign w:val="bottom"/>
          </w:tcPr>
          <w:p w14:paraId="06E93869" w14:textId="692E3CB8" w:rsidR="009A73BA" w:rsidRPr="00617A89" w:rsidRDefault="00034502" w:rsidP="00C22852">
            <w:pPr>
              <w:jc w:val="center"/>
              <w:rPr>
                <w:rFonts w:cs="Arial"/>
                <w:b/>
                <w:bCs/>
                <w:color w:val="000000" w:themeColor="text1"/>
                <w:spacing w:val="-2"/>
                <w:sz w:val="18"/>
              </w:rPr>
            </w:pPr>
            <w:r w:rsidRPr="00617A89">
              <w:rPr>
                <w:rFonts w:cs="Arial"/>
                <w:b/>
                <w:color w:val="000000" w:themeColor="text1"/>
                <w:sz w:val="18"/>
                <w:szCs w:val="18"/>
              </w:rPr>
              <w:t>Postgraduate research</w:t>
            </w:r>
            <w:r w:rsidRPr="00617A89">
              <w:rPr>
                <w:rFonts w:cs="Arial"/>
                <w:b/>
                <w:color w:val="000000" w:themeColor="text1"/>
                <w:sz w:val="18"/>
              </w:rPr>
              <w:t xml:space="preserve">: </w:t>
            </w:r>
            <w:r w:rsidR="009A73BA" w:rsidRPr="00617A89">
              <w:rPr>
                <w:rFonts w:cs="Arial"/>
                <w:b/>
                <w:bCs/>
                <w:color w:val="000000" w:themeColor="text1"/>
                <w:spacing w:val="-2"/>
                <w:sz w:val="18"/>
              </w:rPr>
              <w:t>Short-term</w:t>
            </w:r>
          </w:p>
          <w:p w14:paraId="6279DE54" w14:textId="3C25CB4B" w:rsidR="009A73BA" w:rsidRPr="00617A89" w:rsidRDefault="009A73BA" w:rsidP="00C22852">
            <w:pPr>
              <w:pStyle w:val="TablecolumnheadTABLES"/>
              <w:rPr>
                <w:rFonts w:ascii="Arial" w:hAnsi="Arial" w:cs="Arial"/>
                <w:b/>
                <w:color w:val="000000" w:themeColor="text1"/>
                <w:sz w:val="18"/>
                <w:szCs w:val="18"/>
              </w:rPr>
            </w:pPr>
            <w:r w:rsidRPr="00617A89">
              <w:rPr>
                <w:rFonts w:ascii="Arial" w:hAnsi="Arial" w:cs="Arial"/>
                <w:b/>
                <w:bCs/>
                <w:color w:val="000000" w:themeColor="text1"/>
                <w:spacing w:val="-2"/>
                <w:sz w:val="18"/>
                <w:szCs w:val="18"/>
              </w:rPr>
              <w:t>(2022)</w:t>
            </w:r>
          </w:p>
        </w:tc>
        <w:tc>
          <w:tcPr>
            <w:tcW w:w="673" w:type="pct"/>
            <w:vAlign w:val="bottom"/>
          </w:tcPr>
          <w:p w14:paraId="19F9F05C" w14:textId="331DF62B" w:rsidR="009A73BA" w:rsidRPr="00617A89" w:rsidRDefault="00034502" w:rsidP="00C22852">
            <w:pPr>
              <w:jc w:val="center"/>
              <w:rPr>
                <w:rFonts w:cs="Arial"/>
                <w:b/>
                <w:bCs/>
                <w:color w:val="000000" w:themeColor="text1"/>
                <w:spacing w:val="-2"/>
                <w:sz w:val="18"/>
              </w:rPr>
            </w:pPr>
            <w:r w:rsidRPr="00617A89">
              <w:rPr>
                <w:rFonts w:cs="Arial"/>
                <w:b/>
                <w:color w:val="000000" w:themeColor="text1"/>
                <w:sz w:val="18"/>
                <w:szCs w:val="18"/>
              </w:rPr>
              <w:t>Postgraduate research</w:t>
            </w:r>
            <w:r w:rsidRPr="00617A89">
              <w:rPr>
                <w:rFonts w:cs="Arial"/>
                <w:b/>
                <w:color w:val="000000" w:themeColor="text1"/>
                <w:sz w:val="18"/>
              </w:rPr>
              <w:t xml:space="preserve">: </w:t>
            </w:r>
            <w:r w:rsidR="009A73BA" w:rsidRPr="00617A89">
              <w:rPr>
                <w:rFonts w:cs="Arial"/>
                <w:b/>
                <w:bCs/>
                <w:color w:val="000000" w:themeColor="text1"/>
                <w:spacing w:val="-2"/>
                <w:sz w:val="18"/>
              </w:rPr>
              <w:t>Medium-term</w:t>
            </w:r>
          </w:p>
          <w:p w14:paraId="27FD622E" w14:textId="2486B3A5" w:rsidR="009A73BA" w:rsidRPr="00617A89" w:rsidRDefault="009A73BA" w:rsidP="00C22852">
            <w:pPr>
              <w:pStyle w:val="TablecolumnheadTABLES"/>
              <w:rPr>
                <w:rFonts w:ascii="Arial" w:hAnsi="Arial" w:cs="Arial"/>
                <w:b/>
                <w:color w:val="000000" w:themeColor="text1"/>
                <w:sz w:val="18"/>
                <w:szCs w:val="18"/>
              </w:rPr>
            </w:pPr>
            <w:r w:rsidRPr="00617A89">
              <w:rPr>
                <w:rFonts w:ascii="Arial" w:hAnsi="Arial" w:cs="Arial"/>
                <w:b/>
                <w:bCs/>
                <w:color w:val="000000" w:themeColor="text1"/>
                <w:spacing w:val="-2"/>
                <w:sz w:val="18"/>
                <w:szCs w:val="18"/>
              </w:rPr>
              <w:t>(2025)</w:t>
            </w:r>
          </w:p>
        </w:tc>
      </w:tr>
      <w:tr w:rsidR="00C22852" w:rsidRPr="00617A89" w14:paraId="01653DD2" w14:textId="77777777" w:rsidTr="00992970">
        <w:trPr>
          <w:trHeight w:val="86"/>
        </w:trPr>
        <w:tc>
          <w:tcPr>
            <w:tcW w:w="964" w:type="pct"/>
            <w:vAlign w:val="center"/>
          </w:tcPr>
          <w:p w14:paraId="70729D12" w14:textId="77777777" w:rsidR="00A63D6A" w:rsidRPr="00617A89" w:rsidRDefault="00A63D6A" w:rsidP="00034502">
            <w:pPr>
              <w:pStyle w:val="TablecolumnheadTABLES"/>
              <w:jc w:val="left"/>
              <w:rPr>
                <w:rFonts w:ascii="Arial" w:hAnsi="Arial" w:cs="Arial"/>
                <w:b/>
                <w:color w:val="000000" w:themeColor="text1"/>
                <w:sz w:val="18"/>
                <w:szCs w:val="18"/>
              </w:rPr>
            </w:pPr>
            <w:r w:rsidRPr="00617A89">
              <w:rPr>
                <w:rFonts w:ascii="Arial" w:hAnsi="Arial" w:cs="Arial"/>
                <w:b/>
                <w:color w:val="000000" w:themeColor="text1"/>
                <w:sz w:val="18"/>
                <w:szCs w:val="18"/>
              </w:rPr>
              <w:t>Full-time employed</w:t>
            </w:r>
          </w:p>
        </w:tc>
        <w:tc>
          <w:tcPr>
            <w:tcW w:w="672" w:type="pct"/>
            <w:vAlign w:val="center"/>
          </w:tcPr>
          <w:p w14:paraId="7800AF00" w14:textId="771EC3AE" w:rsidR="00A63D6A" w:rsidRPr="00617A89" w:rsidRDefault="004A4E56" w:rsidP="00034502">
            <w:pPr>
              <w:jc w:val="center"/>
              <w:rPr>
                <w:rFonts w:cs="Arial"/>
                <w:color w:val="000000" w:themeColor="text1"/>
                <w:sz w:val="18"/>
              </w:rPr>
            </w:pPr>
            <w:r w:rsidRPr="00617A89">
              <w:rPr>
                <w:rFonts w:cs="Arial"/>
                <w:color w:val="000000" w:themeColor="text1"/>
                <w:sz w:val="18"/>
              </w:rPr>
              <w:t>70.8</w:t>
            </w:r>
          </w:p>
        </w:tc>
        <w:tc>
          <w:tcPr>
            <w:tcW w:w="673" w:type="pct"/>
            <w:vAlign w:val="center"/>
          </w:tcPr>
          <w:p w14:paraId="4D468FC1" w14:textId="5CF02B34" w:rsidR="00A63D6A" w:rsidRPr="00617A89" w:rsidRDefault="004A4E56" w:rsidP="00034502">
            <w:pPr>
              <w:jc w:val="center"/>
              <w:rPr>
                <w:rFonts w:cs="Arial"/>
                <w:color w:val="000000" w:themeColor="text1"/>
                <w:sz w:val="18"/>
              </w:rPr>
            </w:pPr>
            <w:r w:rsidRPr="00617A89">
              <w:rPr>
                <w:rFonts w:cs="Arial"/>
                <w:color w:val="000000" w:themeColor="text1"/>
                <w:sz w:val="18"/>
              </w:rPr>
              <w:t>78.9</w:t>
            </w:r>
          </w:p>
        </w:tc>
        <w:tc>
          <w:tcPr>
            <w:tcW w:w="672" w:type="pct"/>
            <w:vAlign w:val="center"/>
          </w:tcPr>
          <w:p w14:paraId="2705C997" w14:textId="797013D2" w:rsidR="00A63D6A" w:rsidRPr="00617A89" w:rsidRDefault="00A63D6A" w:rsidP="00034502">
            <w:pPr>
              <w:pStyle w:val="TablecolumnheadTABLES"/>
              <w:rPr>
                <w:rFonts w:ascii="Arial" w:hAnsi="Arial" w:cs="Arial"/>
                <w:color w:val="000000" w:themeColor="text1"/>
                <w:sz w:val="18"/>
                <w:szCs w:val="18"/>
              </w:rPr>
            </w:pPr>
            <w:r w:rsidRPr="00617A89">
              <w:rPr>
                <w:rFonts w:ascii="Arial" w:hAnsi="Arial" w:cs="Arial"/>
                <w:color w:val="000000" w:themeColor="text1"/>
                <w:sz w:val="18"/>
                <w:szCs w:val="18"/>
              </w:rPr>
              <w:t>86.0</w:t>
            </w:r>
          </w:p>
        </w:tc>
        <w:tc>
          <w:tcPr>
            <w:tcW w:w="673" w:type="pct"/>
            <w:vAlign w:val="center"/>
          </w:tcPr>
          <w:p w14:paraId="24135D9B" w14:textId="024FB26D" w:rsidR="00A63D6A" w:rsidRPr="00617A89" w:rsidRDefault="00664223" w:rsidP="00034502">
            <w:pPr>
              <w:jc w:val="center"/>
              <w:rPr>
                <w:rFonts w:cs="Arial"/>
                <w:color w:val="000000" w:themeColor="text1"/>
                <w:sz w:val="18"/>
              </w:rPr>
            </w:pPr>
            <w:r w:rsidRPr="00617A89">
              <w:rPr>
                <w:rFonts w:cs="Arial"/>
                <w:color w:val="000000" w:themeColor="text1"/>
                <w:sz w:val="18"/>
              </w:rPr>
              <w:t>89.0</w:t>
            </w:r>
          </w:p>
        </w:tc>
        <w:tc>
          <w:tcPr>
            <w:tcW w:w="672" w:type="pct"/>
            <w:vAlign w:val="center"/>
          </w:tcPr>
          <w:p w14:paraId="15FABC2F" w14:textId="2629E2CE" w:rsidR="00A63D6A" w:rsidRPr="00617A89" w:rsidRDefault="008568CA" w:rsidP="00034502">
            <w:pPr>
              <w:jc w:val="center"/>
              <w:rPr>
                <w:rFonts w:cs="Arial"/>
                <w:color w:val="000000" w:themeColor="text1"/>
                <w:sz w:val="18"/>
              </w:rPr>
            </w:pPr>
            <w:r w:rsidRPr="00617A89">
              <w:rPr>
                <w:rFonts w:cs="Arial"/>
                <w:color w:val="000000" w:themeColor="text1"/>
                <w:sz w:val="18"/>
              </w:rPr>
              <w:t>93.2</w:t>
            </w:r>
          </w:p>
        </w:tc>
        <w:tc>
          <w:tcPr>
            <w:tcW w:w="673" w:type="pct"/>
            <w:vAlign w:val="center"/>
          </w:tcPr>
          <w:p w14:paraId="4F120561" w14:textId="632721FD" w:rsidR="00A63D6A" w:rsidRPr="00617A89" w:rsidRDefault="00C31CEA" w:rsidP="00034502">
            <w:pPr>
              <w:jc w:val="center"/>
              <w:rPr>
                <w:rFonts w:cs="Arial"/>
                <w:color w:val="000000" w:themeColor="text1"/>
                <w:sz w:val="18"/>
              </w:rPr>
            </w:pPr>
            <w:r w:rsidRPr="00617A89">
              <w:rPr>
                <w:rFonts w:cs="Arial"/>
                <w:color w:val="000000" w:themeColor="text1"/>
                <w:sz w:val="18"/>
              </w:rPr>
              <w:t>94.5</w:t>
            </w:r>
          </w:p>
        </w:tc>
      </w:tr>
      <w:tr w:rsidR="00C22852" w:rsidRPr="00617A89" w14:paraId="5EE92774" w14:textId="77777777" w:rsidTr="00992970">
        <w:trPr>
          <w:trHeight w:val="86"/>
        </w:trPr>
        <w:tc>
          <w:tcPr>
            <w:tcW w:w="964" w:type="pct"/>
            <w:vAlign w:val="center"/>
          </w:tcPr>
          <w:p w14:paraId="0EC060AC" w14:textId="32143EB0" w:rsidR="00782896" w:rsidRPr="00617A89" w:rsidRDefault="00782896" w:rsidP="00034502">
            <w:pPr>
              <w:pStyle w:val="TablecolumnheadTABLES"/>
              <w:jc w:val="left"/>
              <w:rPr>
                <w:rFonts w:ascii="Arial" w:hAnsi="Arial" w:cs="Arial"/>
                <w:b/>
                <w:color w:val="000000" w:themeColor="text1"/>
                <w:sz w:val="18"/>
                <w:szCs w:val="18"/>
              </w:rPr>
            </w:pPr>
            <w:r w:rsidRPr="00617A89">
              <w:rPr>
                <w:rFonts w:ascii="Arial" w:hAnsi="Arial" w:cs="Arial"/>
                <w:b/>
                <w:color w:val="000000" w:themeColor="text1"/>
                <w:sz w:val="18"/>
                <w:szCs w:val="18"/>
              </w:rPr>
              <w:t>Overall employed</w:t>
            </w:r>
          </w:p>
        </w:tc>
        <w:tc>
          <w:tcPr>
            <w:tcW w:w="672" w:type="pct"/>
            <w:vAlign w:val="center"/>
          </w:tcPr>
          <w:p w14:paraId="05496487" w14:textId="4DFB7D45" w:rsidR="00782896" w:rsidRPr="00617A89" w:rsidRDefault="00E66802" w:rsidP="00034502">
            <w:pPr>
              <w:jc w:val="center"/>
              <w:rPr>
                <w:rFonts w:cs="Arial"/>
                <w:color w:val="000000" w:themeColor="text1"/>
                <w:sz w:val="18"/>
              </w:rPr>
            </w:pPr>
            <w:r w:rsidRPr="00617A89">
              <w:rPr>
                <w:rFonts w:cs="Arial"/>
                <w:color w:val="000000" w:themeColor="text1"/>
                <w:sz w:val="18"/>
              </w:rPr>
              <w:t>60.7</w:t>
            </w:r>
          </w:p>
        </w:tc>
        <w:tc>
          <w:tcPr>
            <w:tcW w:w="673" w:type="pct"/>
            <w:vAlign w:val="center"/>
          </w:tcPr>
          <w:p w14:paraId="6BA251CD" w14:textId="775AFB70" w:rsidR="00782896" w:rsidRPr="00617A89" w:rsidRDefault="007E0EE1" w:rsidP="00034502">
            <w:pPr>
              <w:jc w:val="center"/>
              <w:rPr>
                <w:rFonts w:cs="Arial"/>
                <w:color w:val="000000" w:themeColor="text1"/>
                <w:sz w:val="18"/>
              </w:rPr>
            </w:pPr>
            <w:r w:rsidRPr="00617A89">
              <w:rPr>
                <w:rFonts w:cs="Arial"/>
                <w:color w:val="000000" w:themeColor="text1"/>
                <w:sz w:val="18"/>
              </w:rPr>
              <w:t>74.6</w:t>
            </w:r>
          </w:p>
        </w:tc>
        <w:tc>
          <w:tcPr>
            <w:tcW w:w="672" w:type="pct"/>
            <w:vAlign w:val="center"/>
          </w:tcPr>
          <w:p w14:paraId="4D291F9B" w14:textId="02441355" w:rsidR="00782896" w:rsidRPr="00617A89" w:rsidRDefault="006E6DC9" w:rsidP="00034502">
            <w:pPr>
              <w:pStyle w:val="TablecolumnheadTABLES"/>
              <w:rPr>
                <w:rFonts w:ascii="Arial" w:hAnsi="Arial" w:cs="Arial"/>
                <w:color w:val="000000" w:themeColor="text1"/>
                <w:sz w:val="18"/>
                <w:szCs w:val="18"/>
              </w:rPr>
            </w:pPr>
            <w:r w:rsidRPr="00617A89">
              <w:rPr>
                <w:rFonts w:ascii="Arial" w:hAnsi="Arial" w:cs="Arial"/>
                <w:color w:val="000000" w:themeColor="text1"/>
                <w:sz w:val="18"/>
                <w:szCs w:val="18"/>
              </w:rPr>
              <w:t>84.0</w:t>
            </w:r>
          </w:p>
        </w:tc>
        <w:tc>
          <w:tcPr>
            <w:tcW w:w="673" w:type="pct"/>
            <w:vAlign w:val="center"/>
          </w:tcPr>
          <w:p w14:paraId="3DAE5A25" w14:textId="1902EB2C" w:rsidR="00782896" w:rsidRPr="00617A89" w:rsidRDefault="006E6DC9" w:rsidP="00034502">
            <w:pPr>
              <w:jc w:val="center"/>
              <w:rPr>
                <w:rFonts w:cs="Arial"/>
                <w:color w:val="000000" w:themeColor="text1"/>
                <w:sz w:val="18"/>
              </w:rPr>
            </w:pPr>
            <w:r w:rsidRPr="00617A89">
              <w:rPr>
                <w:rFonts w:cs="Arial"/>
                <w:color w:val="000000" w:themeColor="text1"/>
                <w:sz w:val="18"/>
              </w:rPr>
              <w:t>88.3</w:t>
            </w:r>
          </w:p>
        </w:tc>
        <w:tc>
          <w:tcPr>
            <w:tcW w:w="672" w:type="pct"/>
            <w:vAlign w:val="center"/>
          </w:tcPr>
          <w:p w14:paraId="64C5194D" w14:textId="71343E17" w:rsidR="00782896" w:rsidRPr="00617A89" w:rsidRDefault="00C647D4" w:rsidP="00034502">
            <w:pPr>
              <w:jc w:val="center"/>
              <w:rPr>
                <w:rFonts w:cs="Arial"/>
                <w:color w:val="000000" w:themeColor="text1"/>
                <w:sz w:val="18"/>
              </w:rPr>
            </w:pPr>
            <w:r w:rsidRPr="00617A89">
              <w:rPr>
                <w:rFonts w:cs="Arial"/>
                <w:color w:val="000000" w:themeColor="text1"/>
                <w:sz w:val="18"/>
              </w:rPr>
              <w:t>91.6</w:t>
            </w:r>
          </w:p>
        </w:tc>
        <w:tc>
          <w:tcPr>
            <w:tcW w:w="673" w:type="pct"/>
            <w:vAlign w:val="center"/>
          </w:tcPr>
          <w:p w14:paraId="78689355" w14:textId="13232367" w:rsidR="00782896" w:rsidRPr="00617A89" w:rsidRDefault="00C647D4" w:rsidP="00034502">
            <w:pPr>
              <w:jc w:val="center"/>
              <w:rPr>
                <w:rFonts w:cs="Arial"/>
                <w:color w:val="000000" w:themeColor="text1"/>
                <w:sz w:val="18"/>
              </w:rPr>
            </w:pPr>
            <w:r w:rsidRPr="00617A89">
              <w:rPr>
                <w:rFonts w:cs="Arial"/>
                <w:color w:val="000000" w:themeColor="text1"/>
                <w:sz w:val="18"/>
              </w:rPr>
              <w:t>93.4</w:t>
            </w:r>
          </w:p>
        </w:tc>
      </w:tr>
    </w:tbl>
    <w:bookmarkEnd w:id="78"/>
    <w:p w14:paraId="334F3DFB" w14:textId="2A42C444" w:rsidR="00D626B8" w:rsidRPr="00617A89" w:rsidRDefault="00D626B8"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While</w:t>
      </w:r>
      <w:r w:rsidR="003021FF" w:rsidRPr="00617A89">
        <w:rPr>
          <w:rFonts w:ascii="ArialMT" w:hAnsi="ArialMT" w:cs="ArialMT"/>
          <w:color w:val="000000" w:themeColor="text1"/>
          <w:lang w:val="en-GB"/>
        </w:rPr>
        <w:t xml:space="preserve"> 78.9 per cent of undergraduates employed full-time were</w:t>
      </w:r>
      <w:r w:rsidR="000A1CA0" w:rsidRPr="00617A89">
        <w:rPr>
          <w:rFonts w:ascii="ArialMT" w:hAnsi="ArialMT" w:cs="ArialMT"/>
          <w:color w:val="000000" w:themeColor="text1"/>
          <w:lang w:val="en-GB"/>
        </w:rPr>
        <w:t xml:space="preserve"> working in managerial or professional occupations 3 years after course completion</w:t>
      </w:r>
      <w:r w:rsidR="00707D80" w:rsidRPr="00617A89">
        <w:rPr>
          <w:rFonts w:ascii="ArialMT" w:hAnsi="ArialMT" w:cs="ArialMT"/>
          <w:color w:val="000000" w:themeColor="text1"/>
          <w:lang w:val="en-GB"/>
        </w:rPr>
        <w:t>,</w:t>
      </w:r>
      <w:r w:rsidR="003D5F3B" w:rsidRPr="00617A89">
        <w:rPr>
          <w:rFonts w:ascii="ArialMT" w:hAnsi="ArialMT" w:cs="ArialMT"/>
          <w:color w:val="000000" w:themeColor="text1"/>
          <w:lang w:val="en-GB"/>
        </w:rPr>
        <w:t xml:space="preserve"> this varied greatly across study areas – some study</w:t>
      </w:r>
      <w:r w:rsidR="00A4009C" w:rsidRPr="00617A89">
        <w:rPr>
          <w:rFonts w:ascii="ArialMT" w:hAnsi="ArialMT" w:cs="ArialMT"/>
          <w:color w:val="000000" w:themeColor="text1"/>
          <w:lang w:val="en-GB"/>
        </w:rPr>
        <w:t xml:space="preserve"> area</w:t>
      </w:r>
      <w:r w:rsidR="00707D80" w:rsidRPr="00617A89">
        <w:rPr>
          <w:rFonts w:ascii="ArialMT" w:hAnsi="ArialMT" w:cs="ArialMT"/>
          <w:color w:val="000000" w:themeColor="text1"/>
          <w:lang w:val="en-GB"/>
        </w:rPr>
        <w:t>s</w:t>
      </w:r>
      <w:r w:rsidR="00A4009C" w:rsidRPr="00617A89">
        <w:rPr>
          <w:rFonts w:ascii="ArialMT" w:hAnsi="ArialMT" w:cs="ArialMT"/>
          <w:color w:val="000000" w:themeColor="text1"/>
          <w:lang w:val="en-GB"/>
        </w:rPr>
        <w:t xml:space="preserve"> had much higher rates in the short and medium-term that were consistent with rates </w:t>
      </w:r>
      <w:r w:rsidR="00802ABF" w:rsidRPr="00617A89">
        <w:rPr>
          <w:rFonts w:ascii="ArialMT" w:hAnsi="ArialMT" w:cs="ArialMT"/>
          <w:color w:val="000000" w:themeColor="text1"/>
          <w:lang w:val="en-GB"/>
        </w:rPr>
        <w:t xml:space="preserve">reported </w:t>
      </w:r>
      <w:r w:rsidR="00A4009C" w:rsidRPr="00617A89">
        <w:rPr>
          <w:rFonts w:ascii="ArialMT" w:hAnsi="ArialMT" w:cs="ArialMT"/>
          <w:color w:val="000000" w:themeColor="text1"/>
          <w:lang w:val="en-GB"/>
        </w:rPr>
        <w:t>at the postgraduate level.</w:t>
      </w:r>
    </w:p>
    <w:p w14:paraId="177D7BCC" w14:textId="659AF1B2" w:rsidR="00996359" w:rsidRPr="00617A89" w:rsidRDefault="0036641D"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 xml:space="preserve">Study areas considered to be more vocational – with </w:t>
      </w:r>
      <w:r w:rsidR="003E3FF0" w:rsidRPr="00617A89">
        <w:rPr>
          <w:rFonts w:ascii="ArialMT" w:hAnsi="ArialMT" w:cs="ArialMT"/>
          <w:color w:val="000000" w:themeColor="text1"/>
          <w:lang w:val="en-GB"/>
        </w:rPr>
        <w:t>clear career paths directly related</w:t>
      </w:r>
      <w:r w:rsidR="00FD7DF2" w:rsidRPr="00617A89">
        <w:rPr>
          <w:rFonts w:ascii="ArialMT" w:hAnsi="ArialMT" w:cs="ArialMT"/>
          <w:color w:val="000000" w:themeColor="text1"/>
          <w:lang w:val="en-GB"/>
        </w:rPr>
        <w:t xml:space="preserve"> to the qualification – tended to have high rates of </w:t>
      </w:r>
      <w:r w:rsidR="000C3812" w:rsidRPr="00617A89">
        <w:rPr>
          <w:rFonts w:ascii="ArialMT" w:hAnsi="ArialMT" w:cs="ArialMT"/>
          <w:color w:val="000000" w:themeColor="text1"/>
          <w:lang w:val="en-GB"/>
        </w:rPr>
        <w:t>undergraduates working in in managerial or professional occupations shortly after course completion and 3 years later.</w:t>
      </w:r>
      <w:r w:rsidR="00D84CFA" w:rsidRPr="00617A89">
        <w:rPr>
          <w:rFonts w:ascii="ArialMT" w:hAnsi="ArialMT" w:cs="ArialMT"/>
          <w:color w:val="000000" w:themeColor="text1"/>
          <w:lang w:val="en-GB"/>
        </w:rPr>
        <w:t xml:space="preserve"> In comparison, more generalist study areas and study areas</w:t>
      </w:r>
      <w:r w:rsidR="00A570FD" w:rsidRPr="00617A89">
        <w:rPr>
          <w:rFonts w:ascii="ArialMT" w:hAnsi="ArialMT" w:cs="ArialMT"/>
          <w:color w:val="000000" w:themeColor="text1"/>
          <w:lang w:val="en-GB"/>
        </w:rPr>
        <w:t xml:space="preserve"> with requirements for additional</w:t>
      </w:r>
      <w:r w:rsidR="00FB1EE6" w:rsidRPr="00617A89">
        <w:rPr>
          <w:rFonts w:ascii="ArialMT" w:hAnsi="ArialMT" w:cs="ArialMT"/>
          <w:color w:val="000000" w:themeColor="text1"/>
          <w:lang w:val="en-GB"/>
        </w:rPr>
        <w:t xml:space="preserve"> postgraduate study and/or accreditation requirements</w:t>
      </w:r>
      <w:r w:rsidR="00727A20" w:rsidRPr="00617A89">
        <w:rPr>
          <w:rFonts w:ascii="ArialMT" w:hAnsi="ArialMT" w:cs="ArialMT"/>
          <w:color w:val="000000" w:themeColor="text1"/>
          <w:lang w:val="en-GB"/>
        </w:rPr>
        <w:t>, tended to have lower rates in the short-</w:t>
      </w:r>
      <w:r w:rsidR="003A7009" w:rsidRPr="00617A89">
        <w:rPr>
          <w:rFonts w:ascii="ArialMT" w:hAnsi="ArialMT" w:cs="ArialMT"/>
          <w:color w:val="000000" w:themeColor="text1"/>
          <w:lang w:val="en-GB"/>
        </w:rPr>
        <w:t xml:space="preserve">term </w:t>
      </w:r>
      <w:r w:rsidR="00727A20" w:rsidRPr="00617A89">
        <w:rPr>
          <w:rFonts w:ascii="ArialMT" w:hAnsi="ArialMT" w:cs="ArialMT"/>
          <w:color w:val="000000" w:themeColor="text1"/>
          <w:lang w:val="en-GB"/>
        </w:rPr>
        <w:t>but bigger gains 3</w:t>
      </w:r>
      <w:r w:rsidR="0015613D" w:rsidRPr="00617A89">
        <w:rPr>
          <w:rFonts w:ascii="ArialMT" w:hAnsi="ArialMT" w:cs="ArialMT"/>
          <w:color w:val="000000" w:themeColor="text1"/>
          <w:lang w:val="en-GB"/>
        </w:rPr>
        <w:t xml:space="preserve"> years</w:t>
      </w:r>
      <w:r w:rsidR="00CA4308" w:rsidRPr="00617A89">
        <w:rPr>
          <w:rFonts w:ascii="ArialMT" w:hAnsi="ArialMT" w:cs="ArialMT"/>
          <w:color w:val="000000" w:themeColor="text1"/>
          <w:lang w:val="en-GB"/>
        </w:rPr>
        <w:t xml:space="preserve"> later</w:t>
      </w:r>
      <w:r w:rsidR="0015613D" w:rsidRPr="00617A89">
        <w:rPr>
          <w:rFonts w:ascii="ArialMT" w:hAnsi="ArialMT" w:cs="ArialMT"/>
          <w:color w:val="000000" w:themeColor="text1"/>
          <w:lang w:val="en-GB"/>
        </w:rPr>
        <w:t>.</w:t>
      </w:r>
    </w:p>
    <w:p w14:paraId="5332F1B5" w14:textId="55E1EA94" w:rsidR="009C39F7" w:rsidRPr="00617A89" w:rsidRDefault="0015613D" w:rsidP="00244416">
      <w:pPr>
        <w:widowControl w:val="0"/>
        <w:suppressAutoHyphens/>
        <w:autoSpaceDE w:val="0"/>
        <w:autoSpaceDN w:val="0"/>
        <w:adjustRightInd w:val="0"/>
        <w:spacing w:before="142" w:line="290" w:lineRule="atLeast"/>
        <w:textAlignment w:val="center"/>
        <w:rPr>
          <w:rFonts w:ascii="ArialMT" w:hAnsi="ArialMT" w:cs="ArialMT"/>
          <w:b/>
          <w:bCs/>
          <w:color w:val="000000" w:themeColor="text1"/>
          <w:lang w:val="en-GB"/>
        </w:rPr>
      </w:pPr>
      <w:r w:rsidRPr="00617A89">
        <w:rPr>
          <w:rFonts w:ascii="ArialMT" w:hAnsi="ArialMT" w:cs="ArialMT"/>
          <w:color w:val="000000" w:themeColor="text1"/>
          <w:lang w:val="en-GB"/>
        </w:rPr>
        <w:t xml:space="preserve">For example, </w:t>
      </w:r>
      <w:r w:rsidR="00490B36" w:rsidRPr="00617A89">
        <w:rPr>
          <w:rFonts w:ascii="ArialMT" w:hAnsi="ArialMT" w:cs="ArialMT"/>
          <w:color w:val="000000" w:themeColor="text1"/>
          <w:lang w:val="en-GB"/>
        </w:rPr>
        <w:t xml:space="preserve">more than 90 per cent of domestic </w:t>
      </w:r>
      <w:r w:rsidR="00764B37" w:rsidRPr="00617A89">
        <w:rPr>
          <w:rFonts w:ascii="ArialMT" w:hAnsi="ArialMT" w:cs="ArialMT"/>
          <w:color w:val="000000" w:themeColor="text1"/>
          <w:lang w:val="en-GB"/>
        </w:rPr>
        <w:t xml:space="preserve">undergraduates </w:t>
      </w:r>
      <w:r w:rsidR="00490B36" w:rsidRPr="00617A89">
        <w:rPr>
          <w:rFonts w:ascii="ArialMT" w:hAnsi="ArialMT" w:cs="ArialMT"/>
          <w:color w:val="000000" w:themeColor="text1"/>
          <w:lang w:val="en-GB"/>
        </w:rPr>
        <w:t xml:space="preserve">employed full-time </w:t>
      </w:r>
      <w:r w:rsidR="00764B37" w:rsidRPr="00617A89">
        <w:rPr>
          <w:rFonts w:ascii="ArialMT" w:hAnsi="ArialMT" w:cs="ArialMT"/>
          <w:color w:val="000000" w:themeColor="text1"/>
          <w:lang w:val="en-GB"/>
        </w:rPr>
        <w:t xml:space="preserve">from the areas of </w:t>
      </w:r>
      <w:r w:rsidR="009055DB" w:rsidRPr="00617A89">
        <w:rPr>
          <w:rFonts w:ascii="ArialMT" w:hAnsi="ArialMT" w:cs="ArialMT"/>
          <w:color w:val="000000" w:themeColor="text1"/>
          <w:lang w:val="en-GB"/>
        </w:rPr>
        <w:t>Rehabilitation, Pharmacy and Teacher education</w:t>
      </w:r>
      <w:r w:rsidR="00764B37" w:rsidRPr="00617A89">
        <w:rPr>
          <w:rFonts w:ascii="ArialMT" w:hAnsi="ArialMT" w:cs="ArialMT"/>
          <w:color w:val="000000" w:themeColor="text1"/>
          <w:lang w:val="en-GB"/>
        </w:rPr>
        <w:t xml:space="preserve"> </w:t>
      </w:r>
      <w:r w:rsidR="009043BF" w:rsidRPr="00617A89">
        <w:rPr>
          <w:rFonts w:ascii="ArialMT" w:hAnsi="ArialMT" w:cs="ArialMT"/>
          <w:color w:val="000000" w:themeColor="text1"/>
          <w:lang w:val="en-GB"/>
        </w:rPr>
        <w:t>were working in managerial or professional occupations shortly after course completion</w:t>
      </w:r>
      <w:r w:rsidR="007F0D05" w:rsidRPr="00617A89">
        <w:rPr>
          <w:rFonts w:ascii="ArialMT" w:hAnsi="ArialMT" w:cs="ArialMT"/>
          <w:color w:val="000000" w:themeColor="text1"/>
          <w:lang w:val="en-GB"/>
        </w:rPr>
        <w:t xml:space="preserve"> and this remained high over time</w:t>
      </w:r>
      <w:r w:rsidR="00433A7A" w:rsidRPr="00617A89">
        <w:rPr>
          <w:rFonts w:ascii="ArialMT" w:hAnsi="ArialMT" w:cs="ArialMT"/>
          <w:color w:val="000000" w:themeColor="text1"/>
          <w:lang w:val="en-GB"/>
        </w:rPr>
        <w:t xml:space="preserve"> (</w:t>
      </w:r>
      <w:r w:rsidR="00433A7A" w:rsidRPr="00617A89">
        <w:rPr>
          <w:rFonts w:ascii="ArialMT" w:hAnsi="ArialMT" w:cs="ArialMT"/>
          <w:b/>
          <w:bCs/>
          <w:color w:val="000000" w:themeColor="text1"/>
          <w:lang w:val="en-GB"/>
        </w:rPr>
        <w:fldChar w:fldCharType="begin"/>
      </w:r>
      <w:r w:rsidR="00433A7A" w:rsidRPr="00617A89">
        <w:rPr>
          <w:rFonts w:ascii="ArialMT" w:hAnsi="ArialMT" w:cs="ArialMT"/>
          <w:b/>
          <w:bCs/>
          <w:color w:val="000000" w:themeColor="text1"/>
          <w:lang w:val="en-GB"/>
        </w:rPr>
        <w:instrText xml:space="preserve"> REF _Ref168392751 \h  \* MERGEFORMAT </w:instrText>
      </w:r>
      <w:r w:rsidR="00433A7A" w:rsidRPr="00617A89">
        <w:rPr>
          <w:rFonts w:ascii="ArialMT" w:hAnsi="ArialMT" w:cs="ArialMT"/>
          <w:b/>
          <w:bCs/>
          <w:color w:val="000000" w:themeColor="text1"/>
          <w:lang w:val="en-GB"/>
        </w:rPr>
      </w:r>
      <w:r w:rsidR="00433A7A" w:rsidRPr="00617A89">
        <w:rPr>
          <w:rFonts w:ascii="ArialMT" w:hAnsi="ArialMT" w:cs="ArialMT"/>
          <w:b/>
          <w:bCs/>
          <w:color w:val="000000" w:themeColor="text1"/>
          <w:lang w:val="en-GB"/>
        </w:rPr>
        <w:fldChar w:fldCharType="separate"/>
      </w:r>
      <w:r w:rsidR="00DB7C31" w:rsidRPr="00617A89">
        <w:rPr>
          <w:b/>
          <w:bCs/>
          <w:color w:val="000000" w:themeColor="text1"/>
        </w:rPr>
        <w:t>Figure 6</w:t>
      </w:r>
      <w:r w:rsidR="00433A7A" w:rsidRPr="00617A89">
        <w:rPr>
          <w:rFonts w:ascii="ArialMT" w:hAnsi="ArialMT" w:cs="ArialMT"/>
          <w:b/>
          <w:bCs/>
          <w:color w:val="000000" w:themeColor="text1"/>
          <w:lang w:val="en-GB"/>
        </w:rPr>
        <w:fldChar w:fldCharType="end"/>
      </w:r>
      <w:r w:rsidR="00433A7A" w:rsidRPr="00617A89">
        <w:rPr>
          <w:rFonts w:ascii="ArialMT" w:hAnsi="ArialMT" w:cs="ArialMT"/>
          <w:color w:val="000000" w:themeColor="text1"/>
          <w:lang w:val="en-GB"/>
        </w:rPr>
        <w:t>)</w:t>
      </w:r>
      <w:r w:rsidR="00433A7A" w:rsidRPr="00617A89">
        <w:rPr>
          <w:rFonts w:ascii="ArialMT" w:hAnsi="ArialMT" w:cs="ArialMT"/>
          <w:b/>
          <w:bCs/>
          <w:color w:val="000000" w:themeColor="text1"/>
          <w:lang w:val="en-GB"/>
        </w:rPr>
        <w:t xml:space="preserve">. </w:t>
      </w:r>
    </w:p>
    <w:p w14:paraId="24A6005B" w14:textId="2E77E3B9" w:rsidR="0015613D" w:rsidRPr="00617A89" w:rsidRDefault="00433A7A"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 xml:space="preserve">In contrast, </w:t>
      </w:r>
      <w:r w:rsidR="00BA0BA9" w:rsidRPr="00617A89">
        <w:rPr>
          <w:rFonts w:ascii="ArialMT" w:hAnsi="ArialMT" w:cs="ArialMT"/>
          <w:color w:val="000000" w:themeColor="text1"/>
          <w:lang w:val="en-GB"/>
        </w:rPr>
        <w:t>only 54.0 per cent of Law and paralegal undergraduates were employed in managerial or professional occupations in the short-term</w:t>
      </w:r>
      <w:r w:rsidR="00AE2CE7" w:rsidRPr="00617A89">
        <w:rPr>
          <w:rFonts w:ascii="ArialMT" w:hAnsi="ArialMT" w:cs="ArialMT"/>
          <w:color w:val="000000" w:themeColor="text1"/>
          <w:lang w:val="en-GB"/>
        </w:rPr>
        <w:t xml:space="preserve"> but they had the biggest increase over the 3-year period</w:t>
      </w:r>
      <w:r w:rsidR="00546D6A" w:rsidRPr="00617A89">
        <w:rPr>
          <w:rFonts w:ascii="ArialMT" w:hAnsi="ArialMT" w:cs="ArialMT"/>
          <w:color w:val="000000" w:themeColor="text1"/>
          <w:lang w:val="en-GB"/>
        </w:rPr>
        <w:t xml:space="preserve"> by </w:t>
      </w:r>
      <w:r w:rsidR="003D6ACC" w:rsidRPr="00617A89">
        <w:rPr>
          <w:rFonts w:ascii="ArialMT" w:hAnsi="ArialMT" w:cs="ArialMT"/>
          <w:color w:val="000000" w:themeColor="text1"/>
          <w:lang w:val="en-GB"/>
        </w:rPr>
        <w:t xml:space="preserve">24.9 percentage points </w:t>
      </w:r>
      <w:r w:rsidR="00546D6A" w:rsidRPr="00617A89">
        <w:rPr>
          <w:rFonts w:ascii="ArialMT" w:hAnsi="ArialMT" w:cs="ArialMT"/>
          <w:color w:val="000000" w:themeColor="text1"/>
          <w:lang w:val="en-GB"/>
        </w:rPr>
        <w:t xml:space="preserve">– </w:t>
      </w:r>
      <w:r w:rsidR="00841EF9" w:rsidRPr="00617A89">
        <w:rPr>
          <w:rFonts w:ascii="ArialMT" w:hAnsi="ArialMT" w:cs="ArialMT"/>
          <w:color w:val="000000" w:themeColor="text1"/>
          <w:lang w:val="en-GB"/>
        </w:rPr>
        <w:t xml:space="preserve">Law and paralegal </w:t>
      </w:r>
      <w:r w:rsidR="00631AD1" w:rsidRPr="00617A89">
        <w:rPr>
          <w:rFonts w:ascii="ArialMT" w:hAnsi="ArialMT" w:cs="ArialMT"/>
          <w:color w:val="000000" w:themeColor="text1"/>
          <w:lang w:val="en-GB"/>
        </w:rPr>
        <w:t xml:space="preserve">undergraduates wishing to </w:t>
      </w:r>
      <w:r w:rsidR="008A1237" w:rsidRPr="00617A89">
        <w:rPr>
          <w:rFonts w:ascii="ArialMT" w:hAnsi="ArialMT" w:cs="ArialMT"/>
          <w:color w:val="000000" w:themeColor="text1"/>
          <w:lang w:val="en-GB"/>
        </w:rPr>
        <w:t>pursue</w:t>
      </w:r>
      <w:r w:rsidR="00676A7D" w:rsidRPr="00617A89">
        <w:rPr>
          <w:rFonts w:ascii="ArialMT" w:hAnsi="ArialMT" w:cs="ArialMT"/>
          <w:color w:val="000000" w:themeColor="text1"/>
          <w:lang w:val="en-GB"/>
        </w:rPr>
        <w:t xml:space="preserve"> </w:t>
      </w:r>
      <w:r w:rsidR="008A1237" w:rsidRPr="00617A89">
        <w:rPr>
          <w:rFonts w:ascii="ArialMT" w:hAnsi="ArialMT" w:cs="ArialMT"/>
          <w:color w:val="000000" w:themeColor="text1"/>
          <w:lang w:val="en-GB"/>
        </w:rPr>
        <w:t>career</w:t>
      </w:r>
      <w:r w:rsidR="00676A7D" w:rsidRPr="00617A89">
        <w:rPr>
          <w:rFonts w:ascii="ArialMT" w:hAnsi="ArialMT" w:cs="ArialMT"/>
          <w:color w:val="000000" w:themeColor="text1"/>
          <w:lang w:val="en-GB"/>
        </w:rPr>
        <w:t>s</w:t>
      </w:r>
      <w:r w:rsidR="008A1237" w:rsidRPr="00617A89">
        <w:rPr>
          <w:rFonts w:ascii="ArialMT" w:hAnsi="ArialMT" w:cs="ArialMT"/>
          <w:color w:val="000000" w:themeColor="text1"/>
          <w:lang w:val="en-GB"/>
        </w:rPr>
        <w:t xml:space="preserve"> as </w:t>
      </w:r>
      <w:r w:rsidR="008B036E" w:rsidRPr="00617A89">
        <w:rPr>
          <w:rFonts w:ascii="ArialMT" w:hAnsi="ArialMT" w:cs="ArialMT"/>
          <w:color w:val="000000" w:themeColor="text1"/>
          <w:lang w:val="en-GB"/>
        </w:rPr>
        <w:t>law</w:t>
      </w:r>
      <w:r w:rsidR="008A1237" w:rsidRPr="00617A89">
        <w:rPr>
          <w:rFonts w:ascii="ArialMT" w:hAnsi="ArialMT" w:cs="ArialMT"/>
          <w:color w:val="000000" w:themeColor="text1"/>
          <w:lang w:val="en-GB"/>
        </w:rPr>
        <w:t>yer</w:t>
      </w:r>
      <w:r w:rsidR="00676A7D" w:rsidRPr="00617A89">
        <w:rPr>
          <w:rFonts w:ascii="ArialMT" w:hAnsi="ArialMT" w:cs="ArialMT"/>
          <w:color w:val="000000" w:themeColor="text1"/>
          <w:lang w:val="en-GB"/>
        </w:rPr>
        <w:t>s</w:t>
      </w:r>
      <w:r w:rsidR="008B036E" w:rsidRPr="00617A89">
        <w:rPr>
          <w:rFonts w:ascii="ArialMT" w:hAnsi="ArialMT" w:cs="ArialMT"/>
          <w:color w:val="000000" w:themeColor="text1"/>
          <w:lang w:val="en-GB"/>
        </w:rPr>
        <w:t xml:space="preserve"> in Australia</w:t>
      </w:r>
      <w:r w:rsidR="006C241A" w:rsidRPr="00617A89">
        <w:rPr>
          <w:rFonts w:ascii="ArialMT" w:hAnsi="ArialMT" w:cs="ArialMT"/>
          <w:color w:val="000000" w:themeColor="text1"/>
          <w:lang w:val="en-GB"/>
        </w:rPr>
        <w:t xml:space="preserve"> are typically required to undertake additional training </w:t>
      </w:r>
      <w:r w:rsidR="00524163" w:rsidRPr="00617A89">
        <w:rPr>
          <w:rFonts w:ascii="ArialMT" w:hAnsi="ArialMT" w:cs="ArialMT"/>
          <w:color w:val="000000" w:themeColor="text1"/>
          <w:lang w:val="en-GB"/>
        </w:rPr>
        <w:t>before</w:t>
      </w:r>
      <w:r w:rsidR="0099671A" w:rsidRPr="00617A89">
        <w:rPr>
          <w:rFonts w:ascii="ArialMT" w:hAnsi="ArialMT" w:cs="ArialMT"/>
          <w:color w:val="000000" w:themeColor="text1"/>
          <w:lang w:val="en-GB"/>
        </w:rPr>
        <w:t xml:space="preserve"> they can </w:t>
      </w:r>
      <w:r w:rsidR="00877DC3" w:rsidRPr="00617A89">
        <w:rPr>
          <w:rFonts w:ascii="ArialMT" w:hAnsi="ArialMT" w:cs="ArialMT"/>
          <w:color w:val="000000" w:themeColor="text1"/>
          <w:lang w:val="en-GB"/>
        </w:rPr>
        <w:t>be accredited to practice</w:t>
      </w:r>
      <w:r w:rsidR="009D5A93" w:rsidRPr="00617A89">
        <w:rPr>
          <w:rFonts w:ascii="ArialMT" w:hAnsi="ArialMT" w:cs="ArialMT"/>
          <w:color w:val="000000" w:themeColor="text1"/>
          <w:lang w:val="en-GB"/>
        </w:rPr>
        <w:t xml:space="preserve"> which explains</w:t>
      </w:r>
      <w:r w:rsidR="002C7784" w:rsidRPr="00617A89">
        <w:rPr>
          <w:rFonts w:ascii="ArialMT" w:hAnsi="ArialMT" w:cs="ArialMT"/>
          <w:color w:val="000000" w:themeColor="text1"/>
          <w:lang w:val="en-GB"/>
        </w:rPr>
        <w:t xml:space="preserve"> the slow start in the short-term but large gains over time.</w:t>
      </w:r>
      <w:r w:rsidR="003D6ACC" w:rsidRPr="00617A89">
        <w:rPr>
          <w:rFonts w:ascii="ArialMT" w:hAnsi="ArialMT" w:cs="ArialMT"/>
          <w:color w:val="000000" w:themeColor="text1"/>
          <w:lang w:val="en-GB"/>
        </w:rPr>
        <w:t xml:space="preserve"> </w:t>
      </w:r>
      <w:r w:rsidR="00E01F35" w:rsidRPr="00617A89">
        <w:rPr>
          <w:rFonts w:ascii="ArialMT" w:hAnsi="ArialMT" w:cs="ArialMT"/>
          <w:color w:val="000000" w:themeColor="text1"/>
          <w:lang w:val="en-GB"/>
        </w:rPr>
        <w:t>This is further evidenced by the relatively high further full-time study rates</w:t>
      </w:r>
      <w:r w:rsidR="00680EEA" w:rsidRPr="00617A89">
        <w:rPr>
          <w:rFonts w:ascii="ArialMT" w:hAnsi="ArialMT" w:cs="ArialMT"/>
          <w:color w:val="000000" w:themeColor="text1"/>
          <w:lang w:val="en-GB"/>
        </w:rPr>
        <w:t xml:space="preserve"> in the short-term and increases in full-time employment rates and median salar</w:t>
      </w:r>
      <w:r w:rsidR="00E1006E" w:rsidRPr="00617A89">
        <w:rPr>
          <w:rFonts w:ascii="ArialMT" w:hAnsi="ArialMT" w:cs="ArialMT"/>
          <w:color w:val="000000" w:themeColor="text1"/>
          <w:lang w:val="en-GB"/>
        </w:rPr>
        <w:t xml:space="preserve">ies presented in </w:t>
      </w:r>
      <w:r w:rsidR="00F73024" w:rsidRPr="00617A89">
        <w:rPr>
          <w:rFonts w:ascii="ArialMT" w:hAnsi="ArialMT" w:cs="ArialMT"/>
          <w:b/>
          <w:bCs/>
          <w:color w:val="000000" w:themeColor="text1"/>
          <w:lang w:val="en-GB"/>
        </w:rPr>
        <w:fldChar w:fldCharType="begin"/>
      </w:r>
      <w:r w:rsidR="00F73024" w:rsidRPr="00617A89">
        <w:rPr>
          <w:rFonts w:ascii="ArialMT" w:hAnsi="ArialMT" w:cs="ArialMT"/>
          <w:b/>
          <w:bCs/>
          <w:color w:val="000000" w:themeColor="text1"/>
          <w:lang w:val="en-GB"/>
        </w:rPr>
        <w:instrText xml:space="preserve"> REF _Ref202262609 \h  \* MERGEFORMAT </w:instrText>
      </w:r>
      <w:r w:rsidR="00F73024" w:rsidRPr="00617A89">
        <w:rPr>
          <w:rFonts w:ascii="ArialMT" w:hAnsi="ArialMT" w:cs="ArialMT"/>
          <w:b/>
          <w:bCs/>
          <w:color w:val="000000" w:themeColor="text1"/>
          <w:lang w:val="en-GB"/>
        </w:rPr>
      </w:r>
      <w:r w:rsidR="00F73024" w:rsidRPr="00617A89">
        <w:rPr>
          <w:rFonts w:ascii="ArialMT" w:hAnsi="ArialMT" w:cs="ArialMT"/>
          <w:b/>
          <w:bCs/>
          <w:color w:val="000000" w:themeColor="text1"/>
          <w:lang w:val="en-GB"/>
        </w:rPr>
        <w:fldChar w:fldCharType="separate"/>
      </w:r>
      <w:r w:rsidR="00DB7C31" w:rsidRPr="00617A89">
        <w:rPr>
          <w:b/>
          <w:bCs/>
          <w:color w:val="000000" w:themeColor="text1"/>
        </w:rPr>
        <w:t xml:space="preserve">Table </w:t>
      </w:r>
      <w:r w:rsidR="00DB7C31" w:rsidRPr="00617A89">
        <w:rPr>
          <w:b/>
          <w:bCs/>
          <w:noProof/>
          <w:color w:val="000000" w:themeColor="text1"/>
        </w:rPr>
        <w:t>5</w:t>
      </w:r>
      <w:r w:rsidR="00F73024" w:rsidRPr="00617A89">
        <w:rPr>
          <w:rFonts w:ascii="ArialMT" w:hAnsi="ArialMT" w:cs="ArialMT"/>
          <w:b/>
          <w:bCs/>
          <w:color w:val="000000" w:themeColor="text1"/>
          <w:lang w:val="en-GB"/>
        </w:rPr>
        <w:fldChar w:fldCharType="end"/>
      </w:r>
      <w:r w:rsidR="00F73024" w:rsidRPr="00617A89">
        <w:rPr>
          <w:rFonts w:ascii="ArialMT" w:hAnsi="ArialMT" w:cs="ArialMT"/>
          <w:b/>
          <w:bCs/>
          <w:color w:val="000000" w:themeColor="text1"/>
          <w:lang w:val="en-GB"/>
        </w:rPr>
        <w:t xml:space="preserve"> </w:t>
      </w:r>
      <w:r w:rsidR="00F73024" w:rsidRPr="00617A89">
        <w:rPr>
          <w:rFonts w:ascii="ArialMT" w:hAnsi="ArialMT" w:cs="ArialMT"/>
          <w:color w:val="000000" w:themeColor="text1"/>
          <w:lang w:val="en-GB"/>
        </w:rPr>
        <w:t xml:space="preserve">for </w:t>
      </w:r>
      <w:r w:rsidR="009C39F7" w:rsidRPr="00617A89">
        <w:rPr>
          <w:rFonts w:ascii="ArialMT" w:hAnsi="ArialMT" w:cs="ArialMT"/>
          <w:color w:val="000000" w:themeColor="text1"/>
          <w:lang w:val="en-GB"/>
        </w:rPr>
        <w:t>Law and paralegal domestic undergraduates.</w:t>
      </w:r>
    </w:p>
    <w:p w14:paraId="2FA65ED7" w14:textId="77777777" w:rsidR="00244416" w:rsidRPr="00617A89" w:rsidRDefault="00244416"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p>
    <w:p w14:paraId="1C913806" w14:textId="77777777" w:rsidR="00244416" w:rsidRPr="00617A89" w:rsidRDefault="00244416"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sectPr w:rsidR="00244416" w:rsidRPr="00617A89" w:rsidSect="002E7DD0">
          <w:pgSz w:w="11900" w:h="16840"/>
          <w:pgMar w:top="720" w:right="720" w:bottom="720" w:left="720" w:header="567" w:footer="567" w:gutter="0"/>
          <w:pgNumType w:start="1"/>
          <w:cols w:space="708"/>
          <w:docGrid w:linePitch="360"/>
        </w:sectPr>
      </w:pPr>
    </w:p>
    <w:p w14:paraId="0A1EF076" w14:textId="3C280AC1" w:rsidR="00244416" w:rsidRPr="00617A89" w:rsidRDefault="00244416" w:rsidP="00244416">
      <w:pPr>
        <w:pStyle w:val="Caption"/>
        <w:rPr>
          <w:color w:val="000000" w:themeColor="text1"/>
        </w:rPr>
      </w:pPr>
      <w:bookmarkStart w:id="79" w:name="_Ref168392751"/>
      <w:bookmarkStart w:id="80" w:name="_Ref168392743"/>
      <w:bookmarkStart w:id="81" w:name="_Toc222868500"/>
      <w:bookmarkStart w:id="82" w:name="_Ref75791125"/>
      <w:bookmarkStart w:id="83" w:name="_Toc71028424"/>
      <w:bookmarkStart w:id="84" w:name="_Toc71028477"/>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6</w:t>
      </w:r>
      <w:r w:rsidR="00DB7C31" w:rsidRPr="00617A89">
        <w:rPr>
          <w:noProof/>
          <w:color w:val="000000" w:themeColor="text1"/>
        </w:rPr>
        <w:fldChar w:fldCharType="end"/>
      </w:r>
      <w:bookmarkEnd w:id="79"/>
      <w:r w:rsidR="00200B73" w:rsidRPr="00617A89">
        <w:rPr>
          <w:noProof/>
          <w:color w:val="000000" w:themeColor="text1"/>
        </w:rPr>
        <w:tab/>
      </w:r>
      <w:r w:rsidRPr="00617A89">
        <w:rPr>
          <w:color w:val="000000" w:themeColor="text1"/>
        </w:rPr>
        <w:t>Proportion of domestic undergraduates employed full-time as managers or professionals by study area</w:t>
      </w:r>
      <w:bookmarkEnd w:id="80"/>
      <w:bookmarkEnd w:id="81"/>
      <w:r w:rsidR="00A434E8" w:rsidRPr="00617A89">
        <w:rPr>
          <w:noProof/>
          <w:color w:val="000000" w:themeColor="text1"/>
        </w:rPr>
        <w:drawing>
          <wp:inline distT="0" distB="0" distL="0" distR="0" wp14:anchorId="61EDA0C8" wp14:editId="6EE9AC37">
            <wp:extent cx="8033327" cy="243840"/>
            <wp:effectExtent l="0" t="0" r="6350" b="3810"/>
            <wp:docPr id="2047249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39438" cy="244026"/>
                    </a:xfrm>
                    <a:prstGeom prst="rect">
                      <a:avLst/>
                    </a:prstGeom>
                    <a:noFill/>
                  </pic:spPr>
                </pic:pic>
              </a:graphicData>
            </a:graphic>
          </wp:inline>
        </w:drawing>
      </w:r>
    </w:p>
    <w:p w14:paraId="5B795E85" w14:textId="6040B8F4" w:rsidR="00A434E8" w:rsidRPr="00617A89" w:rsidRDefault="00A434E8" w:rsidP="00244416">
      <w:pPr>
        <w:pStyle w:val="FigureNote"/>
        <w:rPr>
          <w:rStyle w:val="cf01"/>
          <w:color w:val="000000" w:themeColor="text1"/>
        </w:rPr>
      </w:pPr>
      <w:r w:rsidRPr="00617A89">
        <w:rPr>
          <w:noProof/>
          <w:lang w:eastAsia="en-AU"/>
        </w:rPr>
        <w:drawing>
          <wp:inline distT="0" distB="0" distL="0" distR="0" wp14:anchorId="249402D0" wp14:editId="06930D7A">
            <wp:extent cx="9776956" cy="341342"/>
            <wp:effectExtent l="0" t="0" r="0" b="1905"/>
            <wp:docPr id="10413715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71567" name="Picture 2">
                      <a:extLst>
                        <a:ext uri="{C183D7F6-B498-43B3-948B-1728B52AA6E4}">
                          <adec:decorative xmlns:adec="http://schemas.microsoft.com/office/drawing/2017/decorative" val="1"/>
                        </a:ext>
                      </a:extLst>
                    </pic:cNvPr>
                    <pic:cNvPicPr/>
                  </pic:nvPicPr>
                  <pic:blipFill rotWithShape="1">
                    <a:blip r:embed="rId62" cstate="print">
                      <a:extLst>
                        <a:ext uri="{28A0092B-C50C-407E-A947-70E740481C1C}">
                          <a14:useLocalDpi xmlns:a14="http://schemas.microsoft.com/office/drawing/2010/main" val="0"/>
                        </a:ext>
                      </a:extLst>
                    </a:blip>
                    <a:srcRect l="2028" t="25650"/>
                    <a:stretch>
                      <a:fillRect/>
                    </a:stretch>
                  </pic:blipFill>
                  <pic:spPr bwMode="auto">
                    <a:xfrm>
                      <a:off x="0" y="0"/>
                      <a:ext cx="9779000" cy="341413"/>
                    </a:xfrm>
                    <a:prstGeom prst="rect">
                      <a:avLst/>
                    </a:prstGeom>
                    <a:ln>
                      <a:noFill/>
                    </a:ln>
                    <a:extLst>
                      <a:ext uri="{53640926-AAD7-44D8-BBD7-CCE9431645EC}">
                        <a14:shadowObscured xmlns:a14="http://schemas.microsoft.com/office/drawing/2010/main"/>
                      </a:ext>
                    </a:extLst>
                  </pic:spPr>
                </pic:pic>
              </a:graphicData>
            </a:graphic>
          </wp:inline>
        </w:drawing>
      </w:r>
      <w:r w:rsidRPr="00617A89">
        <w:rPr>
          <w:rStyle w:val="cf01"/>
          <w:noProof/>
          <w:color w:val="000000" w:themeColor="text1"/>
        </w:rPr>
        <w:drawing>
          <wp:inline distT="0" distB="0" distL="0" distR="0" wp14:anchorId="51D750B9" wp14:editId="76421586">
            <wp:extent cx="9779000" cy="4590415"/>
            <wp:effectExtent l="0" t="0" r="0" b="635"/>
            <wp:docPr id="14215976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97674" name="Picture 2">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79000" cy="4590415"/>
                    </a:xfrm>
                    <a:prstGeom prst="rect">
                      <a:avLst/>
                    </a:prstGeom>
                    <a:noFill/>
                  </pic:spPr>
                </pic:pic>
              </a:graphicData>
            </a:graphic>
          </wp:inline>
        </w:drawing>
      </w:r>
    </w:p>
    <w:p w14:paraId="5BD50473" w14:textId="77777777" w:rsidR="00A434E8" w:rsidRPr="00617A89" w:rsidRDefault="00244416" w:rsidP="003F27A4">
      <w:pPr>
        <w:pStyle w:val="FigureNote"/>
        <w:jc w:val="left"/>
      </w:pPr>
      <w:r w:rsidRPr="00617A89">
        <w:rPr>
          <w:rStyle w:val="cf01"/>
          <w:rFonts w:ascii="Arial" w:hAnsi="Arial" w:cs="Times New Roman"/>
          <w:color w:val="000000" w:themeColor="text1"/>
          <w:szCs w:val="24"/>
        </w:rPr>
        <w:t xml:space="preserve">Note: This chart is sorted </w:t>
      </w:r>
      <w:r w:rsidR="00BE45B6" w:rsidRPr="00617A89">
        <w:rPr>
          <w:rStyle w:val="cf01"/>
          <w:rFonts w:ascii="Arial" w:hAnsi="Arial" w:cs="Times New Roman"/>
          <w:color w:val="000000" w:themeColor="text1"/>
          <w:szCs w:val="24"/>
        </w:rPr>
        <w:t>in descending order</w:t>
      </w:r>
      <w:r w:rsidR="00205197" w:rsidRPr="00617A89">
        <w:rPr>
          <w:rStyle w:val="cf01"/>
          <w:rFonts w:ascii="Arial" w:hAnsi="Arial" w:cs="Times New Roman"/>
          <w:color w:val="000000" w:themeColor="text1"/>
          <w:szCs w:val="24"/>
        </w:rPr>
        <w:t xml:space="preserve"> based on </w:t>
      </w:r>
      <w:r w:rsidR="00381FE9" w:rsidRPr="00617A89">
        <w:rPr>
          <w:rStyle w:val="cf01"/>
          <w:rFonts w:ascii="Arial" w:hAnsi="Arial" w:cs="Times New Roman"/>
          <w:color w:val="000000" w:themeColor="text1"/>
          <w:szCs w:val="24"/>
        </w:rPr>
        <w:t>medium</w:t>
      </w:r>
      <w:r w:rsidR="00205197" w:rsidRPr="00617A89">
        <w:rPr>
          <w:rStyle w:val="cf01"/>
          <w:rFonts w:ascii="Arial" w:hAnsi="Arial" w:cs="Times New Roman"/>
          <w:color w:val="000000" w:themeColor="text1"/>
          <w:szCs w:val="24"/>
        </w:rPr>
        <w:t>-term outcomes</w:t>
      </w:r>
      <w:r w:rsidRPr="00617A89">
        <w:rPr>
          <w:rStyle w:val="cf01"/>
          <w:rFonts w:ascii="Arial" w:hAnsi="Arial" w:cs="Times New Roman"/>
          <w:color w:val="000000" w:themeColor="text1"/>
          <w:szCs w:val="24"/>
        </w:rPr>
        <w:t xml:space="preserve">. The proportion of undergraduates employed full-time in managerial or professional occupations by </w:t>
      </w:r>
      <w:r w:rsidR="007D5F5B" w:rsidRPr="00617A89">
        <w:rPr>
          <w:rStyle w:val="cf01"/>
          <w:rFonts w:ascii="Arial" w:hAnsi="Arial" w:cs="Times New Roman"/>
          <w:color w:val="000000" w:themeColor="text1"/>
          <w:szCs w:val="24"/>
        </w:rPr>
        <w:t>b</w:t>
      </w:r>
      <w:r w:rsidRPr="00617A89">
        <w:rPr>
          <w:rStyle w:val="cf01"/>
          <w:rFonts w:ascii="Arial" w:hAnsi="Arial" w:cs="Times New Roman"/>
          <w:color w:val="000000" w:themeColor="text1"/>
          <w:szCs w:val="24"/>
        </w:rPr>
        <w:t xml:space="preserve">road </w:t>
      </w:r>
      <w:r w:rsidR="007D5F5B" w:rsidRPr="00617A89">
        <w:rPr>
          <w:rStyle w:val="cf01"/>
          <w:rFonts w:ascii="Arial" w:hAnsi="Arial" w:cs="Times New Roman"/>
          <w:color w:val="000000" w:themeColor="text1"/>
          <w:szCs w:val="24"/>
        </w:rPr>
        <w:t>f</w:t>
      </w:r>
      <w:r w:rsidRPr="00617A89">
        <w:rPr>
          <w:rStyle w:val="cf01"/>
          <w:rFonts w:ascii="Arial" w:hAnsi="Arial" w:cs="Times New Roman"/>
          <w:color w:val="000000" w:themeColor="text1"/>
          <w:szCs w:val="24"/>
        </w:rPr>
        <w:t xml:space="preserve">ield of </w:t>
      </w:r>
      <w:r w:rsidR="007D5F5B" w:rsidRPr="00617A89">
        <w:rPr>
          <w:rStyle w:val="cf01"/>
          <w:rFonts w:ascii="Arial" w:hAnsi="Arial" w:cs="Times New Roman"/>
          <w:color w:val="000000" w:themeColor="text1"/>
          <w:szCs w:val="24"/>
        </w:rPr>
        <w:t>e</w:t>
      </w:r>
      <w:r w:rsidRPr="00617A89">
        <w:rPr>
          <w:rStyle w:val="cf01"/>
          <w:rFonts w:ascii="Arial" w:hAnsi="Arial" w:cs="Times New Roman"/>
          <w:color w:val="000000" w:themeColor="text1"/>
          <w:szCs w:val="24"/>
        </w:rPr>
        <w:t>ducation is also available in the following worksheets of the 202</w:t>
      </w:r>
      <w:r w:rsidR="000533DB" w:rsidRPr="00617A89">
        <w:rPr>
          <w:rStyle w:val="cf01"/>
          <w:rFonts w:ascii="Arial" w:hAnsi="Arial" w:cs="Times New Roman"/>
          <w:color w:val="000000" w:themeColor="text1"/>
          <w:szCs w:val="24"/>
        </w:rPr>
        <w:t>5</w:t>
      </w:r>
      <w:r w:rsidRPr="00617A89">
        <w:rPr>
          <w:rStyle w:val="cf01"/>
          <w:rFonts w:ascii="Arial" w:hAnsi="Arial" w:cs="Times New Roman"/>
          <w:color w:val="000000" w:themeColor="text1"/>
          <w:szCs w:val="24"/>
        </w:rPr>
        <w:t xml:space="preserve"> GOS-L National Tables: OCCF_UG_ALL_1Y_BFOE (full-time) and OCCO_UG_ALL_1Y_BFOE (overall employed).</w:t>
      </w:r>
      <w:r w:rsidR="00A434E8" w:rsidRPr="00617A89">
        <w:t xml:space="preserve"> </w:t>
      </w:r>
    </w:p>
    <w:p w14:paraId="3ADDB6BE" w14:textId="1F069D80" w:rsidR="00126170" w:rsidRPr="00617A89" w:rsidRDefault="00A434E8" w:rsidP="003F27A4">
      <w:pPr>
        <w:pStyle w:val="FigureNote"/>
        <w:jc w:val="left"/>
        <w:rPr>
          <w:rStyle w:val="cf01"/>
          <w:rFonts w:ascii="Arial" w:hAnsi="Arial" w:cs="Times New Roman"/>
          <w:color w:val="000000" w:themeColor="text1"/>
          <w:szCs w:val="24"/>
        </w:rPr>
      </w:pPr>
      <w:r w:rsidRPr="00617A89">
        <w:rPr>
          <w:rStyle w:val="cf01"/>
          <w:rFonts w:ascii="Arial" w:hAnsi="Arial" w:cs="Times New Roman"/>
          <w:color w:val="000000" w:themeColor="text1"/>
          <w:szCs w:val="24"/>
        </w:rPr>
        <w:t>‘ppts’ refers to percentage points, indicating the absolute change between two percentage values.</w:t>
      </w:r>
    </w:p>
    <w:p w14:paraId="766B872D" w14:textId="21AC3463" w:rsidR="00E1654F" w:rsidRPr="00617A89" w:rsidRDefault="00E1654F" w:rsidP="00E1654F">
      <w:pPr>
        <w:pStyle w:val="FigureNote"/>
        <w:rPr>
          <w:color w:val="000000" w:themeColor="text1"/>
          <w:sz w:val="18"/>
          <w:szCs w:val="24"/>
        </w:rPr>
      </w:pPr>
      <w:r w:rsidRPr="00617A89">
        <w:rPr>
          <w:color w:val="000000" w:themeColor="text1"/>
          <w:sz w:val="18"/>
          <w:szCs w:val="24"/>
        </w:rPr>
        <w:t xml:space="preserve">* </w:t>
      </w:r>
      <w:r w:rsidR="00095708" w:rsidRPr="00617A89">
        <w:rPr>
          <w:color w:val="000000" w:themeColor="text1"/>
          <w:sz w:val="18"/>
          <w:szCs w:val="24"/>
        </w:rPr>
        <w:t>I</w:t>
      </w:r>
      <w:r w:rsidRPr="00617A89">
        <w:rPr>
          <w:color w:val="000000" w:themeColor="text1"/>
          <w:sz w:val="18"/>
          <w:szCs w:val="24"/>
        </w:rPr>
        <w:t xml:space="preserve">nsufficient data (n&lt;25) </w:t>
      </w:r>
      <w:r w:rsidR="00095708" w:rsidRPr="00617A89">
        <w:rPr>
          <w:color w:val="000000" w:themeColor="text1"/>
          <w:sz w:val="18"/>
          <w:szCs w:val="24"/>
        </w:rPr>
        <w:t xml:space="preserve">were present in the short-term result </w:t>
      </w:r>
      <w:r w:rsidRPr="00617A89">
        <w:rPr>
          <w:color w:val="000000" w:themeColor="text1"/>
          <w:sz w:val="18"/>
          <w:szCs w:val="24"/>
        </w:rPr>
        <w:t xml:space="preserve">for </w:t>
      </w:r>
      <w:r w:rsidR="00A15FF5" w:rsidRPr="00617A89">
        <w:rPr>
          <w:color w:val="000000" w:themeColor="text1"/>
          <w:sz w:val="18"/>
          <w:szCs w:val="24"/>
        </w:rPr>
        <w:t>Tourism, hospitality, personal services, sport and recreation</w:t>
      </w:r>
      <w:r w:rsidRPr="00617A89">
        <w:rPr>
          <w:color w:val="000000" w:themeColor="text1"/>
          <w:sz w:val="18"/>
          <w:szCs w:val="24"/>
        </w:rPr>
        <w:t>.</w:t>
      </w:r>
    </w:p>
    <w:p w14:paraId="507AB387" w14:textId="162DAD88" w:rsidR="00244416" w:rsidRPr="00617A89" w:rsidRDefault="00244416" w:rsidP="00A26494">
      <w:pPr>
        <w:pStyle w:val="FigureNote"/>
        <w:rPr>
          <w:color w:val="000000" w:themeColor="text1"/>
        </w:rPr>
        <w:sectPr w:rsidR="00244416" w:rsidRPr="00617A89" w:rsidSect="00244416">
          <w:pgSz w:w="16840" w:h="11900" w:orient="landscape"/>
          <w:pgMar w:top="720" w:right="720" w:bottom="720" w:left="720" w:header="397" w:footer="397" w:gutter="0"/>
          <w:cols w:space="708"/>
          <w:docGrid w:linePitch="360"/>
        </w:sectPr>
      </w:pPr>
    </w:p>
    <w:p w14:paraId="0E4630A4" w14:textId="5E49E678" w:rsidR="00244416" w:rsidRPr="00617A89" w:rsidRDefault="00244416" w:rsidP="00280B87">
      <w:pPr>
        <w:pStyle w:val="Heading3"/>
        <w:rPr>
          <w:color w:val="000000" w:themeColor="text1"/>
          <w:lang w:val="en-GB"/>
        </w:rPr>
      </w:pPr>
      <w:bookmarkStart w:id="85" w:name="_Toc222868443"/>
      <w:bookmarkEnd w:id="82"/>
      <w:bookmarkEnd w:id="83"/>
      <w:bookmarkEnd w:id="84"/>
      <w:r w:rsidRPr="00617A89">
        <w:rPr>
          <w:color w:val="000000" w:themeColor="text1"/>
          <w:lang w:val="en-GB"/>
        </w:rPr>
        <w:t>Underutilisation of skills and education</w:t>
      </w:r>
      <w:bookmarkEnd w:id="85"/>
    </w:p>
    <w:p w14:paraId="37C0109B" w14:textId="77777777" w:rsidR="00200B73" w:rsidRPr="00617A89" w:rsidRDefault="00200B73" w:rsidP="00200B73">
      <w:pPr>
        <w:rPr>
          <w:b/>
          <w:bCs/>
          <w:color w:val="000000" w:themeColor="text1"/>
        </w:rPr>
      </w:pPr>
      <w:r w:rsidRPr="00617A89">
        <w:rPr>
          <w:b/>
          <w:bCs/>
          <w:color w:val="000000" w:themeColor="text1"/>
        </w:rPr>
        <w:t>Around 30 per cent of higher education graduates reported working in jobs that did not fully utilise their skills and education in the short-term and this remained high 3 years later.</w:t>
      </w:r>
    </w:p>
    <w:p w14:paraId="35C4BAF3" w14:textId="1617F8C7" w:rsidR="00244416" w:rsidRPr="00617A89" w:rsidRDefault="00244416"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 xml:space="preserve">As seen in </w:t>
      </w:r>
      <w:r w:rsidRPr="00617A89">
        <w:rPr>
          <w:rFonts w:ascii="ArialMT" w:hAnsi="ArialMT" w:cs="ArialMT"/>
          <w:b/>
          <w:bCs/>
          <w:color w:val="000000" w:themeColor="text1"/>
          <w:lang w:val="en-GB"/>
        </w:rPr>
        <w:fldChar w:fldCharType="begin"/>
      </w:r>
      <w:r w:rsidRPr="00617A89">
        <w:rPr>
          <w:rFonts w:ascii="ArialMT" w:hAnsi="ArialMT" w:cs="ArialMT"/>
          <w:b/>
          <w:bCs/>
          <w:color w:val="000000" w:themeColor="text1"/>
          <w:lang w:val="en-GB"/>
        </w:rPr>
        <w:instrText xml:space="preserve"> REF _Ref178071818 \h  \* MERGEFORMAT </w:instrText>
      </w:r>
      <w:r w:rsidRPr="00617A89">
        <w:rPr>
          <w:rFonts w:ascii="ArialMT" w:hAnsi="ArialMT" w:cs="ArialMT"/>
          <w:b/>
          <w:bCs/>
          <w:color w:val="000000" w:themeColor="text1"/>
          <w:lang w:val="en-GB"/>
        </w:rPr>
      </w:r>
      <w:r w:rsidRPr="00617A89">
        <w:rPr>
          <w:rFonts w:ascii="ArialMT" w:hAnsi="ArialMT" w:cs="ArialMT"/>
          <w:b/>
          <w:bCs/>
          <w:color w:val="000000" w:themeColor="text1"/>
          <w:lang w:val="en-GB"/>
        </w:rPr>
        <w:fldChar w:fldCharType="separate"/>
      </w:r>
      <w:r w:rsidR="00DB7C31" w:rsidRPr="00617A89">
        <w:rPr>
          <w:b/>
          <w:bCs/>
          <w:color w:val="000000" w:themeColor="text1"/>
        </w:rPr>
        <w:t xml:space="preserve">Figure </w:t>
      </w:r>
      <w:r w:rsidR="00DB7C31" w:rsidRPr="00617A89">
        <w:rPr>
          <w:b/>
          <w:bCs/>
          <w:noProof/>
          <w:color w:val="000000" w:themeColor="text1"/>
        </w:rPr>
        <w:t>7</w:t>
      </w:r>
      <w:r w:rsidRPr="00617A89">
        <w:rPr>
          <w:rFonts w:ascii="ArialMT" w:hAnsi="ArialMT" w:cs="ArialMT"/>
          <w:b/>
          <w:bCs/>
          <w:color w:val="000000" w:themeColor="text1"/>
          <w:lang w:val="en-GB"/>
        </w:rPr>
        <w:fldChar w:fldCharType="end"/>
      </w:r>
      <w:r w:rsidRPr="00617A89">
        <w:rPr>
          <w:rFonts w:ascii="ArialMT" w:hAnsi="ArialMT" w:cs="ArialMT"/>
          <w:color w:val="000000" w:themeColor="text1"/>
          <w:lang w:val="en-GB"/>
        </w:rPr>
        <w:t>, shortly after course completion, 28.</w:t>
      </w:r>
      <w:r w:rsidR="001B5145" w:rsidRPr="00617A89">
        <w:rPr>
          <w:rFonts w:ascii="ArialMT" w:hAnsi="ArialMT" w:cs="ArialMT"/>
          <w:color w:val="000000" w:themeColor="text1"/>
          <w:lang w:val="en-GB"/>
        </w:rPr>
        <w:t>8</w:t>
      </w:r>
      <w:r w:rsidRPr="00617A89">
        <w:rPr>
          <w:rFonts w:ascii="ArialMT" w:hAnsi="ArialMT" w:cs="ArialMT"/>
          <w:color w:val="000000" w:themeColor="text1"/>
          <w:lang w:val="en-GB"/>
        </w:rPr>
        <w:t xml:space="preserve"> per cent of domestic undergraduates employed full-time across all occupations </w:t>
      </w:r>
      <w:r w:rsidR="00A501E0" w:rsidRPr="00617A89">
        <w:rPr>
          <w:rFonts w:ascii="ArialMT" w:hAnsi="ArialMT" w:cs="ArialMT"/>
          <w:color w:val="000000" w:themeColor="text1"/>
          <w:lang w:val="en-GB"/>
        </w:rPr>
        <w:t>considered themselves overqualified</w:t>
      </w:r>
      <w:r w:rsidR="00BF1CC4" w:rsidRPr="00617A89">
        <w:rPr>
          <w:rStyle w:val="FootnoteReference"/>
          <w:rFonts w:cs="ArialMT"/>
          <w:color w:val="000000" w:themeColor="text1"/>
          <w:lang w:val="en-GB"/>
        </w:rPr>
        <w:footnoteReference w:id="8"/>
      </w:r>
      <w:r w:rsidRPr="00617A89">
        <w:rPr>
          <w:rFonts w:ascii="ArialMT" w:hAnsi="ArialMT" w:cs="ArialMT"/>
          <w:color w:val="000000" w:themeColor="text1"/>
          <w:lang w:val="en-GB"/>
        </w:rPr>
        <w:t xml:space="preserve"> </w:t>
      </w:r>
      <w:r w:rsidR="00A501E0" w:rsidRPr="00617A89">
        <w:rPr>
          <w:rFonts w:ascii="ArialMT" w:hAnsi="ArialMT" w:cs="ArialMT"/>
          <w:color w:val="000000" w:themeColor="text1"/>
          <w:lang w:val="en-GB"/>
        </w:rPr>
        <w:t>for</w:t>
      </w:r>
      <w:r w:rsidRPr="00617A89">
        <w:rPr>
          <w:rFonts w:ascii="ArialMT" w:hAnsi="ArialMT" w:cs="ArialMT"/>
          <w:color w:val="000000" w:themeColor="text1"/>
          <w:lang w:val="en-GB"/>
        </w:rPr>
        <w:t xml:space="preserve"> their current job. This </w:t>
      </w:r>
      <w:r w:rsidR="00292A68" w:rsidRPr="00617A89">
        <w:rPr>
          <w:rFonts w:ascii="ArialMT" w:hAnsi="ArialMT" w:cs="ArialMT"/>
          <w:color w:val="000000" w:themeColor="text1"/>
          <w:lang w:val="en-GB"/>
        </w:rPr>
        <w:t>remained high at</w:t>
      </w:r>
      <w:r w:rsidRPr="00617A89">
        <w:rPr>
          <w:rFonts w:ascii="ArialMT" w:hAnsi="ArialMT" w:cs="ArialMT"/>
          <w:color w:val="000000" w:themeColor="text1"/>
          <w:lang w:val="en-GB"/>
        </w:rPr>
        <w:t xml:space="preserve"> 2</w:t>
      </w:r>
      <w:r w:rsidR="00BA69A9" w:rsidRPr="00617A89">
        <w:rPr>
          <w:rFonts w:ascii="ArialMT" w:hAnsi="ArialMT" w:cs="ArialMT"/>
          <w:color w:val="000000" w:themeColor="text1"/>
          <w:lang w:val="en-GB"/>
        </w:rPr>
        <w:t>3.5</w:t>
      </w:r>
      <w:r w:rsidRPr="00617A89">
        <w:rPr>
          <w:rFonts w:ascii="ArialMT" w:hAnsi="ArialMT" w:cs="ArialMT"/>
          <w:color w:val="000000" w:themeColor="text1"/>
          <w:lang w:val="en-GB"/>
        </w:rPr>
        <w:t xml:space="preserve"> per cent 3 years later.</w:t>
      </w:r>
    </w:p>
    <w:p w14:paraId="5744DF08" w14:textId="06413413" w:rsidR="00244416" w:rsidRPr="00617A89" w:rsidRDefault="00244416" w:rsidP="0024441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 xml:space="preserve">Of those who were employed overall, </w:t>
      </w:r>
      <w:r w:rsidR="00BA69A9" w:rsidRPr="00617A89">
        <w:rPr>
          <w:rFonts w:ascii="ArialMT" w:hAnsi="ArialMT" w:cs="ArialMT"/>
          <w:color w:val="000000" w:themeColor="text1"/>
          <w:lang w:val="en-GB"/>
        </w:rPr>
        <w:t>38.9</w:t>
      </w:r>
      <w:r w:rsidRPr="00617A89">
        <w:rPr>
          <w:rFonts w:ascii="ArialMT" w:hAnsi="ArialMT" w:cs="ArialMT"/>
          <w:color w:val="000000" w:themeColor="text1"/>
          <w:lang w:val="en-GB"/>
        </w:rPr>
        <w:t xml:space="preserve"> per cent reported </w:t>
      </w:r>
      <w:r w:rsidR="00A004AC" w:rsidRPr="00617A89">
        <w:rPr>
          <w:rFonts w:ascii="ArialMT" w:hAnsi="ArialMT" w:cs="ArialMT"/>
          <w:color w:val="000000" w:themeColor="text1"/>
          <w:lang w:val="en-GB"/>
        </w:rPr>
        <w:t xml:space="preserve">feeling overqualified </w:t>
      </w:r>
      <w:r w:rsidRPr="00617A89">
        <w:rPr>
          <w:rFonts w:ascii="ArialMT" w:hAnsi="ArialMT" w:cs="ArialMT"/>
          <w:color w:val="000000" w:themeColor="text1"/>
          <w:lang w:val="en-GB"/>
        </w:rPr>
        <w:t xml:space="preserve">shortly after graduation, </w:t>
      </w:r>
      <w:r w:rsidR="00292A68" w:rsidRPr="00617A89">
        <w:rPr>
          <w:rFonts w:ascii="ArialMT" w:hAnsi="ArialMT" w:cs="ArialMT"/>
          <w:color w:val="000000" w:themeColor="text1"/>
          <w:lang w:val="en-GB"/>
        </w:rPr>
        <w:t>remaining high at</w:t>
      </w:r>
      <w:r w:rsidRPr="00617A89">
        <w:rPr>
          <w:rFonts w:ascii="ArialMT" w:hAnsi="ArialMT" w:cs="ArialMT"/>
          <w:color w:val="000000" w:themeColor="text1"/>
          <w:lang w:val="en-GB"/>
        </w:rPr>
        <w:t xml:space="preserve"> 2</w:t>
      </w:r>
      <w:r w:rsidR="00CE1DBF" w:rsidRPr="00617A89">
        <w:rPr>
          <w:rFonts w:ascii="ArialMT" w:hAnsi="ArialMT" w:cs="ArialMT"/>
          <w:color w:val="000000" w:themeColor="text1"/>
          <w:lang w:val="en-GB"/>
        </w:rPr>
        <w:t>7.8</w:t>
      </w:r>
      <w:r w:rsidRPr="00617A89">
        <w:rPr>
          <w:rFonts w:ascii="ArialMT" w:hAnsi="ArialMT" w:cs="ArialMT"/>
          <w:color w:val="000000" w:themeColor="text1"/>
          <w:lang w:val="en-GB"/>
        </w:rPr>
        <w:t xml:space="preserve"> per cent 3 years after graduation.</w:t>
      </w:r>
    </w:p>
    <w:p w14:paraId="082D1F2F" w14:textId="172A8CA1" w:rsidR="00244416" w:rsidRPr="00617A89" w:rsidRDefault="00244416" w:rsidP="00244416">
      <w:pPr>
        <w:pStyle w:val="BodyText"/>
        <w:rPr>
          <w:color w:val="000000" w:themeColor="text1"/>
          <w:lang w:val="en-GB"/>
        </w:rPr>
      </w:pPr>
      <w:r w:rsidRPr="00617A89">
        <w:rPr>
          <w:color w:val="000000" w:themeColor="text1"/>
          <w:lang w:val="en-GB"/>
        </w:rPr>
        <w:t xml:space="preserve">Notably, unlike other indicators in this report, there is little difference in the levels of </w:t>
      </w:r>
      <w:r w:rsidR="00161261" w:rsidRPr="00617A89">
        <w:rPr>
          <w:color w:val="000000" w:themeColor="text1"/>
          <w:lang w:val="en-GB"/>
        </w:rPr>
        <w:t>perceived overqualification</w:t>
      </w:r>
      <w:r w:rsidRPr="00617A89">
        <w:rPr>
          <w:color w:val="000000" w:themeColor="text1"/>
          <w:lang w:val="en-GB"/>
        </w:rPr>
        <w:t xml:space="preserve"> between domestic undergraduates and postgraduate-level graduates working full-time. (This is despite the higher proportion of postgraduate</w:t>
      </w:r>
      <w:r w:rsidR="00161261" w:rsidRPr="00617A89">
        <w:rPr>
          <w:color w:val="000000" w:themeColor="text1"/>
          <w:lang w:val="en-GB"/>
        </w:rPr>
        <w:t>-level graduates</w:t>
      </w:r>
      <w:r w:rsidRPr="00617A89">
        <w:rPr>
          <w:color w:val="000000" w:themeColor="text1"/>
          <w:lang w:val="en-GB"/>
        </w:rPr>
        <w:t xml:space="preserve"> being employed in managerial or professional occupations, as seen in </w:t>
      </w:r>
      <w:r w:rsidRPr="00617A89">
        <w:rPr>
          <w:b/>
          <w:bCs/>
          <w:color w:val="000000" w:themeColor="text1"/>
          <w:lang w:val="en-GB"/>
        </w:rPr>
        <w:fldChar w:fldCharType="begin"/>
      </w:r>
      <w:r w:rsidRPr="00617A89">
        <w:rPr>
          <w:b/>
          <w:bCs/>
          <w:color w:val="000000" w:themeColor="text1"/>
          <w:lang w:val="en-GB"/>
        </w:rPr>
        <w:instrText xml:space="preserve"> REF _Ref135596505 \h  \* MERGEFORMAT </w:instrText>
      </w:r>
      <w:r w:rsidRPr="00617A89">
        <w:rPr>
          <w:b/>
          <w:bCs/>
          <w:color w:val="000000" w:themeColor="text1"/>
          <w:lang w:val="en-GB"/>
        </w:rPr>
      </w:r>
      <w:r w:rsidRPr="00617A89">
        <w:rPr>
          <w:b/>
          <w:bCs/>
          <w:color w:val="000000" w:themeColor="text1"/>
          <w:lang w:val="en-GB"/>
        </w:rPr>
        <w:fldChar w:fldCharType="separate"/>
      </w:r>
      <w:r w:rsidR="00DB7C31" w:rsidRPr="00617A89">
        <w:rPr>
          <w:b/>
          <w:bCs/>
          <w:color w:val="000000" w:themeColor="text1"/>
        </w:rPr>
        <w:t xml:space="preserve">Table </w:t>
      </w:r>
      <w:r w:rsidR="00DB7C31" w:rsidRPr="00617A89">
        <w:rPr>
          <w:b/>
          <w:bCs/>
          <w:noProof/>
          <w:color w:val="000000" w:themeColor="text1"/>
        </w:rPr>
        <w:t>2</w:t>
      </w:r>
      <w:r w:rsidRPr="00617A89">
        <w:rPr>
          <w:b/>
          <w:bCs/>
          <w:color w:val="000000" w:themeColor="text1"/>
          <w:lang w:val="en-GB"/>
        </w:rPr>
        <w:fldChar w:fldCharType="end"/>
      </w:r>
      <w:r w:rsidRPr="00617A89">
        <w:rPr>
          <w:color w:val="000000" w:themeColor="text1"/>
          <w:lang w:val="en-GB"/>
        </w:rPr>
        <w:t>.)</w:t>
      </w:r>
    </w:p>
    <w:p w14:paraId="7BBFA38D" w14:textId="3C298F52" w:rsidR="00244416" w:rsidRPr="00617A89" w:rsidRDefault="00244416" w:rsidP="00244416">
      <w:pPr>
        <w:pStyle w:val="Caption"/>
        <w:rPr>
          <w:color w:val="000000" w:themeColor="text1"/>
        </w:rPr>
      </w:pPr>
      <w:bookmarkStart w:id="86" w:name="_Ref178071818"/>
      <w:bookmarkStart w:id="87" w:name="_Toc222868501"/>
      <w:bookmarkStart w:id="88" w:name="_Ref137595137"/>
      <w:bookmarkStart w:id="89" w:name="_Toc75794928"/>
      <w:bookmarkStart w:id="90" w:name="_Toc79687692"/>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7</w:t>
      </w:r>
      <w:r w:rsidR="00DB7C31" w:rsidRPr="00617A89">
        <w:rPr>
          <w:noProof/>
          <w:color w:val="000000" w:themeColor="text1"/>
        </w:rPr>
        <w:fldChar w:fldCharType="end"/>
      </w:r>
      <w:bookmarkEnd w:id="86"/>
      <w:r w:rsidR="00200B73" w:rsidRPr="00617A89">
        <w:rPr>
          <w:color w:val="000000" w:themeColor="text1"/>
        </w:rPr>
        <w:tab/>
      </w:r>
      <w:r w:rsidR="00161261" w:rsidRPr="00617A89">
        <w:rPr>
          <w:color w:val="000000" w:themeColor="text1"/>
        </w:rPr>
        <w:t>Perceived overqualification</w:t>
      </w:r>
      <w:r w:rsidRPr="00617A89">
        <w:rPr>
          <w:color w:val="000000" w:themeColor="text1"/>
        </w:rPr>
        <w:t xml:space="preserve"> by employment type and study level, all occupations (% of those employed)</w:t>
      </w:r>
      <w:bookmarkEnd w:id="87"/>
    </w:p>
    <w:p w14:paraId="2A30D317" w14:textId="77777777" w:rsidR="008E4791" w:rsidRPr="00617A89" w:rsidRDefault="0070735D" w:rsidP="008E4791">
      <w:pPr>
        <w:pStyle w:val="Body"/>
        <w:rPr>
          <w:color w:val="000000" w:themeColor="text1"/>
        </w:rPr>
      </w:pPr>
      <w:r w:rsidRPr="00617A89">
        <w:rPr>
          <w:noProof/>
          <w:color w:val="000000" w:themeColor="text1"/>
        </w:rPr>
        <w:drawing>
          <wp:inline distT="0" distB="0" distL="0" distR="0" wp14:anchorId="5DCF065A" wp14:editId="0AFA7A70">
            <wp:extent cx="3133725" cy="342900"/>
            <wp:effectExtent l="0" t="0" r="3175" b="0"/>
            <wp:docPr id="16517348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34820"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64">
                      <a:extLst>
                        <a:ext uri="{28A0092B-C50C-407E-A947-70E740481C1C}">
                          <a14:useLocalDpi xmlns:a14="http://schemas.microsoft.com/office/drawing/2010/main" val="0"/>
                        </a:ext>
                      </a:extLst>
                    </a:blip>
                    <a:srcRect b="81855"/>
                    <a:stretch/>
                  </pic:blipFill>
                  <pic:spPr bwMode="auto">
                    <a:xfrm>
                      <a:off x="0" y="0"/>
                      <a:ext cx="3133725" cy="342900"/>
                    </a:xfrm>
                    <a:prstGeom prst="rect">
                      <a:avLst/>
                    </a:prstGeom>
                    <a:noFill/>
                    <a:ln>
                      <a:noFill/>
                    </a:ln>
                    <a:extLst>
                      <a:ext uri="{53640926-AAD7-44D8-BBD7-CCE9431645EC}">
                        <a14:shadowObscured xmlns:a14="http://schemas.microsoft.com/office/drawing/2010/main"/>
                      </a:ext>
                    </a:extLst>
                  </pic:spPr>
                </pic:pic>
              </a:graphicData>
            </a:graphic>
          </wp:inline>
        </w:drawing>
      </w:r>
    </w:p>
    <w:p w14:paraId="723D1B28" w14:textId="3620181B" w:rsidR="00EF6479" w:rsidRPr="00617A89" w:rsidRDefault="00EF6479" w:rsidP="008E4791">
      <w:pPr>
        <w:pStyle w:val="Body"/>
        <w:rPr>
          <w:color w:val="000000" w:themeColor="text1"/>
        </w:rPr>
      </w:pPr>
      <w:r w:rsidRPr="00617A89">
        <w:rPr>
          <w:noProof/>
          <w:color w:val="000000" w:themeColor="text1"/>
        </w:rPr>
        <w:drawing>
          <wp:inline distT="0" distB="0" distL="0" distR="0" wp14:anchorId="548E2734" wp14:editId="6B55AD85">
            <wp:extent cx="2158365" cy="1840865"/>
            <wp:effectExtent l="0" t="0" r="0" b="6985"/>
            <wp:docPr id="17604620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8365" cy="1840865"/>
                    </a:xfrm>
                    <a:prstGeom prst="rect">
                      <a:avLst/>
                    </a:prstGeom>
                    <a:noFill/>
                  </pic:spPr>
                </pic:pic>
              </a:graphicData>
            </a:graphic>
          </wp:inline>
        </w:drawing>
      </w:r>
      <w:r w:rsidRPr="00617A89">
        <w:rPr>
          <w:noProof/>
          <w:color w:val="000000" w:themeColor="text1"/>
        </w:rPr>
        <w:drawing>
          <wp:inline distT="0" distB="0" distL="0" distR="0" wp14:anchorId="2B29073E" wp14:editId="1C93A2ED">
            <wp:extent cx="2158365" cy="1840865"/>
            <wp:effectExtent l="0" t="0" r="0" b="6985"/>
            <wp:docPr id="17314744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8365" cy="1840865"/>
                    </a:xfrm>
                    <a:prstGeom prst="rect">
                      <a:avLst/>
                    </a:prstGeom>
                    <a:noFill/>
                  </pic:spPr>
                </pic:pic>
              </a:graphicData>
            </a:graphic>
          </wp:inline>
        </w:drawing>
      </w:r>
      <w:r w:rsidRPr="00617A89">
        <w:rPr>
          <w:noProof/>
          <w:color w:val="000000" w:themeColor="text1"/>
        </w:rPr>
        <w:drawing>
          <wp:inline distT="0" distB="0" distL="0" distR="0" wp14:anchorId="2980C217" wp14:editId="4950A6E9">
            <wp:extent cx="2158365" cy="1840865"/>
            <wp:effectExtent l="0" t="0" r="0" b="6985"/>
            <wp:docPr id="1879708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8365" cy="1840865"/>
                    </a:xfrm>
                    <a:prstGeom prst="rect">
                      <a:avLst/>
                    </a:prstGeom>
                    <a:noFill/>
                  </pic:spPr>
                </pic:pic>
              </a:graphicData>
            </a:graphic>
          </wp:inline>
        </w:drawing>
      </w:r>
    </w:p>
    <w:p w14:paraId="2A0644A5" w14:textId="22BAF7BA" w:rsidR="003E2F08" w:rsidRPr="00617A89" w:rsidRDefault="009A25EF" w:rsidP="00EF6479">
      <w:pPr>
        <w:pStyle w:val="Body"/>
        <w:rPr>
          <w:rFonts w:ascii="ArialMT" w:hAnsi="ArialMT" w:cs="ArialMT"/>
          <w:color w:val="000000" w:themeColor="text1"/>
          <w:lang w:val="en-GB"/>
        </w:rPr>
      </w:pPr>
      <w:r w:rsidRPr="00617A89">
        <w:rPr>
          <w:rFonts w:ascii="ArialMT" w:hAnsi="ArialMT" w:cs="ArialMT"/>
          <w:color w:val="000000" w:themeColor="text1"/>
          <w:lang w:val="en-GB"/>
        </w:rPr>
        <w:t>Graduates were asked to provide their main reason for working in a job that did not fully utilise their skills and education</w:t>
      </w:r>
      <w:r w:rsidR="00D463F1" w:rsidRPr="00617A89">
        <w:rPr>
          <w:rFonts w:ascii="ArialMT" w:hAnsi="ArialMT" w:cs="ArialMT"/>
          <w:color w:val="000000" w:themeColor="text1"/>
          <w:lang w:val="en-GB"/>
        </w:rPr>
        <w:t xml:space="preserve">; these reasons are presented in </w:t>
      </w:r>
      <w:r w:rsidR="00D463F1" w:rsidRPr="00617A89">
        <w:rPr>
          <w:rFonts w:ascii="ArialMT" w:hAnsi="ArialMT" w:cs="ArialMT"/>
          <w:b/>
          <w:bCs/>
          <w:color w:val="000000" w:themeColor="text1"/>
          <w:lang w:val="en-GB"/>
        </w:rPr>
        <w:fldChar w:fldCharType="begin"/>
      </w:r>
      <w:r w:rsidR="00D463F1" w:rsidRPr="00617A89">
        <w:rPr>
          <w:rFonts w:ascii="ArialMT" w:hAnsi="ArialMT" w:cs="ArialMT"/>
          <w:b/>
          <w:bCs/>
          <w:color w:val="000000" w:themeColor="text1"/>
          <w:lang w:val="en-GB"/>
        </w:rPr>
        <w:instrText xml:space="preserve"> REF _Ref202292709 \h  \* MERGEFORMAT </w:instrText>
      </w:r>
      <w:r w:rsidR="00D463F1" w:rsidRPr="00617A89">
        <w:rPr>
          <w:rFonts w:ascii="ArialMT" w:hAnsi="ArialMT" w:cs="ArialMT"/>
          <w:b/>
          <w:bCs/>
          <w:color w:val="000000" w:themeColor="text1"/>
          <w:lang w:val="en-GB"/>
        </w:rPr>
      </w:r>
      <w:r w:rsidR="00D463F1" w:rsidRPr="00617A89">
        <w:rPr>
          <w:rFonts w:ascii="ArialMT" w:hAnsi="ArialMT" w:cs="ArialMT"/>
          <w:b/>
          <w:bCs/>
          <w:color w:val="000000" w:themeColor="text1"/>
          <w:lang w:val="en-GB"/>
        </w:rPr>
        <w:fldChar w:fldCharType="separate"/>
      </w:r>
      <w:r w:rsidR="00DB7C31" w:rsidRPr="00617A89">
        <w:rPr>
          <w:b/>
          <w:bCs/>
          <w:color w:val="000000" w:themeColor="text1"/>
        </w:rPr>
        <w:t xml:space="preserve">Table </w:t>
      </w:r>
      <w:r w:rsidR="00DB7C31" w:rsidRPr="00617A89">
        <w:rPr>
          <w:b/>
          <w:bCs/>
          <w:noProof/>
          <w:color w:val="000000" w:themeColor="text1"/>
        </w:rPr>
        <w:t>3</w:t>
      </w:r>
      <w:r w:rsidR="00D463F1" w:rsidRPr="00617A89">
        <w:rPr>
          <w:rFonts w:ascii="ArialMT" w:hAnsi="ArialMT" w:cs="ArialMT"/>
          <w:b/>
          <w:bCs/>
          <w:color w:val="000000" w:themeColor="text1"/>
          <w:lang w:val="en-GB"/>
        </w:rPr>
        <w:fldChar w:fldCharType="end"/>
      </w:r>
      <w:r w:rsidR="00D463F1" w:rsidRPr="00617A89">
        <w:rPr>
          <w:rFonts w:ascii="ArialMT" w:hAnsi="ArialMT" w:cs="ArialMT"/>
          <w:color w:val="000000" w:themeColor="text1"/>
          <w:lang w:val="en-GB"/>
        </w:rPr>
        <w:t>.</w:t>
      </w:r>
      <w:r w:rsidR="002F0A59" w:rsidRPr="00617A89">
        <w:rPr>
          <w:rFonts w:ascii="ArialMT" w:hAnsi="ArialMT" w:cs="ArialMT"/>
          <w:color w:val="000000" w:themeColor="text1"/>
          <w:lang w:val="en-GB"/>
        </w:rPr>
        <w:t xml:space="preserve"> Across all levels of study, </w:t>
      </w:r>
      <w:r w:rsidR="00CC4D64" w:rsidRPr="00617A89">
        <w:rPr>
          <w:rFonts w:ascii="ArialMT" w:hAnsi="ArialMT" w:cs="ArialMT"/>
          <w:color w:val="000000" w:themeColor="text1"/>
          <w:lang w:val="en-GB"/>
        </w:rPr>
        <w:t xml:space="preserve">graduates were more likely to cite labour market factors in the short-term but </w:t>
      </w:r>
      <w:r w:rsidR="00322951" w:rsidRPr="00617A89">
        <w:rPr>
          <w:rFonts w:ascii="ArialMT" w:hAnsi="ArialMT" w:cs="ArialMT"/>
          <w:color w:val="000000" w:themeColor="text1"/>
          <w:lang w:val="en-GB"/>
        </w:rPr>
        <w:t xml:space="preserve">3 years later, this </w:t>
      </w:r>
      <w:r w:rsidR="004F165B" w:rsidRPr="00617A89">
        <w:rPr>
          <w:rFonts w:ascii="ArialMT" w:hAnsi="ArialMT" w:cs="ArialMT"/>
          <w:color w:val="000000" w:themeColor="text1"/>
          <w:lang w:val="en-GB"/>
        </w:rPr>
        <w:t xml:space="preserve">evened out to a mix of personal and labour market factors at the </w:t>
      </w:r>
      <w:r w:rsidR="00E63D08" w:rsidRPr="00617A89">
        <w:rPr>
          <w:rFonts w:ascii="ArialMT" w:hAnsi="ArialMT" w:cs="ArialMT"/>
          <w:color w:val="000000" w:themeColor="text1"/>
          <w:lang w:val="en-GB"/>
        </w:rPr>
        <w:t>undergraduate</w:t>
      </w:r>
      <w:r w:rsidR="004F165B" w:rsidRPr="00617A89">
        <w:rPr>
          <w:rFonts w:ascii="ArialMT" w:hAnsi="ArialMT" w:cs="ArialMT"/>
          <w:color w:val="000000" w:themeColor="text1"/>
          <w:lang w:val="en-GB"/>
        </w:rPr>
        <w:t xml:space="preserve"> and </w:t>
      </w:r>
      <w:r w:rsidR="00E63D08" w:rsidRPr="00617A89">
        <w:rPr>
          <w:rFonts w:ascii="ArialMT" w:hAnsi="ArialMT" w:cs="ArialMT"/>
          <w:color w:val="000000" w:themeColor="text1"/>
          <w:lang w:val="en-GB"/>
        </w:rPr>
        <w:t>postgraduate</w:t>
      </w:r>
      <w:r w:rsidR="004F165B" w:rsidRPr="00617A89">
        <w:rPr>
          <w:rFonts w:ascii="ArialMT" w:hAnsi="ArialMT" w:cs="ArialMT"/>
          <w:color w:val="000000" w:themeColor="text1"/>
          <w:lang w:val="en-GB"/>
        </w:rPr>
        <w:t xml:space="preserve"> research levels</w:t>
      </w:r>
      <w:r w:rsidR="0053540E" w:rsidRPr="00617A89">
        <w:rPr>
          <w:rFonts w:ascii="ArialMT" w:hAnsi="ArialMT" w:cs="ArialMT"/>
          <w:color w:val="000000" w:themeColor="text1"/>
          <w:lang w:val="en-GB"/>
        </w:rPr>
        <w:t xml:space="preserve">; personal factors </w:t>
      </w:r>
      <w:r w:rsidR="00E53726" w:rsidRPr="00617A89">
        <w:rPr>
          <w:rFonts w:ascii="ArialMT" w:hAnsi="ArialMT" w:cs="ArialMT"/>
          <w:color w:val="000000" w:themeColor="text1"/>
          <w:lang w:val="en-GB"/>
        </w:rPr>
        <w:t xml:space="preserve">were more </w:t>
      </w:r>
      <w:r w:rsidR="00E63D08" w:rsidRPr="00617A89">
        <w:rPr>
          <w:rFonts w:ascii="ArialMT" w:hAnsi="ArialMT" w:cs="ArialMT"/>
          <w:color w:val="000000" w:themeColor="text1"/>
          <w:lang w:val="en-GB"/>
        </w:rPr>
        <w:t>frequently</w:t>
      </w:r>
      <w:r w:rsidR="00E53726" w:rsidRPr="00617A89">
        <w:rPr>
          <w:rFonts w:ascii="ArialMT" w:hAnsi="ArialMT" w:cs="ArialMT"/>
          <w:color w:val="000000" w:themeColor="text1"/>
          <w:lang w:val="en-GB"/>
        </w:rPr>
        <w:t xml:space="preserve"> </w:t>
      </w:r>
      <w:r w:rsidR="00E63D08" w:rsidRPr="00617A89">
        <w:rPr>
          <w:rFonts w:ascii="ArialMT" w:hAnsi="ArialMT" w:cs="ArialMT"/>
          <w:color w:val="000000" w:themeColor="text1"/>
          <w:lang w:val="en-GB"/>
        </w:rPr>
        <w:t>reported by postgraduate coursework graduates</w:t>
      </w:r>
      <w:r w:rsidR="00F97F80" w:rsidRPr="00617A89">
        <w:rPr>
          <w:rFonts w:ascii="ArialMT" w:hAnsi="ArialMT" w:cs="ArialMT"/>
          <w:color w:val="000000" w:themeColor="text1"/>
          <w:lang w:val="en-GB"/>
        </w:rPr>
        <w:t xml:space="preserve"> in the medium-term.</w:t>
      </w:r>
    </w:p>
    <w:p w14:paraId="2A5BB829" w14:textId="6E83CAF3" w:rsidR="00F6286D" w:rsidRPr="00617A89" w:rsidRDefault="00D97B94" w:rsidP="00FD616F">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For recent graduates at the undergraduate level, the</w:t>
      </w:r>
      <w:r w:rsidR="00092967" w:rsidRPr="00617A89">
        <w:rPr>
          <w:rFonts w:ascii="ArialMT" w:hAnsi="ArialMT" w:cs="ArialMT"/>
          <w:color w:val="000000" w:themeColor="text1"/>
          <w:lang w:val="en-GB"/>
        </w:rPr>
        <w:t xml:space="preserve"> top</w:t>
      </w:r>
      <w:r w:rsidRPr="00617A89">
        <w:rPr>
          <w:rFonts w:ascii="ArialMT" w:hAnsi="ArialMT" w:cs="ArialMT"/>
          <w:color w:val="000000" w:themeColor="text1"/>
          <w:lang w:val="en-GB"/>
        </w:rPr>
        <w:t xml:space="preserve"> reason</w:t>
      </w:r>
      <w:r w:rsidR="005E2DBC" w:rsidRPr="00617A89">
        <w:rPr>
          <w:rFonts w:ascii="ArialMT" w:hAnsi="ArialMT" w:cs="ArialMT"/>
          <w:color w:val="000000" w:themeColor="text1"/>
          <w:lang w:val="en-GB"/>
        </w:rPr>
        <w:t xml:space="preserve"> reported was ‘</w:t>
      </w:r>
      <w:r w:rsidR="00CA5AA2" w:rsidRPr="00617A89">
        <w:rPr>
          <w:rFonts w:ascii="ArialMT" w:hAnsi="ArialMT" w:cs="ArialMT"/>
          <w:color w:val="000000" w:themeColor="text1"/>
          <w:lang w:val="en-GB"/>
        </w:rPr>
        <w:t xml:space="preserve">entry level job/career stepping stone’, which </w:t>
      </w:r>
      <w:r w:rsidR="00092967" w:rsidRPr="00617A89">
        <w:rPr>
          <w:rFonts w:ascii="ArialMT" w:hAnsi="ArialMT" w:cs="ArialMT"/>
          <w:color w:val="000000" w:themeColor="text1"/>
          <w:lang w:val="en-GB"/>
        </w:rPr>
        <w:t xml:space="preserve">is consistent with </w:t>
      </w:r>
      <w:r w:rsidR="001D77C2" w:rsidRPr="00617A89">
        <w:rPr>
          <w:rFonts w:ascii="ArialMT" w:hAnsi="ArialMT" w:cs="ArialMT"/>
          <w:color w:val="000000" w:themeColor="text1"/>
          <w:lang w:val="en-GB"/>
        </w:rPr>
        <w:t>the early stages many of these graduates</w:t>
      </w:r>
      <w:r w:rsidR="008C269E" w:rsidRPr="00617A89">
        <w:rPr>
          <w:rFonts w:ascii="ArialMT" w:hAnsi="ArialMT" w:cs="ArialMT"/>
          <w:color w:val="000000" w:themeColor="text1"/>
          <w:lang w:val="en-GB"/>
        </w:rPr>
        <w:t xml:space="preserve"> would be in their careers</w:t>
      </w:r>
      <w:r w:rsidR="00C679CB" w:rsidRPr="00617A89">
        <w:rPr>
          <w:rFonts w:ascii="ArialMT" w:hAnsi="ArialMT" w:cs="ArialMT"/>
          <w:color w:val="000000" w:themeColor="text1"/>
          <w:lang w:val="en-GB"/>
        </w:rPr>
        <w:t xml:space="preserve"> only 4 to 6 months after course completion. </w:t>
      </w:r>
      <w:r w:rsidR="00292A68" w:rsidRPr="00617A89">
        <w:rPr>
          <w:rFonts w:ascii="ArialMT" w:hAnsi="ArialMT" w:cs="ArialMT"/>
          <w:color w:val="000000" w:themeColor="text1"/>
          <w:lang w:val="en-GB"/>
        </w:rPr>
        <w:t xml:space="preserve">Three </w:t>
      </w:r>
      <w:r w:rsidR="00A37031" w:rsidRPr="00617A89">
        <w:rPr>
          <w:rFonts w:ascii="ArialMT" w:hAnsi="ArialMT" w:cs="ArialMT"/>
          <w:color w:val="000000" w:themeColor="text1"/>
          <w:lang w:val="en-GB"/>
        </w:rPr>
        <w:t xml:space="preserve">years later, </w:t>
      </w:r>
      <w:r w:rsidR="00542D28" w:rsidRPr="00617A89">
        <w:rPr>
          <w:rFonts w:ascii="ArialMT" w:hAnsi="ArialMT" w:cs="ArialMT"/>
          <w:color w:val="000000" w:themeColor="text1"/>
          <w:lang w:val="en-GB"/>
        </w:rPr>
        <w:t>the main reason reported by undergraduates was ‘I’m satisfied with my current job’</w:t>
      </w:r>
      <w:r w:rsidR="00292A68" w:rsidRPr="00617A89">
        <w:rPr>
          <w:rFonts w:ascii="ArialMT" w:hAnsi="ArialMT" w:cs="ArialMT"/>
          <w:color w:val="000000" w:themeColor="text1"/>
          <w:lang w:val="en-GB"/>
        </w:rPr>
        <w:t>, indicative of a personal choice</w:t>
      </w:r>
      <w:r w:rsidR="00542D28" w:rsidRPr="00617A89">
        <w:rPr>
          <w:rFonts w:ascii="ArialMT" w:hAnsi="ArialMT" w:cs="ArialMT"/>
          <w:color w:val="000000" w:themeColor="text1"/>
          <w:lang w:val="en-GB"/>
        </w:rPr>
        <w:t>.</w:t>
      </w:r>
    </w:p>
    <w:p w14:paraId="633FA8EA" w14:textId="1358513B" w:rsidR="00E848A6" w:rsidRPr="00617A89" w:rsidRDefault="00E848A6" w:rsidP="00FD616F">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 xml:space="preserve">Satisfaction </w:t>
      </w:r>
      <w:r w:rsidR="00AC1F86" w:rsidRPr="00617A89">
        <w:rPr>
          <w:rFonts w:ascii="ArialMT" w:hAnsi="ArialMT" w:cs="ArialMT"/>
          <w:color w:val="000000" w:themeColor="text1"/>
          <w:lang w:val="en-GB"/>
        </w:rPr>
        <w:t>with their jobs was the top reason in the medium-term for undergraduates and postgraduate coursework graduates, and the second highest for postgraduate research graduates</w:t>
      </w:r>
      <w:r w:rsidR="005C6DF7" w:rsidRPr="00617A89">
        <w:rPr>
          <w:rFonts w:ascii="ArialMT" w:hAnsi="ArialMT" w:cs="ArialMT"/>
          <w:color w:val="000000" w:themeColor="text1"/>
          <w:lang w:val="en-GB"/>
        </w:rPr>
        <w:t>,</w:t>
      </w:r>
      <w:r w:rsidR="004C4B47" w:rsidRPr="00617A89">
        <w:rPr>
          <w:rFonts w:ascii="ArialMT" w:hAnsi="ArialMT" w:cs="ArialMT"/>
          <w:color w:val="000000" w:themeColor="text1"/>
          <w:lang w:val="en-GB"/>
        </w:rPr>
        <w:t xml:space="preserve"> </w:t>
      </w:r>
      <w:r w:rsidR="00823564" w:rsidRPr="00617A89">
        <w:rPr>
          <w:rFonts w:ascii="ArialMT" w:hAnsi="ArialMT" w:cs="ArialMT"/>
          <w:color w:val="000000" w:themeColor="text1"/>
          <w:lang w:val="en-GB"/>
        </w:rPr>
        <w:t>suggest</w:t>
      </w:r>
      <w:r w:rsidR="005C6DF7" w:rsidRPr="00617A89">
        <w:rPr>
          <w:rFonts w:ascii="ArialMT" w:hAnsi="ArialMT" w:cs="ArialMT"/>
          <w:color w:val="000000" w:themeColor="text1"/>
          <w:lang w:val="en-GB"/>
        </w:rPr>
        <w:t>ing</w:t>
      </w:r>
      <w:r w:rsidR="00823564" w:rsidRPr="00617A89">
        <w:rPr>
          <w:rFonts w:ascii="ArialMT" w:hAnsi="ArialMT" w:cs="ArialMT"/>
          <w:color w:val="000000" w:themeColor="text1"/>
          <w:lang w:val="en-GB"/>
        </w:rPr>
        <w:t xml:space="preserve"> that </w:t>
      </w:r>
      <w:r w:rsidR="0041020B" w:rsidRPr="00617A89">
        <w:rPr>
          <w:rFonts w:ascii="ArialMT" w:hAnsi="ArialMT" w:cs="ArialMT"/>
          <w:color w:val="000000" w:themeColor="text1"/>
          <w:lang w:val="en-GB"/>
        </w:rPr>
        <w:t xml:space="preserve">not fully utilising </w:t>
      </w:r>
      <w:r w:rsidR="00280B33" w:rsidRPr="00617A89">
        <w:rPr>
          <w:rFonts w:ascii="ArialMT" w:hAnsi="ArialMT" w:cs="ArialMT"/>
          <w:color w:val="000000" w:themeColor="text1"/>
          <w:lang w:val="en-GB"/>
        </w:rPr>
        <w:t xml:space="preserve">the skills and knowledge acquired in a </w:t>
      </w:r>
      <w:r w:rsidR="00DE4A3E" w:rsidRPr="00617A89">
        <w:rPr>
          <w:rFonts w:ascii="ArialMT" w:hAnsi="ArialMT" w:cs="ArialMT"/>
          <w:color w:val="000000" w:themeColor="text1"/>
          <w:lang w:val="en-GB"/>
        </w:rPr>
        <w:t>course does not necessarily equate to a</w:t>
      </w:r>
      <w:r w:rsidR="00A62780" w:rsidRPr="00617A89">
        <w:rPr>
          <w:rFonts w:ascii="ArialMT" w:hAnsi="ArialMT" w:cs="ArialMT"/>
          <w:color w:val="000000" w:themeColor="text1"/>
          <w:lang w:val="en-GB"/>
        </w:rPr>
        <w:t>n unsuccessful outcome.</w:t>
      </w:r>
      <w:r w:rsidR="005F3D5B" w:rsidRPr="00617A89">
        <w:rPr>
          <w:rFonts w:ascii="ArialMT" w:hAnsi="ArialMT" w:cs="ArialMT"/>
          <w:color w:val="000000" w:themeColor="text1"/>
          <w:lang w:val="en-GB"/>
        </w:rPr>
        <w:t xml:space="preserve"> </w:t>
      </w:r>
      <w:r w:rsidR="00AC1959" w:rsidRPr="00617A89">
        <w:rPr>
          <w:rFonts w:ascii="ArialMT" w:hAnsi="ArialMT" w:cs="ArialMT"/>
          <w:color w:val="000000" w:themeColor="text1"/>
          <w:lang w:val="en-GB"/>
        </w:rPr>
        <w:t>This also</w:t>
      </w:r>
      <w:r w:rsidR="00187371" w:rsidRPr="00617A89">
        <w:rPr>
          <w:rFonts w:ascii="ArialMT" w:hAnsi="ArialMT" w:cs="ArialMT"/>
          <w:color w:val="000000" w:themeColor="text1"/>
          <w:lang w:val="en-GB"/>
        </w:rPr>
        <w:t xml:space="preserve"> provides insight into why</w:t>
      </w:r>
      <w:r w:rsidR="00013925" w:rsidRPr="00617A89">
        <w:rPr>
          <w:rFonts w:ascii="ArialMT" w:hAnsi="ArialMT" w:cs="ArialMT"/>
          <w:color w:val="000000" w:themeColor="text1"/>
          <w:lang w:val="en-GB"/>
        </w:rPr>
        <w:t xml:space="preserve"> so many graduates, particularly at the postgraduate level</w:t>
      </w:r>
      <w:r w:rsidR="004A6028" w:rsidRPr="00617A89">
        <w:rPr>
          <w:rFonts w:ascii="ArialMT" w:hAnsi="ArialMT" w:cs="ArialMT"/>
          <w:color w:val="000000" w:themeColor="text1"/>
          <w:lang w:val="en-GB"/>
        </w:rPr>
        <w:t xml:space="preserve">, continue to report high rates of skills </w:t>
      </w:r>
      <w:r w:rsidR="00E06CAD" w:rsidRPr="00617A89">
        <w:rPr>
          <w:rFonts w:ascii="ArialMT" w:hAnsi="ArialMT" w:cs="ArialMT"/>
          <w:color w:val="000000" w:themeColor="text1"/>
          <w:lang w:val="en-GB"/>
        </w:rPr>
        <w:t>underutilisation</w:t>
      </w:r>
      <w:r w:rsidR="004A6028" w:rsidRPr="00617A89">
        <w:rPr>
          <w:rFonts w:ascii="ArialMT" w:hAnsi="ArialMT" w:cs="ArialMT"/>
          <w:color w:val="000000" w:themeColor="text1"/>
          <w:lang w:val="en-GB"/>
        </w:rPr>
        <w:t xml:space="preserve"> (</w:t>
      </w:r>
      <w:r w:rsidR="007112A5" w:rsidRPr="00617A89">
        <w:rPr>
          <w:rFonts w:ascii="ArialMT" w:hAnsi="ArialMT" w:cs="ArialMT"/>
          <w:b/>
          <w:bCs/>
          <w:color w:val="000000" w:themeColor="text1"/>
          <w:lang w:val="en-GB"/>
        </w:rPr>
        <w:fldChar w:fldCharType="begin"/>
      </w:r>
      <w:r w:rsidR="007112A5" w:rsidRPr="00617A89">
        <w:rPr>
          <w:rFonts w:ascii="ArialMT" w:hAnsi="ArialMT" w:cs="ArialMT"/>
          <w:b/>
          <w:bCs/>
          <w:color w:val="000000" w:themeColor="text1"/>
          <w:lang w:val="en-GB"/>
        </w:rPr>
        <w:instrText xml:space="preserve"> REF _Ref202292709 \h  \* MERGEFORMAT </w:instrText>
      </w:r>
      <w:r w:rsidR="007112A5" w:rsidRPr="00617A89">
        <w:rPr>
          <w:rFonts w:ascii="ArialMT" w:hAnsi="ArialMT" w:cs="ArialMT"/>
          <w:b/>
          <w:bCs/>
          <w:color w:val="000000" w:themeColor="text1"/>
          <w:lang w:val="en-GB"/>
        </w:rPr>
      </w:r>
      <w:r w:rsidR="007112A5" w:rsidRPr="00617A89">
        <w:rPr>
          <w:rFonts w:ascii="ArialMT" w:hAnsi="ArialMT" w:cs="ArialMT"/>
          <w:b/>
          <w:bCs/>
          <w:color w:val="000000" w:themeColor="text1"/>
          <w:lang w:val="en-GB"/>
        </w:rPr>
        <w:fldChar w:fldCharType="separate"/>
      </w:r>
      <w:r w:rsidR="00DB7C31" w:rsidRPr="00617A89">
        <w:rPr>
          <w:b/>
          <w:bCs/>
          <w:color w:val="000000" w:themeColor="text1"/>
        </w:rPr>
        <w:t xml:space="preserve">Table </w:t>
      </w:r>
      <w:r w:rsidR="00DB7C31" w:rsidRPr="00617A89">
        <w:rPr>
          <w:b/>
          <w:bCs/>
          <w:noProof/>
          <w:color w:val="000000" w:themeColor="text1"/>
        </w:rPr>
        <w:t>3</w:t>
      </w:r>
      <w:r w:rsidR="007112A5" w:rsidRPr="00617A89">
        <w:rPr>
          <w:rFonts w:ascii="ArialMT" w:hAnsi="ArialMT" w:cs="ArialMT"/>
          <w:b/>
          <w:bCs/>
          <w:color w:val="000000" w:themeColor="text1"/>
          <w:lang w:val="en-GB"/>
        </w:rPr>
        <w:fldChar w:fldCharType="end"/>
      </w:r>
      <w:r w:rsidR="007112A5" w:rsidRPr="00617A89">
        <w:rPr>
          <w:rFonts w:ascii="ArialMT" w:hAnsi="ArialMT" w:cs="ArialMT"/>
          <w:color w:val="000000" w:themeColor="text1"/>
          <w:lang w:val="en-GB"/>
        </w:rPr>
        <w:t>), despite working in managerial or professional occupations</w:t>
      </w:r>
      <w:r w:rsidR="00E06CAD" w:rsidRPr="00617A89">
        <w:rPr>
          <w:rFonts w:ascii="ArialMT" w:hAnsi="ArialMT" w:cs="ArialMT"/>
          <w:color w:val="000000" w:themeColor="text1"/>
          <w:lang w:val="en-GB"/>
        </w:rPr>
        <w:t xml:space="preserve"> (</w:t>
      </w:r>
      <w:r w:rsidR="00D50A85" w:rsidRPr="00617A89">
        <w:rPr>
          <w:rFonts w:ascii="ArialMT" w:hAnsi="ArialMT" w:cs="ArialMT"/>
          <w:b/>
          <w:bCs/>
          <w:color w:val="000000" w:themeColor="text1"/>
          <w:lang w:val="en-GB"/>
        </w:rPr>
        <w:fldChar w:fldCharType="begin"/>
      </w:r>
      <w:r w:rsidR="00D50A85" w:rsidRPr="00617A89">
        <w:rPr>
          <w:rFonts w:ascii="ArialMT" w:hAnsi="ArialMT" w:cs="ArialMT"/>
          <w:b/>
          <w:bCs/>
          <w:color w:val="000000" w:themeColor="text1"/>
          <w:lang w:val="en-GB"/>
        </w:rPr>
        <w:instrText xml:space="preserve"> REF _Ref135596505 \h </w:instrText>
      </w:r>
      <w:r w:rsidR="005A02EF" w:rsidRPr="00617A89">
        <w:rPr>
          <w:rFonts w:ascii="ArialMT" w:hAnsi="ArialMT" w:cs="ArialMT"/>
          <w:b/>
          <w:bCs/>
          <w:color w:val="000000" w:themeColor="text1"/>
          <w:lang w:val="en-GB"/>
        </w:rPr>
        <w:instrText xml:space="preserve"> \* MERGEFORMAT </w:instrText>
      </w:r>
      <w:r w:rsidR="00D50A85" w:rsidRPr="00617A89">
        <w:rPr>
          <w:rFonts w:ascii="ArialMT" w:hAnsi="ArialMT" w:cs="ArialMT"/>
          <w:b/>
          <w:bCs/>
          <w:color w:val="000000" w:themeColor="text1"/>
          <w:lang w:val="en-GB"/>
        </w:rPr>
      </w:r>
      <w:r w:rsidR="00D50A85" w:rsidRPr="00617A89">
        <w:rPr>
          <w:rFonts w:ascii="ArialMT" w:hAnsi="ArialMT" w:cs="ArialMT"/>
          <w:b/>
          <w:bCs/>
          <w:color w:val="000000" w:themeColor="text1"/>
          <w:lang w:val="en-GB"/>
        </w:rPr>
        <w:fldChar w:fldCharType="separate"/>
      </w:r>
      <w:r w:rsidR="00DB7C31" w:rsidRPr="00617A89">
        <w:rPr>
          <w:b/>
          <w:bCs/>
          <w:color w:val="000000" w:themeColor="text1"/>
        </w:rPr>
        <w:t xml:space="preserve">Table </w:t>
      </w:r>
      <w:r w:rsidR="00DB7C31" w:rsidRPr="00617A89">
        <w:rPr>
          <w:b/>
          <w:bCs/>
          <w:noProof/>
          <w:color w:val="000000" w:themeColor="text1"/>
        </w:rPr>
        <w:t>2</w:t>
      </w:r>
      <w:r w:rsidR="00D50A85" w:rsidRPr="00617A89">
        <w:rPr>
          <w:rFonts w:ascii="ArialMT" w:hAnsi="ArialMT" w:cs="ArialMT"/>
          <w:b/>
          <w:bCs/>
          <w:color w:val="000000" w:themeColor="text1"/>
          <w:lang w:val="en-GB"/>
        </w:rPr>
        <w:fldChar w:fldCharType="end"/>
      </w:r>
      <w:r w:rsidR="00D50A85" w:rsidRPr="00617A89">
        <w:rPr>
          <w:rFonts w:ascii="ArialMT" w:hAnsi="ArialMT" w:cs="ArialMT"/>
          <w:color w:val="000000" w:themeColor="text1"/>
          <w:lang w:val="en-GB"/>
        </w:rPr>
        <w:t>)</w:t>
      </w:r>
      <w:r w:rsidR="005A02EF" w:rsidRPr="00617A89">
        <w:rPr>
          <w:rFonts w:ascii="ArialMT" w:hAnsi="ArialMT" w:cs="ArialMT"/>
          <w:color w:val="000000" w:themeColor="text1"/>
          <w:lang w:val="en-GB"/>
        </w:rPr>
        <w:t>.</w:t>
      </w:r>
    </w:p>
    <w:p w14:paraId="787D39B4" w14:textId="51711761" w:rsidR="00083959" w:rsidRPr="00617A89" w:rsidRDefault="00F35ABF" w:rsidP="00FD616F">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Interestingly, ‘not enough work experience’</w:t>
      </w:r>
      <w:r w:rsidR="00E65AB8" w:rsidRPr="00617A89">
        <w:rPr>
          <w:rFonts w:ascii="ArialMT" w:hAnsi="ArialMT" w:cs="ArialMT"/>
          <w:color w:val="000000" w:themeColor="text1"/>
          <w:lang w:val="en-GB"/>
        </w:rPr>
        <w:t xml:space="preserve"> remained relatively high in the medium-term for undergraduates and, to a lesser extent, postgraduate coursework graduates.</w:t>
      </w:r>
      <w:r w:rsidR="001C3980" w:rsidRPr="00617A89">
        <w:rPr>
          <w:rFonts w:ascii="ArialMT" w:hAnsi="ArialMT" w:cs="ArialMT"/>
          <w:color w:val="000000" w:themeColor="text1"/>
          <w:lang w:val="en-GB"/>
        </w:rPr>
        <w:t xml:space="preserve"> </w:t>
      </w:r>
      <w:r w:rsidR="00262A00" w:rsidRPr="00617A89">
        <w:rPr>
          <w:rFonts w:ascii="ArialMT" w:hAnsi="ArialMT" w:cs="ArialMT"/>
          <w:color w:val="000000" w:themeColor="text1"/>
          <w:lang w:val="en-GB"/>
        </w:rPr>
        <w:t>This highlights an opportunity for institutions to provide</w:t>
      </w:r>
      <w:r w:rsidR="00A35F90" w:rsidRPr="00617A89">
        <w:rPr>
          <w:rFonts w:ascii="ArialMT" w:hAnsi="ArialMT" w:cs="ArialMT"/>
          <w:color w:val="000000" w:themeColor="text1"/>
          <w:lang w:val="en-GB"/>
        </w:rPr>
        <w:t xml:space="preserve"> more opportunities for students to gain relevant work experience</w:t>
      </w:r>
      <w:r w:rsidR="004F2F5D" w:rsidRPr="00617A89">
        <w:rPr>
          <w:rFonts w:ascii="ArialMT" w:hAnsi="ArialMT" w:cs="ArialMT"/>
          <w:color w:val="000000" w:themeColor="text1"/>
          <w:lang w:val="en-GB"/>
        </w:rPr>
        <w:t xml:space="preserve"> as part of their coursework.</w:t>
      </w:r>
    </w:p>
    <w:p w14:paraId="27ACA590" w14:textId="47C7BC8A" w:rsidR="00A940FA" w:rsidRPr="00617A89" w:rsidRDefault="009206B2" w:rsidP="00FD616F">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617A89">
        <w:rPr>
          <w:rFonts w:ascii="ArialMT" w:hAnsi="ArialMT" w:cs="ArialMT"/>
          <w:color w:val="000000" w:themeColor="text1"/>
          <w:lang w:val="en-GB"/>
        </w:rPr>
        <w:t>‘No suitable jobs in my area of expertise’</w:t>
      </w:r>
      <w:r w:rsidR="002550CA" w:rsidRPr="00617A89">
        <w:rPr>
          <w:rFonts w:ascii="ArialMT" w:hAnsi="ArialMT" w:cs="ArialMT"/>
          <w:color w:val="000000" w:themeColor="text1"/>
          <w:lang w:val="en-GB"/>
        </w:rPr>
        <w:t xml:space="preserve"> was one of the main reasons postgraduate research graduates reported working in a job that did not fully utilise their skills and education</w:t>
      </w:r>
      <w:r w:rsidR="00A800DB" w:rsidRPr="00617A89">
        <w:rPr>
          <w:rFonts w:ascii="ArialMT" w:hAnsi="ArialMT" w:cs="ArialMT"/>
          <w:color w:val="000000" w:themeColor="text1"/>
          <w:lang w:val="en-GB"/>
        </w:rPr>
        <w:t xml:space="preserve"> in both the short- and medium-term</w:t>
      </w:r>
      <w:r w:rsidR="00840E67" w:rsidRPr="00617A89">
        <w:rPr>
          <w:rFonts w:ascii="ArialMT" w:hAnsi="ArialMT" w:cs="ArialMT"/>
          <w:color w:val="000000" w:themeColor="text1"/>
          <w:lang w:val="en-GB"/>
        </w:rPr>
        <w:t xml:space="preserve">, and </w:t>
      </w:r>
      <w:r w:rsidR="002246F1" w:rsidRPr="00617A89">
        <w:rPr>
          <w:rFonts w:ascii="ArialMT" w:hAnsi="ArialMT" w:cs="ArialMT"/>
          <w:color w:val="000000" w:themeColor="text1"/>
          <w:lang w:val="en-GB"/>
        </w:rPr>
        <w:t xml:space="preserve">this </w:t>
      </w:r>
      <w:r w:rsidR="00840E67" w:rsidRPr="00617A89">
        <w:rPr>
          <w:rFonts w:ascii="ArialMT" w:hAnsi="ArialMT" w:cs="ArialMT"/>
          <w:color w:val="000000" w:themeColor="text1"/>
          <w:lang w:val="en-GB"/>
        </w:rPr>
        <w:t>seemed to affect this</w:t>
      </w:r>
      <w:r w:rsidR="0043500C" w:rsidRPr="00617A89">
        <w:rPr>
          <w:rFonts w:ascii="ArialMT" w:hAnsi="ArialMT" w:cs="ArialMT"/>
          <w:color w:val="000000" w:themeColor="text1"/>
          <w:lang w:val="en-GB"/>
        </w:rPr>
        <w:t xml:space="preserve"> level of study much more than it did for undergraduates or postgraduate coursework graduates. </w:t>
      </w:r>
      <w:r w:rsidR="00065D00" w:rsidRPr="00617A89">
        <w:rPr>
          <w:rFonts w:ascii="ArialMT" w:hAnsi="ArialMT" w:cs="ArialMT"/>
          <w:color w:val="000000" w:themeColor="text1"/>
          <w:lang w:val="en-GB"/>
        </w:rPr>
        <w:t>This was also a common reason for</w:t>
      </w:r>
      <w:r w:rsidR="00AD5F79" w:rsidRPr="00617A89">
        <w:rPr>
          <w:rFonts w:ascii="ArialMT" w:hAnsi="ArialMT" w:cs="ArialMT"/>
          <w:color w:val="000000" w:themeColor="text1"/>
          <w:lang w:val="en-GB"/>
        </w:rPr>
        <w:t xml:space="preserve"> postgraduate research graduates who were underemployed (see </w:t>
      </w:r>
      <w:hyperlink w:anchor="_Reasons_for_not" w:history="1">
        <w:r w:rsidR="00AD5F79" w:rsidRPr="00617A89">
          <w:rPr>
            <w:rStyle w:val="Hyperlink"/>
            <w:rFonts w:ascii="ArialMT" w:hAnsi="ArialMT" w:cs="ArialMT"/>
            <w:lang w:val="en-GB"/>
          </w:rPr>
          <w:t>Reasons for not working more hours</w:t>
        </w:r>
      </w:hyperlink>
      <w:r w:rsidR="00AD5F79" w:rsidRPr="00617A89">
        <w:rPr>
          <w:rFonts w:ascii="ArialMT" w:hAnsi="ArialMT" w:cs="ArialMT"/>
          <w:color w:val="000000" w:themeColor="text1"/>
          <w:lang w:val="en-GB"/>
        </w:rPr>
        <w:t>)</w:t>
      </w:r>
      <w:r w:rsidR="00EF26B7" w:rsidRPr="00617A89">
        <w:rPr>
          <w:rFonts w:ascii="ArialMT" w:hAnsi="ArialMT" w:cs="ArialMT"/>
          <w:color w:val="000000" w:themeColor="text1"/>
          <w:lang w:val="en-GB"/>
        </w:rPr>
        <w:t xml:space="preserve">. These findings </w:t>
      </w:r>
      <w:r w:rsidR="00486F8F" w:rsidRPr="00617A89">
        <w:rPr>
          <w:rFonts w:ascii="ArialMT" w:hAnsi="ArialMT" w:cs="ArialMT"/>
          <w:color w:val="000000" w:themeColor="text1"/>
          <w:lang w:val="en-GB"/>
        </w:rPr>
        <w:t xml:space="preserve">may highlight a need for institutions to </w:t>
      </w:r>
      <w:r w:rsidR="00B14E89" w:rsidRPr="00617A89">
        <w:rPr>
          <w:rFonts w:ascii="ArialMT" w:hAnsi="ArialMT" w:cs="ArialMT"/>
          <w:color w:val="000000" w:themeColor="text1"/>
          <w:lang w:val="en-GB"/>
        </w:rPr>
        <w:t>provide greater careers support</w:t>
      </w:r>
      <w:r w:rsidR="00EE10E1" w:rsidRPr="00617A89">
        <w:rPr>
          <w:rFonts w:ascii="ArialMT" w:hAnsi="ArialMT" w:cs="ArialMT"/>
          <w:color w:val="000000" w:themeColor="text1"/>
          <w:lang w:val="en-GB"/>
        </w:rPr>
        <w:t xml:space="preserve"> to these graduates, a</w:t>
      </w:r>
      <w:r w:rsidR="00BC6BFF" w:rsidRPr="00617A89">
        <w:rPr>
          <w:rFonts w:ascii="ArialMT" w:hAnsi="ArialMT" w:cs="ArialMT"/>
          <w:color w:val="000000" w:themeColor="text1"/>
          <w:lang w:val="en-GB"/>
        </w:rPr>
        <w:t xml:space="preserve">s well as </w:t>
      </w:r>
      <w:r w:rsidR="00570B20" w:rsidRPr="00617A89">
        <w:rPr>
          <w:rFonts w:ascii="ArialMT" w:hAnsi="ArialMT" w:cs="ArialMT"/>
          <w:color w:val="000000" w:themeColor="text1"/>
          <w:lang w:val="en-GB"/>
        </w:rPr>
        <w:t>a potential mis</w:t>
      </w:r>
      <w:r w:rsidR="004F6969" w:rsidRPr="00617A89">
        <w:rPr>
          <w:rFonts w:ascii="ArialMT" w:hAnsi="ArialMT" w:cs="ArialMT"/>
          <w:color w:val="000000" w:themeColor="text1"/>
          <w:lang w:val="en-GB"/>
        </w:rPr>
        <w:t>match</w:t>
      </w:r>
      <w:r w:rsidR="00570B20" w:rsidRPr="00617A89">
        <w:rPr>
          <w:rFonts w:ascii="ArialMT" w:hAnsi="ArialMT" w:cs="ArialMT"/>
          <w:color w:val="000000" w:themeColor="text1"/>
          <w:lang w:val="en-GB"/>
        </w:rPr>
        <w:t xml:space="preserve"> </w:t>
      </w:r>
      <w:r w:rsidR="008F6120" w:rsidRPr="00617A89">
        <w:rPr>
          <w:rFonts w:ascii="ArialMT" w:hAnsi="ArialMT" w:cs="ArialMT"/>
          <w:color w:val="000000" w:themeColor="text1"/>
          <w:lang w:val="en-GB"/>
        </w:rPr>
        <w:t xml:space="preserve">between </w:t>
      </w:r>
      <w:r w:rsidR="00CC17A2" w:rsidRPr="00617A89">
        <w:rPr>
          <w:rFonts w:ascii="ArialMT" w:hAnsi="ArialMT" w:cs="ArialMT"/>
          <w:color w:val="000000" w:themeColor="text1"/>
          <w:lang w:val="en-GB"/>
        </w:rPr>
        <w:t>labour market</w:t>
      </w:r>
      <w:r w:rsidR="00570B20" w:rsidRPr="00617A89">
        <w:rPr>
          <w:rFonts w:ascii="ArialMT" w:hAnsi="ArialMT" w:cs="ArialMT"/>
          <w:color w:val="000000" w:themeColor="text1"/>
          <w:lang w:val="en-GB"/>
        </w:rPr>
        <w:t xml:space="preserve"> demand</w:t>
      </w:r>
      <w:r w:rsidR="008C1D88" w:rsidRPr="00617A89">
        <w:rPr>
          <w:rFonts w:ascii="ArialMT" w:hAnsi="ArialMT" w:cs="ArialMT"/>
          <w:color w:val="000000" w:themeColor="text1"/>
          <w:lang w:val="en-GB"/>
        </w:rPr>
        <w:t xml:space="preserve"> </w:t>
      </w:r>
      <w:r w:rsidR="00DE0206" w:rsidRPr="00617A89">
        <w:rPr>
          <w:rFonts w:ascii="ArialMT" w:hAnsi="ArialMT" w:cs="ArialMT"/>
          <w:color w:val="000000" w:themeColor="text1"/>
          <w:lang w:val="en-GB"/>
        </w:rPr>
        <w:t xml:space="preserve">of these highly specialised skills </w:t>
      </w:r>
      <w:r w:rsidR="00CC17A2" w:rsidRPr="00617A89">
        <w:rPr>
          <w:rFonts w:ascii="ArialMT" w:hAnsi="ArialMT" w:cs="ArialMT"/>
          <w:color w:val="000000" w:themeColor="text1"/>
          <w:lang w:val="en-GB"/>
        </w:rPr>
        <w:t xml:space="preserve">and the number of </w:t>
      </w:r>
      <w:r w:rsidR="00C61888" w:rsidRPr="00617A89">
        <w:rPr>
          <w:rFonts w:ascii="ArialMT" w:hAnsi="ArialMT" w:cs="ArialMT"/>
          <w:color w:val="000000" w:themeColor="text1"/>
          <w:lang w:val="en-GB"/>
        </w:rPr>
        <w:t>graduates complet</w:t>
      </w:r>
      <w:r w:rsidR="000A5C0A" w:rsidRPr="00617A89">
        <w:rPr>
          <w:rFonts w:ascii="ArialMT" w:hAnsi="ArialMT" w:cs="ArialMT"/>
          <w:color w:val="000000" w:themeColor="text1"/>
          <w:lang w:val="en-GB"/>
        </w:rPr>
        <w:t>ing</w:t>
      </w:r>
      <w:r w:rsidR="00C61888" w:rsidRPr="00617A89">
        <w:rPr>
          <w:rFonts w:ascii="ArialMT" w:hAnsi="ArialMT" w:cs="ArialMT"/>
          <w:color w:val="000000" w:themeColor="text1"/>
          <w:lang w:val="en-GB"/>
        </w:rPr>
        <w:t xml:space="preserve"> these courses.</w:t>
      </w:r>
    </w:p>
    <w:p w14:paraId="014CA501" w14:textId="3E342560" w:rsidR="00A800DB" w:rsidRPr="00617A89" w:rsidRDefault="00365863" w:rsidP="00200B73">
      <w:pPr>
        <w:pStyle w:val="Caption"/>
        <w:keepNext/>
        <w:rPr>
          <w:color w:val="000000" w:themeColor="text1"/>
        </w:rPr>
      </w:pPr>
      <w:bookmarkStart w:id="91" w:name="_Ref202292709"/>
      <w:bookmarkStart w:id="92" w:name="_Toc222868473"/>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3</w:t>
      </w:r>
      <w:r w:rsidR="00DB7C31" w:rsidRPr="00617A89">
        <w:rPr>
          <w:noProof/>
          <w:color w:val="000000" w:themeColor="text1"/>
        </w:rPr>
        <w:fldChar w:fldCharType="end"/>
      </w:r>
      <w:bookmarkEnd w:id="91"/>
      <w:r w:rsidR="00200B73" w:rsidRPr="00617A89">
        <w:rPr>
          <w:color w:val="000000" w:themeColor="text1"/>
        </w:rPr>
        <w:tab/>
      </w:r>
      <w:r w:rsidRPr="00617A89">
        <w:rPr>
          <w:color w:val="000000" w:themeColor="text1"/>
        </w:rPr>
        <w:t xml:space="preserve">Main reason for working in </w:t>
      </w:r>
      <w:r w:rsidR="00EE78AF" w:rsidRPr="00617A89">
        <w:rPr>
          <w:color w:val="000000" w:themeColor="text1"/>
        </w:rPr>
        <w:t xml:space="preserve">a </w:t>
      </w:r>
      <w:r w:rsidRPr="00617A89">
        <w:rPr>
          <w:color w:val="000000" w:themeColor="text1"/>
        </w:rPr>
        <w:t>job that does not fully utilise skills and education, domestic graduates</w:t>
      </w:r>
      <w:r w:rsidR="00C329A1" w:rsidRPr="00617A89">
        <w:rPr>
          <w:color w:val="000000" w:themeColor="text1"/>
        </w:rPr>
        <w:t xml:space="preserve"> employed full-time</w:t>
      </w:r>
      <w:r w:rsidRPr="00617A89">
        <w:rPr>
          <w:color w:val="000000" w:themeColor="text1"/>
        </w:rPr>
        <w:t>, all occupations (%)</w:t>
      </w:r>
      <w:bookmarkEnd w:id="92"/>
    </w:p>
    <w:tbl>
      <w:tblPr>
        <w:tblStyle w:val="TableGrid"/>
        <w:tblW w:w="10786" w:type="dxa"/>
        <w:tblLayout w:type="fixed"/>
        <w:tblLook w:val="04A0" w:firstRow="1" w:lastRow="0" w:firstColumn="1" w:lastColumn="0" w:noHBand="0" w:noVBand="1"/>
      </w:tblPr>
      <w:tblGrid>
        <w:gridCol w:w="2972"/>
        <w:gridCol w:w="1302"/>
        <w:gridCol w:w="1302"/>
        <w:gridCol w:w="1303"/>
        <w:gridCol w:w="1302"/>
        <w:gridCol w:w="1302"/>
        <w:gridCol w:w="1303"/>
      </w:tblGrid>
      <w:tr w:rsidR="00C22852" w:rsidRPr="00617A89" w14:paraId="10FC4B17" w14:textId="77777777" w:rsidTr="00C22852">
        <w:trPr>
          <w:cnfStyle w:val="100000000000" w:firstRow="1" w:lastRow="0" w:firstColumn="0" w:lastColumn="0" w:oddVBand="0" w:evenVBand="0" w:oddHBand="0" w:evenHBand="0" w:firstRowFirstColumn="0" w:firstRowLastColumn="0" w:lastRowFirstColumn="0" w:lastRowLastColumn="0"/>
          <w:trHeight w:val="809"/>
          <w:tblHeader/>
        </w:trPr>
        <w:tc>
          <w:tcPr>
            <w:tcW w:w="2972" w:type="dxa"/>
            <w:hideMark/>
          </w:tcPr>
          <w:p w14:paraId="4C5DFF44" w14:textId="587929F0" w:rsidR="00331ADF" w:rsidRPr="00617A89" w:rsidRDefault="00200B73" w:rsidP="00E37470">
            <w:pPr>
              <w:rPr>
                <w:rFonts w:cs="Arial"/>
                <w:sz w:val="18"/>
                <w:szCs w:val="18"/>
              </w:rPr>
            </w:pPr>
            <w:bookmarkStart w:id="93" w:name="_Ref178071825"/>
            <w:bookmarkEnd w:id="88"/>
            <w:r w:rsidRPr="00617A89">
              <w:rPr>
                <w:rFonts w:cs="Arial"/>
                <w:sz w:val="18"/>
                <w:szCs w:val="18"/>
              </w:rPr>
              <w:t>Reason</w:t>
            </w:r>
            <w:r w:rsidR="00F87D04" w:rsidRPr="00617A89">
              <w:rPr>
                <w:rFonts w:cs="Arial"/>
                <w:sz w:val="18"/>
                <w:szCs w:val="18"/>
              </w:rPr>
              <w:t xml:space="preserve"> type: Detailed reason</w:t>
            </w:r>
            <w:r w:rsidRPr="00617A89">
              <w:rPr>
                <w:rFonts w:cs="Arial"/>
                <w:sz w:val="18"/>
                <w:szCs w:val="18"/>
              </w:rPr>
              <w:t>s</w:t>
            </w:r>
          </w:p>
        </w:tc>
        <w:tc>
          <w:tcPr>
            <w:tcW w:w="1302" w:type="dxa"/>
            <w:hideMark/>
          </w:tcPr>
          <w:p w14:paraId="4D16B556" w14:textId="685184DA" w:rsidR="00331ADF" w:rsidRPr="00617A89" w:rsidRDefault="00200B73" w:rsidP="00C22852">
            <w:pPr>
              <w:jc w:val="center"/>
              <w:rPr>
                <w:rFonts w:cs="Arial"/>
                <w:sz w:val="18"/>
                <w:szCs w:val="18"/>
              </w:rPr>
            </w:pPr>
            <w:r w:rsidRPr="00617A89">
              <w:rPr>
                <w:rFonts w:cs="Arial"/>
                <w:sz w:val="18"/>
                <w:szCs w:val="18"/>
              </w:rPr>
              <w:t xml:space="preserve">Undergraduate: </w:t>
            </w:r>
            <w:r w:rsidR="00331ADF" w:rsidRPr="00617A89">
              <w:rPr>
                <w:rFonts w:cs="Arial"/>
                <w:sz w:val="18"/>
                <w:szCs w:val="18"/>
              </w:rPr>
              <w:t>Short-term (2022)</w:t>
            </w:r>
          </w:p>
        </w:tc>
        <w:tc>
          <w:tcPr>
            <w:tcW w:w="1302" w:type="dxa"/>
            <w:hideMark/>
          </w:tcPr>
          <w:p w14:paraId="7B3771B7" w14:textId="1A62A039" w:rsidR="00331ADF" w:rsidRPr="00617A89" w:rsidRDefault="00200B73" w:rsidP="00C22852">
            <w:pPr>
              <w:jc w:val="center"/>
              <w:rPr>
                <w:rFonts w:cs="Arial"/>
                <w:sz w:val="18"/>
                <w:szCs w:val="18"/>
              </w:rPr>
            </w:pPr>
            <w:r w:rsidRPr="00617A89">
              <w:rPr>
                <w:rFonts w:cs="Arial"/>
                <w:sz w:val="18"/>
                <w:szCs w:val="18"/>
              </w:rPr>
              <w:t xml:space="preserve">Undergraduate: </w:t>
            </w:r>
            <w:r w:rsidR="00331ADF" w:rsidRPr="00617A89">
              <w:rPr>
                <w:rFonts w:cs="Arial"/>
                <w:sz w:val="18"/>
                <w:szCs w:val="18"/>
              </w:rPr>
              <w:t>Medium-term (2025)</w:t>
            </w:r>
          </w:p>
        </w:tc>
        <w:tc>
          <w:tcPr>
            <w:tcW w:w="1303" w:type="dxa"/>
            <w:hideMark/>
          </w:tcPr>
          <w:p w14:paraId="191272A4" w14:textId="22FE6BC8" w:rsidR="00331ADF" w:rsidRPr="00617A89" w:rsidRDefault="00BC457C" w:rsidP="00C22852">
            <w:pPr>
              <w:jc w:val="center"/>
              <w:rPr>
                <w:rFonts w:cs="Arial"/>
                <w:sz w:val="18"/>
                <w:szCs w:val="18"/>
              </w:rPr>
            </w:pPr>
            <w:r w:rsidRPr="00617A89">
              <w:rPr>
                <w:rFonts w:cs="Arial"/>
                <w:sz w:val="18"/>
                <w:szCs w:val="18"/>
              </w:rPr>
              <w:t xml:space="preserve">Postgraduate coursework: </w:t>
            </w:r>
            <w:r w:rsidR="00331ADF" w:rsidRPr="00617A89">
              <w:rPr>
                <w:rFonts w:cs="Arial"/>
                <w:sz w:val="18"/>
                <w:szCs w:val="18"/>
              </w:rPr>
              <w:t>Short-term (2022)</w:t>
            </w:r>
          </w:p>
        </w:tc>
        <w:tc>
          <w:tcPr>
            <w:tcW w:w="1302" w:type="dxa"/>
            <w:hideMark/>
          </w:tcPr>
          <w:p w14:paraId="73C4CC7A" w14:textId="782DEBB8" w:rsidR="00331ADF" w:rsidRPr="00617A89" w:rsidRDefault="00BC457C" w:rsidP="00C22852">
            <w:pPr>
              <w:jc w:val="center"/>
              <w:rPr>
                <w:rFonts w:cs="Arial"/>
                <w:sz w:val="18"/>
                <w:szCs w:val="18"/>
              </w:rPr>
            </w:pPr>
            <w:r w:rsidRPr="00617A89">
              <w:rPr>
                <w:rFonts w:cs="Arial"/>
                <w:sz w:val="18"/>
                <w:szCs w:val="18"/>
              </w:rPr>
              <w:t xml:space="preserve">Postgraduate coursework: </w:t>
            </w:r>
            <w:r w:rsidR="00331ADF" w:rsidRPr="00617A89">
              <w:rPr>
                <w:rFonts w:cs="Arial"/>
                <w:sz w:val="18"/>
                <w:szCs w:val="18"/>
              </w:rPr>
              <w:t>Medium-term (2025)</w:t>
            </w:r>
          </w:p>
        </w:tc>
        <w:tc>
          <w:tcPr>
            <w:tcW w:w="1302" w:type="dxa"/>
            <w:hideMark/>
          </w:tcPr>
          <w:p w14:paraId="5FE5486C" w14:textId="73A76019" w:rsidR="00331ADF" w:rsidRPr="00617A89" w:rsidRDefault="00BC457C" w:rsidP="00C22852">
            <w:pPr>
              <w:jc w:val="center"/>
              <w:rPr>
                <w:rFonts w:cs="Arial"/>
                <w:sz w:val="18"/>
                <w:szCs w:val="18"/>
              </w:rPr>
            </w:pPr>
            <w:r w:rsidRPr="00617A89">
              <w:rPr>
                <w:rFonts w:cs="Arial"/>
                <w:sz w:val="18"/>
                <w:szCs w:val="18"/>
              </w:rPr>
              <w:t xml:space="preserve">Postgraduate research: </w:t>
            </w:r>
            <w:r w:rsidR="00331ADF" w:rsidRPr="00617A89">
              <w:rPr>
                <w:rFonts w:cs="Arial"/>
                <w:sz w:val="18"/>
                <w:szCs w:val="18"/>
              </w:rPr>
              <w:t>Short-term (2022)</w:t>
            </w:r>
          </w:p>
        </w:tc>
        <w:tc>
          <w:tcPr>
            <w:tcW w:w="1303" w:type="dxa"/>
            <w:hideMark/>
          </w:tcPr>
          <w:p w14:paraId="7A184AD8" w14:textId="69C3A871" w:rsidR="00331ADF" w:rsidRPr="00617A89" w:rsidRDefault="00BC457C" w:rsidP="00C22852">
            <w:pPr>
              <w:jc w:val="center"/>
              <w:rPr>
                <w:rFonts w:cs="Arial"/>
                <w:sz w:val="18"/>
                <w:szCs w:val="18"/>
              </w:rPr>
            </w:pPr>
            <w:r w:rsidRPr="00617A89">
              <w:rPr>
                <w:rFonts w:cs="Arial"/>
                <w:sz w:val="18"/>
                <w:szCs w:val="18"/>
              </w:rPr>
              <w:t xml:space="preserve">Postgraduate research: </w:t>
            </w:r>
            <w:r w:rsidR="00331ADF" w:rsidRPr="00617A89">
              <w:rPr>
                <w:rFonts w:cs="Arial"/>
                <w:sz w:val="18"/>
                <w:szCs w:val="18"/>
              </w:rPr>
              <w:t>Medium-term (2025)</w:t>
            </w:r>
          </w:p>
        </w:tc>
      </w:tr>
      <w:tr w:rsidR="00C22852" w:rsidRPr="00617A89" w14:paraId="139CB058" w14:textId="77777777" w:rsidTr="00BC457C">
        <w:trPr>
          <w:trHeight w:val="403"/>
        </w:trPr>
        <w:tc>
          <w:tcPr>
            <w:tcW w:w="2972" w:type="dxa"/>
            <w:noWrap/>
            <w:vAlign w:val="center"/>
            <w:hideMark/>
          </w:tcPr>
          <w:p w14:paraId="39D96655" w14:textId="1636130F" w:rsidR="002D332A" w:rsidRPr="00617A89" w:rsidRDefault="00F87D04" w:rsidP="002D332A">
            <w:pPr>
              <w:rPr>
                <w:rFonts w:cs="Arial"/>
                <w:color w:val="000000" w:themeColor="text1"/>
                <w:sz w:val="18"/>
                <w:szCs w:val="20"/>
              </w:rPr>
            </w:pPr>
            <w:r w:rsidRPr="00617A89">
              <w:rPr>
                <w:rFonts w:cs="Arial"/>
                <w:color w:val="000000" w:themeColor="text1"/>
                <w:sz w:val="18"/>
                <w:szCs w:val="18"/>
              </w:rPr>
              <w:t xml:space="preserve">Personal factors: </w:t>
            </w:r>
            <w:r w:rsidR="002D332A" w:rsidRPr="00617A89">
              <w:rPr>
                <w:color w:val="000000" w:themeColor="text1"/>
                <w:sz w:val="18"/>
                <w:szCs w:val="20"/>
              </w:rPr>
              <w:t>I'm satisfied with my current job</w:t>
            </w:r>
          </w:p>
        </w:tc>
        <w:tc>
          <w:tcPr>
            <w:tcW w:w="1302" w:type="dxa"/>
            <w:noWrap/>
            <w:vAlign w:val="center"/>
            <w:hideMark/>
          </w:tcPr>
          <w:p w14:paraId="64378E76" w14:textId="67447CCF"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13.0</w:t>
            </w:r>
          </w:p>
        </w:tc>
        <w:tc>
          <w:tcPr>
            <w:tcW w:w="1302" w:type="dxa"/>
            <w:noWrap/>
            <w:vAlign w:val="center"/>
            <w:hideMark/>
          </w:tcPr>
          <w:p w14:paraId="42613EED" w14:textId="25B46CF2"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25.6</w:t>
            </w:r>
          </w:p>
        </w:tc>
        <w:tc>
          <w:tcPr>
            <w:tcW w:w="1303" w:type="dxa"/>
            <w:noWrap/>
            <w:vAlign w:val="center"/>
            <w:hideMark/>
          </w:tcPr>
          <w:p w14:paraId="27B7DFD1" w14:textId="2413C812"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19.4</w:t>
            </w:r>
          </w:p>
        </w:tc>
        <w:tc>
          <w:tcPr>
            <w:tcW w:w="1302" w:type="dxa"/>
            <w:noWrap/>
            <w:vAlign w:val="center"/>
            <w:hideMark/>
          </w:tcPr>
          <w:p w14:paraId="541226F9" w14:textId="6063B0D4"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29.5</w:t>
            </w:r>
          </w:p>
        </w:tc>
        <w:tc>
          <w:tcPr>
            <w:tcW w:w="1302" w:type="dxa"/>
            <w:noWrap/>
            <w:vAlign w:val="center"/>
            <w:hideMark/>
          </w:tcPr>
          <w:p w14:paraId="576DF453" w14:textId="33A71B3A"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22.2</w:t>
            </w:r>
          </w:p>
        </w:tc>
        <w:tc>
          <w:tcPr>
            <w:tcW w:w="1303" w:type="dxa"/>
            <w:noWrap/>
            <w:vAlign w:val="center"/>
            <w:hideMark/>
          </w:tcPr>
          <w:p w14:paraId="3042F423" w14:textId="37098CA9"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25.0</w:t>
            </w:r>
          </w:p>
        </w:tc>
      </w:tr>
      <w:tr w:rsidR="00C22852" w:rsidRPr="00617A89" w14:paraId="4FB95E7F" w14:textId="77777777" w:rsidTr="00BC457C">
        <w:trPr>
          <w:trHeight w:val="403"/>
        </w:trPr>
        <w:tc>
          <w:tcPr>
            <w:tcW w:w="2972" w:type="dxa"/>
            <w:noWrap/>
            <w:vAlign w:val="center"/>
            <w:hideMark/>
          </w:tcPr>
          <w:p w14:paraId="7D25DA56" w14:textId="6418FBAE" w:rsidR="002D332A" w:rsidRPr="00617A89" w:rsidRDefault="00F87D04" w:rsidP="002D332A">
            <w:pPr>
              <w:rPr>
                <w:rFonts w:cs="Arial"/>
                <w:color w:val="000000" w:themeColor="text1"/>
                <w:sz w:val="18"/>
                <w:szCs w:val="20"/>
              </w:rPr>
            </w:pPr>
            <w:r w:rsidRPr="00617A89">
              <w:rPr>
                <w:rFonts w:cs="Arial"/>
                <w:color w:val="000000" w:themeColor="text1"/>
                <w:sz w:val="18"/>
                <w:szCs w:val="18"/>
              </w:rPr>
              <w:t xml:space="preserve">Personal factors: </w:t>
            </w:r>
            <w:r w:rsidR="002D332A" w:rsidRPr="00617A89">
              <w:rPr>
                <w:color w:val="000000" w:themeColor="text1"/>
                <w:sz w:val="18"/>
                <w:szCs w:val="20"/>
              </w:rPr>
              <w:t>For financial reasons</w:t>
            </w:r>
          </w:p>
        </w:tc>
        <w:tc>
          <w:tcPr>
            <w:tcW w:w="1302" w:type="dxa"/>
            <w:noWrap/>
            <w:vAlign w:val="center"/>
            <w:hideMark/>
          </w:tcPr>
          <w:p w14:paraId="30360230" w14:textId="5A2F4C73"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6.6</w:t>
            </w:r>
          </w:p>
        </w:tc>
        <w:tc>
          <w:tcPr>
            <w:tcW w:w="1302" w:type="dxa"/>
            <w:noWrap/>
            <w:vAlign w:val="center"/>
            <w:hideMark/>
          </w:tcPr>
          <w:p w14:paraId="22FEC979" w14:textId="5C51B658"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9.1</w:t>
            </w:r>
          </w:p>
        </w:tc>
        <w:tc>
          <w:tcPr>
            <w:tcW w:w="1303" w:type="dxa"/>
            <w:noWrap/>
            <w:vAlign w:val="center"/>
            <w:hideMark/>
          </w:tcPr>
          <w:p w14:paraId="2383FF3A" w14:textId="6A26C5C0"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5.6</w:t>
            </w:r>
          </w:p>
        </w:tc>
        <w:tc>
          <w:tcPr>
            <w:tcW w:w="1302" w:type="dxa"/>
            <w:noWrap/>
            <w:vAlign w:val="center"/>
            <w:hideMark/>
          </w:tcPr>
          <w:p w14:paraId="19E30680" w14:textId="1AF45490"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10.0</w:t>
            </w:r>
          </w:p>
        </w:tc>
        <w:tc>
          <w:tcPr>
            <w:tcW w:w="1302" w:type="dxa"/>
            <w:noWrap/>
            <w:vAlign w:val="center"/>
            <w:hideMark/>
          </w:tcPr>
          <w:p w14:paraId="357D1958" w14:textId="4741BC30"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6.4</w:t>
            </w:r>
          </w:p>
        </w:tc>
        <w:tc>
          <w:tcPr>
            <w:tcW w:w="1303" w:type="dxa"/>
            <w:noWrap/>
            <w:vAlign w:val="center"/>
            <w:hideMark/>
          </w:tcPr>
          <w:p w14:paraId="1B420B54" w14:textId="2C4FAF1A"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11.6</w:t>
            </w:r>
          </w:p>
        </w:tc>
      </w:tr>
      <w:tr w:rsidR="00C22852" w:rsidRPr="00617A89" w14:paraId="599BB325" w14:textId="77777777" w:rsidTr="00BC457C">
        <w:trPr>
          <w:trHeight w:val="403"/>
        </w:trPr>
        <w:tc>
          <w:tcPr>
            <w:tcW w:w="2972" w:type="dxa"/>
            <w:noWrap/>
            <w:vAlign w:val="center"/>
            <w:hideMark/>
          </w:tcPr>
          <w:p w14:paraId="156B04D5" w14:textId="2D7C2545" w:rsidR="002D332A" w:rsidRPr="00617A89" w:rsidRDefault="00F87D04" w:rsidP="002D332A">
            <w:pPr>
              <w:rPr>
                <w:rFonts w:cs="Arial"/>
                <w:color w:val="000000" w:themeColor="text1"/>
                <w:sz w:val="18"/>
                <w:szCs w:val="20"/>
              </w:rPr>
            </w:pPr>
            <w:r w:rsidRPr="00617A89">
              <w:rPr>
                <w:rFonts w:cs="Arial"/>
                <w:color w:val="000000" w:themeColor="text1"/>
                <w:sz w:val="18"/>
                <w:szCs w:val="18"/>
              </w:rPr>
              <w:t xml:space="preserve">Personal factors: </w:t>
            </w:r>
            <w:r w:rsidR="002D332A" w:rsidRPr="00617A89">
              <w:rPr>
                <w:color w:val="000000" w:themeColor="text1"/>
                <w:sz w:val="18"/>
                <w:szCs w:val="20"/>
              </w:rPr>
              <w:t>Changing jobs/careers</w:t>
            </w:r>
          </w:p>
        </w:tc>
        <w:tc>
          <w:tcPr>
            <w:tcW w:w="1302" w:type="dxa"/>
            <w:noWrap/>
            <w:vAlign w:val="center"/>
            <w:hideMark/>
          </w:tcPr>
          <w:p w14:paraId="45A518EC" w14:textId="181D3C4E"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7.2</w:t>
            </w:r>
          </w:p>
        </w:tc>
        <w:tc>
          <w:tcPr>
            <w:tcW w:w="1302" w:type="dxa"/>
            <w:noWrap/>
            <w:vAlign w:val="center"/>
            <w:hideMark/>
          </w:tcPr>
          <w:p w14:paraId="69BA02C1" w14:textId="59AF5398"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2.4</w:t>
            </w:r>
          </w:p>
        </w:tc>
        <w:tc>
          <w:tcPr>
            <w:tcW w:w="1303" w:type="dxa"/>
            <w:noWrap/>
            <w:vAlign w:val="center"/>
            <w:hideMark/>
          </w:tcPr>
          <w:p w14:paraId="20088AF8" w14:textId="0D538565"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12.7</w:t>
            </w:r>
          </w:p>
        </w:tc>
        <w:tc>
          <w:tcPr>
            <w:tcW w:w="1302" w:type="dxa"/>
            <w:noWrap/>
            <w:vAlign w:val="center"/>
            <w:hideMark/>
          </w:tcPr>
          <w:p w14:paraId="02C8124E" w14:textId="70D52CFF"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1.6</w:t>
            </w:r>
          </w:p>
        </w:tc>
        <w:tc>
          <w:tcPr>
            <w:tcW w:w="1302" w:type="dxa"/>
            <w:noWrap/>
            <w:vAlign w:val="center"/>
            <w:hideMark/>
          </w:tcPr>
          <w:p w14:paraId="5072F561" w14:textId="6328B98A"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6.7</w:t>
            </w:r>
          </w:p>
        </w:tc>
        <w:tc>
          <w:tcPr>
            <w:tcW w:w="1303" w:type="dxa"/>
            <w:noWrap/>
            <w:vAlign w:val="center"/>
            <w:hideMark/>
          </w:tcPr>
          <w:p w14:paraId="653C692C" w14:textId="681FD2C4"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2.5</w:t>
            </w:r>
          </w:p>
        </w:tc>
      </w:tr>
      <w:tr w:rsidR="00C22852" w:rsidRPr="00617A89" w14:paraId="05ACF6B5" w14:textId="77777777" w:rsidTr="00BC457C">
        <w:trPr>
          <w:trHeight w:val="403"/>
        </w:trPr>
        <w:tc>
          <w:tcPr>
            <w:tcW w:w="2972" w:type="dxa"/>
            <w:noWrap/>
            <w:vAlign w:val="center"/>
            <w:hideMark/>
          </w:tcPr>
          <w:p w14:paraId="45347D70" w14:textId="0EAE807E" w:rsidR="002D332A" w:rsidRPr="00617A89" w:rsidRDefault="00F87D04" w:rsidP="002D332A">
            <w:pPr>
              <w:rPr>
                <w:rFonts w:cs="Arial"/>
                <w:color w:val="000000" w:themeColor="text1"/>
                <w:sz w:val="18"/>
                <w:szCs w:val="20"/>
              </w:rPr>
            </w:pPr>
            <w:r w:rsidRPr="00617A89">
              <w:rPr>
                <w:rFonts w:cs="Arial"/>
                <w:color w:val="000000" w:themeColor="text1"/>
                <w:sz w:val="18"/>
                <w:szCs w:val="18"/>
              </w:rPr>
              <w:t xml:space="preserve">Personal factors: </w:t>
            </w:r>
            <w:r w:rsidR="002D332A" w:rsidRPr="00617A89">
              <w:rPr>
                <w:color w:val="000000" w:themeColor="text1"/>
                <w:sz w:val="18"/>
                <w:szCs w:val="20"/>
              </w:rPr>
              <w:t>Studying</w:t>
            </w:r>
          </w:p>
        </w:tc>
        <w:tc>
          <w:tcPr>
            <w:tcW w:w="1302" w:type="dxa"/>
            <w:noWrap/>
            <w:vAlign w:val="center"/>
            <w:hideMark/>
          </w:tcPr>
          <w:p w14:paraId="09BD1A37" w14:textId="2ECC4189"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5.8</w:t>
            </w:r>
          </w:p>
        </w:tc>
        <w:tc>
          <w:tcPr>
            <w:tcW w:w="1302" w:type="dxa"/>
            <w:noWrap/>
            <w:vAlign w:val="center"/>
            <w:hideMark/>
          </w:tcPr>
          <w:p w14:paraId="36A3725E" w14:textId="7123B994"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5.5</w:t>
            </w:r>
          </w:p>
        </w:tc>
        <w:tc>
          <w:tcPr>
            <w:tcW w:w="1303" w:type="dxa"/>
            <w:noWrap/>
            <w:vAlign w:val="center"/>
            <w:hideMark/>
          </w:tcPr>
          <w:p w14:paraId="37675771" w14:textId="68F8707B"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3.3</w:t>
            </w:r>
          </w:p>
        </w:tc>
        <w:tc>
          <w:tcPr>
            <w:tcW w:w="1302" w:type="dxa"/>
            <w:noWrap/>
            <w:vAlign w:val="center"/>
            <w:hideMark/>
          </w:tcPr>
          <w:p w14:paraId="129254FB" w14:textId="01A5E192"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3.0</w:t>
            </w:r>
          </w:p>
        </w:tc>
        <w:tc>
          <w:tcPr>
            <w:tcW w:w="1302" w:type="dxa"/>
            <w:noWrap/>
            <w:vAlign w:val="center"/>
            <w:hideMark/>
          </w:tcPr>
          <w:p w14:paraId="12D2ED3D" w14:textId="3BD4B1AD"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1.7</w:t>
            </w:r>
          </w:p>
        </w:tc>
        <w:tc>
          <w:tcPr>
            <w:tcW w:w="1303" w:type="dxa"/>
            <w:noWrap/>
            <w:vAlign w:val="center"/>
            <w:hideMark/>
          </w:tcPr>
          <w:p w14:paraId="40E3FEA6" w14:textId="48A3803D"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1.6</w:t>
            </w:r>
          </w:p>
        </w:tc>
      </w:tr>
      <w:tr w:rsidR="00C22852" w:rsidRPr="00617A89" w14:paraId="021AF92C" w14:textId="77777777" w:rsidTr="00BC457C">
        <w:trPr>
          <w:trHeight w:val="403"/>
        </w:trPr>
        <w:tc>
          <w:tcPr>
            <w:tcW w:w="2972" w:type="dxa"/>
            <w:noWrap/>
            <w:vAlign w:val="center"/>
          </w:tcPr>
          <w:p w14:paraId="57812D68" w14:textId="57840CA2" w:rsidR="002D332A" w:rsidRPr="00617A89" w:rsidRDefault="00F87D04" w:rsidP="002D332A">
            <w:pPr>
              <w:rPr>
                <w:rFonts w:cs="Arial"/>
                <w:color w:val="000000" w:themeColor="text1"/>
                <w:sz w:val="18"/>
                <w:szCs w:val="20"/>
              </w:rPr>
            </w:pPr>
            <w:r w:rsidRPr="00617A89">
              <w:rPr>
                <w:rFonts w:cs="Arial"/>
                <w:color w:val="000000" w:themeColor="text1"/>
                <w:sz w:val="18"/>
                <w:szCs w:val="18"/>
              </w:rPr>
              <w:t xml:space="preserve">Personal factors: </w:t>
            </w:r>
            <w:r w:rsidR="002D332A" w:rsidRPr="00617A89">
              <w:rPr>
                <w:color w:val="000000" w:themeColor="text1"/>
                <w:sz w:val="18"/>
                <w:szCs w:val="20"/>
              </w:rPr>
              <w:t>Caring for children or family member</w:t>
            </w:r>
          </w:p>
        </w:tc>
        <w:tc>
          <w:tcPr>
            <w:tcW w:w="1302" w:type="dxa"/>
            <w:noWrap/>
            <w:vAlign w:val="center"/>
          </w:tcPr>
          <w:p w14:paraId="11B7DCB4" w14:textId="757DA212"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1.4</w:t>
            </w:r>
          </w:p>
        </w:tc>
        <w:tc>
          <w:tcPr>
            <w:tcW w:w="1302" w:type="dxa"/>
            <w:noWrap/>
            <w:vAlign w:val="center"/>
          </w:tcPr>
          <w:p w14:paraId="559AAAC6" w14:textId="22CF0377"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2.3</w:t>
            </w:r>
          </w:p>
        </w:tc>
        <w:tc>
          <w:tcPr>
            <w:tcW w:w="1303" w:type="dxa"/>
            <w:noWrap/>
            <w:vAlign w:val="center"/>
          </w:tcPr>
          <w:p w14:paraId="29964F6A" w14:textId="65F02040"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3.0</w:t>
            </w:r>
          </w:p>
        </w:tc>
        <w:tc>
          <w:tcPr>
            <w:tcW w:w="1302" w:type="dxa"/>
            <w:noWrap/>
            <w:vAlign w:val="center"/>
          </w:tcPr>
          <w:p w14:paraId="0671550D" w14:textId="797F6181"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6.0</w:t>
            </w:r>
          </w:p>
        </w:tc>
        <w:tc>
          <w:tcPr>
            <w:tcW w:w="1302" w:type="dxa"/>
            <w:noWrap/>
            <w:vAlign w:val="center"/>
          </w:tcPr>
          <w:p w14:paraId="44D88866" w14:textId="119C2176"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1.1</w:t>
            </w:r>
          </w:p>
        </w:tc>
        <w:tc>
          <w:tcPr>
            <w:tcW w:w="1303" w:type="dxa"/>
            <w:noWrap/>
            <w:vAlign w:val="center"/>
          </w:tcPr>
          <w:p w14:paraId="41F57F21" w14:textId="2D7A71F6"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4.7</w:t>
            </w:r>
          </w:p>
        </w:tc>
      </w:tr>
      <w:tr w:rsidR="00C22852" w:rsidRPr="00617A89" w14:paraId="532FA1F5" w14:textId="77777777" w:rsidTr="00BC457C">
        <w:trPr>
          <w:trHeight w:val="403"/>
        </w:trPr>
        <w:tc>
          <w:tcPr>
            <w:tcW w:w="2972" w:type="dxa"/>
            <w:noWrap/>
            <w:vAlign w:val="center"/>
          </w:tcPr>
          <w:p w14:paraId="25D29F95" w14:textId="7FE578CA" w:rsidR="002D332A" w:rsidRPr="00617A89" w:rsidRDefault="00F87D04" w:rsidP="002D332A">
            <w:pPr>
              <w:rPr>
                <w:color w:val="000000" w:themeColor="text1"/>
                <w:sz w:val="18"/>
                <w:szCs w:val="20"/>
              </w:rPr>
            </w:pPr>
            <w:r w:rsidRPr="00617A89">
              <w:rPr>
                <w:rFonts w:cs="Arial"/>
                <w:color w:val="000000" w:themeColor="text1"/>
                <w:sz w:val="18"/>
                <w:szCs w:val="18"/>
              </w:rPr>
              <w:t xml:space="preserve">Personal factors: </w:t>
            </w:r>
            <w:r w:rsidR="002D332A" w:rsidRPr="00617A89">
              <w:rPr>
                <w:color w:val="000000" w:themeColor="text1"/>
                <w:sz w:val="18"/>
                <w:szCs w:val="20"/>
              </w:rPr>
              <w:t>Other personal factors</w:t>
            </w:r>
          </w:p>
        </w:tc>
        <w:tc>
          <w:tcPr>
            <w:tcW w:w="1302" w:type="dxa"/>
            <w:noWrap/>
            <w:vAlign w:val="center"/>
          </w:tcPr>
          <w:p w14:paraId="1C40D28D" w14:textId="4D72C63B"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0.8</w:t>
            </w:r>
          </w:p>
        </w:tc>
        <w:tc>
          <w:tcPr>
            <w:tcW w:w="1302" w:type="dxa"/>
            <w:noWrap/>
            <w:vAlign w:val="center"/>
          </w:tcPr>
          <w:p w14:paraId="7DDA2045" w14:textId="472B936F"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1.8</w:t>
            </w:r>
          </w:p>
        </w:tc>
        <w:tc>
          <w:tcPr>
            <w:tcW w:w="1303" w:type="dxa"/>
            <w:noWrap/>
            <w:vAlign w:val="center"/>
          </w:tcPr>
          <w:p w14:paraId="3414E7FC" w14:textId="6DC3E688"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0.2</w:t>
            </w:r>
          </w:p>
        </w:tc>
        <w:tc>
          <w:tcPr>
            <w:tcW w:w="1302" w:type="dxa"/>
            <w:noWrap/>
            <w:vAlign w:val="center"/>
          </w:tcPr>
          <w:p w14:paraId="21147E33" w14:textId="0F6FEE1D"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1.8</w:t>
            </w:r>
          </w:p>
        </w:tc>
        <w:tc>
          <w:tcPr>
            <w:tcW w:w="1302" w:type="dxa"/>
            <w:noWrap/>
            <w:vAlign w:val="center"/>
          </w:tcPr>
          <w:p w14:paraId="2A3A213A" w14:textId="540E8801"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0.3</w:t>
            </w:r>
          </w:p>
        </w:tc>
        <w:tc>
          <w:tcPr>
            <w:tcW w:w="1303" w:type="dxa"/>
            <w:noWrap/>
            <w:vAlign w:val="center"/>
          </w:tcPr>
          <w:p w14:paraId="1319787A" w14:textId="4C84746A" w:rsidR="002D332A" w:rsidRPr="00617A89" w:rsidRDefault="002D332A" w:rsidP="002D332A">
            <w:pPr>
              <w:jc w:val="center"/>
              <w:rPr>
                <w:rFonts w:cs="Arial"/>
                <w:color w:val="000000" w:themeColor="text1"/>
                <w:sz w:val="18"/>
                <w:szCs w:val="18"/>
              </w:rPr>
            </w:pPr>
            <w:r w:rsidRPr="00617A89">
              <w:rPr>
                <w:rFonts w:cs="Arial"/>
                <w:color w:val="000000" w:themeColor="text1"/>
                <w:sz w:val="18"/>
                <w:szCs w:val="18"/>
              </w:rPr>
              <w:t>1.6</w:t>
            </w:r>
          </w:p>
        </w:tc>
      </w:tr>
      <w:tr w:rsidR="00C22852" w:rsidRPr="00617A89" w14:paraId="22E7F422" w14:textId="77777777" w:rsidTr="00BC457C">
        <w:trPr>
          <w:trHeight w:val="403"/>
        </w:trPr>
        <w:tc>
          <w:tcPr>
            <w:tcW w:w="2972" w:type="dxa"/>
            <w:shd w:val="clear" w:color="auto" w:fill="F2F2F2" w:themeFill="background1" w:themeFillShade="F2"/>
            <w:noWrap/>
            <w:vAlign w:val="center"/>
            <w:hideMark/>
          </w:tcPr>
          <w:p w14:paraId="5FD5BAD7" w14:textId="2157EAB3" w:rsidR="00743A46" w:rsidRPr="00617A89" w:rsidRDefault="00F87D04" w:rsidP="00743A46">
            <w:pPr>
              <w:rPr>
                <w:rFonts w:cs="Arial"/>
                <w:color w:val="000000" w:themeColor="text1"/>
                <w:sz w:val="18"/>
                <w:szCs w:val="18"/>
              </w:rPr>
            </w:pPr>
            <w:r w:rsidRPr="00617A89">
              <w:rPr>
                <w:rFonts w:cs="Arial"/>
                <w:color w:val="000000" w:themeColor="text1"/>
                <w:sz w:val="18"/>
                <w:szCs w:val="18"/>
              </w:rPr>
              <w:t xml:space="preserve">Personal factors: </w:t>
            </w:r>
            <w:r w:rsidR="00743A46" w:rsidRPr="00617A89">
              <w:rPr>
                <w:rFonts w:cs="Arial"/>
                <w:color w:val="000000" w:themeColor="text1"/>
                <w:sz w:val="18"/>
                <w:szCs w:val="18"/>
              </w:rPr>
              <w:t>Personal factors sub-total</w:t>
            </w:r>
          </w:p>
        </w:tc>
        <w:tc>
          <w:tcPr>
            <w:tcW w:w="1302" w:type="dxa"/>
            <w:shd w:val="clear" w:color="auto" w:fill="F2F2F2" w:themeFill="background1" w:themeFillShade="F2"/>
            <w:noWrap/>
            <w:vAlign w:val="center"/>
            <w:hideMark/>
          </w:tcPr>
          <w:p w14:paraId="256DAA3E" w14:textId="2E0FF601" w:rsidR="00743A46" w:rsidRPr="00617A89" w:rsidRDefault="00743A46" w:rsidP="00743A46">
            <w:pPr>
              <w:jc w:val="center"/>
              <w:rPr>
                <w:rFonts w:cs="Arial"/>
                <w:color w:val="000000" w:themeColor="text1"/>
                <w:sz w:val="18"/>
                <w:szCs w:val="18"/>
              </w:rPr>
            </w:pPr>
            <w:r w:rsidRPr="00617A89">
              <w:rPr>
                <w:rFonts w:cs="Arial"/>
                <w:color w:val="000000" w:themeColor="text1"/>
                <w:sz w:val="18"/>
                <w:szCs w:val="18"/>
              </w:rPr>
              <w:t>34.</w:t>
            </w:r>
            <w:r w:rsidR="00A800DB" w:rsidRPr="00617A89">
              <w:rPr>
                <w:rFonts w:cs="Arial"/>
                <w:color w:val="000000" w:themeColor="text1"/>
                <w:sz w:val="18"/>
                <w:szCs w:val="18"/>
              </w:rPr>
              <w:t>7</w:t>
            </w:r>
          </w:p>
        </w:tc>
        <w:tc>
          <w:tcPr>
            <w:tcW w:w="1302" w:type="dxa"/>
            <w:shd w:val="clear" w:color="auto" w:fill="F2F2F2" w:themeFill="background1" w:themeFillShade="F2"/>
            <w:noWrap/>
            <w:vAlign w:val="center"/>
            <w:hideMark/>
          </w:tcPr>
          <w:p w14:paraId="7B28D8B9" w14:textId="22975748" w:rsidR="00743A46" w:rsidRPr="00617A89" w:rsidRDefault="00743A46" w:rsidP="00743A46">
            <w:pPr>
              <w:jc w:val="center"/>
              <w:rPr>
                <w:rFonts w:cs="Arial"/>
                <w:color w:val="000000" w:themeColor="text1"/>
                <w:sz w:val="18"/>
                <w:szCs w:val="18"/>
              </w:rPr>
            </w:pPr>
            <w:r w:rsidRPr="00617A89">
              <w:rPr>
                <w:rFonts w:cs="Arial"/>
                <w:color w:val="000000" w:themeColor="text1"/>
                <w:sz w:val="18"/>
                <w:szCs w:val="18"/>
              </w:rPr>
              <w:t>46.</w:t>
            </w:r>
            <w:r w:rsidR="00A800DB" w:rsidRPr="00617A89">
              <w:rPr>
                <w:rFonts w:cs="Arial"/>
                <w:color w:val="000000" w:themeColor="text1"/>
                <w:sz w:val="18"/>
                <w:szCs w:val="18"/>
              </w:rPr>
              <w:t>8</w:t>
            </w:r>
          </w:p>
        </w:tc>
        <w:tc>
          <w:tcPr>
            <w:tcW w:w="1303" w:type="dxa"/>
            <w:shd w:val="clear" w:color="auto" w:fill="F2F2F2" w:themeFill="background1" w:themeFillShade="F2"/>
            <w:noWrap/>
            <w:vAlign w:val="center"/>
            <w:hideMark/>
          </w:tcPr>
          <w:p w14:paraId="690F26FE" w14:textId="743AA691" w:rsidR="00743A46" w:rsidRPr="00617A89" w:rsidRDefault="00743A46" w:rsidP="00743A46">
            <w:pPr>
              <w:jc w:val="center"/>
              <w:rPr>
                <w:rFonts w:cs="Arial"/>
                <w:color w:val="000000" w:themeColor="text1"/>
                <w:sz w:val="18"/>
                <w:szCs w:val="18"/>
              </w:rPr>
            </w:pPr>
            <w:r w:rsidRPr="00617A89">
              <w:rPr>
                <w:rFonts w:cs="Arial"/>
                <w:color w:val="000000" w:themeColor="text1"/>
                <w:sz w:val="18"/>
                <w:szCs w:val="18"/>
              </w:rPr>
              <w:t>44.2</w:t>
            </w:r>
          </w:p>
        </w:tc>
        <w:tc>
          <w:tcPr>
            <w:tcW w:w="1302" w:type="dxa"/>
            <w:shd w:val="clear" w:color="auto" w:fill="F2F2F2" w:themeFill="background1" w:themeFillShade="F2"/>
            <w:noWrap/>
            <w:vAlign w:val="center"/>
            <w:hideMark/>
          </w:tcPr>
          <w:p w14:paraId="0557CCCC" w14:textId="293FBC95" w:rsidR="00743A46" w:rsidRPr="00617A89" w:rsidRDefault="00CE7E90" w:rsidP="00743A46">
            <w:pPr>
              <w:jc w:val="center"/>
              <w:rPr>
                <w:rFonts w:cs="Arial"/>
                <w:color w:val="000000" w:themeColor="text1"/>
                <w:sz w:val="18"/>
                <w:szCs w:val="18"/>
              </w:rPr>
            </w:pPr>
            <w:r w:rsidRPr="00617A89">
              <w:rPr>
                <w:rFonts w:cs="Arial"/>
                <w:color w:val="000000" w:themeColor="text1"/>
                <w:sz w:val="18"/>
                <w:szCs w:val="18"/>
              </w:rPr>
              <w:t>52.0</w:t>
            </w:r>
          </w:p>
        </w:tc>
        <w:tc>
          <w:tcPr>
            <w:tcW w:w="1302" w:type="dxa"/>
            <w:shd w:val="clear" w:color="auto" w:fill="F2F2F2" w:themeFill="background1" w:themeFillShade="F2"/>
            <w:noWrap/>
            <w:vAlign w:val="center"/>
            <w:hideMark/>
          </w:tcPr>
          <w:p w14:paraId="14585E84" w14:textId="72FC95D7" w:rsidR="00743A46" w:rsidRPr="00617A89" w:rsidRDefault="00743A46" w:rsidP="00743A46">
            <w:pPr>
              <w:jc w:val="center"/>
              <w:rPr>
                <w:rFonts w:cs="Arial"/>
                <w:color w:val="000000" w:themeColor="text1"/>
                <w:sz w:val="18"/>
                <w:szCs w:val="18"/>
              </w:rPr>
            </w:pPr>
            <w:r w:rsidRPr="00617A89">
              <w:rPr>
                <w:rFonts w:cs="Arial"/>
                <w:color w:val="000000" w:themeColor="text1"/>
                <w:sz w:val="18"/>
                <w:szCs w:val="18"/>
              </w:rPr>
              <w:t>38.</w:t>
            </w:r>
            <w:r w:rsidR="00CE7E90" w:rsidRPr="00617A89">
              <w:rPr>
                <w:rFonts w:cs="Arial"/>
                <w:color w:val="000000" w:themeColor="text1"/>
                <w:sz w:val="18"/>
                <w:szCs w:val="18"/>
              </w:rPr>
              <w:t>3</w:t>
            </w:r>
          </w:p>
        </w:tc>
        <w:tc>
          <w:tcPr>
            <w:tcW w:w="1303" w:type="dxa"/>
            <w:shd w:val="clear" w:color="auto" w:fill="F2F2F2" w:themeFill="background1" w:themeFillShade="F2"/>
            <w:noWrap/>
            <w:vAlign w:val="center"/>
            <w:hideMark/>
          </w:tcPr>
          <w:p w14:paraId="1D2EAE78" w14:textId="18DDAF30" w:rsidR="00743A46" w:rsidRPr="00617A89" w:rsidRDefault="00743A46" w:rsidP="00743A46">
            <w:pPr>
              <w:jc w:val="center"/>
              <w:rPr>
                <w:rFonts w:cs="Arial"/>
                <w:color w:val="000000" w:themeColor="text1"/>
                <w:sz w:val="18"/>
                <w:szCs w:val="18"/>
              </w:rPr>
            </w:pPr>
            <w:r w:rsidRPr="00617A89">
              <w:rPr>
                <w:rFonts w:cs="Arial"/>
                <w:color w:val="000000" w:themeColor="text1"/>
                <w:sz w:val="18"/>
                <w:szCs w:val="18"/>
              </w:rPr>
              <w:t>4</w:t>
            </w:r>
            <w:r w:rsidR="00CE7E90" w:rsidRPr="00617A89">
              <w:rPr>
                <w:rFonts w:cs="Arial"/>
                <w:color w:val="000000" w:themeColor="text1"/>
                <w:sz w:val="18"/>
                <w:szCs w:val="18"/>
              </w:rPr>
              <w:t>6.9</w:t>
            </w:r>
          </w:p>
        </w:tc>
      </w:tr>
      <w:tr w:rsidR="00C22852" w:rsidRPr="00617A89" w14:paraId="6BA1DC25" w14:textId="77777777" w:rsidTr="00BC457C">
        <w:trPr>
          <w:trHeight w:val="403"/>
        </w:trPr>
        <w:tc>
          <w:tcPr>
            <w:tcW w:w="2972" w:type="dxa"/>
            <w:noWrap/>
            <w:vAlign w:val="center"/>
            <w:hideMark/>
          </w:tcPr>
          <w:p w14:paraId="378D7B38" w14:textId="3D7524DD" w:rsidR="006C76E8" w:rsidRPr="00617A89" w:rsidRDefault="00F87D04" w:rsidP="006C76E8">
            <w:pPr>
              <w:rPr>
                <w:rFonts w:cs="Arial"/>
                <w:color w:val="000000" w:themeColor="text1"/>
                <w:sz w:val="18"/>
                <w:szCs w:val="18"/>
              </w:rPr>
            </w:pPr>
            <w:r w:rsidRPr="00617A89">
              <w:rPr>
                <w:rFonts w:cs="Arial"/>
                <w:color w:val="000000" w:themeColor="text1"/>
                <w:sz w:val="18"/>
                <w:szCs w:val="18"/>
              </w:rPr>
              <w:t xml:space="preserve">Labour market factors: </w:t>
            </w:r>
            <w:r w:rsidR="006C76E8" w:rsidRPr="00617A89">
              <w:rPr>
                <w:rFonts w:cs="Arial"/>
                <w:color w:val="000000" w:themeColor="text1"/>
                <w:sz w:val="18"/>
                <w:szCs w:val="18"/>
              </w:rPr>
              <w:t>No suitable jobs in my area of expertise</w:t>
            </w:r>
          </w:p>
        </w:tc>
        <w:tc>
          <w:tcPr>
            <w:tcW w:w="1302" w:type="dxa"/>
            <w:noWrap/>
            <w:vAlign w:val="center"/>
            <w:hideMark/>
          </w:tcPr>
          <w:p w14:paraId="49BCD608" w14:textId="7BE5C096"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8.3</w:t>
            </w:r>
          </w:p>
        </w:tc>
        <w:tc>
          <w:tcPr>
            <w:tcW w:w="1302" w:type="dxa"/>
            <w:noWrap/>
            <w:vAlign w:val="center"/>
            <w:hideMark/>
          </w:tcPr>
          <w:p w14:paraId="6C6BBDB5" w14:textId="5FEEC022"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12.4</w:t>
            </w:r>
          </w:p>
        </w:tc>
        <w:tc>
          <w:tcPr>
            <w:tcW w:w="1303" w:type="dxa"/>
            <w:noWrap/>
            <w:vAlign w:val="center"/>
            <w:hideMark/>
          </w:tcPr>
          <w:p w14:paraId="7C59A98F" w14:textId="72BC5C52"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9.1</w:t>
            </w:r>
          </w:p>
        </w:tc>
        <w:tc>
          <w:tcPr>
            <w:tcW w:w="1302" w:type="dxa"/>
            <w:noWrap/>
            <w:vAlign w:val="center"/>
            <w:hideMark/>
          </w:tcPr>
          <w:p w14:paraId="16CAC6DE" w14:textId="7CA712D9"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12.1</w:t>
            </w:r>
          </w:p>
        </w:tc>
        <w:tc>
          <w:tcPr>
            <w:tcW w:w="1302" w:type="dxa"/>
            <w:noWrap/>
            <w:vAlign w:val="center"/>
            <w:hideMark/>
          </w:tcPr>
          <w:p w14:paraId="7C3BE61F" w14:textId="62F4B0C5"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21.4</w:t>
            </w:r>
          </w:p>
        </w:tc>
        <w:tc>
          <w:tcPr>
            <w:tcW w:w="1303" w:type="dxa"/>
            <w:noWrap/>
            <w:vAlign w:val="center"/>
            <w:hideMark/>
          </w:tcPr>
          <w:p w14:paraId="20F82B4D" w14:textId="6D4FA771"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26.6</w:t>
            </w:r>
          </w:p>
        </w:tc>
      </w:tr>
      <w:tr w:rsidR="00C22852" w:rsidRPr="00617A89" w14:paraId="481B13F6" w14:textId="77777777" w:rsidTr="00BC457C">
        <w:trPr>
          <w:trHeight w:val="403"/>
        </w:trPr>
        <w:tc>
          <w:tcPr>
            <w:tcW w:w="2972" w:type="dxa"/>
            <w:noWrap/>
            <w:vAlign w:val="center"/>
            <w:hideMark/>
          </w:tcPr>
          <w:p w14:paraId="3B8779F8" w14:textId="52140588" w:rsidR="006C76E8" w:rsidRPr="00617A89" w:rsidRDefault="00F87D04" w:rsidP="006C76E8">
            <w:pPr>
              <w:rPr>
                <w:rFonts w:cs="Arial"/>
                <w:color w:val="000000" w:themeColor="text1"/>
                <w:sz w:val="18"/>
                <w:szCs w:val="18"/>
              </w:rPr>
            </w:pPr>
            <w:r w:rsidRPr="00617A89">
              <w:rPr>
                <w:rFonts w:cs="Arial"/>
                <w:color w:val="000000" w:themeColor="text1"/>
                <w:sz w:val="18"/>
                <w:szCs w:val="18"/>
              </w:rPr>
              <w:t xml:space="preserve">Labour market factors: </w:t>
            </w:r>
            <w:r w:rsidR="006C76E8" w:rsidRPr="00617A89">
              <w:rPr>
                <w:rFonts w:cs="Arial"/>
                <w:color w:val="000000" w:themeColor="text1"/>
                <w:sz w:val="18"/>
                <w:szCs w:val="18"/>
              </w:rPr>
              <w:t>Entry level job/career stepping stone</w:t>
            </w:r>
          </w:p>
        </w:tc>
        <w:tc>
          <w:tcPr>
            <w:tcW w:w="1302" w:type="dxa"/>
            <w:noWrap/>
            <w:vAlign w:val="center"/>
            <w:hideMark/>
          </w:tcPr>
          <w:p w14:paraId="575EE2C1" w14:textId="1CA81671"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29.3</w:t>
            </w:r>
          </w:p>
        </w:tc>
        <w:tc>
          <w:tcPr>
            <w:tcW w:w="1302" w:type="dxa"/>
            <w:noWrap/>
            <w:vAlign w:val="center"/>
            <w:hideMark/>
          </w:tcPr>
          <w:p w14:paraId="6E2DE0C6" w14:textId="5DF44388"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1.2</w:t>
            </w:r>
          </w:p>
        </w:tc>
        <w:tc>
          <w:tcPr>
            <w:tcW w:w="1303" w:type="dxa"/>
            <w:noWrap/>
            <w:vAlign w:val="center"/>
            <w:hideMark/>
          </w:tcPr>
          <w:p w14:paraId="711503E3" w14:textId="7E40F480"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15.4</w:t>
            </w:r>
          </w:p>
        </w:tc>
        <w:tc>
          <w:tcPr>
            <w:tcW w:w="1302" w:type="dxa"/>
            <w:noWrap/>
            <w:vAlign w:val="center"/>
            <w:hideMark/>
          </w:tcPr>
          <w:p w14:paraId="4E431453" w14:textId="5DDB949E"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1.1</w:t>
            </w:r>
          </w:p>
        </w:tc>
        <w:tc>
          <w:tcPr>
            <w:tcW w:w="1302" w:type="dxa"/>
            <w:noWrap/>
            <w:vAlign w:val="center"/>
            <w:hideMark/>
          </w:tcPr>
          <w:p w14:paraId="7E6F8D8A" w14:textId="2151A3D2"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12.8</w:t>
            </w:r>
          </w:p>
        </w:tc>
        <w:tc>
          <w:tcPr>
            <w:tcW w:w="1303" w:type="dxa"/>
            <w:noWrap/>
            <w:vAlign w:val="center"/>
            <w:hideMark/>
          </w:tcPr>
          <w:p w14:paraId="1895DBB9" w14:textId="159D18A5"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0.6</w:t>
            </w:r>
          </w:p>
        </w:tc>
      </w:tr>
      <w:tr w:rsidR="00C22852" w:rsidRPr="00617A89" w14:paraId="6E555FC2" w14:textId="77777777" w:rsidTr="00BC457C">
        <w:trPr>
          <w:trHeight w:val="403"/>
        </w:trPr>
        <w:tc>
          <w:tcPr>
            <w:tcW w:w="2972" w:type="dxa"/>
            <w:noWrap/>
            <w:vAlign w:val="center"/>
            <w:hideMark/>
          </w:tcPr>
          <w:p w14:paraId="51D99058" w14:textId="652504AD" w:rsidR="006C76E8" w:rsidRPr="00617A89" w:rsidRDefault="00F87D04" w:rsidP="006C76E8">
            <w:pPr>
              <w:rPr>
                <w:rFonts w:cs="Arial"/>
                <w:color w:val="000000" w:themeColor="text1"/>
                <w:sz w:val="18"/>
                <w:szCs w:val="18"/>
              </w:rPr>
            </w:pPr>
            <w:r w:rsidRPr="00617A89">
              <w:rPr>
                <w:rFonts w:cs="Arial"/>
                <w:color w:val="000000" w:themeColor="text1"/>
                <w:sz w:val="18"/>
                <w:szCs w:val="18"/>
              </w:rPr>
              <w:t xml:space="preserve">Labour market factors: </w:t>
            </w:r>
            <w:r w:rsidR="006C76E8" w:rsidRPr="00617A89">
              <w:rPr>
                <w:rFonts w:cs="Arial"/>
                <w:color w:val="000000" w:themeColor="text1"/>
                <w:sz w:val="18"/>
                <w:szCs w:val="18"/>
              </w:rPr>
              <w:t>Not enough work experience</w:t>
            </w:r>
          </w:p>
        </w:tc>
        <w:tc>
          <w:tcPr>
            <w:tcW w:w="1302" w:type="dxa"/>
            <w:noWrap/>
            <w:vAlign w:val="center"/>
            <w:hideMark/>
          </w:tcPr>
          <w:p w14:paraId="228360DA" w14:textId="600A7604"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10.7</w:t>
            </w:r>
          </w:p>
        </w:tc>
        <w:tc>
          <w:tcPr>
            <w:tcW w:w="1302" w:type="dxa"/>
            <w:noWrap/>
            <w:vAlign w:val="center"/>
            <w:hideMark/>
          </w:tcPr>
          <w:p w14:paraId="25275FB7" w14:textId="1D582E45"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15.9</w:t>
            </w:r>
          </w:p>
        </w:tc>
        <w:tc>
          <w:tcPr>
            <w:tcW w:w="1303" w:type="dxa"/>
            <w:noWrap/>
            <w:vAlign w:val="center"/>
            <w:hideMark/>
          </w:tcPr>
          <w:p w14:paraId="728FC51F" w14:textId="549301A4"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8.3</w:t>
            </w:r>
          </w:p>
        </w:tc>
        <w:tc>
          <w:tcPr>
            <w:tcW w:w="1302" w:type="dxa"/>
            <w:noWrap/>
            <w:vAlign w:val="center"/>
            <w:hideMark/>
          </w:tcPr>
          <w:p w14:paraId="108A27B5" w14:textId="355C8D6A"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8.8</w:t>
            </w:r>
          </w:p>
        </w:tc>
        <w:tc>
          <w:tcPr>
            <w:tcW w:w="1302" w:type="dxa"/>
            <w:noWrap/>
            <w:vAlign w:val="center"/>
            <w:hideMark/>
          </w:tcPr>
          <w:p w14:paraId="1F21FE88" w14:textId="21E06F6A"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6.7</w:t>
            </w:r>
          </w:p>
        </w:tc>
        <w:tc>
          <w:tcPr>
            <w:tcW w:w="1303" w:type="dxa"/>
            <w:noWrap/>
            <w:vAlign w:val="center"/>
            <w:hideMark/>
          </w:tcPr>
          <w:p w14:paraId="762E6E96" w14:textId="53FE821E"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5.0</w:t>
            </w:r>
          </w:p>
        </w:tc>
      </w:tr>
      <w:tr w:rsidR="00C22852" w:rsidRPr="00617A89" w14:paraId="6C2CB357" w14:textId="77777777" w:rsidTr="00BC457C">
        <w:trPr>
          <w:trHeight w:val="403"/>
        </w:trPr>
        <w:tc>
          <w:tcPr>
            <w:tcW w:w="2972" w:type="dxa"/>
            <w:noWrap/>
            <w:vAlign w:val="center"/>
            <w:hideMark/>
          </w:tcPr>
          <w:p w14:paraId="5C478BA3" w14:textId="58314B9F" w:rsidR="006C76E8" w:rsidRPr="00617A89" w:rsidRDefault="00F87D04" w:rsidP="006C76E8">
            <w:pPr>
              <w:rPr>
                <w:rFonts w:cs="Arial"/>
                <w:color w:val="000000" w:themeColor="text1"/>
                <w:sz w:val="18"/>
                <w:szCs w:val="18"/>
              </w:rPr>
            </w:pPr>
            <w:r w:rsidRPr="00617A89">
              <w:rPr>
                <w:rFonts w:cs="Arial"/>
                <w:color w:val="000000" w:themeColor="text1"/>
                <w:sz w:val="18"/>
                <w:szCs w:val="18"/>
              </w:rPr>
              <w:t xml:space="preserve">Labour market factors: </w:t>
            </w:r>
            <w:r w:rsidR="006C76E8" w:rsidRPr="00617A89">
              <w:rPr>
                <w:rFonts w:cs="Arial"/>
                <w:color w:val="000000" w:themeColor="text1"/>
                <w:sz w:val="18"/>
                <w:szCs w:val="18"/>
              </w:rPr>
              <w:t>No suitable jobs in my local area</w:t>
            </w:r>
          </w:p>
        </w:tc>
        <w:tc>
          <w:tcPr>
            <w:tcW w:w="1302" w:type="dxa"/>
            <w:noWrap/>
            <w:vAlign w:val="center"/>
            <w:hideMark/>
          </w:tcPr>
          <w:p w14:paraId="3FC4D74A" w14:textId="59BBD52F"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6.4</w:t>
            </w:r>
          </w:p>
        </w:tc>
        <w:tc>
          <w:tcPr>
            <w:tcW w:w="1302" w:type="dxa"/>
            <w:noWrap/>
            <w:vAlign w:val="center"/>
            <w:hideMark/>
          </w:tcPr>
          <w:p w14:paraId="7D83FB02" w14:textId="74E8268B"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10.3</w:t>
            </w:r>
          </w:p>
        </w:tc>
        <w:tc>
          <w:tcPr>
            <w:tcW w:w="1303" w:type="dxa"/>
            <w:noWrap/>
            <w:vAlign w:val="center"/>
            <w:hideMark/>
          </w:tcPr>
          <w:p w14:paraId="4B4186B8" w14:textId="015AC017"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8.7</w:t>
            </w:r>
          </w:p>
        </w:tc>
        <w:tc>
          <w:tcPr>
            <w:tcW w:w="1302" w:type="dxa"/>
            <w:noWrap/>
            <w:vAlign w:val="center"/>
            <w:hideMark/>
          </w:tcPr>
          <w:p w14:paraId="2BDA1896" w14:textId="254C90C5"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9.0</w:t>
            </w:r>
          </w:p>
        </w:tc>
        <w:tc>
          <w:tcPr>
            <w:tcW w:w="1302" w:type="dxa"/>
            <w:noWrap/>
            <w:vAlign w:val="center"/>
            <w:hideMark/>
          </w:tcPr>
          <w:p w14:paraId="68EE00DD" w14:textId="0068C8A8"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12.2</w:t>
            </w:r>
          </w:p>
        </w:tc>
        <w:tc>
          <w:tcPr>
            <w:tcW w:w="1303" w:type="dxa"/>
            <w:noWrap/>
            <w:vAlign w:val="center"/>
            <w:hideMark/>
          </w:tcPr>
          <w:p w14:paraId="0DA41E57" w14:textId="7A98C149"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8.8</w:t>
            </w:r>
          </w:p>
        </w:tc>
      </w:tr>
      <w:tr w:rsidR="00C22852" w:rsidRPr="00617A89" w14:paraId="7ED796E9" w14:textId="77777777" w:rsidTr="00BC457C">
        <w:trPr>
          <w:trHeight w:val="508"/>
        </w:trPr>
        <w:tc>
          <w:tcPr>
            <w:tcW w:w="2972" w:type="dxa"/>
            <w:noWrap/>
            <w:vAlign w:val="center"/>
            <w:hideMark/>
          </w:tcPr>
          <w:p w14:paraId="09E8F23E" w14:textId="762EE661" w:rsidR="006C76E8" w:rsidRPr="00617A89" w:rsidRDefault="00F87D04" w:rsidP="006C76E8">
            <w:pPr>
              <w:rPr>
                <w:rFonts w:cs="Arial"/>
                <w:color w:val="000000" w:themeColor="text1"/>
                <w:sz w:val="18"/>
                <w:szCs w:val="18"/>
              </w:rPr>
            </w:pPr>
            <w:r w:rsidRPr="00617A89">
              <w:rPr>
                <w:rFonts w:cs="Arial"/>
                <w:color w:val="000000" w:themeColor="text1"/>
                <w:sz w:val="18"/>
                <w:szCs w:val="18"/>
              </w:rPr>
              <w:t xml:space="preserve">Labour market factors: </w:t>
            </w:r>
            <w:r w:rsidR="006C76E8" w:rsidRPr="00617A89">
              <w:rPr>
                <w:rFonts w:cs="Arial"/>
                <w:color w:val="000000" w:themeColor="text1"/>
                <w:sz w:val="18"/>
                <w:szCs w:val="18"/>
              </w:rPr>
              <w:t>Other labour market factors</w:t>
            </w:r>
          </w:p>
        </w:tc>
        <w:tc>
          <w:tcPr>
            <w:tcW w:w="1302" w:type="dxa"/>
            <w:noWrap/>
            <w:vAlign w:val="center"/>
            <w:hideMark/>
          </w:tcPr>
          <w:p w14:paraId="48A1DBB6" w14:textId="04B128F2"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4.9</w:t>
            </w:r>
          </w:p>
        </w:tc>
        <w:tc>
          <w:tcPr>
            <w:tcW w:w="1302" w:type="dxa"/>
            <w:noWrap/>
            <w:vAlign w:val="center"/>
            <w:hideMark/>
          </w:tcPr>
          <w:p w14:paraId="0476AEE3" w14:textId="1191D81E"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7.9</w:t>
            </w:r>
          </w:p>
        </w:tc>
        <w:tc>
          <w:tcPr>
            <w:tcW w:w="1303" w:type="dxa"/>
            <w:noWrap/>
            <w:vAlign w:val="center"/>
            <w:hideMark/>
          </w:tcPr>
          <w:p w14:paraId="581FDECE" w14:textId="1D289D67"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8.4</w:t>
            </w:r>
          </w:p>
        </w:tc>
        <w:tc>
          <w:tcPr>
            <w:tcW w:w="1302" w:type="dxa"/>
            <w:noWrap/>
            <w:vAlign w:val="center"/>
            <w:hideMark/>
          </w:tcPr>
          <w:p w14:paraId="59B36258" w14:textId="292AF4BB"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9.7</w:t>
            </w:r>
          </w:p>
        </w:tc>
        <w:tc>
          <w:tcPr>
            <w:tcW w:w="1302" w:type="dxa"/>
            <w:noWrap/>
            <w:vAlign w:val="center"/>
            <w:hideMark/>
          </w:tcPr>
          <w:p w14:paraId="51D0BE2F" w14:textId="1C1855D7"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4.5</w:t>
            </w:r>
          </w:p>
        </w:tc>
        <w:tc>
          <w:tcPr>
            <w:tcW w:w="1303" w:type="dxa"/>
            <w:noWrap/>
            <w:vAlign w:val="center"/>
            <w:hideMark/>
          </w:tcPr>
          <w:p w14:paraId="501CE059" w14:textId="19A1DA3B"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7.2</w:t>
            </w:r>
          </w:p>
        </w:tc>
      </w:tr>
      <w:tr w:rsidR="00C22852" w:rsidRPr="00617A89" w14:paraId="27DE1C24" w14:textId="77777777" w:rsidTr="00BC457C">
        <w:trPr>
          <w:trHeight w:val="403"/>
        </w:trPr>
        <w:tc>
          <w:tcPr>
            <w:tcW w:w="2972" w:type="dxa"/>
            <w:shd w:val="clear" w:color="auto" w:fill="F2F2F2" w:themeFill="background1" w:themeFillShade="F2"/>
            <w:noWrap/>
            <w:vAlign w:val="center"/>
            <w:hideMark/>
          </w:tcPr>
          <w:p w14:paraId="55297CB0" w14:textId="3B4ABE59" w:rsidR="006C76E8" w:rsidRPr="00617A89" w:rsidRDefault="00F87D04" w:rsidP="006C76E8">
            <w:pPr>
              <w:rPr>
                <w:rFonts w:cs="Arial"/>
                <w:color w:val="000000" w:themeColor="text1"/>
                <w:sz w:val="18"/>
                <w:szCs w:val="18"/>
              </w:rPr>
            </w:pPr>
            <w:r w:rsidRPr="00617A89">
              <w:rPr>
                <w:rFonts w:cs="Arial"/>
                <w:color w:val="000000" w:themeColor="text1"/>
                <w:sz w:val="18"/>
                <w:szCs w:val="18"/>
              </w:rPr>
              <w:t xml:space="preserve">Labour market factors: </w:t>
            </w:r>
            <w:r w:rsidR="006C76E8" w:rsidRPr="00617A89">
              <w:rPr>
                <w:rFonts w:cs="Arial"/>
                <w:color w:val="000000" w:themeColor="text1"/>
                <w:sz w:val="18"/>
                <w:szCs w:val="18"/>
              </w:rPr>
              <w:t>Labour market factors sub-total</w:t>
            </w:r>
          </w:p>
        </w:tc>
        <w:tc>
          <w:tcPr>
            <w:tcW w:w="1302" w:type="dxa"/>
            <w:shd w:val="clear" w:color="auto" w:fill="F2F2F2" w:themeFill="background1" w:themeFillShade="F2"/>
            <w:noWrap/>
            <w:vAlign w:val="center"/>
            <w:hideMark/>
          </w:tcPr>
          <w:p w14:paraId="33A14F38" w14:textId="3753CE30"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59.6</w:t>
            </w:r>
          </w:p>
        </w:tc>
        <w:tc>
          <w:tcPr>
            <w:tcW w:w="1302" w:type="dxa"/>
            <w:shd w:val="clear" w:color="auto" w:fill="F2F2F2" w:themeFill="background1" w:themeFillShade="F2"/>
            <w:noWrap/>
            <w:vAlign w:val="center"/>
            <w:hideMark/>
          </w:tcPr>
          <w:p w14:paraId="4E68E4AB" w14:textId="76FD5598"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47.</w:t>
            </w:r>
            <w:r w:rsidR="00A800DB" w:rsidRPr="00617A89">
              <w:rPr>
                <w:rFonts w:cs="Arial"/>
                <w:color w:val="000000" w:themeColor="text1"/>
                <w:sz w:val="18"/>
                <w:szCs w:val="18"/>
              </w:rPr>
              <w:t>5</w:t>
            </w:r>
          </w:p>
        </w:tc>
        <w:tc>
          <w:tcPr>
            <w:tcW w:w="1303" w:type="dxa"/>
            <w:shd w:val="clear" w:color="auto" w:fill="F2F2F2" w:themeFill="background1" w:themeFillShade="F2"/>
            <w:noWrap/>
            <w:vAlign w:val="center"/>
            <w:hideMark/>
          </w:tcPr>
          <w:p w14:paraId="29195F58" w14:textId="5592FC1A" w:rsidR="006C76E8" w:rsidRPr="00617A89" w:rsidRDefault="00CE7E90" w:rsidP="006C76E8">
            <w:pPr>
              <w:jc w:val="center"/>
              <w:rPr>
                <w:rFonts w:cs="Arial"/>
                <w:color w:val="000000" w:themeColor="text1"/>
                <w:sz w:val="18"/>
                <w:szCs w:val="18"/>
              </w:rPr>
            </w:pPr>
            <w:r w:rsidRPr="00617A89">
              <w:rPr>
                <w:rFonts w:cs="Arial"/>
                <w:color w:val="000000" w:themeColor="text1"/>
                <w:sz w:val="18"/>
                <w:szCs w:val="18"/>
              </w:rPr>
              <w:t>50.0</w:t>
            </w:r>
          </w:p>
        </w:tc>
        <w:tc>
          <w:tcPr>
            <w:tcW w:w="1302" w:type="dxa"/>
            <w:shd w:val="clear" w:color="auto" w:fill="F2F2F2" w:themeFill="background1" w:themeFillShade="F2"/>
            <w:noWrap/>
            <w:vAlign w:val="center"/>
            <w:hideMark/>
          </w:tcPr>
          <w:p w14:paraId="4D6B8A09" w14:textId="496F07E4"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40.</w:t>
            </w:r>
            <w:r w:rsidR="00CE7E90" w:rsidRPr="00617A89">
              <w:rPr>
                <w:rFonts w:cs="Arial"/>
                <w:color w:val="000000" w:themeColor="text1"/>
                <w:sz w:val="18"/>
                <w:szCs w:val="18"/>
              </w:rPr>
              <w:t>9</w:t>
            </w:r>
          </w:p>
        </w:tc>
        <w:tc>
          <w:tcPr>
            <w:tcW w:w="1302" w:type="dxa"/>
            <w:shd w:val="clear" w:color="auto" w:fill="F2F2F2" w:themeFill="background1" w:themeFillShade="F2"/>
            <w:noWrap/>
            <w:vAlign w:val="center"/>
            <w:hideMark/>
          </w:tcPr>
          <w:p w14:paraId="319B57A8" w14:textId="06C3ABEB"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57.</w:t>
            </w:r>
            <w:r w:rsidR="00CE7E90" w:rsidRPr="00617A89">
              <w:rPr>
                <w:rFonts w:cs="Arial"/>
                <w:color w:val="000000" w:themeColor="text1"/>
                <w:sz w:val="18"/>
                <w:szCs w:val="18"/>
              </w:rPr>
              <w:t>5</w:t>
            </w:r>
          </w:p>
        </w:tc>
        <w:tc>
          <w:tcPr>
            <w:tcW w:w="1303" w:type="dxa"/>
            <w:shd w:val="clear" w:color="auto" w:fill="F2F2F2" w:themeFill="background1" w:themeFillShade="F2"/>
            <w:noWrap/>
            <w:vAlign w:val="center"/>
            <w:hideMark/>
          </w:tcPr>
          <w:p w14:paraId="2F7EA073" w14:textId="22829CBB" w:rsidR="006C76E8" w:rsidRPr="00617A89" w:rsidRDefault="006C76E8" w:rsidP="006C76E8">
            <w:pPr>
              <w:jc w:val="center"/>
              <w:rPr>
                <w:rFonts w:cs="Arial"/>
                <w:color w:val="000000" w:themeColor="text1"/>
                <w:sz w:val="18"/>
                <w:szCs w:val="18"/>
              </w:rPr>
            </w:pPr>
            <w:r w:rsidRPr="00617A89">
              <w:rPr>
                <w:rFonts w:cs="Arial"/>
                <w:color w:val="000000" w:themeColor="text1"/>
                <w:sz w:val="18"/>
                <w:szCs w:val="18"/>
              </w:rPr>
              <w:t>48.</w:t>
            </w:r>
            <w:r w:rsidR="00CE7E90" w:rsidRPr="00617A89">
              <w:rPr>
                <w:rFonts w:cs="Arial"/>
                <w:color w:val="000000" w:themeColor="text1"/>
                <w:sz w:val="18"/>
                <w:szCs w:val="18"/>
              </w:rPr>
              <w:t>1</w:t>
            </w:r>
          </w:p>
        </w:tc>
      </w:tr>
      <w:tr w:rsidR="00C22852" w:rsidRPr="00617A89" w14:paraId="6BE0E9BB" w14:textId="77777777" w:rsidTr="00BC457C">
        <w:trPr>
          <w:trHeight w:val="403"/>
        </w:trPr>
        <w:tc>
          <w:tcPr>
            <w:tcW w:w="2972" w:type="dxa"/>
            <w:shd w:val="clear" w:color="auto" w:fill="F2F2F2" w:themeFill="background1" w:themeFillShade="F2"/>
            <w:noWrap/>
            <w:vAlign w:val="center"/>
            <w:hideMark/>
          </w:tcPr>
          <w:p w14:paraId="0EEA6C0B" w14:textId="7E34FA69" w:rsidR="008F0781" w:rsidRPr="00617A89" w:rsidRDefault="008F0781" w:rsidP="008F0781">
            <w:pPr>
              <w:rPr>
                <w:rFonts w:cs="Arial"/>
                <w:color w:val="000000" w:themeColor="text1"/>
                <w:sz w:val="18"/>
                <w:szCs w:val="18"/>
              </w:rPr>
            </w:pPr>
            <w:r w:rsidRPr="00617A89">
              <w:rPr>
                <w:rFonts w:cs="Arial"/>
                <w:color w:val="000000" w:themeColor="text1"/>
                <w:sz w:val="18"/>
                <w:szCs w:val="18"/>
              </w:rPr>
              <w:t>Other factors</w:t>
            </w:r>
          </w:p>
        </w:tc>
        <w:tc>
          <w:tcPr>
            <w:tcW w:w="1302" w:type="dxa"/>
            <w:shd w:val="clear" w:color="auto" w:fill="F2F2F2" w:themeFill="background1" w:themeFillShade="F2"/>
            <w:noWrap/>
            <w:vAlign w:val="center"/>
            <w:hideMark/>
          </w:tcPr>
          <w:p w14:paraId="523FA91A" w14:textId="30DF50CA" w:rsidR="008F0781" w:rsidRPr="00617A89" w:rsidRDefault="008F0781" w:rsidP="008F0781">
            <w:pPr>
              <w:jc w:val="center"/>
              <w:rPr>
                <w:rFonts w:cs="Arial"/>
                <w:color w:val="000000" w:themeColor="text1"/>
                <w:sz w:val="18"/>
                <w:szCs w:val="18"/>
              </w:rPr>
            </w:pPr>
            <w:r w:rsidRPr="00617A89">
              <w:rPr>
                <w:rFonts w:cs="Arial"/>
                <w:color w:val="000000" w:themeColor="text1"/>
                <w:sz w:val="18"/>
                <w:szCs w:val="18"/>
              </w:rPr>
              <w:t>5.7</w:t>
            </w:r>
          </w:p>
        </w:tc>
        <w:tc>
          <w:tcPr>
            <w:tcW w:w="1302" w:type="dxa"/>
            <w:shd w:val="clear" w:color="auto" w:fill="F2F2F2" w:themeFill="background1" w:themeFillShade="F2"/>
            <w:noWrap/>
            <w:vAlign w:val="center"/>
            <w:hideMark/>
          </w:tcPr>
          <w:p w14:paraId="6F4732BE" w14:textId="63786D15" w:rsidR="008F0781" w:rsidRPr="00617A89" w:rsidRDefault="008F0781" w:rsidP="008F0781">
            <w:pPr>
              <w:jc w:val="center"/>
              <w:rPr>
                <w:rFonts w:cs="Arial"/>
                <w:color w:val="000000" w:themeColor="text1"/>
                <w:sz w:val="18"/>
                <w:szCs w:val="18"/>
              </w:rPr>
            </w:pPr>
            <w:r w:rsidRPr="00617A89">
              <w:rPr>
                <w:rFonts w:cs="Arial"/>
                <w:color w:val="000000" w:themeColor="text1"/>
                <w:sz w:val="18"/>
                <w:szCs w:val="18"/>
              </w:rPr>
              <w:t>5.</w:t>
            </w:r>
            <w:r w:rsidR="00A800DB" w:rsidRPr="00617A89">
              <w:rPr>
                <w:rFonts w:cs="Arial"/>
                <w:color w:val="000000" w:themeColor="text1"/>
                <w:sz w:val="18"/>
                <w:szCs w:val="18"/>
              </w:rPr>
              <w:t>7</w:t>
            </w:r>
          </w:p>
        </w:tc>
        <w:tc>
          <w:tcPr>
            <w:tcW w:w="1303" w:type="dxa"/>
            <w:shd w:val="clear" w:color="auto" w:fill="F2F2F2" w:themeFill="background1" w:themeFillShade="F2"/>
            <w:noWrap/>
            <w:vAlign w:val="center"/>
            <w:hideMark/>
          </w:tcPr>
          <w:p w14:paraId="19729D3C" w14:textId="284BC17D" w:rsidR="008F0781" w:rsidRPr="00617A89" w:rsidRDefault="008F0781" w:rsidP="008F0781">
            <w:pPr>
              <w:jc w:val="center"/>
              <w:rPr>
                <w:rFonts w:cs="Arial"/>
                <w:color w:val="000000" w:themeColor="text1"/>
                <w:sz w:val="18"/>
                <w:szCs w:val="18"/>
              </w:rPr>
            </w:pPr>
            <w:r w:rsidRPr="00617A89">
              <w:rPr>
                <w:rFonts w:cs="Arial"/>
                <w:color w:val="000000" w:themeColor="text1"/>
                <w:sz w:val="18"/>
                <w:szCs w:val="18"/>
              </w:rPr>
              <w:t>5.</w:t>
            </w:r>
            <w:r w:rsidR="00CE7E90" w:rsidRPr="00617A89">
              <w:rPr>
                <w:rFonts w:cs="Arial"/>
                <w:color w:val="000000" w:themeColor="text1"/>
                <w:sz w:val="18"/>
                <w:szCs w:val="18"/>
              </w:rPr>
              <w:t>8</w:t>
            </w:r>
          </w:p>
        </w:tc>
        <w:tc>
          <w:tcPr>
            <w:tcW w:w="1302" w:type="dxa"/>
            <w:shd w:val="clear" w:color="auto" w:fill="F2F2F2" w:themeFill="background1" w:themeFillShade="F2"/>
            <w:noWrap/>
            <w:vAlign w:val="center"/>
            <w:hideMark/>
          </w:tcPr>
          <w:p w14:paraId="5D06C429" w14:textId="4A7B68B4" w:rsidR="008F0781" w:rsidRPr="00617A89" w:rsidRDefault="00CE7E90" w:rsidP="008F0781">
            <w:pPr>
              <w:jc w:val="center"/>
              <w:rPr>
                <w:rFonts w:cs="Arial"/>
                <w:color w:val="000000" w:themeColor="text1"/>
                <w:sz w:val="18"/>
                <w:szCs w:val="18"/>
              </w:rPr>
            </w:pPr>
            <w:r w:rsidRPr="00617A89">
              <w:rPr>
                <w:rFonts w:cs="Arial"/>
                <w:color w:val="000000" w:themeColor="text1"/>
                <w:sz w:val="18"/>
                <w:szCs w:val="18"/>
              </w:rPr>
              <w:t>7.0</w:t>
            </w:r>
          </w:p>
        </w:tc>
        <w:tc>
          <w:tcPr>
            <w:tcW w:w="1302" w:type="dxa"/>
            <w:shd w:val="clear" w:color="auto" w:fill="F2F2F2" w:themeFill="background1" w:themeFillShade="F2"/>
            <w:noWrap/>
            <w:vAlign w:val="center"/>
            <w:hideMark/>
          </w:tcPr>
          <w:p w14:paraId="67A05007" w14:textId="40FF20ED" w:rsidR="008F0781" w:rsidRPr="00617A89" w:rsidRDefault="008F0781" w:rsidP="008F0781">
            <w:pPr>
              <w:jc w:val="center"/>
              <w:rPr>
                <w:rFonts w:cs="Arial"/>
                <w:color w:val="000000" w:themeColor="text1"/>
                <w:sz w:val="18"/>
                <w:szCs w:val="18"/>
              </w:rPr>
            </w:pPr>
            <w:r w:rsidRPr="00617A89">
              <w:rPr>
                <w:rFonts w:cs="Arial"/>
                <w:color w:val="000000" w:themeColor="text1"/>
                <w:sz w:val="18"/>
                <w:szCs w:val="18"/>
              </w:rPr>
              <w:t>4.</w:t>
            </w:r>
            <w:r w:rsidR="00CE7E90" w:rsidRPr="00617A89">
              <w:rPr>
                <w:rFonts w:cs="Arial"/>
                <w:color w:val="000000" w:themeColor="text1"/>
                <w:sz w:val="18"/>
                <w:szCs w:val="18"/>
              </w:rPr>
              <w:t>2</w:t>
            </w:r>
          </w:p>
        </w:tc>
        <w:tc>
          <w:tcPr>
            <w:tcW w:w="1303" w:type="dxa"/>
            <w:shd w:val="clear" w:color="auto" w:fill="F2F2F2" w:themeFill="background1" w:themeFillShade="F2"/>
            <w:noWrap/>
            <w:vAlign w:val="center"/>
            <w:hideMark/>
          </w:tcPr>
          <w:p w14:paraId="0C2B1568" w14:textId="3056A33A" w:rsidR="008F0781" w:rsidRPr="00617A89" w:rsidRDefault="008F0781" w:rsidP="008F0781">
            <w:pPr>
              <w:jc w:val="center"/>
              <w:rPr>
                <w:rFonts w:cs="Arial"/>
                <w:color w:val="000000" w:themeColor="text1"/>
                <w:sz w:val="18"/>
                <w:szCs w:val="18"/>
              </w:rPr>
            </w:pPr>
            <w:r w:rsidRPr="00617A89">
              <w:rPr>
                <w:rFonts w:cs="Arial"/>
                <w:color w:val="000000" w:themeColor="text1"/>
                <w:sz w:val="18"/>
                <w:szCs w:val="18"/>
              </w:rPr>
              <w:t>5.0</w:t>
            </w:r>
          </w:p>
        </w:tc>
      </w:tr>
      <w:tr w:rsidR="00C22852" w:rsidRPr="00617A89" w14:paraId="4BA51F5F" w14:textId="77777777" w:rsidTr="00BC457C">
        <w:trPr>
          <w:trHeight w:val="403"/>
        </w:trPr>
        <w:tc>
          <w:tcPr>
            <w:tcW w:w="2972" w:type="dxa"/>
            <w:noWrap/>
            <w:vAlign w:val="center"/>
            <w:hideMark/>
          </w:tcPr>
          <w:p w14:paraId="2E73988E" w14:textId="51778428" w:rsidR="00331ADF" w:rsidRPr="00617A89" w:rsidRDefault="00331ADF" w:rsidP="00E37470">
            <w:pPr>
              <w:rPr>
                <w:rFonts w:cs="Arial"/>
                <w:b/>
                <w:bCs/>
                <w:color w:val="000000" w:themeColor="text1"/>
                <w:sz w:val="18"/>
                <w:szCs w:val="18"/>
              </w:rPr>
            </w:pPr>
            <w:r w:rsidRPr="00617A89">
              <w:rPr>
                <w:rFonts w:cs="Arial"/>
                <w:b/>
                <w:bCs/>
                <w:color w:val="000000" w:themeColor="text1"/>
                <w:sz w:val="18"/>
                <w:szCs w:val="18"/>
              </w:rPr>
              <w:t>Total</w:t>
            </w:r>
          </w:p>
        </w:tc>
        <w:tc>
          <w:tcPr>
            <w:tcW w:w="1302" w:type="dxa"/>
            <w:noWrap/>
            <w:vAlign w:val="center"/>
            <w:hideMark/>
          </w:tcPr>
          <w:p w14:paraId="23B04F89" w14:textId="77777777" w:rsidR="00331ADF" w:rsidRPr="00617A89" w:rsidRDefault="00331ADF" w:rsidP="00E37470">
            <w:pPr>
              <w:jc w:val="center"/>
              <w:rPr>
                <w:rFonts w:cs="Arial"/>
                <w:b/>
                <w:bCs/>
                <w:color w:val="000000" w:themeColor="text1"/>
                <w:sz w:val="18"/>
                <w:szCs w:val="18"/>
              </w:rPr>
            </w:pPr>
            <w:r w:rsidRPr="00617A89">
              <w:rPr>
                <w:rFonts w:cs="Arial"/>
                <w:b/>
                <w:bCs/>
                <w:color w:val="000000" w:themeColor="text1"/>
                <w:sz w:val="18"/>
                <w:szCs w:val="18"/>
              </w:rPr>
              <w:t>100.0</w:t>
            </w:r>
          </w:p>
        </w:tc>
        <w:tc>
          <w:tcPr>
            <w:tcW w:w="1302" w:type="dxa"/>
            <w:noWrap/>
            <w:vAlign w:val="center"/>
            <w:hideMark/>
          </w:tcPr>
          <w:p w14:paraId="3DE80D57" w14:textId="77777777" w:rsidR="00331ADF" w:rsidRPr="00617A89" w:rsidRDefault="00331ADF" w:rsidP="00E37470">
            <w:pPr>
              <w:jc w:val="center"/>
              <w:rPr>
                <w:rFonts w:cs="Arial"/>
                <w:b/>
                <w:bCs/>
                <w:color w:val="000000" w:themeColor="text1"/>
                <w:sz w:val="18"/>
                <w:szCs w:val="18"/>
              </w:rPr>
            </w:pPr>
            <w:r w:rsidRPr="00617A89">
              <w:rPr>
                <w:rFonts w:cs="Arial"/>
                <w:b/>
                <w:bCs/>
                <w:color w:val="000000" w:themeColor="text1"/>
                <w:sz w:val="18"/>
                <w:szCs w:val="18"/>
              </w:rPr>
              <w:t>100.0</w:t>
            </w:r>
          </w:p>
        </w:tc>
        <w:tc>
          <w:tcPr>
            <w:tcW w:w="1303" w:type="dxa"/>
            <w:noWrap/>
            <w:vAlign w:val="center"/>
            <w:hideMark/>
          </w:tcPr>
          <w:p w14:paraId="0A54A2E4" w14:textId="77777777" w:rsidR="00331ADF" w:rsidRPr="00617A89" w:rsidRDefault="00331ADF" w:rsidP="00E37470">
            <w:pPr>
              <w:jc w:val="center"/>
              <w:rPr>
                <w:rFonts w:cs="Arial"/>
                <w:b/>
                <w:bCs/>
                <w:color w:val="000000" w:themeColor="text1"/>
                <w:sz w:val="18"/>
                <w:szCs w:val="18"/>
              </w:rPr>
            </w:pPr>
            <w:r w:rsidRPr="00617A89">
              <w:rPr>
                <w:rFonts w:cs="Arial"/>
                <w:b/>
                <w:bCs/>
                <w:color w:val="000000" w:themeColor="text1"/>
                <w:sz w:val="18"/>
                <w:szCs w:val="18"/>
              </w:rPr>
              <w:t>100.0</w:t>
            </w:r>
          </w:p>
        </w:tc>
        <w:tc>
          <w:tcPr>
            <w:tcW w:w="1302" w:type="dxa"/>
            <w:noWrap/>
            <w:vAlign w:val="center"/>
            <w:hideMark/>
          </w:tcPr>
          <w:p w14:paraId="6BF9C7F6" w14:textId="77777777" w:rsidR="00331ADF" w:rsidRPr="00617A89" w:rsidRDefault="00331ADF" w:rsidP="00E37470">
            <w:pPr>
              <w:jc w:val="center"/>
              <w:rPr>
                <w:rFonts w:cs="Arial"/>
                <w:b/>
                <w:bCs/>
                <w:color w:val="000000" w:themeColor="text1"/>
                <w:sz w:val="18"/>
                <w:szCs w:val="18"/>
              </w:rPr>
            </w:pPr>
            <w:r w:rsidRPr="00617A89">
              <w:rPr>
                <w:rFonts w:cs="Arial"/>
                <w:b/>
                <w:bCs/>
                <w:color w:val="000000" w:themeColor="text1"/>
                <w:sz w:val="18"/>
                <w:szCs w:val="18"/>
              </w:rPr>
              <w:t>100.0</w:t>
            </w:r>
          </w:p>
        </w:tc>
        <w:tc>
          <w:tcPr>
            <w:tcW w:w="1302" w:type="dxa"/>
            <w:noWrap/>
            <w:vAlign w:val="center"/>
            <w:hideMark/>
          </w:tcPr>
          <w:p w14:paraId="68791EFA" w14:textId="77777777" w:rsidR="00331ADF" w:rsidRPr="00617A89" w:rsidRDefault="00331ADF" w:rsidP="00E37470">
            <w:pPr>
              <w:jc w:val="center"/>
              <w:rPr>
                <w:rFonts w:cs="Arial"/>
                <w:b/>
                <w:bCs/>
                <w:color w:val="000000" w:themeColor="text1"/>
                <w:sz w:val="18"/>
                <w:szCs w:val="18"/>
              </w:rPr>
            </w:pPr>
            <w:r w:rsidRPr="00617A89">
              <w:rPr>
                <w:rFonts w:cs="Arial"/>
                <w:b/>
                <w:bCs/>
                <w:color w:val="000000" w:themeColor="text1"/>
                <w:sz w:val="18"/>
                <w:szCs w:val="18"/>
              </w:rPr>
              <w:t>100.0</w:t>
            </w:r>
          </w:p>
        </w:tc>
        <w:tc>
          <w:tcPr>
            <w:tcW w:w="1303" w:type="dxa"/>
            <w:noWrap/>
            <w:vAlign w:val="center"/>
            <w:hideMark/>
          </w:tcPr>
          <w:p w14:paraId="09A64B58" w14:textId="77777777" w:rsidR="00331ADF" w:rsidRPr="00617A89" w:rsidRDefault="00331ADF" w:rsidP="00E37470">
            <w:pPr>
              <w:jc w:val="center"/>
              <w:rPr>
                <w:rFonts w:cs="Arial"/>
                <w:b/>
                <w:bCs/>
                <w:color w:val="000000" w:themeColor="text1"/>
                <w:sz w:val="18"/>
                <w:szCs w:val="18"/>
              </w:rPr>
            </w:pPr>
            <w:r w:rsidRPr="00617A89">
              <w:rPr>
                <w:rFonts w:cs="Arial"/>
                <w:b/>
                <w:bCs/>
                <w:color w:val="000000" w:themeColor="text1"/>
                <w:sz w:val="18"/>
                <w:szCs w:val="18"/>
              </w:rPr>
              <w:t>100.0</w:t>
            </w:r>
          </w:p>
        </w:tc>
      </w:tr>
      <w:tr w:rsidR="00C22852" w:rsidRPr="00617A89" w14:paraId="25001A2C" w14:textId="77777777" w:rsidTr="00BC457C">
        <w:trPr>
          <w:trHeight w:val="597"/>
        </w:trPr>
        <w:tc>
          <w:tcPr>
            <w:tcW w:w="2972" w:type="dxa"/>
            <w:noWrap/>
            <w:vAlign w:val="center"/>
          </w:tcPr>
          <w:p w14:paraId="18B16664" w14:textId="024D9DE8" w:rsidR="0084435F" w:rsidRPr="00617A89" w:rsidRDefault="00F911EC" w:rsidP="0084435F">
            <w:pPr>
              <w:rPr>
                <w:rFonts w:cs="Arial"/>
                <w:b/>
                <w:bCs/>
                <w:color w:val="000000" w:themeColor="text1"/>
                <w:sz w:val="18"/>
                <w:szCs w:val="18"/>
              </w:rPr>
            </w:pPr>
            <w:r w:rsidRPr="00617A89">
              <w:rPr>
                <w:rFonts w:cs="Arial"/>
                <w:b/>
                <w:bCs/>
                <w:color w:val="000000" w:themeColor="text1"/>
                <w:sz w:val="18"/>
                <w:szCs w:val="18"/>
              </w:rPr>
              <w:t>Perceived overqualification (</w:t>
            </w:r>
            <w:r w:rsidR="00161261" w:rsidRPr="00617A89">
              <w:rPr>
                <w:rFonts w:cs="Arial"/>
                <w:b/>
                <w:bCs/>
                <w:color w:val="000000" w:themeColor="text1"/>
                <w:sz w:val="18"/>
                <w:szCs w:val="18"/>
              </w:rPr>
              <w:t>% of those employed full-time)</w:t>
            </w:r>
          </w:p>
        </w:tc>
        <w:tc>
          <w:tcPr>
            <w:tcW w:w="1302" w:type="dxa"/>
            <w:noWrap/>
            <w:vAlign w:val="center"/>
          </w:tcPr>
          <w:p w14:paraId="68B1CCDD" w14:textId="4E1C98EF" w:rsidR="0084435F" w:rsidRPr="00617A89" w:rsidRDefault="0084435F" w:rsidP="0084435F">
            <w:pPr>
              <w:jc w:val="center"/>
              <w:rPr>
                <w:rFonts w:cs="Arial"/>
                <w:b/>
                <w:bCs/>
                <w:color w:val="000000" w:themeColor="text1"/>
                <w:sz w:val="18"/>
                <w:szCs w:val="18"/>
              </w:rPr>
            </w:pPr>
            <w:r w:rsidRPr="00617A89">
              <w:rPr>
                <w:b/>
                <w:bCs/>
                <w:color w:val="000000" w:themeColor="text1"/>
                <w:sz w:val="18"/>
                <w:szCs w:val="18"/>
              </w:rPr>
              <w:t>28.8</w:t>
            </w:r>
          </w:p>
        </w:tc>
        <w:tc>
          <w:tcPr>
            <w:tcW w:w="1302" w:type="dxa"/>
            <w:noWrap/>
            <w:vAlign w:val="center"/>
          </w:tcPr>
          <w:p w14:paraId="080D1F84" w14:textId="0E4DFED6" w:rsidR="0084435F" w:rsidRPr="00617A89" w:rsidRDefault="0084435F" w:rsidP="0084435F">
            <w:pPr>
              <w:jc w:val="center"/>
              <w:rPr>
                <w:rFonts w:cs="Arial"/>
                <w:b/>
                <w:bCs/>
                <w:color w:val="000000" w:themeColor="text1"/>
                <w:sz w:val="18"/>
                <w:szCs w:val="18"/>
              </w:rPr>
            </w:pPr>
            <w:r w:rsidRPr="00617A89">
              <w:rPr>
                <w:b/>
                <w:bCs/>
                <w:color w:val="000000" w:themeColor="text1"/>
                <w:sz w:val="18"/>
                <w:szCs w:val="18"/>
              </w:rPr>
              <w:t>23.5</w:t>
            </w:r>
          </w:p>
        </w:tc>
        <w:tc>
          <w:tcPr>
            <w:tcW w:w="1303" w:type="dxa"/>
            <w:noWrap/>
            <w:vAlign w:val="center"/>
          </w:tcPr>
          <w:p w14:paraId="7A7ECDA3" w14:textId="74477342" w:rsidR="0084435F" w:rsidRPr="00617A89" w:rsidRDefault="0084435F" w:rsidP="0084435F">
            <w:pPr>
              <w:jc w:val="center"/>
              <w:rPr>
                <w:rFonts w:cs="Arial"/>
                <w:b/>
                <w:bCs/>
                <w:color w:val="000000" w:themeColor="text1"/>
                <w:sz w:val="18"/>
                <w:szCs w:val="18"/>
              </w:rPr>
            </w:pPr>
            <w:r w:rsidRPr="00617A89">
              <w:rPr>
                <w:b/>
                <w:bCs/>
                <w:color w:val="000000" w:themeColor="text1"/>
                <w:sz w:val="18"/>
                <w:szCs w:val="18"/>
              </w:rPr>
              <w:t>29.7</w:t>
            </w:r>
          </w:p>
        </w:tc>
        <w:tc>
          <w:tcPr>
            <w:tcW w:w="1302" w:type="dxa"/>
            <w:noWrap/>
            <w:vAlign w:val="center"/>
          </w:tcPr>
          <w:p w14:paraId="6DA3D961" w14:textId="30F4F8C4" w:rsidR="0084435F" w:rsidRPr="00617A89" w:rsidRDefault="0084435F" w:rsidP="0084435F">
            <w:pPr>
              <w:jc w:val="center"/>
              <w:rPr>
                <w:rFonts w:cs="Arial"/>
                <w:b/>
                <w:bCs/>
                <w:color w:val="000000" w:themeColor="text1"/>
                <w:sz w:val="18"/>
                <w:szCs w:val="18"/>
              </w:rPr>
            </w:pPr>
            <w:r w:rsidRPr="00617A89">
              <w:rPr>
                <w:b/>
                <w:bCs/>
                <w:color w:val="000000" w:themeColor="text1"/>
                <w:sz w:val="18"/>
                <w:szCs w:val="18"/>
              </w:rPr>
              <w:t>26.9</w:t>
            </w:r>
          </w:p>
        </w:tc>
        <w:tc>
          <w:tcPr>
            <w:tcW w:w="1302" w:type="dxa"/>
            <w:noWrap/>
            <w:vAlign w:val="center"/>
          </w:tcPr>
          <w:p w14:paraId="41D73F1F" w14:textId="11836216" w:rsidR="0084435F" w:rsidRPr="00617A89" w:rsidRDefault="0084435F" w:rsidP="0084435F">
            <w:pPr>
              <w:jc w:val="center"/>
              <w:rPr>
                <w:rFonts w:cs="Arial"/>
                <w:b/>
                <w:bCs/>
                <w:color w:val="000000" w:themeColor="text1"/>
                <w:sz w:val="18"/>
                <w:szCs w:val="18"/>
              </w:rPr>
            </w:pPr>
            <w:r w:rsidRPr="00617A89">
              <w:rPr>
                <w:b/>
                <w:bCs/>
                <w:color w:val="000000" w:themeColor="text1"/>
                <w:sz w:val="18"/>
                <w:szCs w:val="18"/>
              </w:rPr>
              <w:t>27.7</w:t>
            </w:r>
          </w:p>
        </w:tc>
        <w:tc>
          <w:tcPr>
            <w:tcW w:w="1303" w:type="dxa"/>
            <w:noWrap/>
            <w:vAlign w:val="center"/>
          </w:tcPr>
          <w:p w14:paraId="799D5CDA" w14:textId="2C5EACDF" w:rsidR="0084435F" w:rsidRPr="00617A89" w:rsidRDefault="0084435F" w:rsidP="0084435F">
            <w:pPr>
              <w:jc w:val="center"/>
              <w:rPr>
                <w:rFonts w:cs="Arial"/>
                <w:b/>
                <w:bCs/>
                <w:color w:val="000000" w:themeColor="text1"/>
                <w:sz w:val="18"/>
                <w:szCs w:val="18"/>
              </w:rPr>
            </w:pPr>
            <w:r w:rsidRPr="00617A89">
              <w:rPr>
                <w:b/>
                <w:bCs/>
                <w:color w:val="000000" w:themeColor="text1"/>
                <w:sz w:val="18"/>
                <w:szCs w:val="18"/>
              </w:rPr>
              <w:t>24.0</w:t>
            </w:r>
          </w:p>
        </w:tc>
      </w:tr>
      <w:bookmarkEnd w:id="93"/>
    </w:tbl>
    <w:p w14:paraId="2D998908" w14:textId="77777777" w:rsidR="00244416" w:rsidRPr="00617A89" w:rsidRDefault="00244416" w:rsidP="00244416">
      <w:pPr>
        <w:pStyle w:val="Body"/>
        <w:rPr>
          <w:color w:val="000000" w:themeColor="text1"/>
        </w:rPr>
      </w:pPr>
    </w:p>
    <w:p w14:paraId="762AB891" w14:textId="77777777" w:rsidR="00244416" w:rsidRPr="00617A89" w:rsidRDefault="00244416" w:rsidP="00244416">
      <w:pPr>
        <w:spacing w:after="160" w:line="259" w:lineRule="auto"/>
        <w:rPr>
          <w:rStyle w:val="cf01"/>
          <w:color w:val="000000" w:themeColor="text1"/>
        </w:rPr>
      </w:pPr>
      <w:r w:rsidRPr="00617A89">
        <w:rPr>
          <w:rStyle w:val="cf01"/>
          <w:color w:val="000000" w:themeColor="text1"/>
        </w:rPr>
        <w:br w:type="page"/>
      </w:r>
    </w:p>
    <w:p w14:paraId="5FF78983" w14:textId="77777777" w:rsidR="00244416" w:rsidRPr="00617A89" w:rsidRDefault="00244416" w:rsidP="00280B87">
      <w:pPr>
        <w:pStyle w:val="Heading2"/>
        <w:rPr>
          <w:color w:val="000000" w:themeColor="text1"/>
        </w:rPr>
      </w:pPr>
      <w:bookmarkStart w:id="94" w:name="_Domestic__graduates"/>
      <w:bookmarkStart w:id="95" w:name="_Toc192179856"/>
      <w:bookmarkStart w:id="96" w:name="_Toc222868444"/>
      <w:bookmarkEnd w:id="94"/>
      <w:r w:rsidRPr="00617A89">
        <w:rPr>
          <w:color w:val="000000" w:themeColor="text1"/>
        </w:rPr>
        <w:t>Domestic graduates in further full-time study</w:t>
      </w:r>
      <w:bookmarkEnd w:id="89"/>
      <w:bookmarkEnd w:id="90"/>
      <w:bookmarkEnd w:id="95"/>
      <w:bookmarkEnd w:id="96"/>
      <w:r w:rsidRPr="00617A89">
        <w:rPr>
          <w:color w:val="000000" w:themeColor="text1"/>
        </w:rPr>
        <w:t xml:space="preserve"> </w:t>
      </w:r>
    </w:p>
    <w:p w14:paraId="366343BA" w14:textId="11B334BF" w:rsidR="00244416" w:rsidRPr="00617A89" w:rsidRDefault="00244416" w:rsidP="00244416">
      <w:pPr>
        <w:pStyle w:val="Bodycopy"/>
        <w:rPr>
          <w:color w:val="000000" w:themeColor="text1"/>
        </w:rPr>
      </w:pPr>
      <w:r w:rsidRPr="00617A89">
        <w:rPr>
          <w:b/>
          <w:bCs/>
          <w:color w:val="000000" w:themeColor="text1"/>
        </w:rPr>
        <w:fldChar w:fldCharType="begin"/>
      </w:r>
      <w:r w:rsidRPr="00617A89">
        <w:rPr>
          <w:b/>
          <w:bCs/>
          <w:color w:val="000000" w:themeColor="text1"/>
        </w:rPr>
        <w:instrText xml:space="preserve"> REF _Ref182491290 \h  \* MERGEFORMAT </w:instrText>
      </w:r>
      <w:r w:rsidRPr="00617A89">
        <w:rPr>
          <w:b/>
          <w:bCs/>
          <w:color w:val="000000" w:themeColor="text1"/>
        </w:rPr>
      </w:r>
      <w:r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8</w:t>
      </w:r>
      <w:r w:rsidRPr="00617A89">
        <w:rPr>
          <w:b/>
          <w:bCs/>
          <w:color w:val="000000" w:themeColor="text1"/>
        </w:rPr>
        <w:fldChar w:fldCharType="end"/>
      </w:r>
      <w:r w:rsidRPr="00617A89">
        <w:rPr>
          <w:color w:val="000000" w:themeColor="text1"/>
        </w:rPr>
        <w:t xml:space="preserve"> represents the proportion of graduates who were enrolled in a full-time course at the time of the GOS</w:t>
      </w:r>
      <w:r w:rsidR="004243F6" w:rsidRPr="00617A89">
        <w:rPr>
          <w:color w:val="000000" w:themeColor="text1"/>
        </w:rPr>
        <w:t xml:space="preserve"> in 2022</w:t>
      </w:r>
      <w:r w:rsidRPr="00617A89">
        <w:rPr>
          <w:color w:val="000000" w:themeColor="text1"/>
        </w:rPr>
        <w:t xml:space="preserve"> and the proportion enrolled at the time of the GOS-L</w:t>
      </w:r>
      <w:r w:rsidR="004243F6" w:rsidRPr="00617A89">
        <w:rPr>
          <w:color w:val="000000" w:themeColor="text1"/>
        </w:rPr>
        <w:t xml:space="preserve"> in 2025</w:t>
      </w:r>
      <w:r w:rsidRPr="00617A89">
        <w:rPr>
          <w:color w:val="000000" w:themeColor="text1"/>
        </w:rPr>
        <w:t xml:space="preserve">. It should be noted that graduates may have completed </w:t>
      </w:r>
      <w:r w:rsidR="004B7327" w:rsidRPr="00617A89">
        <w:rPr>
          <w:color w:val="000000" w:themeColor="text1"/>
        </w:rPr>
        <w:t>additional</w:t>
      </w:r>
      <w:r w:rsidRPr="00617A89">
        <w:rPr>
          <w:color w:val="000000" w:themeColor="text1"/>
        </w:rPr>
        <w:t xml:space="preserve"> qualification</w:t>
      </w:r>
      <w:r w:rsidR="00111EE5" w:rsidRPr="00617A89">
        <w:rPr>
          <w:color w:val="000000" w:themeColor="text1"/>
        </w:rPr>
        <w:t>s</w:t>
      </w:r>
      <w:r w:rsidRPr="00617A89">
        <w:rPr>
          <w:color w:val="000000" w:themeColor="text1"/>
        </w:rPr>
        <w:t xml:space="preserve"> during the </w:t>
      </w:r>
      <w:r w:rsidR="00F22BF8" w:rsidRPr="00617A89">
        <w:rPr>
          <w:color w:val="000000" w:themeColor="text1"/>
        </w:rPr>
        <w:t>3-year</w:t>
      </w:r>
      <w:r w:rsidRPr="00617A89">
        <w:rPr>
          <w:color w:val="000000" w:themeColor="text1"/>
        </w:rPr>
        <w:t xml:space="preserve"> period between the GOS and the GOS-L.</w:t>
      </w:r>
    </w:p>
    <w:p w14:paraId="192A07F2" w14:textId="40399F9E" w:rsidR="00244416" w:rsidRPr="00617A89" w:rsidRDefault="001D41B9" w:rsidP="00244416">
      <w:pPr>
        <w:pStyle w:val="Bodycopy"/>
        <w:rPr>
          <w:color w:val="000000" w:themeColor="text1"/>
        </w:rPr>
      </w:pPr>
      <w:r w:rsidRPr="00617A89">
        <w:rPr>
          <w:color w:val="000000" w:themeColor="text1"/>
        </w:rPr>
        <w:t xml:space="preserve">As expected, graduates who completed an undergraduate qualification </w:t>
      </w:r>
      <w:r w:rsidR="00D21C19" w:rsidRPr="00617A89">
        <w:rPr>
          <w:color w:val="000000" w:themeColor="text1"/>
        </w:rPr>
        <w:t>ha</w:t>
      </w:r>
      <w:r w:rsidR="00E01C4C" w:rsidRPr="00617A89">
        <w:rPr>
          <w:color w:val="000000" w:themeColor="text1"/>
        </w:rPr>
        <w:t>d</w:t>
      </w:r>
      <w:r w:rsidR="00D21C19" w:rsidRPr="00617A89">
        <w:rPr>
          <w:color w:val="000000" w:themeColor="text1"/>
        </w:rPr>
        <w:t xml:space="preserve"> the greatest propensity to </w:t>
      </w:r>
      <w:r w:rsidR="00E01C4C" w:rsidRPr="00617A89">
        <w:rPr>
          <w:color w:val="000000" w:themeColor="text1"/>
        </w:rPr>
        <w:t xml:space="preserve">continue </w:t>
      </w:r>
      <w:r w:rsidR="00990AC8" w:rsidRPr="00617A89">
        <w:rPr>
          <w:color w:val="000000" w:themeColor="text1"/>
        </w:rPr>
        <w:t>straight</w:t>
      </w:r>
      <w:r w:rsidR="00E01C4C" w:rsidRPr="00617A89">
        <w:rPr>
          <w:color w:val="000000" w:themeColor="text1"/>
        </w:rPr>
        <w:t xml:space="preserve"> to further f</w:t>
      </w:r>
      <w:r w:rsidR="00867463" w:rsidRPr="00617A89">
        <w:rPr>
          <w:color w:val="000000" w:themeColor="text1"/>
        </w:rPr>
        <w:t>ull-time study</w:t>
      </w:r>
      <w:r w:rsidR="001C4C9F" w:rsidRPr="00617A89">
        <w:rPr>
          <w:color w:val="000000" w:themeColor="text1"/>
        </w:rPr>
        <w:t xml:space="preserve"> following completion of their course</w:t>
      </w:r>
      <w:r w:rsidR="00C6297A" w:rsidRPr="00617A89">
        <w:rPr>
          <w:color w:val="000000" w:themeColor="text1"/>
        </w:rPr>
        <w:t xml:space="preserve"> </w:t>
      </w:r>
      <w:r w:rsidR="000A601B" w:rsidRPr="00617A89">
        <w:rPr>
          <w:color w:val="000000" w:themeColor="text1"/>
        </w:rPr>
        <w:t xml:space="preserve">– </w:t>
      </w:r>
      <w:r w:rsidR="00126EE5" w:rsidRPr="00617A89">
        <w:rPr>
          <w:color w:val="000000" w:themeColor="text1"/>
        </w:rPr>
        <w:t xml:space="preserve">almost 3 times more likely than graduates who completed postgraduate level qualifications. </w:t>
      </w:r>
      <w:r w:rsidR="001C4936" w:rsidRPr="00617A89">
        <w:rPr>
          <w:color w:val="000000" w:themeColor="text1"/>
        </w:rPr>
        <w:t xml:space="preserve">Three years later, 13.4 per cent of undergraduates who </w:t>
      </w:r>
      <w:r w:rsidR="00CA0BE6" w:rsidRPr="00617A89">
        <w:rPr>
          <w:color w:val="000000" w:themeColor="text1"/>
        </w:rPr>
        <w:t xml:space="preserve">had </w:t>
      </w:r>
      <w:r w:rsidR="008E6CF0" w:rsidRPr="00617A89">
        <w:rPr>
          <w:color w:val="000000" w:themeColor="text1"/>
        </w:rPr>
        <w:t>responded to the 2022 GOS</w:t>
      </w:r>
      <w:r w:rsidR="00545046" w:rsidRPr="00617A89">
        <w:rPr>
          <w:color w:val="000000" w:themeColor="text1"/>
        </w:rPr>
        <w:t xml:space="preserve"> were undertaking further full-time study.</w:t>
      </w:r>
      <w:r w:rsidR="007C5F39" w:rsidRPr="00617A89">
        <w:rPr>
          <w:color w:val="000000" w:themeColor="text1"/>
        </w:rPr>
        <w:t xml:space="preserve"> The proportions of postgrad</w:t>
      </w:r>
      <w:r w:rsidR="00C75FD6" w:rsidRPr="00617A89">
        <w:rPr>
          <w:color w:val="000000" w:themeColor="text1"/>
        </w:rPr>
        <w:t>uate-level graduates remained comparatively low in the medi</w:t>
      </w:r>
      <w:r w:rsidR="00C20332" w:rsidRPr="00617A89">
        <w:rPr>
          <w:color w:val="000000" w:themeColor="text1"/>
        </w:rPr>
        <w:t>um</w:t>
      </w:r>
      <w:r w:rsidR="00C75FD6" w:rsidRPr="00617A89">
        <w:rPr>
          <w:color w:val="000000" w:themeColor="text1"/>
        </w:rPr>
        <w:t>-term.</w:t>
      </w:r>
    </w:p>
    <w:p w14:paraId="443B36AC" w14:textId="58542F60" w:rsidR="00244416" w:rsidRPr="00617A89" w:rsidRDefault="00244416" w:rsidP="00244416">
      <w:pPr>
        <w:pStyle w:val="Caption"/>
        <w:rPr>
          <w:color w:val="000000" w:themeColor="text1"/>
        </w:rPr>
      </w:pPr>
      <w:bookmarkStart w:id="97" w:name="_Ref182491290"/>
      <w:bookmarkStart w:id="98" w:name="_Toc222868502"/>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8</w:t>
      </w:r>
      <w:r w:rsidR="00DB7C31" w:rsidRPr="00617A89">
        <w:rPr>
          <w:noProof/>
          <w:color w:val="000000" w:themeColor="text1"/>
        </w:rPr>
        <w:fldChar w:fldCharType="end"/>
      </w:r>
      <w:bookmarkEnd w:id="97"/>
      <w:r w:rsidRPr="00617A89">
        <w:rPr>
          <w:color w:val="000000" w:themeColor="text1"/>
        </w:rPr>
        <w:tab/>
        <w:t xml:space="preserve">Proportion of domestic graduates </w:t>
      </w:r>
      <w:r w:rsidR="00820790" w:rsidRPr="00617A89">
        <w:rPr>
          <w:color w:val="000000" w:themeColor="text1"/>
        </w:rPr>
        <w:t>engaged in</w:t>
      </w:r>
      <w:r w:rsidRPr="00617A89">
        <w:rPr>
          <w:color w:val="000000" w:themeColor="text1"/>
        </w:rPr>
        <w:t xml:space="preserve"> further full-time study by study level</w:t>
      </w:r>
      <w:bookmarkEnd w:id="98"/>
    </w:p>
    <w:p w14:paraId="2EAD2EBD" w14:textId="3DF43BF8" w:rsidR="00BC504F" w:rsidRPr="00617A89" w:rsidRDefault="00EF6479" w:rsidP="00244416">
      <w:pPr>
        <w:pStyle w:val="Bodycopy"/>
        <w:rPr>
          <w:color w:val="000000" w:themeColor="text1"/>
        </w:rPr>
        <w:sectPr w:rsidR="00BC504F" w:rsidRPr="00617A89" w:rsidSect="00D44622">
          <w:pgSz w:w="11900" w:h="16840"/>
          <w:pgMar w:top="720" w:right="720" w:bottom="720" w:left="720" w:header="397" w:footer="397" w:gutter="0"/>
          <w:cols w:space="708"/>
          <w:docGrid w:linePitch="360"/>
        </w:sectPr>
      </w:pPr>
      <w:r w:rsidRPr="00617A89">
        <w:rPr>
          <w:noProof/>
          <w:color w:val="000000" w:themeColor="text1"/>
        </w:rPr>
        <w:drawing>
          <wp:inline distT="0" distB="0" distL="0" distR="0" wp14:anchorId="24595FEA" wp14:editId="76D6DFCE">
            <wp:extent cx="5828030" cy="2322830"/>
            <wp:effectExtent l="0" t="0" r="1270" b="1270"/>
            <wp:docPr id="5486535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8030" cy="2322830"/>
                    </a:xfrm>
                    <a:prstGeom prst="rect">
                      <a:avLst/>
                    </a:prstGeom>
                    <a:noFill/>
                  </pic:spPr>
                </pic:pic>
              </a:graphicData>
            </a:graphic>
          </wp:inline>
        </w:drawing>
      </w:r>
    </w:p>
    <w:p w14:paraId="7A70263D" w14:textId="526C79F4" w:rsidR="002C3388" w:rsidRPr="00617A89" w:rsidRDefault="00CD7060" w:rsidP="00244416">
      <w:pPr>
        <w:pStyle w:val="Bodycopy"/>
        <w:rPr>
          <w:color w:val="000000" w:themeColor="text1"/>
        </w:rPr>
      </w:pPr>
      <w:r w:rsidRPr="00617A89">
        <w:rPr>
          <w:color w:val="000000" w:themeColor="text1"/>
        </w:rPr>
        <w:t xml:space="preserve">Rates of further full-time study </w:t>
      </w:r>
      <w:r w:rsidR="00CF2B6E" w:rsidRPr="00617A89">
        <w:rPr>
          <w:color w:val="000000" w:themeColor="text1"/>
        </w:rPr>
        <w:t xml:space="preserve">differed by field of </w:t>
      </w:r>
      <w:r w:rsidR="00B41776" w:rsidRPr="00617A89">
        <w:rPr>
          <w:color w:val="000000" w:themeColor="text1"/>
        </w:rPr>
        <w:t>education</w:t>
      </w:r>
      <w:r w:rsidR="00CF2B6E" w:rsidRPr="00617A89">
        <w:rPr>
          <w:color w:val="000000" w:themeColor="text1"/>
        </w:rPr>
        <w:t>.</w:t>
      </w:r>
      <w:r w:rsidR="0059534A" w:rsidRPr="00617A89">
        <w:rPr>
          <w:rStyle w:val="FootnoteReference"/>
          <w:color w:val="000000" w:themeColor="text1"/>
        </w:rPr>
        <w:footnoteReference w:id="9"/>
      </w:r>
      <w:r w:rsidR="00CF2B6E" w:rsidRPr="00617A89">
        <w:rPr>
          <w:color w:val="000000" w:themeColor="text1"/>
        </w:rPr>
        <w:t xml:space="preserve"> </w:t>
      </w:r>
      <w:r w:rsidR="00613744" w:rsidRPr="00617A89">
        <w:rPr>
          <w:color w:val="000000" w:themeColor="text1"/>
        </w:rPr>
        <w:t>Undergraduates from the</w:t>
      </w:r>
      <w:r w:rsidR="007311E5" w:rsidRPr="00617A89">
        <w:rPr>
          <w:color w:val="000000" w:themeColor="text1"/>
        </w:rPr>
        <w:t xml:space="preserve"> Natural and physical sciences</w:t>
      </w:r>
      <w:r w:rsidR="006A656C" w:rsidRPr="00617A89">
        <w:rPr>
          <w:color w:val="000000" w:themeColor="text1"/>
        </w:rPr>
        <w:t xml:space="preserve"> field</w:t>
      </w:r>
      <w:r w:rsidR="00613744" w:rsidRPr="00617A89">
        <w:rPr>
          <w:color w:val="000000" w:themeColor="text1"/>
        </w:rPr>
        <w:t xml:space="preserve"> reported</w:t>
      </w:r>
      <w:r w:rsidR="00AF136A" w:rsidRPr="00617A89">
        <w:rPr>
          <w:color w:val="000000" w:themeColor="text1"/>
        </w:rPr>
        <w:t xml:space="preserve"> the highest further full-time study rates in the short-term</w:t>
      </w:r>
      <w:r w:rsidR="00976025" w:rsidRPr="00617A89">
        <w:rPr>
          <w:color w:val="000000" w:themeColor="text1"/>
        </w:rPr>
        <w:t xml:space="preserve">, with 1 in 3 </w:t>
      </w:r>
      <w:r w:rsidR="00B75AEB" w:rsidRPr="00617A89">
        <w:rPr>
          <w:color w:val="000000" w:themeColor="text1"/>
        </w:rPr>
        <w:t>continuing</w:t>
      </w:r>
      <w:r w:rsidR="00976025" w:rsidRPr="00617A89">
        <w:rPr>
          <w:color w:val="000000" w:themeColor="text1"/>
        </w:rPr>
        <w:t xml:space="preserve"> straight to full-time </w:t>
      </w:r>
      <w:r w:rsidR="00B75AEB" w:rsidRPr="00617A89">
        <w:rPr>
          <w:color w:val="000000" w:themeColor="text1"/>
        </w:rPr>
        <w:t>study</w:t>
      </w:r>
      <w:r w:rsidR="00976025" w:rsidRPr="00617A89">
        <w:rPr>
          <w:color w:val="000000" w:themeColor="text1"/>
        </w:rPr>
        <w:t xml:space="preserve"> after completing their initial qualification</w:t>
      </w:r>
      <w:r w:rsidR="005D24CD" w:rsidRPr="00617A89">
        <w:rPr>
          <w:color w:val="000000" w:themeColor="text1"/>
        </w:rPr>
        <w:t xml:space="preserve"> – double the average rate</w:t>
      </w:r>
      <w:r w:rsidR="00A56ED5" w:rsidRPr="00617A89">
        <w:rPr>
          <w:color w:val="000000" w:themeColor="text1"/>
        </w:rPr>
        <w:t xml:space="preserve">. </w:t>
      </w:r>
      <w:r w:rsidR="00470507" w:rsidRPr="00617A89">
        <w:rPr>
          <w:color w:val="000000" w:themeColor="text1"/>
        </w:rPr>
        <w:t>Three years later, r</w:t>
      </w:r>
      <w:r w:rsidR="00A56ED5" w:rsidRPr="00617A89">
        <w:rPr>
          <w:color w:val="000000" w:themeColor="text1"/>
        </w:rPr>
        <w:t xml:space="preserve">ates of further full-time study </w:t>
      </w:r>
      <w:r w:rsidR="00CF35F0" w:rsidRPr="00617A89">
        <w:rPr>
          <w:color w:val="000000" w:themeColor="text1"/>
        </w:rPr>
        <w:t xml:space="preserve">remained high for </w:t>
      </w:r>
      <w:r w:rsidR="00470507" w:rsidRPr="00617A89">
        <w:rPr>
          <w:color w:val="000000" w:themeColor="text1"/>
        </w:rPr>
        <w:t xml:space="preserve">these Natural and physical sciences </w:t>
      </w:r>
      <w:r w:rsidR="00CF35F0" w:rsidRPr="00617A89">
        <w:rPr>
          <w:color w:val="000000" w:themeColor="text1"/>
        </w:rPr>
        <w:t>undergraduates</w:t>
      </w:r>
      <w:r w:rsidR="00F806F8" w:rsidRPr="00617A89">
        <w:rPr>
          <w:color w:val="000000" w:themeColor="text1"/>
        </w:rPr>
        <w:t xml:space="preserve"> (</w:t>
      </w:r>
      <w:r w:rsidR="00F806F8" w:rsidRPr="00617A89">
        <w:rPr>
          <w:b/>
          <w:bCs/>
          <w:color w:val="000000" w:themeColor="text1"/>
        </w:rPr>
        <w:fldChar w:fldCharType="begin"/>
      </w:r>
      <w:r w:rsidR="00F806F8" w:rsidRPr="00617A89">
        <w:rPr>
          <w:b/>
          <w:bCs/>
          <w:color w:val="000000" w:themeColor="text1"/>
        </w:rPr>
        <w:instrText xml:space="preserve"> REF _Ref188524853 \h  \* MERGEFORMAT </w:instrText>
      </w:r>
      <w:r w:rsidR="00F806F8" w:rsidRPr="00617A89">
        <w:rPr>
          <w:b/>
          <w:bCs/>
          <w:color w:val="000000" w:themeColor="text1"/>
        </w:rPr>
      </w:r>
      <w:r w:rsidR="00F806F8"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9</w:t>
      </w:r>
      <w:r w:rsidR="00F806F8" w:rsidRPr="00617A89">
        <w:rPr>
          <w:b/>
          <w:bCs/>
          <w:color w:val="000000" w:themeColor="text1"/>
        </w:rPr>
        <w:fldChar w:fldCharType="end"/>
      </w:r>
      <w:r w:rsidR="00F806F8" w:rsidRPr="00617A89">
        <w:rPr>
          <w:color w:val="000000" w:themeColor="text1"/>
        </w:rPr>
        <w:t>)</w:t>
      </w:r>
      <w:r w:rsidR="009F4A74" w:rsidRPr="00617A89">
        <w:rPr>
          <w:color w:val="000000" w:themeColor="text1"/>
        </w:rPr>
        <w:t xml:space="preserve">. </w:t>
      </w:r>
      <w:r w:rsidR="00971566" w:rsidRPr="00617A89">
        <w:rPr>
          <w:color w:val="000000" w:themeColor="text1"/>
        </w:rPr>
        <w:t>The f</w:t>
      </w:r>
      <w:r w:rsidR="00CA013E" w:rsidRPr="00617A89">
        <w:rPr>
          <w:color w:val="000000" w:themeColor="text1"/>
        </w:rPr>
        <w:t>urther full-time study rate for undergraduates from the Society and culture</w:t>
      </w:r>
      <w:r w:rsidR="00890C7F" w:rsidRPr="00617A89">
        <w:rPr>
          <w:color w:val="000000" w:themeColor="text1"/>
        </w:rPr>
        <w:t xml:space="preserve"> field of education </w:t>
      </w:r>
      <w:r w:rsidR="00BD3A6C" w:rsidRPr="00617A89">
        <w:rPr>
          <w:color w:val="000000" w:themeColor="text1"/>
        </w:rPr>
        <w:t>was</w:t>
      </w:r>
      <w:r w:rsidR="00890C7F" w:rsidRPr="00617A89">
        <w:rPr>
          <w:color w:val="000000" w:themeColor="text1"/>
        </w:rPr>
        <w:t xml:space="preserve"> also relatively high in the short-term</w:t>
      </w:r>
      <w:r w:rsidR="004A2436" w:rsidRPr="00617A89">
        <w:rPr>
          <w:color w:val="000000" w:themeColor="text1"/>
        </w:rPr>
        <w:t xml:space="preserve"> (22.6 per cent)</w:t>
      </w:r>
      <w:r w:rsidR="00C27FFE" w:rsidRPr="00617A89">
        <w:rPr>
          <w:color w:val="000000" w:themeColor="text1"/>
        </w:rPr>
        <w:t xml:space="preserve"> but this dropped</w:t>
      </w:r>
      <w:r w:rsidR="00794F14" w:rsidRPr="00617A89">
        <w:rPr>
          <w:color w:val="000000" w:themeColor="text1"/>
        </w:rPr>
        <w:t xml:space="preserve"> considerably in the medium-term (13.8 per cent).</w:t>
      </w:r>
      <w:r w:rsidR="00C2336E" w:rsidRPr="00617A89">
        <w:rPr>
          <w:color w:val="000000" w:themeColor="text1"/>
        </w:rPr>
        <w:t xml:space="preserve"> </w:t>
      </w:r>
      <w:r w:rsidR="00AF21EC" w:rsidRPr="00617A89">
        <w:rPr>
          <w:color w:val="000000" w:themeColor="text1"/>
        </w:rPr>
        <w:t>Other fields</w:t>
      </w:r>
      <w:r w:rsidR="00720FAA" w:rsidRPr="00617A89">
        <w:rPr>
          <w:color w:val="000000" w:themeColor="text1"/>
        </w:rPr>
        <w:t xml:space="preserve"> with </w:t>
      </w:r>
      <w:r w:rsidR="00284D23" w:rsidRPr="00617A89">
        <w:rPr>
          <w:color w:val="000000" w:themeColor="text1"/>
        </w:rPr>
        <w:t>notably</w:t>
      </w:r>
      <w:r w:rsidR="002B25E2" w:rsidRPr="00617A89">
        <w:rPr>
          <w:color w:val="000000" w:themeColor="text1"/>
        </w:rPr>
        <w:t xml:space="preserve"> lower further full-time study rates in the medium-term</w:t>
      </w:r>
      <w:r w:rsidR="00E739AD" w:rsidRPr="00617A89">
        <w:rPr>
          <w:color w:val="000000" w:themeColor="text1"/>
        </w:rPr>
        <w:t xml:space="preserve"> compared to the short-term included </w:t>
      </w:r>
      <w:r w:rsidR="00A57714" w:rsidRPr="00617A89">
        <w:rPr>
          <w:color w:val="000000" w:themeColor="text1"/>
        </w:rPr>
        <w:t>Creative arts, Archi</w:t>
      </w:r>
      <w:r w:rsidR="00E739AD" w:rsidRPr="00617A89">
        <w:rPr>
          <w:color w:val="000000" w:themeColor="text1"/>
        </w:rPr>
        <w:t>te</w:t>
      </w:r>
      <w:r w:rsidR="00A57714" w:rsidRPr="00617A89">
        <w:rPr>
          <w:color w:val="000000" w:themeColor="text1"/>
        </w:rPr>
        <w:t>c</w:t>
      </w:r>
      <w:r w:rsidR="00E739AD" w:rsidRPr="00617A89">
        <w:rPr>
          <w:color w:val="000000" w:themeColor="text1"/>
        </w:rPr>
        <w:t>t</w:t>
      </w:r>
      <w:r w:rsidR="00A57714" w:rsidRPr="00617A89">
        <w:rPr>
          <w:color w:val="000000" w:themeColor="text1"/>
        </w:rPr>
        <w:t>ure and building, and Engineering and related technologies</w:t>
      </w:r>
      <w:r w:rsidR="00DC4537" w:rsidRPr="00617A89">
        <w:rPr>
          <w:color w:val="000000" w:themeColor="text1"/>
        </w:rPr>
        <w:t>.</w:t>
      </w:r>
      <w:r w:rsidR="005F5075" w:rsidRPr="00617A89">
        <w:rPr>
          <w:color w:val="000000" w:themeColor="text1"/>
        </w:rPr>
        <w:t xml:space="preserve"> </w:t>
      </w:r>
    </w:p>
    <w:p w14:paraId="6894B9C8" w14:textId="65750591" w:rsidR="00244416" w:rsidRPr="00617A89" w:rsidRDefault="00244416" w:rsidP="00244416">
      <w:pPr>
        <w:pStyle w:val="Caption"/>
        <w:rPr>
          <w:color w:val="000000" w:themeColor="text1"/>
        </w:rPr>
      </w:pPr>
      <w:bookmarkStart w:id="99" w:name="_Ref188524853"/>
      <w:bookmarkStart w:id="100" w:name="_Toc222868503"/>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9</w:t>
      </w:r>
      <w:r w:rsidR="00DB7C31" w:rsidRPr="00617A89">
        <w:rPr>
          <w:noProof/>
          <w:color w:val="000000" w:themeColor="text1"/>
        </w:rPr>
        <w:fldChar w:fldCharType="end"/>
      </w:r>
      <w:bookmarkEnd w:id="99"/>
      <w:r w:rsidR="00BC457C" w:rsidRPr="00617A89">
        <w:rPr>
          <w:color w:val="000000" w:themeColor="text1"/>
        </w:rPr>
        <w:tab/>
      </w:r>
      <w:r w:rsidRPr="00617A89">
        <w:rPr>
          <w:color w:val="000000" w:themeColor="text1"/>
        </w:rPr>
        <w:t>Domestic undergraduates undertaking further full-time study by original broad field of education (%)</w:t>
      </w:r>
      <w:bookmarkEnd w:id="100"/>
    </w:p>
    <w:p w14:paraId="59C32B5B" w14:textId="2BBC21D5" w:rsidR="00EF6479" w:rsidRPr="00617A89" w:rsidRDefault="00EF6479" w:rsidP="00EF6479">
      <w:pPr>
        <w:pStyle w:val="Body"/>
        <w:rPr>
          <w:lang w:eastAsia="en-AU"/>
        </w:rPr>
      </w:pPr>
      <w:r w:rsidRPr="00617A89">
        <w:rPr>
          <w:noProof/>
          <w:lang w:eastAsia="en-AU"/>
        </w:rPr>
        <w:drawing>
          <wp:inline distT="0" distB="0" distL="0" distR="0" wp14:anchorId="095D0AC8" wp14:editId="3AC4D214">
            <wp:extent cx="9779000" cy="4066540"/>
            <wp:effectExtent l="0" t="0" r="0" b="0"/>
            <wp:docPr id="5581170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9000" cy="4066540"/>
                    </a:xfrm>
                    <a:prstGeom prst="rect">
                      <a:avLst/>
                    </a:prstGeom>
                    <a:noFill/>
                  </pic:spPr>
                </pic:pic>
              </a:graphicData>
            </a:graphic>
          </wp:inline>
        </w:drawing>
      </w:r>
    </w:p>
    <w:p w14:paraId="2CA8210C" w14:textId="6B6AB6AD" w:rsidR="00244416" w:rsidRPr="00617A89" w:rsidRDefault="00244416" w:rsidP="00244416">
      <w:pPr>
        <w:pStyle w:val="Body"/>
        <w:rPr>
          <w:color w:val="000000" w:themeColor="text1"/>
        </w:rPr>
      </w:pPr>
    </w:p>
    <w:p w14:paraId="66F448AB" w14:textId="77777777" w:rsidR="00BC457C" w:rsidRPr="00617A89" w:rsidRDefault="00BC457C">
      <w:pPr>
        <w:spacing w:before="60" w:after="60"/>
        <w:rPr>
          <w:rFonts w:ascii="ArialMT" w:eastAsiaTheme="minorEastAsia" w:hAnsi="ArialMT" w:cs="ArialMT"/>
          <w:color w:val="000000" w:themeColor="text1"/>
          <w:szCs w:val="20"/>
          <w:lang w:val="en-GB"/>
        </w:rPr>
      </w:pPr>
      <w:r w:rsidRPr="00617A89">
        <w:rPr>
          <w:color w:val="000000" w:themeColor="text1"/>
        </w:rPr>
        <w:br w:type="page"/>
      </w:r>
    </w:p>
    <w:p w14:paraId="0C545598" w14:textId="55638BBA" w:rsidR="00553FC7" w:rsidRPr="00617A89" w:rsidRDefault="00244416" w:rsidP="0087218D">
      <w:pPr>
        <w:pStyle w:val="Bodycopy"/>
        <w:rPr>
          <w:color w:val="000000" w:themeColor="text1"/>
        </w:rPr>
      </w:pPr>
      <w:r w:rsidRPr="00617A89">
        <w:rPr>
          <w:color w:val="000000" w:themeColor="text1"/>
        </w:rPr>
        <w:t xml:space="preserve">Those with undergraduate qualifications tended to move into 3 broad fields of education: Health, Society and culture, and Natural and physical sciences. These were the most popular further study destinations immediately following graduation, accounting for </w:t>
      </w:r>
      <w:r w:rsidR="006249AF" w:rsidRPr="00617A89">
        <w:rPr>
          <w:color w:val="000000" w:themeColor="text1"/>
        </w:rPr>
        <w:t>7</w:t>
      </w:r>
      <w:r w:rsidR="00A312EB" w:rsidRPr="00617A89">
        <w:rPr>
          <w:color w:val="000000" w:themeColor="text1"/>
        </w:rPr>
        <w:t>1.</w:t>
      </w:r>
      <w:r w:rsidR="00953A59" w:rsidRPr="00617A89">
        <w:rPr>
          <w:color w:val="000000" w:themeColor="text1"/>
        </w:rPr>
        <w:t xml:space="preserve">1 </w:t>
      </w:r>
      <w:r w:rsidRPr="00617A89">
        <w:rPr>
          <w:color w:val="000000" w:themeColor="text1"/>
        </w:rPr>
        <w:t>per cent of undergraduates who reported engaging in further full-time study</w:t>
      </w:r>
      <w:r w:rsidR="00294A88" w:rsidRPr="00617A89">
        <w:rPr>
          <w:color w:val="000000" w:themeColor="text1"/>
        </w:rPr>
        <w:t xml:space="preserve"> (</w:t>
      </w:r>
      <w:r w:rsidR="00294A88" w:rsidRPr="00617A89">
        <w:rPr>
          <w:b/>
          <w:color w:val="000000" w:themeColor="text1"/>
        </w:rPr>
        <w:fldChar w:fldCharType="begin"/>
      </w:r>
      <w:r w:rsidR="00294A88" w:rsidRPr="00617A89">
        <w:rPr>
          <w:b/>
          <w:color w:val="000000" w:themeColor="text1"/>
        </w:rPr>
        <w:instrText xml:space="preserve"> REF _Ref210983099 \h </w:instrText>
      </w:r>
      <w:r w:rsidR="00294A88" w:rsidRPr="00617A89">
        <w:rPr>
          <w:b/>
          <w:bCs/>
          <w:color w:val="000000" w:themeColor="text1"/>
        </w:rPr>
        <w:instrText xml:space="preserve"> \* MERGEFORMAT </w:instrText>
      </w:r>
      <w:r w:rsidR="00294A88" w:rsidRPr="00617A89">
        <w:rPr>
          <w:b/>
          <w:color w:val="000000" w:themeColor="text1"/>
        </w:rPr>
      </w:r>
      <w:r w:rsidR="00294A88" w:rsidRPr="00617A89">
        <w:rPr>
          <w:b/>
          <w:color w:val="000000" w:themeColor="text1"/>
        </w:rPr>
        <w:fldChar w:fldCharType="separate"/>
      </w:r>
      <w:r w:rsidR="00DB7C31" w:rsidRPr="00617A89">
        <w:rPr>
          <w:b/>
          <w:color w:val="000000" w:themeColor="text1"/>
        </w:rPr>
        <w:t>Figure 10</w:t>
      </w:r>
      <w:r w:rsidR="00294A88" w:rsidRPr="00617A89">
        <w:rPr>
          <w:b/>
          <w:color w:val="000000" w:themeColor="text1"/>
        </w:rPr>
        <w:fldChar w:fldCharType="end"/>
      </w:r>
      <w:r w:rsidR="00294A88" w:rsidRPr="00617A89">
        <w:rPr>
          <w:color w:val="000000" w:themeColor="text1"/>
        </w:rPr>
        <w:t>)</w:t>
      </w:r>
      <w:r w:rsidRPr="00617A89">
        <w:rPr>
          <w:color w:val="000000" w:themeColor="text1"/>
        </w:rPr>
        <w:t>. By 202</w:t>
      </w:r>
      <w:r w:rsidR="00A312EB" w:rsidRPr="00617A89">
        <w:rPr>
          <w:color w:val="000000" w:themeColor="text1"/>
        </w:rPr>
        <w:t>5</w:t>
      </w:r>
      <w:r w:rsidRPr="00617A89">
        <w:rPr>
          <w:color w:val="000000" w:themeColor="text1"/>
        </w:rPr>
        <w:t>, these same 3 broad fields of education accounted for an even larger proportion of undergraduates (7</w:t>
      </w:r>
      <w:r w:rsidR="00882ADC" w:rsidRPr="00617A89">
        <w:rPr>
          <w:color w:val="000000" w:themeColor="text1"/>
        </w:rPr>
        <w:t>3.</w:t>
      </w:r>
      <w:r w:rsidR="00F57289" w:rsidRPr="00617A89">
        <w:rPr>
          <w:color w:val="000000" w:themeColor="text1"/>
        </w:rPr>
        <w:t>3</w:t>
      </w:r>
      <w:r w:rsidRPr="00617A89">
        <w:rPr>
          <w:color w:val="000000" w:themeColor="text1"/>
        </w:rPr>
        <w:t xml:space="preserve"> per cent) who were engaged in further full-time study. Within these 3 broad fields of education, the proportion studying in the area of Health increased in the medium-term, while the proportion in Society and culture declined</w:t>
      </w:r>
      <w:bookmarkStart w:id="101" w:name="_Ref140531712"/>
      <w:bookmarkStart w:id="102" w:name="_Ref140528628"/>
      <w:r w:rsidR="00511824" w:rsidRPr="00617A89">
        <w:rPr>
          <w:color w:val="000000" w:themeColor="text1"/>
        </w:rPr>
        <w:t>; Natural and physical sciences remained steady</w:t>
      </w:r>
      <w:r w:rsidR="00553FC7" w:rsidRPr="00617A89">
        <w:rPr>
          <w:color w:val="000000" w:themeColor="text1"/>
        </w:rPr>
        <w:t>.</w:t>
      </w:r>
      <w:r w:rsidR="005F345B" w:rsidRPr="00617A89">
        <w:rPr>
          <w:color w:val="000000" w:themeColor="text1"/>
        </w:rPr>
        <w:t xml:space="preserve"> </w:t>
      </w:r>
      <w:r w:rsidR="005F345B" w:rsidRPr="00617A89">
        <w:rPr>
          <w:color w:val="000000" w:themeColor="text1"/>
        </w:rPr>
        <w:br/>
      </w:r>
      <w:r w:rsidR="005F345B" w:rsidRPr="00617A89">
        <w:rPr>
          <w:color w:val="000000" w:themeColor="text1"/>
        </w:rPr>
        <w:br/>
        <w:t xml:space="preserve">In the short-term, the majority (53.1 per cent) of Natural and physical science undergraduates who were engaged in further full-time study continued their studies in the same field, with a further 32.5 per cent moving into the field of Health. More than 80 per cent of these undergraduates were pursuing a master degree by coursework (35.1 per cent), bachelor (honours) degree (29.1 per cent) or a doctorate by research (17.2 per cent). Similar patterns were observed 3 years later, with 42.8 per cent undertaking further full-time study in the field of Natural and physical sciences, and 40.6 per cent in Health; 87.4 per cent were engaged in a master degree by coursework or doctorate by research. These findings suggest that, in general, Natural and physical science undergraduates pursue further studies in the same or related fields, advancing their skills and knowledge in postgraduate level courses. </w:t>
      </w:r>
      <w:r w:rsidR="005F345B" w:rsidRPr="00617A89">
        <w:rPr>
          <w:color w:val="000000" w:themeColor="text1"/>
        </w:rPr>
        <w:br/>
      </w:r>
    </w:p>
    <w:p w14:paraId="1B65B232" w14:textId="16411E98" w:rsidR="00244416" w:rsidRPr="00617A89" w:rsidRDefault="00244416" w:rsidP="003D05F0">
      <w:pPr>
        <w:pStyle w:val="Caption"/>
        <w:rPr>
          <w:color w:val="000000" w:themeColor="text1"/>
        </w:rPr>
      </w:pPr>
      <w:bookmarkStart w:id="103" w:name="_Ref210983099"/>
      <w:bookmarkStart w:id="104" w:name="_Toc222868504"/>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10</w:t>
      </w:r>
      <w:r w:rsidR="00DB7C31" w:rsidRPr="00617A89">
        <w:rPr>
          <w:noProof/>
          <w:color w:val="000000" w:themeColor="text1"/>
        </w:rPr>
        <w:fldChar w:fldCharType="end"/>
      </w:r>
      <w:bookmarkStart w:id="105" w:name="OLE_LINK2"/>
      <w:bookmarkEnd w:id="101"/>
      <w:bookmarkEnd w:id="102"/>
      <w:bookmarkEnd w:id="103"/>
      <w:r w:rsidR="00BC457C" w:rsidRPr="00617A89">
        <w:rPr>
          <w:color w:val="000000" w:themeColor="text1"/>
        </w:rPr>
        <w:tab/>
      </w:r>
      <w:r w:rsidRPr="00617A89">
        <w:rPr>
          <w:color w:val="000000" w:themeColor="text1"/>
        </w:rPr>
        <w:t>Broad field of education destinations of domestic undergraduates undertaking further full-time study (%)</w:t>
      </w:r>
      <w:bookmarkEnd w:id="104"/>
      <w:bookmarkEnd w:id="105"/>
    </w:p>
    <w:p w14:paraId="63ADA365" w14:textId="4054FD84" w:rsidR="00EF6479" w:rsidRPr="00617A89" w:rsidRDefault="00EF6479" w:rsidP="00EF6479">
      <w:pPr>
        <w:pStyle w:val="Body"/>
        <w:rPr>
          <w:lang w:eastAsia="en-AU"/>
        </w:rPr>
      </w:pPr>
      <w:r w:rsidRPr="00617A89">
        <w:rPr>
          <w:noProof/>
          <w:lang w:eastAsia="en-AU"/>
        </w:rPr>
        <w:drawing>
          <wp:inline distT="0" distB="0" distL="0" distR="0" wp14:anchorId="2E095273" wp14:editId="0F90C7FD">
            <wp:extent cx="9779000" cy="2322830"/>
            <wp:effectExtent l="0" t="0" r="0" b="1270"/>
            <wp:docPr id="18266928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79000" cy="2322830"/>
                    </a:xfrm>
                    <a:prstGeom prst="rect">
                      <a:avLst/>
                    </a:prstGeom>
                    <a:noFill/>
                  </pic:spPr>
                </pic:pic>
              </a:graphicData>
            </a:graphic>
          </wp:inline>
        </w:drawing>
      </w:r>
    </w:p>
    <w:p w14:paraId="78C76941" w14:textId="178E8B2B" w:rsidR="00B11085" w:rsidRPr="00617A89" w:rsidRDefault="003B2BAE" w:rsidP="003B2BAE">
      <w:pPr>
        <w:pStyle w:val="Bodycopy"/>
        <w:rPr>
          <w:color w:val="000000" w:themeColor="text1"/>
        </w:rPr>
        <w:sectPr w:rsidR="00B11085" w:rsidRPr="00617A89" w:rsidSect="00244416">
          <w:headerReference w:type="default" r:id="rId71"/>
          <w:footerReference w:type="default" r:id="rId72"/>
          <w:pgSz w:w="16840" w:h="11900" w:orient="landscape"/>
          <w:pgMar w:top="720" w:right="720" w:bottom="720" w:left="720" w:header="397" w:footer="397" w:gutter="0"/>
          <w:cols w:space="708"/>
          <w:docGrid w:linePitch="360"/>
        </w:sectPr>
      </w:pPr>
      <w:bookmarkStart w:id="106" w:name="_Toc343449019"/>
      <w:bookmarkStart w:id="107" w:name="_Toc515594300"/>
      <w:r w:rsidRPr="00617A89">
        <w:rPr>
          <w:color w:val="000000" w:themeColor="text1"/>
        </w:rPr>
        <w:t xml:space="preserve"> </w:t>
      </w:r>
    </w:p>
    <w:p w14:paraId="4D9980B2" w14:textId="202315CE" w:rsidR="0047134D" w:rsidRPr="00617A89" w:rsidRDefault="0047134D" w:rsidP="0047134D">
      <w:pPr>
        <w:pStyle w:val="Body"/>
        <w:rPr>
          <w:color w:val="000000" w:themeColor="text1"/>
        </w:rPr>
      </w:pPr>
      <w:bookmarkStart w:id="108" w:name="_Toc192179852"/>
      <w:r w:rsidRPr="00617A89">
        <w:rPr>
          <w:noProof/>
          <w:color w:val="000000" w:themeColor="text1"/>
        </w:rPr>
        <w:drawing>
          <wp:inline distT="0" distB="0" distL="0" distR="0" wp14:anchorId="7D084FDB" wp14:editId="251FD833">
            <wp:extent cx="9396000" cy="6104709"/>
            <wp:effectExtent l="0" t="0" r="0" b="0"/>
            <wp:docPr id="2061685212" name="Picture 1" descr="An infographic showing some data highlights on Natural and physical sciences undergraduates in further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85212" name="Picture 1" descr="An infographic showing some data highlights on Natural and physical sciences undergraduates in further study. "/>
                    <pic:cNvPicPr/>
                  </pic:nvPicPr>
                  <pic:blipFill>
                    <a:blip r:embed="rId73"/>
                    <a:stretch>
                      <a:fillRect/>
                    </a:stretch>
                  </pic:blipFill>
                  <pic:spPr>
                    <a:xfrm>
                      <a:off x="0" y="0"/>
                      <a:ext cx="9396000" cy="6104709"/>
                    </a:xfrm>
                    <a:prstGeom prst="rect">
                      <a:avLst/>
                    </a:prstGeom>
                  </pic:spPr>
                </pic:pic>
              </a:graphicData>
            </a:graphic>
          </wp:inline>
        </w:drawing>
      </w:r>
    </w:p>
    <w:p w14:paraId="3F8F22F0" w14:textId="77777777" w:rsidR="0047134D" w:rsidRPr="00617A89" w:rsidRDefault="0047134D" w:rsidP="0047134D">
      <w:pPr>
        <w:rPr>
          <w:color w:val="000000" w:themeColor="text1"/>
        </w:rPr>
        <w:sectPr w:rsidR="0047134D" w:rsidRPr="00617A89" w:rsidSect="0047134D">
          <w:headerReference w:type="even" r:id="rId74"/>
          <w:headerReference w:type="default" r:id="rId75"/>
          <w:footerReference w:type="default" r:id="rId76"/>
          <w:headerReference w:type="first" r:id="rId77"/>
          <w:footerReference w:type="first" r:id="rId78"/>
          <w:pgSz w:w="16840" w:h="11900" w:orient="landscape"/>
          <w:pgMar w:top="720" w:right="720" w:bottom="720" w:left="720" w:header="397" w:footer="397" w:gutter="0"/>
          <w:cols w:space="708"/>
          <w:docGrid w:linePitch="360"/>
        </w:sectPr>
      </w:pPr>
    </w:p>
    <w:p w14:paraId="79A6295B" w14:textId="77777777" w:rsidR="00910822" w:rsidRPr="00617A89" w:rsidRDefault="00910822" w:rsidP="00910822">
      <w:pPr>
        <w:pStyle w:val="Heading2"/>
        <w:rPr>
          <w:color w:val="000000" w:themeColor="text1"/>
        </w:rPr>
      </w:pPr>
      <w:bookmarkStart w:id="109" w:name="_Toc222868445"/>
      <w:r w:rsidRPr="00617A89">
        <w:rPr>
          <w:color w:val="000000" w:themeColor="text1"/>
        </w:rPr>
        <w:t>Demographic and equity groups</w:t>
      </w:r>
      <w:bookmarkEnd w:id="108"/>
      <w:bookmarkEnd w:id="109"/>
    </w:p>
    <w:p w14:paraId="768D6F02" w14:textId="77777777" w:rsidR="00910822"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Outcomes varied among different sub-groups of graduates at all levels of study. This section describes results for undergraduates. Sub-group outcomes for postgraduate coursework and postgraduate research graduates follow similar patterns to undergraduates and are available in supplementary tables on the QILT website.</w:t>
      </w:r>
      <w:r w:rsidRPr="00617A89">
        <w:rPr>
          <w:rStyle w:val="FootnoteReference"/>
          <w:color w:val="000000" w:themeColor="text1"/>
        </w:rPr>
        <w:footnoteReference w:id="10"/>
      </w:r>
    </w:p>
    <w:p w14:paraId="2AE88FBF" w14:textId="523BE488" w:rsidR="00910822" w:rsidRPr="00617A89" w:rsidRDefault="00FC3DC9" w:rsidP="00BC457C">
      <w:pPr>
        <w:pStyle w:val="Heading4"/>
      </w:pPr>
      <w:r w:rsidRPr="00617A89">
        <w:t>D</w:t>
      </w:r>
      <w:r w:rsidR="00910822" w:rsidRPr="00617A89">
        <w:t>isability</w:t>
      </w:r>
    </w:p>
    <w:p w14:paraId="36DF5B25" w14:textId="5EBB20ED" w:rsidR="00910822"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 xml:space="preserve">As seen in </w:t>
      </w:r>
      <w:r w:rsidRPr="00617A89">
        <w:rPr>
          <w:b/>
          <w:bCs/>
          <w:color w:val="000000" w:themeColor="text1"/>
        </w:rPr>
        <w:t xml:space="preserve">Table </w:t>
      </w:r>
      <w:r w:rsidR="00504E57" w:rsidRPr="00617A89">
        <w:rPr>
          <w:b/>
          <w:bCs/>
          <w:color w:val="000000" w:themeColor="text1"/>
        </w:rPr>
        <w:t>4</w:t>
      </w:r>
      <w:r w:rsidRPr="00617A89">
        <w:rPr>
          <w:color w:val="000000" w:themeColor="text1"/>
        </w:rPr>
        <w:t>, domestic undergraduates with disability were less likely to be employed 4 to 6 months after completing their course than their counterparts</w:t>
      </w:r>
      <w:r w:rsidR="00E07A7C" w:rsidRPr="00617A89">
        <w:rPr>
          <w:color w:val="000000" w:themeColor="text1"/>
        </w:rPr>
        <w:t xml:space="preserve"> without disability</w:t>
      </w:r>
      <w:r w:rsidRPr="00617A89">
        <w:rPr>
          <w:color w:val="000000" w:themeColor="text1"/>
        </w:rPr>
        <w:t>, and even less likely to be in full-time employment. Three years later, these rates improved somewhat with the difference in full-time employment narrowing from 11.1 percentage points to 5.4 percentage points, suggesting that it takes longer for these graduates to secure full-time employment.</w:t>
      </w:r>
    </w:p>
    <w:p w14:paraId="31B85C3B" w14:textId="46520FD8" w:rsidR="00910822"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 xml:space="preserve">Despite ‘catching up’ in terms of employment rates, the median salary for graduates with disability fell further behind after 3 years. The median salary for those with disability was </w:t>
      </w:r>
      <w:r w:rsidR="0050316C" w:rsidRPr="00617A89">
        <w:rPr>
          <w:color w:val="000000" w:themeColor="text1"/>
        </w:rPr>
        <w:t xml:space="preserve">on average </w:t>
      </w:r>
      <w:r w:rsidRPr="00617A89">
        <w:rPr>
          <w:color w:val="000000" w:themeColor="text1"/>
        </w:rPr>
        <w:t>$1,200 less than for graduates</w:t>
      </w:r>
      <w:r w:rsidR="00E07A7C" w:rsidRPr="00617A89">
        <w:rPr>
          <w:color w:val="000000" w:themeColor="text1"/>
        </w:rPr>
        <w:t xml:space="preserve"> without disability</w:t>
      </w:r>
      <w:r w:rsidRPr="00617A89">
        <w:rPr>
          <w:color w:val="000000" w:themeColor="text1"/>
        </w:rPr>
        <w:t xml:space="preserve"> in the short-term, but this gap increased to be</w:t>
      </w:r>
      <w:r w:rsidR="0050316C" w:rsidRPr="00617A89">
        <w:rPr>
          <w:color w:val="000000" w:themeColor="text1"/>
        </w:rPr>
        <w:t xml:space="preserve"> on average</w:t>
      </w:r>
      <w:r w:rsidRPr="00617A89">
        <w:rPr>
          <w:color w:val="000000" w:themeColor="text1"/>
        </w:rPr>
        <w:t xml:space="preserve"> $3,100 less than graduates without disability in the medium-term. This widening gap in median salaries may be due to the slower start for graduates with disability to secure full-time employment, and thus hav</w:t>
      </w:r>
      <w:r w:rsidR="0050316C" w:rsidRPr="00617A89">
        <w:rPr>
          <w:color w:val="000000" w:themeColor="text1"/>
        </w:rPr>
        <w:t>ing</w:t>
      </w:r>
      <w:r w:rsidRPr="00617A89">
        <w:rPr>
          <w:color w:val="000000" w:themeColor="text1"/>
        </w:rPr>
        <w:t xml:space="preserve"> less experience in the labour market 3 years later</w:t>
      </w:r>
      <w:r w:rsidR="000240AF" w:rsidRPr="00617A89">
        <w:rPr>
          <w:color w:val="000000" w:themeColor="text1"/>
        </w:rPr>
        <w:t xml:space="preserve">, or perhaps due to graduates with disability more likely to be in further full-time study and less likely to be employed in managerial or professional occupations, as seen in </w:t>
      </w:r>
      <w:r w:rsidR="000240AF" w:rsidRPr="00617A89">
        <w:rPr>
          <w:b/>
          <w:bCs/>
          <w:color w:val="000000" w:themeColor="text1"/>
        </w:rPr>
        <w:fldChar w:fldCharType="begin"/>
      </w:r>
      <w:r w:rsidR="000240AF" w:rsidRPr="00617A89">
        <w:rPr>
          <w:b/>
          <w:bCs/>
          <w:color w:val="000000" w:themeColor="text1"/>
        </w:rPr>
        <w:instrText xml:space="preserve"> REF _Ref202262609 \h  \* MERGEFORMAT </w:instrText>
      </w:r>
      <w:r w:rsidR="000240AF" w:rsidRPr="00617A89">
        <w:rPr>
          <w:b/>
          <w:bCs/>
          <w:color w:val="000000" w:themeColor="text1"/>
        </w:rPr>
      </w:r>
      <w:r w:rsidR="000240AF" w:rsidRPr="00617A89">
        <w:rPr>
          <w:b/>
          <w:bCs/>
          <w:color w:val="000000" w:themeColor="text1"/>
        </w:rPr>
        <w:fldChar w:fldCharType="separate"/>
      </w:r>
      <w:r w:rsidR="00DB7C31" w:rsidRPr="00617A89">
        <w:rPr>
          <w:b/>
          <w:bCs/>
          <w:color w:val="000000" w:themeColor="text1"/>
        </w:rPr>
        <w:t xml:space="preserve">Table </w:t>
      </w:r>
      <w:r w:rsidR="00DB7C31" w:rsidRPr="00617A89">
        <w:rPr>
          <w:b/>
          <w:bCs/>
          <w:noProof/>
          <w:color w:val="000000" w:themeColor="text1"/>
        </w:rPr>
        <w:t>5</w:t>
      </w:r>
      <w:r w:rsidR="000240AF" w:rsidRPr="00617A89">
        <w:rPr>
          <w:b/>
          <w:bCs/>
          <w:color w:val="000000" w:themeColor="text1"/>
        </w:rPr>
        <w:fldChar w:fldCharType="end"/>
      </w:r>
      <w:r w:rsidR="000240AF" w:rsidRPr="00617A89">
        <w:rPr>
          <w:color w:val="000000" w:themeColor="text1"/>
        </w:rPr>
        <w:t>.</w:t>
      </w:r>
    </w:p>
    <w:p w14:paraId="08B70958" w14:textId="77777777" w:rsidR="00910822" w:rsidRPr="00617A89" w:rsidRDefault="00910822" w:rsidP="00BC457C">
      <w:pPr>
        <w:pStyle w:val="Heading4"/>
      </w:pPr>
      <w:r w:rsidRPr="00617A89">
        <w:t>Graduates from regional and remote areas</w:t>
      </w:r>
    </w:p>
    <w:p w14:paraId="70EE3A80" w14:textId="2AB4BD5A" w:rsidR="00910822"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bookmarkStart w:id="112" w:name="_Hlk207209457"/>
      <w:r w:rsidRPr="00617A89">
        <w:rPr>
          <w:color w:val="000000" w:themeColor="text1"/>
        </w:rPr>
        <w:t xml:space="preserve">Domestic undergraduates originally from regional and remote areas had higher rates of full-time employment in the short-term </w:t>
      </w:r>
      <w:bookmarkEnd w:id="112"/>
      <w:r w:rsidRPr="00617A89">
        <w:rPr>
          <w:color w:val="000000" w:themeColor="text1"/>
        </w:rPr>
        <w:t>(by 3.5 percentage points). Three years later, these rates were broadly similar to those from metropolitan areas. Median salaries were on par for domestic undergraduates from regional/remote and metropolitan areas in both the short- and medium-term.</w:t>
      </w:r>
    </w:p>
    <w:p w14:paraId="7E472FEA" w14:textId="77777777" w:rsidR="00910822" w:rsidRPr="00617A89" w:rsidRDefault="00910822" w:rsidP="00BC457C">
      <w:pPr>
        <w:pStyle w:val="Heading4"/>
      </w:pPr>
      <w:r w:rsidRPr="00617A89">
        <w:t>Age and study mode</w:t>
      </w:r>
    </w:p>
    <w:p w14:paraId="0C06281C" w14:textId="77777777" w:rsidR="00910822"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Differences in labour market outcomes by age and study mode are likely to be related to differences in life stage and prior labour market experience. For example, those studying externally are often older and/or more likely already established in the labour market than those who have studied on-campus or in person (or through a mix of on-campus and online study).</w:t>
      </w:r>
    </w:p>
    <w:p w14:paraId="633D76A3" w14:textId="77777777" w:rsidR="00910822"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Prior work experience or establishment in their field may also explain why those aged over 30 had better short-term outcomes for full-time employment, and why the median salary was higher for those aged over 30 in the short- and medium-term.</w:t>
      </w:r>
    </w:p>
    <w:p w14:paraId="47FD3B75" w14:textId="77777777" w:rsidR="00910822" w:rsidRPr="00617A89" w:rsidRDefault="00910822" w:rsidP="00BC457C">
      <w:pPr>
        <w:pStyle w:val="Heading4"/>
      </w:pPr>
      <w:r w:rsidRPr="00617A89">
        <w:t>First Nations graduates</w:t>
      </w:r>
    </w:p>
    <w:p w14:paraId="58DED517" w14:textId="31BC65AB" w:rsidR="00910822"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 xml:space="preserve">Employment outcomes between First Nations undergraduates and non-Indigenous undergraduates were broadly similar in the short- and medium-term. However, there was a notable difference in short-term median salaries with First Nations graduates earning </w:t>
      </w:r>
      <w:r w:rsidR="0083083E" w:rsidRPr="00617A89">
        <w:rPr>
          <w:color w:val="000000" w:themeColor="text1"/>
        </w:rPr>
        <w:t xml:space="preserve">on average </w:t>
      </w:r>
      <w:r w:rsidRPr="00617A89">
        <w:rPr>
          <w:color w:val="000000" w:themeColor="text1"/>
        </w:rPr>
        <w:t>$3,100 more than non-Indigenous graduates. This difference in median salaries persisted into the medium-term, but it is unclear if these differences in medium-term median salaries are generalisable to a broader population.</w:t>
      </w:r>
    </w:p>
    <w:p w14:paraId="0D433597" w14:textId="7D567BDB" w:rsidR="00C94DE5"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Interestingly, almost half of First Nations undergraduates were aged over 30, compared to only a third of non-Indigenous undergraduates. First Nations undergraduates were also more likely to have studied externally, 31.5 per cent compared to 20.5 per cent of non-Indigenous undergraduates. As discussed above, graduates aged over 30 and those who studied externally were both associated with higher median salaries, which may part</w:t>
      </w:r>
      <w:r w:rsidR="00DB4B61" w:rsidRPr="00617A89">
        <w:rPr>
          <w:color w:val="000000" w:themeColor="text1"/>
        </w:rPr>
        <w:t>ly</w:t>
      </w:r>
      <w:r w:rsidRPr="00617A89">
        <w:rPr>
          <w:color w:val="000000" w:themeColor="text1"/>
        </w:rPr>
        <w:t xml:space="preserve"> explain differences observed between First Nations and non-Indigenous undergraduates.</w:t>
      </w:r>
    </w:p>
    <w:p w14:paraId="090502F8" w14:textId="77777777" w:rsidR="00C94DE5" w:rsidRPr="00617A89" w:rsidRDefault="00C94DE5" w:rsidP="00910822">
      <w:pPr>
        <w:widowControl w:val="0"/>
        <w:suppressAutoHyphens/>
        <w:autoSpaceDE w:val="0"/>
        <w:autoSpaceDN w:val="0"/>
        <w:adjustRightInd w:val="0"/>
        <w:spacing w:before="142" w:line="290" w:lineRule="atLeast"/>
        <w:textAlignment w:val="center"/>
        <w:rPr>
          <w:color w:val="000000" w:themeColor="text1"/>
        </w:rPr>
      </w:pPr>
    </w:p>
    <w:p w14:paraId="388F1019" w14:textId="2345F413" w:rsidR="00C94DE5" w:rsidRPr="00617A89" w:rsidRDefault="00C94DE5" w:rsidP="00C94DE5">
      <w:pPr>
        <w:pStyle w:val="Note"/>
        <w:rPr>
          <w:b/>
          <w:bCs/>
          <w:color w:val="000000" w:themeColor="text1"/>
          <w:sz w:val="20"/>
          <w:szCs w:val="18"/>
        </w:rPr>
      </w:pPr>
      <w:r w:rsidRPr="00617A89">
        <w:rPr>
          <w:b/>
          <w:bCs/>
          <w:color w:val="000000" w:themeColor="text1"/>
          <w:sz w:val="20"/>
          <w:szCs w:val="18"/>
        </w:rPr>
        <w:t>&lt;Infographic&gt;</w:t>
      </w:r>
      <w:r w:rsidRPr="00617A89">
        <w:rPr>
          <w:color w:val="000000" w:themeColor="text1"/>
          <w:sz w:val="20"/>
          <w:szCs w:val="18"/>
        </w:rPr>
        <w:t xml:space="preserve"> </w:t>
      </w:r>
      <w:r w:rsidRPr="00617A89">
        <w:rPr>
          <w:b/>
          <w:bCs/>
          <w:color w:val="000000" w:themeColor="text1"/>
          <w:sz w:val="20"/>
          <w:szCs w:val="18"/>
        </w:rPr>
        <w:t>First Nations undergraduate profile (based on responses to the 2025 GOS-L)</w:t>
      </w:r>
    </w:p>
    <w:p w14:paraId="636963F9" w14:textId="7F885BF4" w:rsidR="00C94DE5" w:rsidRPr="00617A89" w:rsidRDefault="00C94DE5" w:rsidP="00C94DE5">
      <w:pPr>
        <w:pStyle w:val="Note"/>
        <w:rPr>
          <w:color w:val="000000" w:themeColor="text1"/>
          <w:sz w:val="20"/>
          <w:szCs w:val="18"/>
        </w:rPr>
      </w:pPr>
      <w:r w:rsidRPr="00617A89">
        <w:rPr>
          <w:color w:val="000000" w:themeColor="text1"/>
          <w:sz w:val="20"/>
          <w:szCs w:val="18"/>
        </w:rPr>
        <w:t>First Nations undergraduate</w:t>
      </w:r>
      <w:r w:rsidR="00213CD2" w:rsidRPr="00617A89">
        <w:rPr>
          <w:color w:val="000000" w:themeColor="text1"/>
          <w:sz w:val="20"/>
          <w:szCs w:val="18"/>
        </w:rPr>
        <w:t>s</w:t>
      </w:r>
      <w:r w:rsidRPr="00617A89">
        <w:rPr>
          <w:color w:val="000000" w:themeColor="text1"/>
          <w:sz w:val="20"/>
          <w:szCs w:val="18"/>
        </w:rPr>
        <w:t xml:space="preserve"> were more likely to have studied externally and be aged over 30 compared to non-Indigenous undergraduates.</w:t>
      </w:r>
    </w:p>
    <w:p w14:paraId="2205B667" w14:textId="77777777" w:rsidR="00EF6479" w:rsidRPr="00617A89" w:rsidRDefault="00EF6479" w:rsidP="00C94DE5">
      <w:pPr>
        <w:pStyle w:val="Note"/>
        <w:rPr>
          <w:color w:val="000000" w:themeColor="text1"/>
          <w:sz w:val="20"/>
          <w:szCs w:val="18"/>
        </w:rPr>
      </w:pPr>
    </w:p>
    <w:p w14:paraId="1128C160" w14:textId="1D514E5B" w:rsidR="00EF6479" w:rsidRPr="00617A89" w:rsidRDefault="00EF6479" w:rsidP="00C94DE5">
      <w:pPr>
        <w:pStyle w:val="Note"/>
        <w:rPr>
          <w:color w:val="000000" w:themeColor="text1"/>
          <w:sz w:val="20"/>
          <w:szCs w:val="18"/>
        </w:rPr>
      </w:pPr>
      <w:r w:rsidRPr="00617A89">
        <w:rPr>
          <w:noProof/>
          <w:color w:val="000000" w:themeColor="text1"/>
          <w:sz w:val="20"/>
          <w:szCs w:val="18"/>
        </w:rPr>
        <w:drawing>
          <wp:inline distT="0" distB="0" distL="0" distR="0" wp14:anchorId="0AA8B33B" wp14:editId="20D3BAE8">
            <wp:extent cx="3274060" cy="2414270"/>
            <wp:effectExtent l="0" t="0" r="2540" b="5080"/>
            <wp:docPr id="10244755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4060" cy="2414270"/>
                    </a:xfrm>
                    <a:prstGeom prst="rect">
                      <a:avLst/>
                    </a:prstGeom>
                    <a:noFill/>
                  </pic:spPr>
                </pic:pic>
              </a:graphicData>
            </a:graphic>
          </wp:inline>
        </w:drawing>
      </w:r>
      <w:r w:rsidRPr="00617A89">
        <w:rPr>
          <w:noProof/>
          <w:color w:val="000000" w:themeColor="text1"/>
          <w:sz w:val="20"/>
          <w:szCs w:val="18"/>
        </w:rPr>
        <w:drawing>
          <wp:inline distT="0" distB="0" distL="0" distR="0" wp14:anchorId="329F1275" wp14:editId="0933A518">
            <wp:extent cx="3274060" cy="2414270"/>
            <wp:effectExtent l="0" t="0" r="2540" b="5080"/>
            <wp:docPr id="14164753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74060" cy="2414270"/>
                    </a:xfrm>
                    <a:prstGeom prst="rect">
                      <a:avLst/>
                    </a:prstGeom>
                    <a:noFill/>
                  </pic:spPr>
                </pic:pic>
              </a:graphicData>
            </a:graphic>
          </wp:inline>
        </w:drawing>
      </w:r>
    </w:p>
    <w:p w14:paraId="0FBD9181" w14:textId="1C0C3C03" w:rsidR="00910822" w:rsidRPr="00617A89" w:rsidRDefault="00C135F2" w:rsidP="00EF6479">
      <w:pPr>
        <w:widowControl w:val="0"/>
        <w:suppressAutoHyphens/>
        <w:autoSpaceDE w:val="0"/>
        <w:autoSpaceDN w:val="0"/>
        <w:adjustRightInd w:val="0"/>
        <w:spacing w:before="142" w:line="290" w:lineRule="atLeast"/>
        <w:textAlignment w:val="center"/>
      </w:pPr>
      <w:r w:rsidRPr="00617A89">
        <w:rPr>
          <w:noProof/>
          <w:color w:val="000000" w:themeColor="text1"/>
        </w:rPr>
        <w:t xml:space="preserve"> </w:t>
      </w:r>
      <w:r w:rsidR="00910822" w:rsidRPr="00617A89">
        <w:t>Socio-economic status</w:t>
      </w:r>
    </w:p>
    <w:p w14:paraId="30C8CD95" w14:textId="77777777" w:rsidR="00BC457C" w:rsidRPr="00617A89" w:rsidRDefault="00BC457C" w:rsidP="00BC457C">
      <w:pPr>
        <w:rPr>
          <w:b/>
          <w:bCs/>
          <w:color w:val="000000" w:themeColor="text1"/>
        </w:rPr>
      </w:pPr>
      <w:r w:rsidRPr="00617A89">
        <w:rPr>
          <w:b/>
          <w:bCs/>
          <w:color w:val="000000" w:themeColor="text1"/>
        </w:rPr>
        <w:t>High-SES undergraduates were more likely to be in further full-time study and low-SES graduates were more likely to be in further part-time study.</w:t>
      </w:r>
    </w:p>
    <w:p w14:paraId="048D6C7D" w14:textId="210F473B" w:rsidR="00506E93" w:rsidRPr="00617A89" w:rsidRDefault="00910822" w:rsidP="004A71E8">
      <w:pPr>
        <w:pStyle w:val="Body"/>
        <w:rPr>
          <w:color w:val="000000" w:themeColor="text1"/>
        </w:rPr>
      </w:pPr>
      <w:r w:rsidRPr="00617A89">
        <w:rPr>
          <w:color w:val="000000" w:themeColor="text1"/>
        </w:rPr>
        <w:t xml:space="preserve">Employment and median salary outcomes were broadly similar for graduates from high, medium and low socio-economic status (SES) areas. </w:t>
      </w:r>
    </w:p>
    <w:p w14:paraId="7683BC87" w14:textId="52FDF389" w:rsidR="00910822" w:rsidRPr="00617A89" w:rsidRDefault="00910822" w:rsidP="00910822">
      <w:pPr>
        <w:widowControl w:val="0"/>
        <w:suppressAutoHyphens/>
        <w:autoSpaceDE w:val="0"/>
        <w:autoSpaceDN w:val="0"/>
        <w:adjustRightInd w:val="0"/>
        <w:spacing w:before="142" w:line="290" w:lineRule="atLeast"/>
        <w:textAlignment w:val="center"/>
        <w:rPr>
          <w:rFonts w:eastAsia="Times New Roman"/>
          <w:color w:val="000000" w:themeColor="text1"/>
        </w:rPr>
      </w:pPr>
      <w:r w:rsidRPr="00617A89">
        <w:rPr>
          <w:rFonts w:eastAsia="Times New Roman"/>
          <w:color w:val="000000" w:themeColor="text1"/>
        </w:rPr>
        <w:t xml:space="preserve">Notably, </w:t>
      </w:r>
      <w:r w:rsidR="006E23C4" w:rsidRPr="00617A89">
        <w:rPr>
          <w:rFonts w:eastAsia="Times New Roman"/>
          <w:color w:val="000000" w:themeColor="text1"/>
        </w:rPr>
        <w:t>rates of further study between undergraduates from low and high SES areas were comparable in both the short- and medium-term</w:t>
      </w:r>
      <w:r w:rsidR="00506E93" w:rsidRPr="00617A89">
        <w:rPr>
          <w:rFonts w:eastAsia="Times New Roman"/>
          <w:color w:val="000000" w:themeColor="text1"/>
        </w:rPr>
        <w:t xml:space="preserve"> (</w:t>
      </w:r>
      <w:r w:rsidR="00506E93" w:rsidRPr="00617A89">
        <w:rPr>
          <w:rFonts w:eastAsia="Times New Roman"/>
          <w:b/>
          <w:bCs/>
          <w:color w:val="000000" w:themeColor="text1"/>
        </w:rPr>
        <w:fldChar w:fldCharType="begin"/>
      </w:r>
      <w:r w:rsidR="00506E93" w:rsidRPr="00617A89">
        <w:rPr>
          <w:rFonts w:eastAsia="Times New Roman"/>
          <w:b/>
          <w:bCs/>
          <w:color w:val="000000" w:themeColor="text1"/>
        </w:rPr>
        <w:instrText xml:space="preserve"> REF _Ref206092732 \h  \* MERGEFORMAT </w:instrText>
      </w:r>
      <w:r w:rsidR="00506E93" w:rsidRPr="00617A89">
        <w:rPr>
          <w:rFonts w:eastAsia="Times New Roman"/>
          <w:b/>
          <w:bCs/>
          <w:color w:val="000000" w:themeColor="text1"/>
        </w:rPr>
      </w:r>
      <w:r w:rsidR="00506E93" w:rsidRPr="00617A89">
        <w:rPr>
          <w:rFonts w:eastAsia="Times New Roman"/>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11</w:t>
      </w:r>
      <w:r w:rsidR="00506E93" w:rsidRPr="00617A89">
        <w:rPr>
          <w:rFonts w:eastAsia="Times New Roman"/>
          <w:b/>
          <w:bCs/>
          <w:color w:val="000000" w:themeColor="text1"/>
        </w:rPr>
        <w:fldChar w:fldCharType="end"/>
      </w:r>
      <w:r w:rsidR="00506E93" w:rsidRPr="00617A89">
        <w:rPr>
          <w:rFonts w:eastAsia="Times New Roman"/>
          <w:color w:val="000000" w:themeColor="text1"/>
        </w:rPr>
        <w:t>)</w:t>
      </w:r>
      <w:r w:rsidR="006E23C4" w:rsidRPr="00617A89">
        <w:rPr>
          <w:rFonts w:eastAsia="Times New Roman"/>
          <w:color w:val="000000" w:themeColor="text1"/>
        </w:rPr>
        <w:t xml:space="preserve">. However, high-SES graduates were more likely to be in further </w:t>
      </w:r>
      <w:r w:rsidR="006E23C4" w:rsidRPr="00617A89">
        <w:rPr>
          <w:rFonts w:eastAsia="Times New Roman"/>
          <w:i/>
          <w:iCs/>
          <w:color w:val="000000" w:themeColor="text1"/>
        </w:rPr>
        <w:t>full-time</w:t>
      </w:r>
      <w:r w:rsidR="006E23C4" w:rsidRPr="00617A89">
        <w:rPr>
          <w:rFonts w:eastAsia="Times New Roman"/>
          <w:color w:val="000000" w:themeColor="text1"/>
        </w:rPr>
        <w:t xml:space="preserve"> study and low-SES graduates were more likely to be in further </w:t>
      </w:r>
      <w:r w:rsidR="006E23C4" w:rsidRPr="00617A89">
        <w:rPr>
          <w:rFonts w:eastAsia="Times New Roman"/>
          <w:i/>
          <w:iCs/>
          <w:color w:val="000000" w:themeColor="text1"/>
        </w:rPr>
        <w:t>part-time</w:t>
      </w:r>
      <w:r w:rsidR="006E23C4" w:rsidRPr="00617A89">
        <w:rPr>
          <w:rFonts w:eastAsia="Times New Roman"/>
          <w:color w:val="000000" w:themeColor="text1"/>
        </w:rPr>
        <w:t xml:space="preserve"> study in both the short- and medium-term.</w:t>
      </w:r>
      <w:r w:rsidR="000A2E6A" w:rsidRPr="00617A89">
        <w:rPr>
          <w:rFonts w:eastAsia="Times New Roman"/>
          <w:color w:val="000000" w:themeColor="text1"/>
        </w:rPr>
        <w:t xml:space="preserve"> These </w:t>
      </w:r>
      <w:r w:rsidR="00B00927" w:rsidRPr="00617A89">
        <w:rPr>
          <w:rFonts w:eastAsia="Times New Roman"/>
          <w:color w:val="000000" w:themeColor="text1"/>
        </w:rPr>
        <w:t>differences</w:t>
      </w:r>
      <w:r w:rsidR="000A2E6A" w:rsidRPr="00617A89">
        <w:rPr>
          <w:rFonts w:eastAsia="Times New Roman"/>
          <w:color w:val="000000" w:themeColor="text1"/>
        </w:rPr>
        <w:t xml:space="preserve"> may reflect</w:t>
      </w:r>
      <w:r w:rsidR="00B00927" w:rsidRPr="00617A89">
        <w:rPr>
          <w:rFonts w:eastAsia="Times New Roman"/>
          <w:color w:val="000000" w:themeColor="text1"/>
        </w:rPr>
        <w:t xml:space="preserve"> </w:t>
      </w:r>
      <w:r w:rsidR="002F265D" w:rsidRPr="00617A89">
        <w:rPr>
          <w:rFonts w:eastAsia="Times New Roman"/>
          <w:color w:val="000000" w:themeColor="text1"/>
        </w:rPr>
        <w:t>an increased capacity high</w:t>
      </w:r>
      <w:r w:rsidR="00CB7213" w:rsidRPr="00617A89">
        <w:rPr>
          <w:rFonts w:eastAsia="Times New Roman"/>
          <w:color w:val="000000" w:themeColor="text1"/>
        </w:rPr>
        <w:t xml:space="preserve"> </w:t>
      </w:r>
      <w:r w:rsidR="00B00927" w:rsidRPr="00617A89">
        <w:rPr>
          <w:rFonts w:eastAsia="Times New Roman"/>
          <w:color w:val="000000" w:themeColor="text1"/>
        </w:rPr>
        <w:t xml:space="preserve">SES </w:t>
      </w:r>
      <w:r w:rsidR="002F265D" w:rsidRPr="00617A89">
        <w:rPr>
          <w:rFonts w:eastAsia="Times New Roman"/>
          <w:color w:val="000000" w:themeColor="text1"/>
        </w:rPr>
        <w:t xml:space="preserve">graduates </w:t>
      </w:r>
      <w:r w:rsidR="00506E93" w:rsidRPr="00617A89">
        <w:rPr>
          <w:rFonts w:eastAsia="Times New Roman"/>
          <w:color w:val="000000" w:themeColor="text1"/>
        </w:rPr>
        <w:t xml:space="preserve">have </w:t>
      </w:r>
      <w:r w:rsidR="002F265D" w:rsidRPr="00617A89">
        <w:rPr>
          <w:rFonts w:eastAsia="Times New Roman"/>
          <w:color w:val="000000" w:themeColor="text1"/>
        </w:rPr>
        <w:t xml:space="preserve">to </w:t>
      </w:r>
      <w:r w:rsidR="00B00927" w:rsidRPr="00617A89">
        <w:rPr>
          <w:rFonts w:eastAsia="Times New Roman"/>
          <w:color w:val="000000" w:themeColor="text1"/>
        </w:rPr>
        <w:t>pursu</w:t>
      </w:r>
      <w:r w:rsidR="002F265D" w:rsidRPr="00617A89">
        <w:rPr>
          <w:rFonts w:eastAsia="Times New Roman"/>
          <w:color w:val="000000" w:themeColor="text1"/>
        </w:rPr>
        <w:t>e</w:t>
      </w:r>
      <w:r w:rsidR="00B00927" w:rsidRPr="00617A89">
        <w:rPr>
          <w:rFonts w:eastAsia="Times New Roman"/>
          <w:color w:val="000000" w:themeColor="text1"/>
        </w:rPr>
        <w:t xml:space="preserve"> further </w:t>
      </w:r>
      <w:r w:rsidR="006E23C4" w:rsidRPr="00617A89">
        <w:rPr>
          <w:rFonts w:eastAsia="Times New Roman"/>
          <w:color w:val="000000" w:themeColor="text1"/>
        </w:rPr>
        <w:t xml:space="preserve">study on a </w:t>
      </w:r>
      <w:r w:rsidR="00B00927" w:rsidRPr="00617A89">
        <w:rPr>
          <w:rFonts w:eastAsia="Times New Roman"/>
          <w:color w:val="000000" w:themeColor="text1"/>
        </w:rPr>
        <w:t>full-time</w:t>
      </w:r>
      <w:r w:rsidR="006E23C4" w:rsidRPr="00617A89">
        <w:rPr>
          <w:rFonts w:eastAsia="Times New Roman"/>
          <w:color w:val="000000" w:themeColor="text1"/>
        </w:rPr>
        <w:t xml:space="preserve"> basis</w:t>
      </w:r>
      <w:r w:rsidR="002F265D" w:rsidRPr="00617A89">
        <w:rPr>
          <w:rFonts w:eastAsia="Times New Roman"/>
          <w:color w:val="000000" w:themeColor="text1"/>
        </w:rPr>
        <w:t xml:space="preserve"> compared to low</w:t>
      </w:r>
      <w:r w:rsidR="006E23C4" w:rsidRPr="00617A89">
        <w:rPr>
          <w:rFonts w:eastAsia="Times New Roman"/>
          <w:color w:val="000000" w:themeColor="text1"/>
        </w:rPr>
        <w:t>-</w:t>
      </w:r>
      <w:r w:rsidR="002F265D" w:rsidRPr="00617A89">
        <w:rPr>
          <w:rFonts w:eastAsia="Times New Roman"/>
          <w:color w:val="000000" w:themeColor="text1"/>
        </w:rPr>
        <w:t xml:space="preserve">SES </w:t>
      </w:r>
      <w:r w:rsidR="006E23C4" w:rsidRPr="00617A89">
        <w:rPr>
          <w:rFonts w:eastAsia="Times New Roman"/>
          <w:color w:val="000000" w:themeColor="text1"/>
        </w:rPr>
        <w:t>graduates</w:t>
      </w:r>
      <w:r w:rsidR="002F265D" w:rsidRPr="00617A89">
        <w:rPr>
          <w:rFonts w:eastAsia="Times New Roman"/>
          <w:color w:val="000000" w:themeColor="text1"/>
        </w:rPr>
        <w:t xml:space="preserve"> who may have</w:t>
      </w:r>
      <w:r w:rsidR="006E23C4" w:rsidRPr="00617A89">
        <w:rPr>
          <w:rFonts w:eastAsia="Times New Roman"/>
          <w:color w:val="000000" w:themeColor="text1"/>
        </w:rPr>
        <w:t xml:space="preserve"> to</w:t>
      </w:r>
      <w:r w:rsidR="002F265D" w:rsidRPr="00617A89">
        <w:rPr>
          <w:rFonts w:eastAsia="Times New Roman"/>
          <w:color w:val="000000" w:themeColor="text1"/>
        </w:rPr>
        <w:t xml:space="preserve"> prioritise work over study due to </w:t>
      </w:r>
      <w:r w:rsidR="00506E93" w:rsidRPr="00617A89">
        <w:rPr>
          <w:rFonts w:eastAsia="Times New Roman"/>
          <w:color w:val="000000" w:themeColor="text1"/>
        </w:rPr>
        <w:t>greater</w:t>
      </w:r>
      <w:r w:rsidR="002F265D" w:rsidRPr="00617A89">
        <w:rPr>
          <w:rFonts w:eastAsia="Times New Roman"/>
          <w:color w:val="000000" w:themeColor="text1"/>
        </w:rPr>
        <w:t xml:space="preserve"> financial pressures.</w:t>
      </w:r>
    </w:p>
    <w:p w14:paraId="07F1295A" w14:textId="554CFA18" w:rsidR="006F7F3F" w:rsidRPr="00617A89" w:rsidRDefault="006F7F3F" w:rsidP="006F7F3F">
      <w:pPr>
        <w:pStyle w:val="Caption"/>
        <w:keepNext/>
        <w:rPr>
          <w:color w:val="000000" w:themeColor="text1"/>
        </w:rPr>
      </w:pPr>
      <w:bookmarkStart w:id="113" w:name="_Ref206092732"/>
      <w:bookmarkStart w:id="114" w:name="_Toc222868505"/>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11</w:t>
      </w:r>
      <w:r w:rsidR="00DB7C31" w:rsidRPr="00617A89">
        <w:rPr>
          <w:noProof/>
          <w:color w:val="000000" w:themeColor="text1"/>
        </w:rPr>
        <w:fldChar w:fldCharType="end"/>
      </w:r>
      <w:bookmarkEnd w:id="113"/>
      <w:r w:rsidR="00BC457C" w:rsidRPr="00617A89">
        <w:rPr>
          <w:noProof/>
          <w:color w:val="000000" w:themeColor="text1"/>
        </w:rPr>
        <w:tab/>
      </w:r>
      <w:r w:rsidRPr="00617A89">
        <w:rPr>
          <w:color w:val="000000" w:themeColor="text1"/>
        </w:rPr>
        <w:t>Undergraduates in further study by socio-economic status</w:t>
      </w:r>
      <w:bookmarkEnd w:id="114"/>
    </w:p>
    <w:p w14:paraId="41F42B24" w14:textId="3B0D0276" w:rsidR="006F7F3F" w:rsidRPr="00617A89" w:rsidRDefault="006F7F3F" w:rsidP="00AB4EA3">
      <w:pPr>
        <w:pStyle w:val="Body"/>
        <w:jc w:val="center"/>
        <w:rPr>
          <w:color w:val="000000" w:themeColor="text1"/>
        </w:rPr>
      </w:pPr>
      <w:r w:rsidRPr="00617A89">
        <w:rPr>
          <w:noProof/>
          <w:color w:val="000000" w:themeColor="text1"/>
          <w:lang w:eastAsia="en-AU"/>
        </w:rPr>
        <w:drawing>
          <wp:inline distT="0" distB="0" distL="0" distR="0" wp14:anchorId="66EEC4A3" wp14:editId="624C0CB4">
            <wp:extent cx="4060190" cy="266700"/>
            <wp:effectExtent l="0" t="0" r="3810" b="0"/>
            <wp:docPr id="20883881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88136"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1">
                      <a:extLst>
                        <a:ext uri="{28A0092B-C50C-407E-A947-70E740481C1C}">
                          <a14:useLocalDpi xmlns:a14="http://schemas.microsoft.com/office/drawing/2010/main" val="0"/>
                        </a:ext>
                      </a:extLst>
                    </a:blip>
                    <a:srcRect t="12772" b="76584"/>
                    <a:stretch>
                      <a:fillRect/>
                    </a:stretch>
                  </pic:blipFill>
                  <pic:spPr bwMode="auto">
                    <a:xfrm>
                      <a:off x="0" y="0"/>
                      <a:ext cx="4060190"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131723B4" w14:textId="7B3404D8" w:rsidR="00EF6479" w:rsidRPr="00617A89" w:rsidRDefault="00EF6479" w:rsidP="00AB4EA3">
      <w:pPr>
        <w:pStyle w:val="Body"/>
        <w:jc w:val="center"/>
        <w:rPr>
          <w:color w:val="000000" w:themeColor="text1"/>
        </w:rPr>
      </w:pPr>
      <w:r w:rsidRPr="00617A89">
        <w:rPr>
          <w:noProof/>
          <w:color w:val="000000" w:themeColor="text1"/>
        </w:rPr>
        <w:drawing>
          <wp:inline distT="0" distB="0" distL="0" distR="0" wp14:anchorId="0C184234" wp14:editId="00AB3477">
            <wp:extent cx="3310255" cy="2505710"/>
            <wp:effectExtent l="0" t="0" r="4445" b="8890"/>
            <wp:docPr id="21164503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10255" cy="2505710"/>
                    </a:xfrm>
                    <a:prstGeom prst="rect">
                      <a:avLst/>
                    </a:prstGeom>
                    <a:noFill/>
                  </pic:spPr>
                </pic:pic>
              </a:graphicData>
            </a:graphic>
          </wp:inline>
        </w:drawing>
      </w:r>
      <w:r w:rsidRPr="00617A89">
        <w:rPr>
          <w:noProof/>
          <w:color w:val="000000" w:themeColor="text1"/>
        </w:rPr>
        <w:drawing>
          <wp:inline distT="0" distB="0" distL="0" distR="0" wp14:anchorId="1DA55FBD" wp14:editId="1E5698E3">
            <wp:extent cx="3310255" cy="2505710"/>
            <wp:effectExtent l="0" t="0" r="4445" b="8890"/>
            <wp:docPr id="206226640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10255" cy="2505710"/>
                    </a:xfrm>
                    <a:prstGeom prst="rect">
                      <a:avLst/>
                    </a:prstGeom>
                    <a:noFill/>
                  </pic:spPr>
                </pic:pic>
              </a:graphicData>
            </a:graphic>
          </wp:inline>
        </w:drawing>
      </w:r>
    </w:p>
    <w:p w14:paraId="36E48FDD" w14:textId="79767BBF" w:rsidR="00910822" w:rsidRPr="00617A89" w:rsidRDefault="00910822" w:rsidP="00BC457C">
      <w:pPr>
        <w:pStyle w:val="Heading4"/>
      </w:pPr>
      <w:r w:rsidRPr="00617A89">
        <w:t>Language background</w:t>
      </w:r>
    </w:p>
    <w:p w14:paraId="796FDED5" w14:textId="14BDB9CC" w:rsidR="00910822"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Domestic undergraduates from non-English speaking backgrounds</w:t>
      </w:r>
      <w:r w:rsidR="00D155D2" w:rsidRPr="00617A89">
        <w:rPr>
          <w:rStyle w:val="FootnoteReference"/>
          <w:color w:val="000000" w:themeColor="text1"/>
        </w:rPr>
        <w:footnoteReference w:id="11"/>
      </w:r>
      <w:r w:rsidRPr="00617A89">
        <w:rPr>
          <w:color w:val="000000" w:themeColor="text1"/>
        </w:rPr>
        <w:t xml:space="preserve"> had some of the lowest labour force outcomes of all the sub-groups, especially in the short-term. For example, their full-time employment rate was only 67.2 per cent shortly after completing their course, compared to a rate of 79.7 per cent for those from English-speaking backgrounds.</w:t>
      </w:r>
    </w:p>
    <w:p w14:paraId="06FEFFEA" w14:textId="1CEC0153" w:rsidR="00506E93"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 xml:space="preserve">While the gap in full-time employment rates narrowed substantially over the 3 years, undergraduates from a non-English speaking background continued to be employed full-time at a rate lower than graduates whose home language </w:t>
      </w:r>
      <w:r w:rsidR="00EA5AC0" w:rsidRPr="00617A89">
        <w:rPr>
          <w:color w:val="000000" w:themeColor="text1"/>
        </w:rPr>
        <w:t xml:space="preserve">was </w:t>
      </w:r>
      <w:r w:rsidRPr="00617A89">
        <w:rPr>
          <w:color w:val="000000" w:themeColor="text1"/>
        </w:rPr>
        <w:t>English.</w:t>
      </w:r>
      <w:r w:rsidR="00AB725F" w:rsidRPr="00617A89">
        <w:rPr>
          <w:color w:val="000000" w:themeColor="text1"/>
        </w:rPr>
        <w:t xml:space="preserve"> </w:t>
      </w:r>
      <w:r w:rsidR="008A7FE5" w:rsidRPr="00617A89">
        <w:rPr>
          <w:color w:val="000000" w:themeColor="text1"/>
        </w:rPr>
        <w:t>In addition, u</w:t>
      </w:r>
      <w:r w:rsidRPr="00617A89">
        <w:rPr>
          <w:color w:val="000000" w:themeColor="text1"/>
        </w:rPr>
        <w:t xml:space="preserve">ndergraduates from non-English speaking backgrounds reported the lowest median salaries of all sub-groups examined, in both the short- and medium-term. </w:t>
      </w:r>
    </w:p>
    <w:p w14:paraId="370EF315" w14:textId="71F7148F" w:rsidR="00910822" w:rsidRPr="00617A89" w:rsidRDefault="00910822" w:rsidP="00910822">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 xml:space="preserve">Notably, these graduates were more likely to be in further full-time study in the short- and medium-term, which may </w:t>
      </w:r>
      <w:r w:rsidR="008A7FE5" w:rsidRPr="00617A89">
        <w:rPr>
          <w:color w:val="000000" w:themeColor="text1"/>
        </w:rPr>
        <w:t>limit the number of hours they can work and the types of jobs they can do</w:t>
      </w:r>
      <w:r w:rsidRPr="00617A89">
        <w:rPr>
          <w:color w:val="000000" w:themeColor="text1"/>
        </w:rPr>
        <w:t>.</w:t>
      </w:r>
      <w:r w:rsidR="00CD7604" w:rsidRPr="00617A89">
        <w:rPr>
          <w:color w:val="000000" w:themeColor="text1"/>
        </w:rPr>
        <w:t xml:space="preserve"> </w:t>
      </w:r>
      <w:r w:rsidR="008A7FE5" w:rsidRPr="00617A89">
        <w:rPr>
          <w:color w:val="000000" w:themeColor="text1"/>
        </w:rPr>
        <w:t>This may partially explain</w:t>
      </w:r>
      <w:r w:rsidR="00CD7604" w:rsidRPr="00617A89">
        <w:rPr>
          <w:color w:val="000000" w:themeColor="text1"/>
        </w:rPr>
        <w:t xml:space="preserve"> the lower full-time employment rates and median salaries of undergraduates from non-English speaking backgrounds.</w:t>
      </w:r>
    </w:p>
    <w:p w14:paraId="539031B6" w14:textId="77777777" w:rsidR="00910822" w:rsidRPr="00617A89" w:rsidRDefault="00910822" w:rsidP="00BC457C">
      <w:pPr>
        <w:pStyle w:val="Heading4"/>
      </w:pPr>
      <w:bookmarkStart w:id="115" w:name="_Ref145497297"/>
      <w:r w:rsidRPr="00617A89">
        <w:t>Gender</w:t>
      </w:r>
    </w:p>
    <w:p w14:paraId="6BA4B740" w14:textId="77777777" w:rsidR="00D13114" w:rsidRPr="00617A89" w:rsidRDefault="001335D4" w:rsidP="00D13271">
      <w:pPr>
        <w:pStyle w:val="Body"/>
        <w:rPr>
          <w:color w:val="000000" w:themeColor="text1"/>
        </w:rPr>
      </w:pPr>
      <w:r w:rsidRPr="00617A89">
        <w:rPr>
          <w:color w:val="000000" w:themeColor="text1"/>
        </w:rPr>
        <w:t>Female undergraduates typically report higher rates of full-time employment than males but lower median salaries, and this trend continued for this 2022-2025 cohort (</w:t>
      </w:r>
      <w:r w:rsidRPr="00617A89">
        <w:rPr>
          <w:b/>
          <w:bCs/>
          <w:color w:val="000000" w:themeColor="text1"/>
        </w:rPr>
        <w:fldChar w:fldCharType="begin"/>
      </w:r>
      <w:r w:rsidRPr="00617A89">
        <w:rPr>
          <w:b/>
          <w:bCs/>
          <w:color w:val="000000" w:themeColor="text1"/>
        </w:rPr>
        <w:instrText xml:space="preserve"> REF _Ref178424699 \h  \* MERGEFORMAT </w:instrText>
      </w:r>
      <w:r w:rsidRPr="00617A89">
        <w:rPr>
          <w:b/>
          <w:bCs/>
          <w:color w:val="000000" w:themeColor="text1"/>
        </w:rPr>
      </w:r>
      <w:r w:rsidRPr="00617A89">
        <w:rPr>
          <w:b/>
          <w:bCs/>
          <w:color w:val="000000" w:themeColor="text1"/>
        </w:rPr>
        <w:fldChar w:fldCharType="separate"/>
      </w:r>
      <w:r w:rsidR="00DB7C31" w:rsidRPr="00617A89">
        <w:rPr>
          <w:b/>
          <w:bCs/>
          <w:color w:val="000000" w:themeColor="text1"/>
        </w:rPr>
        <w:t xml:space="preserve">Table </w:t>
      </w:r>
      <w:r w:rsidR="00DB7C31" w:rsidRPr="00617A89">
        <w:rPr>
          <w:b/>
          <w:bCs/>
          <w:noProof/>
          <w:color w:val="000000" w:themeColor="text1"/>
        </w:rPr>
        <w:t>4</w:t>
      </w:r>
      <w:r w:rsidRPr="00617A89">
        <w:rPr>
          <w:b/>
          <w:bCs/>
          <w:color w:val="000000" w:themeColor="text1"/>
        </w:rPr>
        <w:fldChar w:fldCharType="end"/>
      </w:r>
      <w:r w:rsidRPr="00617A89">
        <w:rPr>
          <w:color w:val="000000" w:themeColor="text1"/>
        </w:rPr>
        <w:t>).</w:t>
      </w:r>
      <w:r w:rsidR="001E57DE" w:rsidRPr="00617A89">
        <w:rPr>
          <w:b/>
          <w:bCs/>
          <w:color w:val="000000" w:themeColor="text1"/>
        </w:rPr>
        <w:t xml:space="preserve"> </w:t>
      </w:r>
      <w:bookmarkStart w:id="116" w:name="_Ref168311446"/>
      <w:r w:rsidRPr="00617A89">
        <w:rPr>
          <w:color w:val="000000" w:themeColor="text1"/>
        </w:rPr>
        <w:t xml:space="preserve">Notably, female undergraduates employed full-time were less likely to be working in managerial or professional occupations than their male peers, which may partially explain the lower median salary in both the short- and medium-term. </w:t>
      </w:r>
      <w:r w:rsidR="00D13114" w:rsidRPr="00617A89">
        <w:rPr>
          <w:color w:val="000000" w:themeColor="text1"/>
        </w:rPr>
        <w:t xml:space="preserve">See </w:t>
      </w:r>
      <w:hyperlink w:anchor="_Gender_pay_gap" w:history="1">
        <w:r w:rsidR="00D13114" w:rsidRPr="00617A89">
          <w:rPr>
            <w:rStyle w:val="Hyperlink"/>
          </w:rPr>
          <w:t>Gender pay gap</w:t>
        </w:r>
      </w:hyperlink>
      <w:r w:rsidR="00D13114" w:rsidRPr="00617A89">
        <w:rPr>
          <w:color w:val="000000" w:themeColor="text1"/>
        </w:rPr>
        <w:t xml:space="preserve"> for further analysis on the gender pay </w:t>
      </w:r>
      <w:r w:rsidR="00105759" w:rsidRPr="00617A89">
        <w:rPr>
          <w:color w:val="000000" w:themeColor="text1"/>
        </w:rPr>
        <w:t xml:space="preserve">gap </w:t>
      </w:r>
      <w:r w:rsidR="00D13114" w:rsidRPr="00617A89">
        <w:rPr>
          <w:color w:val="000000" w:themeColor="text1"/>
        </w:rPr>
        <w:t xml:space="preserve">over time and </w:t>
      </w:r>
      <w:r w:rsidRPr="00617A89">
        <w:rPr>
          <w:color w:val="000000" w:themeColor="text1"/>
        </w:rPr>
        <w:t xml:space="preserve">how this differs </w:t>
      </w:r>
      <w:r w:rsidR="00D13114" w:rsidRPr="00617A89">
        <w:rPr>
          <w:color w:val="000000" w:themeColor="text1"/>
        </w:rPr>
        <w:t xml:space="preserve">across study </w:t>
      </w:r>
      <w:r w:rsidRPr="00617A89">
        <w:rPr>
          <w:color w:val="000000" w:themeColor="text1"/>
        </w:rPr>
        <w:t>areas</w:t>
      </w:r>
      <w:r w:rsidR="00D13114" w:rsidRPr="00617A89">
        <w:rPr>
          <w:color w:val="000000" w:themeColor="text1"/>
        </w:rPr>
        <w:t xml:space="preserve">. </w:t>
      </w:r>
    </w:p>
    <w:p w14:paraId="1CA113E7" w14:textId="2ACC08FB" w:rsidR="00C22852" w:rsidRPr="00617A89" w:rsidRDefault="00C22852" w:rsidP="00C22852">
      <w:pPr>
        <w:tabs>
          <w:tab w:val="left" w:pos="9216"/>
        </w:tabs>
      </w:pPr>
      <w:r w:rsidRPr="00617A89">
        <w:tab/>
      </w:r>
    </w:p>
    <w:p w14:paraId="37E4C4CD" w14:textId="77777777" w:rsidR="00C22852" w:rsidRPr="00617A89" w:rsidRDefault="00C22852" w:rsidP="00C22852">
      <w:pPr>
        <w:rPr>
          <w:rFonts w:eastAsia="Times New Roman" w:cs="Times New Roman"/>
          <w:color w:val="000000" w:themeColor="text1"/>
          <w:szCs w:val="20"/>
        </w:rPr>
      </w:pPr>
    </w:p>
    <w:p w14:paraId="74CF53FE" w14:textId="589F4F94" w:rsidR="00C22852" w:rsidRPr="00617A89" w:rsidRDefault="00C22852" w:rsidP="00C22852">
      <w:pPr>
        <w:sectPr w:rsidR="00C22852" w:rsidRPr="00617A89" w:rsidSect="007B0C64">
          <w:headerReference w:type="default" r:id="rId84"/>
          <w:footerReference w:type="default" r:id="rId85"/>
          <w:pgSz w:w="11900" w:h="16840"/>
          <w:pgMar w:top="720" w:right="720" w:bottom="720" w:left="720" w:header="397" w:footer="397" w:gutter="0"/>
          <w:cols w:space="708"/>
          <w:docGrid w:linePitch="360"/>
        </w:sectPr>
      </w:pPr>
    </w:p>
    <w:p w14:paraId="3F738C57" w14:textId="262E286F" w:rsidR="00910822" w:rsidRPr="00617A89" w:rsidRDefault="00910822" w:rsidP="00BC457C">
      <w:pPr>
        <w:pStyle w:val="Caption"/>
        <w:rPr>
          <w:color w:val="000000" w:themeColor="text1"/>
        </w:rPr>
      </w:pPr>
      <w:bookmarkStart w:id="117" w:name="_Ref178424699"/>
      <w:bookmarkStart w:id="118" w:name="_Toc222868474"/>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4</w:t>
      </w:r>
      <w:r w:rsidR="00DB7C31" w:rsidRPr="00617A89">
        <w:rPr>
          <w:noProof/>
          <w:color w:val="000000" w:themeColor="text1"/>
        </w:rPr>
        <w:fldChar w:fldCharType="end"/>
      </w:r>
      <w:bookmarkEnd w:id="115"/>
      <w:bookmarkEnd w:id="116"/>
      <w:bookmarkEnd w:id="117"/>
      <w:r w:rsidR="00BC457C" w:rsidRPr="00617A89">
        <w:rPr>
          <w:color w:val="000000" w:themeColor="text1"/>
        </w:rPr>
        <w:tab/>
      </w:r>
      <w:r w:rsidRPr="00617A89">
        <w:rPr>
          <w:color w:val="000000" w:themeColor="text1"/>
        </w:rPr>
        <w:t>Domestic undergraduate employment outcomes by demographic sub-group</w:t>
      </w:r>
      <w:bookmarkEnd w:id="118"/>
    </w:p>
    <w:tbl>
      <w:tblPr>
        <w:tblW w:w="4967" w:type="pct"/>
        <w:tblInd w:w="-5" w:type="dxa"/>
        <w:tblCellMar>
          <w:left w:w="0" w:type="dxa"/>
          <w:right w:w="0" w:type="dxa"/>
        </w:tblCellMar>
        <w:tblLook w:val="0000" w:firstRow="0" w:lastRow="0" w:firstColumn="0" w:lastColumn="0" w:noHBand="0" w:noVBand="0"/>
      </w:tblPr>
      <w:tblGrid>
        <w:gridCol w:w="1983"/>
        <w:gridCol w:w="1071"/>
        <w:gridCol w:w="1071"/>
        <w:gridCol w:w="1175"/>
        <w:gridCol w:w="1175"/>
        <w:gridCol w:w="1195"/>
        <w:gridCol w:w="1195"/>
        <w:gridCol w:w="1061"/>
        <w:gridCol w:w="1067"/>
        <w:gridCol w:w="1064"/>
        <w:gridCol w:w="1067"/>
        <w:gridCol w:w="1082"/>
        <w:gridCol w:w="1082"/>
      </w:tblGrid>
      <w:tr w:rsidR="00C22852" w:rsidRPr="00617A89" w14:paraId="51C254ED" w14:textId="2E4421DB" w:rsidTr="00BC457C">
        <w:trPr>
          <w:trHeight w:val="463"/>
          <w:tblHeader/>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6BB7106B" w14:textId="77777777" w:rsidR="00D421E4" w:rsidRPr="00617A89" w:rsidRDefault="00D421E4" w:rsidP="00BC457C">
            <w:pPr>
              <w:jc w:val="center"/>
              <w:rPr>
                <w:rFonts w:cs="Arial"/>
                <w:b/>
                <w:color w:val="000000" w:themeColor="text1"/>
                <w:sz w:val="18"/>
              </w:rPr>
            </w:pPr>
            <w:bookmarkStart w:id="119" w:name="_Hlk109741912"/>
          </w:p>
        </w:tc>
        <w:tc>
          <w:tcPr>
            <w:tcW w:w="350" w:type="pct"/>
            <w:tcBorders>
              <w:top w:val="single" w:sz="4" w:space="0" w:color="000000"/>
              <w:left w:val="single" w:sz="4" w:space="0" w:color="000000"/>
              <w:bottom w:val="single" w:sz="4" w:space="0" w:color="000000"/>
              <w:right w:val="single" w:sz="4" w:space="0" w:color="000000"/>
            </w:tcBorders>
            <w:vAlign w:val="bottom"/>
          </w:tcPr>
          <w:p w14:paraId="366BE795" w14:textId="77777777" w:rsidR="00BC457C" w:rsidRPr="00617A89" w:rsidRDefault="00BC457C" w:rsidP="00BC457C">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Full-time</w:t>
            </w:r>
          </w:p>
          <w:p w14:paraId="68FDC178" w14:textId="68941E15"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Pr="00617A89">
              <w:rPr>
                <w:rFonts w:ascii="Arial" w:hAnsi="Arial" w:cs="Arial"/>
                <w:b/>
                <w:color w:val="000000" w:themeColor="text1"/>
                <w:sz w:val="18"/>
                <w:szCs w:val="18"/>
                <w:vertAlign w:val="superscript"/>
              </w:rPr>
              <w:t xml:space="preserve">‡ </w:t>
            </w:r>
            <w:r w:rsidR="00D421E4" w:rsidRPr="00617A89">
              <w:rPr>
                <w:rFonts w:ascii="Arial" w:hAnsi="Arial" w:cs="Arial"/>
                <w:b/>
                <w:color w:val="000000" w:themeColor="text1"/>
                <w:sz w:val="18"/>
                <w:szCs w:val="18"/>
              </w:rPr>
              <w:t>Short-term (2022)</w:t>
            </w:r>
          </w:p>
        </w:tc>
        <w:tc>
          <w:tcPr>
            <w:tcW w:w="350" w:type="pct"/>
            <w:tcBorders>
              <w:top w:val="single" w:sz="4" w:space="0" w:color="000000"/>
              <w:left w:val="single" w:sz="4" w:space="0" w:color="000000"/>
              <w:bottom w:val="single" w:sz="4" w:space="0" w:color="000000"/>
              <w:right w:val="single" w:sz="4" w:space="0" w:color="000000"/>
            </w:tcBorders>
            <w:vAlign w:val="bottom"/>
          </w:tcPr>
          <w:p w14:paraId="155303AB" w14:textId="77777777" w:rsidR="00BC457C" w:rsidRPr="00617A89" w:rsidRDefault="00BC457C" w:rsidP="00BC457C">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Full-time</w:t>
            </w:r>
          </w:p>
          <w:p w14:paraId="69F4084F" w14:textId="771BB8A8"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Pr="00617A89">
              <w:rPr>
                <w:rFonts w:ascii="Arial" w:hAnsi="Arial" w:cs="Arial"/>
                <w:b/>
                <w:color w:val="000000" w:themeColor="text1"/>
                <w:sz w:val="18"/>
                <w:szCs w:val="18"/>
                <w:vertAlign w:val="superscript"/>
              </w:rPr>
              <w:t xml:space="preserve">‡ </w:t>
            </w:r>
            <w:r w:rsidR="00D421E4" w:rsidRPr="00617A89">
              <w:rPr>
                <w:rFonts w:ascii="Arial" w:hAnsi="Arial" w:cs="Arial"/>
                <w:b/>
                <w:color w:val="000000" w:themeColor="text1"/>
                <w:sz w:val="18"/>
                <w:szCs w:val="18"/>
              </w:rPr>
              <w:t>Medium-term</w:t>
            </w:r>
          </w:p>
          <w:p w14:paraId="51EFB83B" w14:textId="77777777" w:rsidR="00D421E4" w:rsidRPr="00617A89" w:rsidRDefault="00D421E4"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AA1E37" w14:textId="77777777" w:rsidR="00BC457C" w:rsidRPr="00617A89" w:rsidRDefault="00BC457C" w:rsidP="00BC457C">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Overall</w:t>
            </w:r>
          </w:p>
          <w:p w14:paraId="747BA119" w14:textId="7BA3921D"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Pr="00617A89">
              <w:rPr>
                <w:rFonts w:ascii="Arial" w:hAnsi="Arial" w:cs="Arial"/>
                <w:b/>
                <w:color w:val="000000" w:themeColor="text1"/>
                <w:sz w:val="18"/>
                <w:szCs w:val="18"/>
                <w:vertAlign w:val="superscript"/>
              </w:rPr>
              <w:t xml:space="preserve">‡ </w:t>
            </w:r>
            <w:r w:rsidR="00D421E4" w:rsidRPr="00617A89">
              <w:rPr>
                <w:rFonts w:ascii="Arial" w:hAnsi="Arial" w:cs="Arial"/>
                <w:b/>
                <w:color w:val="000000" w:themeColor="text1"/>
                <w:sz w:val="18"/>
                <w:szCs w:val="18"/>
              </w:rPr>
              <w:t>Short-term (2022)</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D294DD5" w14:textId="77777777" w:rsidR="00BC457C" w:rsidRPr="00617A89" w:rsidRDefault="00BC457C" w:rsidP="00BC457C">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Overall</w:t>
            </w:r>
          </w:p>
          <w:p w14:paraId="45E02AFA" w14:textId="19DB3EDB"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Pr="00617A89">
              <w:rPr>
                <w:rFonts w:ascii="Arial" w:hAnsi="Arial" w:cs="Arial"/>
                <w:b/>
                <w:color w:val="000000" w:themeColor="text1"/>
                <w:sz w:val="18"/>
                <w:szCs w:val="18"/>
                <w:vertAlign w:val="superscript"/>
              </w:rPr>
              <w:t xml:space="preserve">‡ </w:t>
            </w:r>
            <w:r w:rsidR="00D421E4" w:rsidRPr="00617A89">
              <w:rPr>
                <w:rFonts w:ascii="Arial" w:hAnsi="Arial" w:cs="Arial"/>
                <w:b/>
                <w:color w:val="000000" w:themeColor="text1"/>
                <w:sz w:val="18"/>
                <w:szCs w:val="18"/>
              </w:rPr>
              <w:t>Medium-term</w:t>
            </w:r>
          </w:p>
          <w:p w14:paraId="43DD8C11" w14:textId="77777777" w:rsidR="00D421E4" w:rsidRPr="00617A89" w:rsidRDefault="00D421E4"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5533A73" w14:textId="296D7E85"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Labour force participation rate (%)</w:t>
            </w:r>
            <w:r w:rsidRPr="00617A89">
              <w:rPr>
                <w:rFonts w:ascii="Arial" w:hAnsi="Arial" w:cs="Arial"/>
                <w:b/>
                <w:color w:val="000000" w:themeColor="text1"/>
                <w:sz w:val="18"/>
                <w:szCs w:val="18"/>
                <w:vertAlign w:val="superscript"/>
              </w:rPr>
              <w:t xml:space="preserve">‡ </w:t>
            </w:r>
            <w:r w:rsidR="00D421E4" w:rsidRPr="00617A89">
              <w:rPr>
                <w:rFonts w:ascii="Arial" w:hAnsi="Arial" w:cs="Arial"/>
                <w:b/>
                <w:color w:val="000000" w:themeColor="text1"/>
                <w:sz w:val="18"/>
                <w:szCs w:val="18"/>
              </w:rPr>
              <w:t>Short-term (2022)</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F61231" w14:textId="0764456A"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Labour force participation rate (%)</w:t>
            </w:r>
            <w:r w:rsidRPr="00617A89">
              <w:rPr>
                <w:rFonts w:ascii="Arial" w:hAnsi="Arial" w:cs="Arial"/>
                <w:b/>
                <w:color w:val="000000" w:themeColor="text1"/>
                <w:sz w:val="18"/>
                <w:szCs w:val="18"/>
                <w:vertAlign w:val="superscript"/>
              </w:rPr>
              <w:t xml:space="preserve">‡ </w:t>
            </w:r>
            <w:r w:rsidR="00D421E4" w:rsidRPr="00617A89">
              <w:rPr>
                <w:rFonts w:ascii="Arial" w:hAnsi="Arial" w:cs="Arial"/>
                <w:b/>
                <w:color w:val="000000" w:themeColor="text1"/>
                <w:sz w:val="18"/>
                <w:szCs w:val="18"/>
              </w:rPr>
              <w:t>Medium-term</w:t>
            </w:r>
          </w:p>
          <w:p w14:paraId="6F248F0E" w14:textId="77777777" w:rsidR="00D421E4" w:rsidRPr="00617A89" w:rsidRDefault="00D421E4"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910132" w14:textId="30BC364F"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Median annual full-time salary ($) </w:t>
            </w:r>
            <w:r w:rsidR="00D421E4" w:rsidRPr="00617A89">
              <w:rPr>
                <w:rFonts w:ascii="Arial" w:hAnsi="Arial" w:cs="Arial"/>
                <w:b/>
                <w:color w:val="000000" w:themeColor="text1"/>
                <w:sz w:val="18"/>
                <w:szCs w:val="18"/>
              </w:rPr>
              <w:t>Short-term (2022)</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E7D7C6" w14:textId="75B9F97C"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Median annual full-time salary ($) </w:t>
            </w:r>
            <w:r w:rsidR="00D421E4" w:rsidRPr="00617A89">
              <w:rPr>
                <w:rFonts w:ascii="Arial" w:hAnsi="Arial" w:cs="Arial"/>
                <w:b/>
                <w:color w:val="000000" w:themeColor="text1"/>
                <w:sz w:val="18"/>
                <w:szCs w:val="18"/>
              </w:rPr>
              <w:t>Medium-term</w:t>
            </w:r>
          </w:p>
          <w:p w14:paraId="624D7D07" w14:textId="77777777" w:rsidR="00D421E4" w:rsidRPr="00617A89" w:rsidRDefault="00D421E4"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348" w:type="pct"/>
            <w:tcBorders>
              <w:top w:val="single" w:sz="4" w:space="0" w:color="000000"/>
              <w:left w:val="single" w:sz="4" w:space="0" w:color="000000"/>
              <w:bottom w:val="single" w:sz="4" w:space="0" w:color="000000"/>
              <w:right w:val="single" w:sz="4" w:space="0" w:color="000000"/>
            </w:tcBorders>
            <w:vAlign w:val="bottom"/>
          </w:tcPr>
          <w:p w14:paraId="4E1142AE" w14:textId="43B47771" w:rsidR="00D421E4" w:rsidRPr="00617A89" w:rsidRDefault="00BC457C" w:rsidP="00BC457C">
            <w:pPr>
              <w:pStyle w:val="TablecolumnheadCENTRETABLES"/>
              <w:rPr>
                <w:rFonts w:ascii="Arial" w:hAnsi="Arial" w:cs="Arial"/>
                <w:b/>
                <w:color w:val="000000" w:themeColor="text1"/>
                <w:sz w:val="18"/>
                <w:szCs w:val="18"/>
              </w:rPr>
            </w:pPr>
            <w:r w:rsidRPr="00617A89">
              <w:rPr>
                <w:rFonts w:ascii="Arial" w:eastAsia="MS Mincho" w:hAnsi="Arial" w:cs="Arial"/>
                <w:b/>
                <w:color w:val="000000" w:themeColor="text1"/>
                <w:sz w:val="18"/>
              </w:rPr>
              <w:t xml:space="preserve">In further full-time study (%) </w:t>
            </w:r>
            <w:r w:rsidR="00D421E4" w:rsidRPr="00617A89">
              <w:rPr>
                <w:rFonts w:ascii="Arial" w:hAnsi="Arial" w:cs="Arial"/>
                <w:b/>
                <w:color w:val="000000" w:themeColor="text1"/>
                <w:sz w:val="18"/>
                <w:szCs w:val="18"/>
              </w:rPr>
              <w:t>Short-term (2022)</w:t>
            </w:r>
          </w:p>
        </w:tc>
        <w:tc>
          <w:tcPr>
            <w:tcW w:w="349" w:type="pct"/>
            <w:tcBorders>
              <w:top w:val="single" w:sz="4" w:space="0" w:color="000000"/>
              <w:left w:val="single" w:sz="4" w:space="0" w:color="000000"/>
              <w:bottom w:val="single" w:sz="4" w:space="0" w:color="000000"/>
              <w:right w:val="single" w:sz="4" w:space="0" w:color="000000"/>
            </w:tcBorders>
            <w:vAlign w:val="bottom"/>
          </w:tcPr>
          <w:p w14:paraId="5DC8F0A3" w14:textId="38D9E232" w:rsidR="00D421E4" w:rsidRPr="00617A89" w:rsidRDefault="00BC457C" w:rsidP="00BC457C">
            <w:pPr>
              <w:pStyle w:val="TablecolumnheadCENTRETABLES"/>
              <w:rPr>
                <w:rFonts w:ascii="Arial" w:hAnsi="Arial" w:cs="Arial"/>
                <w:b/>
                <w:color w:val="000000" w:themeColor="text1"/>
                <w:sz w:val="18"/>
                <w:szCs w:val="18"/>
              </w:rPr>
            </w:pPr>
            <w:r w:rsidRPr="00617A89">
              <w:rPr>
                <w:rFonts w:ascii="Arial" w:eastAsia="MS Mincho" w:hAnsi="Arial" w:cs="Arial"/>
                <w:b/>
                <w:color w:val="000000" w:themeColor="text1"/>
                <w:sz w:val="18"/>
              </w:rPr>
              <w:t xml:space="preserve">In further full-time study (%) </w:t>
            </w:r>
            <w:r w:rsidR="00D421E4" w:rsidRPr="00617A89">
              <w:rPr>
                <w:rFonts w:ascii="Arial" w:hAnsi="Arial" w:cs="Arial"/>
                <w:b/>
                <w:color w:val="000000" w:themeColor="text1"/>
                <w:sz w:val="18"/>
                <w:szCs w:val="18"/>
              </w:rPr>
              <w:t>Medium-term</w:t>
            </w:r>
          </w:p>
          <w:p w14:paraId="4161A98E" w14:textId="00C485AB" w:rsidR="00D421E4" w:rsidRPr="00617A89" w:rsidRDefault="00D421E4"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354" w:type="pct"/>
            <w:tcBorders>
              <w:top w:val="single" w:sz="4" w:space="0" w:color="000000"/>
              <w:left w:val="single" w:sz="4" w:space="0" w:color="000000"/>
              <w:bottom w:val="single" w:sz="4" w:space="0" w:color="000000"/>
              <w:right w:val="single" w:sz="4" w:space="0" w:color="000000"/>
            </w:tcBorders>
            <w:vAlign w:val="bottom"/>
          </w:tcPr>
          <w:p w14:paraId="3D2507C6" w14:textId="1D413581"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Employed in managerial or professional occupation (% employed full-time) </w:t>
            </w:r>
            <w:r w:rsidR="00D421E4" w:rsidRPr="00617A89">
              <w:rPr>
                <w:rFonts w:ascii="Arial" w:hAnsi="Arial" w:cs="Arial"/>
                <w:b/>
                <w:color w:val="000000" w:themeColor="text1"/>
                <w:sz w:val="18"/>
                <w:szCs w:val="18"/>
              </w:rPr>
              <w:t>Short-term (2022)</w:t>
            </w:r>
          </w:p>
        </w:tc>
        <w:tc>
          <w:tcPr>
            <w:tcW w:w="354" w:type="pct"/>
            <w:tcBorders>
              <w:top w:val="single" w:sz="4" w:space="0" w:color="000000"/>
              <w:left w:val="single" w:sz="4" w:space="0" w:color="000000"/>
              <w:bottom w:val="single" w:sz="4" w:space="0" w:color="000000"/>
              <w:right w:val="single" w:sz="4" w:space="0" w:color="000000"/>
            </w:tcBorders>
            <w:vAlign w:val="bottom"/>
          </w:tcPr>
          <w:p w14:paraId="105F1559" w14:textId="02CE81D9" w:rsidR="00D421E4" w:rsidRPr="00617A89" w:rsidRDefault="00BC457C"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Employed in managerial or professional occupation (% employed full-time) </w:t>
            </w:r>
            <w:r w:rsidR="00D421E4" w:rsidRPr="00617A89">
              <w:rPr>
                <w:rFonts w:ascii="Arial" w:hAnsi="Arial" w:cs="Arial"/>
                <w:b/>
                <w:color w:val="000000" w:themeColor="text1"/>
                <w:sz w:val="18"/>
                <w:szCs w:val="18"/>
              </w:rPr>
              <w:t>Medium-term</w:t>
            </w:r>
          </w:p>
          <w:p w14:paraId="06D38DCD" w14:textId="2AC2B84C" w:rsidR="00D421E4" w:rsidRPr="00617A89" w:rsidRDefault="00D421E4" w:rsidP="00BC457C">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r>
      <w:tr w:rsidR="00C22852" w:rsidRPr="00617A89" w14:paraId="7259EDDF" w14:textId="39CC3AC1"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3D41420" w14:textId="74D4BCB0"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 xml:space="preserve">Age: </w:t>
            </w:r>
            <w:r w:rsidR="00374B95" w:rsidRPr="00617A89">
              <w:rPr>
                <w:rFonts w:cs="Arial"/>
                <w:color w:val="000000" w:themeColor="text1"/>
                <w:sz w:val="18"/>
              </w:rPr>
              <w:t>30 years or under</w:t>
            </w:r>
          </w:p>
        </w:tc>
        <w:tc>
          <w:tcPr>
            <w:tcW w:w="350" w:type="pct"/>
            <w:tcBorders>
              <w:top w:val="single" w:sz="4" w:space="0" w:color="000000"/>
              <w:left w:val="single" w:sz="4" w:space="0" w:color="000000"/>
              <w:bottom w:val="single" w:sz="4" w:space="0" w:color="000000"/>
              <w:right w:val="single" w:sz="4" w:space="0" w:color="000000"/>
            </w:tcBorders>
            <w:vAlign w:val="center"/>
          </w:tcPr>
          <w:p w14:paraId="3A14E23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79.0</w:t>
            </w:r>
          </w:p>
        </w:tc>
        <w:tc>
          <w:tcPr>
            <w:tcW w:w="350" w:type="pct"/>
            <w:tcBorders>
              <w:top w:val="single" w:sz="4" w:space="0" w:color="000000"/>
              <w:left w:val="single" w:sz="4" w:space="0" w:color="000000"/>
              <w:bottom w:val="single" w:sz="4" w:space="0" w:color="000000"/>
              <w:right w:val="single" w:sz="4" w:space="0" w:color="000000"/>
            </w:tcBorders>
            <w:vAlign w:val="center"/>
          </w:tcPr>
          <w:p w14:paraId="4E36787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92.0</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B796EA"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89.2</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255F4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94.6</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C42F10"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93.7</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4E223F"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91.1</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84B5E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65,700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4287A0"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89,200</w:t>
            </w:r>
          </w:p>
        </w:tc>
        <w:tc>
          <w:tcPr>
            <w:tcW w:w="348" w:type="pct"/>
            <w:tcBorders>
              <w:top w:val="single" w:sz="4" w:space="0" w:color="000000"/>
              <w:left w:val="single" w:sz="4" w:space="0" w:color="000000"/>
              <w:bottom w:val="single" w:sz="4" w:space="0" w:color="000000"/>
              <w:right w:val="single" w:sz="4" w:space="0" w:color="000000"/>
            </w:tcBorders>
            <w:vAlign w:val="bottom"/>
          </w:tcPr>
          <w:p w14:paraId="506D7F8D" w14:textId="55A36C81"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20.0</w:t>
            </w:r>
          </w:p>
        </w:tc>
        <w:tc>
          <w:tcPr>
            <w:tcW w:w="349" w:type="pct"/>
            <w:tcBorders>
              <w:top w:val="single" w:sz="4" w:space="0" w:color="000000"/>
              <w:left w:val="single" w:sz="4" w:space="0" w:color="000000"/>
              <w:bottom w:val="single" w:sz="4" w:space="0" w:color="000000"/>
              <w:right w:val="single" w:sz="4" w:space="0" w:color="000000"/>
            </w:tcBorders>
            <w:vAlign w:val="bottom"/>
          </w:tcPr>
          <w:p w14:paraId="2722A97E" w14:textId="79866CA6"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15.8</w:t>
            </w:r>
          </w:p>
        </w:tc>
        <w:tc>
          <w:tcPr>
            <w:tcW w:w="354" w:type="pct"/>
            <w:tcBorders>
              <w:top w:val="single" w:sz="4" w:space="0" w:color="000000"/>
              <w:left w:val="single" w:sz="4" w:space="0" w:color="000000"/>
              <w:bottom w:val="single" w:sz="4" w:space="0" w:color="000000"/>
              <w:right w:val="single" w:sz="4" w:space="0" w:color="000000"/>
            </w:tcBorders>
            <w:vAlign w:val="bottom"/>
          </w:tcPr>
          <w:p w14:paraId="3EC5CA71" w14:textId="22289C5D"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71.4</w:t>
            </w:r>
          </w:p>
        </w:tc>
        <w:tc>
          <w:tcPr>
            <w:tcW w:w="354" w:type="pct"/>
            <w:tcBorders>
              <w:top w:val="single" w:sz="4" w:space="0" w:color="000000"/>
              <w:left w:val="single" w:sz="4" w:space="0" w:color="000000"/>
              <w:bottom w:val="single" w:sz="4" w:space="0" w:color="000000"/>
              <w:right w:val="single" w:sz="4" w:space="0" w:color="000000"/>
            </w:tcBorders>
            <w:vAlign w:val="bottom"/>
          </w:tcPr>
          <w:p w14:paraId="6AF6E1FE" w14:textId="0B035F99"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79.7</w:t>
            </w:r>
          </w:p>
        </w:tc>
      </w:tr>
      <w:tr w:rsidR="00C22852" w:rsidRPr="00617A89" w14:paraId="29DA8F0A" w14:textId="6DC40E89"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F0781D0" w14:textId="154BE9CF"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Age</w:t>
            </w:r>
            <w:r w:rsidRPr="00617A89">
              <w:rPr>
                <w:rFonts w:cs="Arial"/>
                <w:color w:val="000000" w:themeColor="text1"/>
                <w:sz w:val="18"/>
              </w:rPr>
              <w:t xml:space="preserve">: </w:t>
            </w:r>
            <w:r w:rsidR="00374B95" w:rsidRPr="00617A89">
              <w:rPr>
                <w:rFonts w:cs="Arial"/>
                <w:color w:val="000000" w:themeColor="text1"/>
                <w:sz w:val="18"/>
              </w:rPr>
              <w:t>Over 30 years</w:t>
            </w:r>
          </w:p>
        </w:tc>
        <w:tc>
          <w:tcPr>
            <w:tcW w:w="350" w:type="pct"/>
            <w:tcBorders>
              <w:top w:val="single" w:sz="4" w:space="0" w:color="000000"/>
              <w:left w:val="single" w:sz="4" w:space="0" w:color="000000"/>
              <w:bottom w:val="single" w:sz="4" w:space="0" w:color="000000"/>
              <w:right w:val="single" w:sz="4" w:space="0" w:color="000000"/>
            </w:tcBorders>
            <w:vAlign w:val="center"/>
          </w:tcPr>
          <w:p w14:paraId="5E0C07DD"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80.5</w:t>
            </w:r>
          </w:p>
        </w:tc>
        <w:tc>
          <w:tcPr>
            <w:tcW w:w="350" w:type="pct"/>
            <w:tcBorders>
              <w:top w:val="single" w:sz="4" w:space="0" w:color="000000"/>
              <w:left w:val="single" w:sz="4" w:space="0" w:color="000000"/>
              <w:bottom w:val="single" w:sz="4" w:space="0" w:color="000000"/>
              <w:right w:val="single" w:sz="4" w:space="0" w:color="000000"/>
            </w:tcBorders>
            <w:vAlign w:val="center"/>
          </w:tcPr>
          <w:p w14:paraId="0E969A81"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91.1</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B20BF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89.3</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812EE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94.5</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F08A7D"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90.7</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FFDB6F4"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89.0</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606470"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74,900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FA0691"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97,000</w:t>
            </w:r>
          </w:p>
        </w:tc>
        <w:tc>
          <w:tcPr>
            <w:tcW w:w="348" w:type="pct"/>
            <w:tcBorders>
              <w:top w:val="single" w:sz="4" w:space="0" w:color="000000"/>
              <w:left w:val="single" w:sz="4" w:space="0" w:color="000000"/>
              <w:bottom w:val="single" w:sz="4" w:space="0" w:color="000000"/>
              <w:right w:val="single" w:sz="4" w:space="0" w:color="000000"/>
            </w:tcBorders>
            <w:vAlign w:val="bottom"/>
          </w:tcPr>
          <w:p w14:paraId="1BB43809" w14:textId="350309B3"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12.7</w:t>
            </w:r>
          </w:p>
        </w:tc>
        <w:tc>
          <w:tcPr>
            <w:tcW w:w="349" w:type="pct"/>
            <w:tcBorders>
              <w:top w:val="single" w:sz="4" w:space="0" w:color="000000"/>
              <w:left w:val="single" w:sz="4" w:space="0" w:color="000000"/>
              <w:bottom w:val="single" w:sz="4" w:space="0" w:color="000000"/>
              <w:right w:val="single" w:sz="4" w:space="0" w:color="000000"/>
            </w:tcBorders>
            <w:vAlign w:val="bottom"/>
          </w:tcPr>
          <w:p w14:paraId="2505C6E4" w14:textId="5097F95C"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w:t>
            </w:r>
          </w:p>
        </w:tc>
        <w:tc>
          <w:tcPr>
            <w:tcW w:w="354" w:type="pct"/>
            <w:tcBorders>
              <w:top w:val="single" w:sz="4" w:space="0" w:color="000000"/>
              <w:left w:val="single" w:sz="4" w:space="0" w:color="000000"/>
              <w:bottom w:val="single" w:sz="4" w:space="0" w:color="000000"/>
              <w:right w:val="single" w:sz="4" w:space="0" w:color="000000"/>
            </w:tcBorders>
            <w:vAlign w:val="bottom"/>
          </w:tcPr>
          <w:p w14:paraId="16CE9411" w14:textId="1B7732D2"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69.4</w:t>
            </w:r>
          </w:p>
        </w:tc>
        <w:tc>
          <w:tcPr>
            <w:tcW w:w="354" w:type="pct"/>
            <w:tcBorders>
              <w:top w:val="single" w:sz="4" w:space="0" w:color="000000"/>
              <w:left w:val="single" w:sz="4" w:space="0" w:color="000000"/>
              <w:bottom w:val="single" w:sz="4" w:space="0" w:color="000000"/>
              <w:right w:val="single" w:sz="4" w:space="0" w:color="000000"/>
            </w:tcBorders>
            <w:vAlign w:val="bottom"/>
          </w:tcPr>
          <w:p w14:paraId="156E8459" w14:textId="46E56BA5"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77.2</w:t>
            </w:r>
          </w:p>
        </w:tc>
      </w:tr>
      <w:tr w:rsidR="00C22852" w:rsidRPr="00617A89" w14:paraId="580038DC" w14:textId="5066B649"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89F3064" w14:textId="706E3820"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 xml:space="preserve">Study mode*: </w:t>
            </w:r>
            <w:r w:rsidR="00374B95" w:rsidRPr="00617A89">
              <w:rPr>
                <w:rFonts w:cs="Arial"/>
                <w:color w:val="000000" w:themeColor="text1"/>
                <w:sz w:val="18"/>
              </w:rPr>
              <w:t>Internal/multi-mode</w:t>
            </w:r>
          </w:p>
        </w:tc>
        <w:tc>
          <w:tcPr>
            <w:tcW w:w="350" w:type="pct"/>
            <w:tcBorders>
              <w:top w:val="single" w:sz="4" w:space="0" w:color="000000"/>
              <w:left w:val="single" w:sz="4" w:space="0" w:color="000000"/>
              <w:bottom w:val="single" w:sz="4" w:space="0" w:color="000000"/>
              <w:right w:val="single" w:sz="4" w:space="0" w:color="000000"/>
            </w:tcBorders>
            <w:vAlign w:val="center"/>
          </w:tcPr>
          <w:p w14:paraId="5E1031A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78.2</w:t>
            </w:r>
          </w:p>
        </w:tc>
        <w:tc>
          <w:tcPr>
            <w:tcW w:w="350" w:type="pct"/>
            <w:tcBorders>
              <w:top w:val="single" w:sz="4" w:space="0" w:color="000000"/>
              <w:left w:val="single" w:sz="4" w:space="0" w:color="000000"/>
              <w:bottom w:val="single" w:sz="4" w:space="0" w:color="000000"/>
              <w:right w:val="single" w:sz="4" w:space="0" w:color="000000"/>
            </w:tcBorders>
            <w:vAlign w:val="center"/>
          </w:tcPr>
          <w:p w14:paraId="2E4D14BB"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91.6</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210D9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88.7</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135AE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94.6</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9261B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93.0</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BAE274"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90.6</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8E2820"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67,400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A61F01"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90,000</w:t>
            </w:r>
          </w:p>
        </w:tc>
        <w:tc>
          <w:tcPr>
            <w:tcW w:w="348" w:type="pct"/>
            <w:tcBorders>
              <w:top w:val="single" w:sz="4" w:space="0" w:color="000000"/>
              <w:left w:val="single" w:sz="4" w:space="0" w:color="000000"/>
              <w:bottom w:val="single" w:sz="4" w:space="0" w:color="000000"/>
              <w:right w:val="single" w:sz="4" w:space="0" w:color="000000"/>
            </w:tcBorders>
            <w:vAlign w:val="bottom"/>
          </w:tcPr>
          <w:p w14:paraId="2EAB9933" w14:textId="4944435E"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19.0</w:t>
            </w:r>
          </w:p>
        </w:tc>
        <w:tc>
          <w:tcPr>
            <w:tcW w:w="349" w:type="pct"/>
            <w:tcBorders>
              <w:top w:val="single" w:sz="4" w:space="0" w:color="000000"/>
              <w:left w:val="single" w:sz="4" w:space="0" w:color="000000"/>
              <w:bottom w:val="single" w:sz="4" w:space="0" w:color="000000"/>
              <w:right w:val="single" w:sz="4" w:space="0" w:color="000000"/>
            </w:tcBorders>
            <w:vAlign w:val="bottom"/>
          </w:tcPr>
          <w:p w14:paraId="7E47E61D" w14:textId="5AD95320"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15.1</w:t>
            </w:r>
          </w:p>
        </w:tc>
        <w:tc>
          <w:tcPr>
            <w:tcW w:w="354" w:type="pct"/>
            <w:tcBorders>
              <w:top w:val="single" w:sz="4" w:space="0" w:color="000000"/>
              <w:left w:val="single" w:sz="4" w:space="0" w:color="000000"/>
              <w:bottom w:val="single" w:sz="4" w:space="0" w:color="000000"/>
              <w:right w:val="single" w:sz="4" w:space="0" w:color="000000"/>
            </w:tcBorders>
            <w:vAlign w:val="bottom"/>
          </w:tcPr>
          <w:p w14:paraId="41253456" w14:textId="6A5F6C1C"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72.8</w:t>
            </w:r>
          </w:p>
        </w:tc>
        <w:tc>
          <w:tcPr>
            <w:tcW w:w="354" w:type="pct"/>
            <w:tcBorders>
              <w:top w:val="single" w:sz="4" w:space="0" w:color="000000"/>
              <w:left w:val="single" w:sz="4" w:space="0" w:color="000000"/>
              <w:bottom w:val="single" w:sz="4" w:space="0" w:color="000000"/>
              <w:right w:val="single" w:sz="4" w:space="0" w:color="000000"/>
            </w:tcBorders>
            <w:vAlign w:val="bottom"/>
          </w:tcPr>
          <w:p w14:paraId="0F6BE42A" w14:textId="69C35FD6"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80.1</w:t>
            </w:r>
          </w:p>
        </w:tc>
      </w:tr>
      <w:tr w:rsidR="00C22852" w:rsidRPr="00617A89" w14:paraId="0248101A" w14:textId="0BF31A0C"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B924569" w14:textId="7F9F30AD"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 xml:space="preserve">Study mode*:   </w:t>
            </w:r>
            <w:r w:rsidR="00374B95" w:rsidRPr="00617A89">
              <w:rPr>
                <w:rFonts w:cs="Arial"/>
                <w:color w:val="000000" w:themeColor="text1"/>
                <w:sz w:val="18"/>
              </w:rPr>
              <w:t>External study mode</w:t>
            </w:r>
          </w:p>
        </w:tc>
        <w:tc>
          <w:tcPr>
            <w:tcW w:w="350" w:type="pct"/>
            <w:tcBorders>
              <w:top w:val="single" w:sz="4" w:space="0" w:color="000000"/>
              <w:left w:val="single" w:sz="4" w:space="0" w:color="000000"/>
              <w:bottom w:val="single" w:sz="4" w:space="0" w:color="000000"/>
              <w:right w:val="single" w:sz="4" w:space="0" w:color="000000"/>
            </w:tcBorders>
            <w:vAlign w:val="center"/>
          </w:tcPr>
          <w:p w14:paraId="557D9FCA"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84.2</w:t>
            </w:r>
          </w:p>
        </w:tc>
        <w:tc>
          <w:tcPr>
            <w:tcW w:w="350" w:type="pct"/>
            <w:tcBorders>
              <w:top w:val="single" w:sz="4" w:space="0" w:color="000000"/>
              <w:left w:val="single" w:sz="4" w:space="0" w:color="000000"/>
              <w:bottom w:val="single" w:sz="4" w:space="0" w:color="000000"/>
              <w:right w:val="single" w:sz="4" w:space="0" w:color="000000"/>
            </w:tcBorders>
            <w:vAlign w:val="center"/>
          </w:tcPr>
          <w:p w14:paraId="4F67EFA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92.6</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60FF3A"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91.0</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2C4B0E"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94.9</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484301"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91.2</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3F8549"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89.5</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E9082E"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75,000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EB8B3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98,500</w:t>
            </w:r>
          </w:p>
        </w:tc>
        <w:tc>
          <w:tcPr>
            <w:tcW w:w="348" w:type="pct"/>
            <w:tcBorders>
              <w:top w:val="single" w:sz="4" w:space="0" w:color="000000"/>
              <w:left w:val="single" w:sz="4" w:space="0" w:color="000000"/>
              <w:bottom w:val="single" w:sz="4" w:space="0" w:color="000000"/>
              <w:right w:val="single" w:sz="4" w:space="0" w:color="000000"/>
            </w:tcBorders>
            <w:vAlign w:val="bottom"/>
          </w:tcPr>
          <w:p w14:paraId="33F90D31" w14:textId="5E56D4A1"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11.8</w:t>
            </w:r>
          </w:p>
        </w:tc>
        <w:tc>
          <w:tcPr>
            <w:tcW w:w="349" w:type="pct"/>
            <w:tcBorders>
              <w:top w:val="single" w:sz="4" w:space="0" w:color="000000"/>
              <w:left w:val="single" w:sz="4" w:space="0" w:color="000000"/>
              <w:bottom w:val="single" w:sz="4" w:space="0" w:color="000000"/>
              <w:right w:val="single" w:sz="4" w:space="0" w:color="000000"/>
            </w:tcBorders>
            <w:vAlign w:val="bottom"/>
          </w:tcPr>
          <w:p w14:paraId="1E1102C1" w14:textId="442814CE"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7.6</w:t>
            </w:r>
          </w:p>
        </w:tc>
        <w:tc>
          <w:tcPr>
            <w:tcW w:w="354" w:type="pct"/>
            <w:tcBorders>
              <w:top w:val="single" w:sz="4" w:space="0" w:color="000000"/>
              <w:left w:val="single" w:sz="4" w:space="0" w:color="000000"/>
              <w:bottom w:val="single" w:sz="4" w:space="0" w:color="000000"/>
              <w:right w:val="single" w:sz="4" w:space="0" w:color="000000"/>
            </w:tcBorders>
            <w:vAlign w:val="bottom"/>
          </w:tcPr>
          <w:p w14:paraId="078A3A6A" w14:textId="074083A4"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64.0</w:t>
            </w:r>
          </w:p>
        </w:tc>
        <w:tc>
          <w:tcPr>
            <w:tcW w:w="354" w:type="pct"/>
            <w:tcBorders>
              <w:top w:val="single" w:sz="4" w:space="0" w:color="000000"/>
              <w:left w:val="single" w:sz="4" w:space="0" w:color="000000"/>
              <w:bottom w:val="single" w:sz="4" w:space="0" w:color="000000"/>
              <w:right w:val="single" w:sz="4" w:space="0" w:color="000000"/>
            </w:tcBorders>
            <w:vAlign w:val="bottom"/>
          </w:tcPr>
          <w:p w14:paraId="083AE926" w14:textId="5106D776"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74.5</w:t>
            </w:r>
          </w:p>
        </w:tc>
      </w:tr>
      <w:tr w:rsidR="00C22852" w:rsidRPr="00617A89" w14:paraId="6DE4D6A4" w14:textId="654CB2E1"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2FE0957" w14:textId="6B69E8B6"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 xml:space="preserve">Gender: </w:t>
            </w:r>
            <w:r w:rsidR="00374B95" w:rsidRPr="00617A89">
              <w:rPr>
                <w:rFonts w:cs="Arial"/>
                <w:color w:val="000000" w:themeColor="text1"/>
                <w:sz w:val="18"/>
              </w:rPr>
              <w:t>Male</w:t>
            </w:r>
          </w:p>
        </w:tc>
        <w:tc>
          <w:tcPr>
            <w:tcW w:w="350" w:type="pct"/>
            <w:tcBorders>
              <w:top w:val="single" w:sz="4" w:space="0" w:color="000000"/>
              <w:left w:val="single" w:sz="4" w:space="0" w:color="000000"/>
              <w:bottom w:val="single" w:sz="4" w:space="0" w:color="000000"/>
              <w:right w:val="single" w:sz="4" w:space="0" w:color="000000"/>
            </w:tcBorders>
            <w:vAlign w:val="center"/>
          </w:tcPr>
          <w:p w14:paraId="56B90C3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77.6</w:t>
            </w:r>
          </w:p>
        </w:tc>
        <w:tc>
          <w:tcPr>
            <w:tcW w:w="350" w:type="pct"/>
            <w:tcBorders>
              <w:top w:val="single" w:sz="4" w:space="0" w:color="000000"/>
              <w:left w:val="single" w:sz="4" w:space="0" w:color="000000"/>
              <w:bottom w:val="single" w:sz="4" w:space="0" w:color="000000"/>
              <w:right w:val="single" w:sz="4" w:space="0" w:color="000000"/>
            </w:tcBorders>
            <w:vAlign w:val="center"/>
          </w:tcPr>
          <w:p w14:paraId="1415BFD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91.3</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6D879B"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86.6</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F7F96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93.4</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2707A9"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93.1</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5D96D1"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91.1</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6FB827"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70,000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F87D1F"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95,000</w:t>
            </w:r>
          </w:p>
        </w:tc>
        <w:tc>
          <w:tcPr>
            <w:tcW w:w="348" w:type="pct"/>
            <w:tcBorders>
              <w:top w:val="single" w:sz="4" w:space="0" w:color="000000"/>
              <w:left w:val="single" w:sz="4" w:space="0" w:color="000000"/>
              <w:bottom w:val="single" w:sz="4" w:space="0" w:color="000000"/>
              <w:right w:val="single" w:sz="4" w:space="0" w:color="000000"/>
            </w:tcBorders>
            <w:vAlign w:val="bottom"/>
          </w:tcPr>
          <w:p w14:paraId="3D95B9FF" w14:textId="31EAC338"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17.4</w:t>
            </w:r>
          </w:p>
        </w:tc>
        <w:tc>
          <w:tcPr>
            <w:tcW w:w="349" w:type="pct"/>
            <w:tcBorders>
              <w:top w:val="single" w:sz="4" w:space="0" w:color="000000"/>
              <w:left w:val="single" w:sz="4" w:space="0" w:color="000000"/>
              <w:bottom w:val="single" w:sz="4" w:space="0" w:color="000000"/>
              <w:right w:val="single" w:sz="4" w:space="0" w:color="000000"/>
            </w:tcBorders>
            <w:vAlign w:val="bottom"/>
          </w:tcPr>
          <w:p w14:paraId="268BCCDE" w14:textId="16500ED1"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13.6</w:t>
            </w:r>
          </w:p>
        </w:tc>
        <w:tc>
          <w:tcPr>
            <w:tcW w:w="354" w:type="pct"/>
            <w:tcBorders>
              <w:top w:val="single" w:sz="4" w:space="0" w:color="000000"/>
              <w:left w:val="single" w:sz="4" w:space="0" w:color="000000"/>
              <w:bottom w:val="single" w:sz="4" w:space="0" w:color="000000"/>
              <w:right w:val="single" w:sz="4" w:space="0" w:color="000000"/>
            </w:tcBorders>
            <w:vAlign w:val="bottom"/>
          </w:tcPr>
          <w:p w14:paraId="2AA852EA" w14:textId="0E849C24"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72.3</w:t>
            </w:r>
          </w:p>
        </w:tc>
        <w:tc>
          <w:tcPr>
            <w:tcW w:w="354" w:type="pct"/>
            <w:tcBorders>
              <w:top w:val="single" w:sz="4" w:space="0" w:color="000000"/>
              <w:left w:val="single" w:sz="4" w:space="0" w:color="000000"/>
              <w:bottom w:val="single" w:sz="4" w:space="0" w:color="000000"/>
              <w:right w:val="single" w:sz="4" w:space="0" w:color="000000"/>
            </w:tcBorders>
            <w:vAlign w:val="bottom"/>
          </w:tcPr>
          <w:p w14:paraId="4A774B76" w14:textId="1066D57E"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80.1</w:t>
            </w:r>
          </w:p>
        </w:tc>
      </w:tr>
      <w:tr w:rsidR="00C22852" w:rsidRPr="00617A89" w14:paraId="4E0C7BF2" w14:textId="373B707A"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F0B3D3F" w14:textId="0ED8F0A2"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 xml:space="preserve">Gender: </w:t>
            </w:r>
            <w:r w:rsidR="00374B95" w:rsidRPr="00617A89">
              <w:rPr>
                <w:rFonts w:cs="Arial"/>
                <w:color w:val="000000" w:themeColor="text1"/>
                <w:sz w:val="18"/>
              </w:rPr>
              <w:t>Female</w:t>
            </w:r>
          </w:p>
        </w:tc>
        <w:tc>
          <w:tcPr>
            <w:tcW w:w="350" w:type="pct"/>
            <w:tcBorders>
              <w:top w:val="single" w:sz="4" w:space="0" w:color="000000"/>
              <w:left w:val="single" w:sz="4" w:space="0" w:color="000000"/>
              <w:bottom w:val="single" w:sz="4" w:space="0" w:color="000000"/>
              <w:right w:val="single" w:sz="4" w:space="0" w:color="000000"/>
            </w:tcBorders>
            <w:vAlign w:val="center"/>
          </w:tcPr>
          <w:p w14:paraId="6D399AD6"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80.6</w:t>
            </w:r>
          </w:p>
        </w:tc>
        <w:tc>
          <w:tcPr>
            <w:tcW w:w="350" w:type="pct"/>
            <w:tcBorders>
              <w:top w:val="single" w:sz="4" w:space="0" w:color="000000"/>
              <w:left w:val="single" w:sz="4" w:space="0" w:color="000000"/>
              <w:bottom w:val="single" w:sz="4" w:space="0" w:color="000000"/>
              <w:right w:val="single" w:sz="4" w:space="0" w:color="000000"/>
            </w:tcBorders>
            <w:vAlign w:val="center"/>
          </w:tcPr>
          <w:p w14:paraId="55F5F4CF"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92.0</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BD86C9"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90.4</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E8A1D7"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95.1</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95804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92.5</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6644EF"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90.1</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6F6050"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68,100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CEAE97"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89,800</w:t>
            </w:r>
          </w:p>
        </w:tc>
        <w:tc>
          <w:tcPr>
            <w:tcW w:w="348" w:type="pct"/>
            <w:tcBorders>
              <w:top w:val="single" w:sz="4" w:space="0" w:color="000000"/>
              <w:left w:val="single" w:sz="4" w:space="0" w:color="000000"/>
              <w:bottom w:val="single" w:sz="4" w:space="0" w:color="000000"/>
              <w:right w:val="single" w:sz="4" w:space="0" w:color="000000"/>
            </w:tcBorders>
            <w:vAlign w:val="bottom"/>
          </w:tcPr>
          <w:p w14:paraId="6F2D8B89" w14:textId="185528BE"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17.6</w:t>
            </w:r>
          </w:p>
        </w:tc>
        <w:tc>
          <w:tcPr>
            <w:tcW w:w="349" w:type="pct"/>
            <w:tcBorders>
              <w:top w:val="single" w:sz="4" w:space="0" w:color="000000"/>
              <w:left w:val="single" w:sz="4" w:space="0" w:color="000000"/>
              <w:bottom w:val="single" w:sz="4" w:space="0" w:color="000000"/>
              <w:right w:val="single" w:sz="4" w:space="0" w:color="000000"/>
            </w:tcBorders>
            <w:vAlign w:val="bottom"/>
          </w:tcPr>
          <w:p w14:paraId="4140CB3B" w14:textId="1608B913"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13.3</w:t>
            </w:r>
          </w:p>
        </w:tc>
        <w:tc>
          <w:tcPr>
            <w:tcW w:w="354" w:type="pct"/>
            <w:tcBorders>
              <w:top w:val="single" w:sz="4" w:space="0" w:color="000000"/>
              <w:left w:val="single" w:sz="4" w:space="0" w:color="000000"/>
              <w:bottom w:val="single" w:sz="4" w:space="0" w:color="000000"/>
              <w:right w:val="single" w:sz="4" w:space="0" w:color="000000"/>
            </w:tcBorders>
            <w:vAlign w:val="bottom"/>
          </w:tcPr>
          <w:p w14:paraId="05FD57EA" w14:textId="5418F00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69.9</w:t>
            </w:r>
          </w:p>
        </w:tc>
        <w:tc>
          <w:tcPr>
            <w:tcW w:w="354" w:type="pct"/>
            <w:tcBorders>
              <w:top w:val="single" w:sz="4" w:space="0" w:color="000000"/>
              <w:left w:val="single" w:sz="4" w:space="0" w:color="000000"/>
              <w:bottom w:val="single" w:sz="4" w:space="0" w:color="000000"/>
              <w:right w:val="single" w:sz="4" w:space="0" w:color="000000"/>
            </w:tcBorders>
            <w:vAlign w:val="bottom"/>
          </w:tcPr>
          <w:p w14:paraId="7E56D8C0" w14:textId="5BBD31A8"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78.4</w:t>
            </w:r>
          </w:p>
        </w:tc>
      </w:tr>
      <w:tr w:rsidR="00C22852" w:rsidRPr="00617A89" w14:paraId="1987A014" w14:textId="059A08D2"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0F9DD9B" w14:textId="0C3DA908" w:rsidR="00374B95" w:rsidRPr="00617A89" w:rsidRDefault="00A922A0" w:rsidP="00374B95">
            <w:pPr>
              <w:spacing w:before="85" w:line="288" w:lineRule="auto"/>
              <w:rPr>
                <w:rFonts w:cs="Arial"/>
                <w:color w:val="000000" w:themeColor="text1"/>
                <w:sz w:val="18"/>
              </w:rPr>
            </w:pPr>
            <w:r w:rsidRPr="00617A89">
              <w:rPr>
                <w:b/>
                <w:bCs/>
                <w:color w:val="000000" w:themeColor="text1"/>
                <w:sz w:val="18"/>
              </w:rPr>
              <w:t xml:space="preserve">First Nations: </w:t>
            </w:r>
            <w:r w:rsidR="00374B95" w:rsidRPr="00617A89">
              <w:rPr>
                <w:rFonts w:cs="Arial"/>
                <w:color w:val="000000" w:themeColor="text1"/>
                <w:sz w:val="18"/>
              </w:rPr>
              <w:t>First Nations</w:t>
            </w:r>
          </w:p>
        </w:tc>
        <w:tc>
          <w:tcPr>
            <w:tcW w:w="350" w:type="pct"/>
            <w:tcBorders>
              <w:top w:val="single" w:sz="4" w:space="0" w:color="000000"/>
              <w:left w:val="single" w:sz="4" w:space="0" w:color="000000"/>
              <w:bottom w:val="single" w:sz="4" w:space="0" w:color="000000"/>
              <w:right w:val="single" w:sz="4" w:space="0" w:color="000000"/>
            </w:tcBorders>
            <w:vAlign w:val="center"/>
          </w:tcPr>
          <w:p w14:paraId="7CB7401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81.1</w:t>
            </w:r>
          </w:p>
        </w:tc>
        <w:tc>
          <w:tcPr>
            <w:tcW w:w="350" w:type="pct"/>
            <w:tcBorders>
              <w:top w:val="single" w:sz="4" w:space="0" w:color="000000"/>
              <w:left w:val="single" w:sz="4" w:space="0" w:color="000000"/>
              <w:bottom w:val="single" w:sz="4" w:space="0" w:color="000000"/>
              <w:right w:val="single" w:sz="4" w:space="0" w:color="000000"/>
            </w:tcBorders>
            <w:vAlign w:val="center"/>
          </w:tcPr>
          <w:p w14:paraId="1D21FEA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90.9</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33404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88.2</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35EE6A"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94.6</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080D55"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91.8</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F451E4"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88.1</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F673C5"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72,000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C3FB2D"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95,000</w:t>
            </w:r>
          </w:p>
        </w:tc>
        <w:tc>
          <w:tcPr>
            <w:tcW w:w="348" w:type="pct"/>
            <w:tcBorders>
              <w:top w:val="single" w:sz="4" w:space="0" w:color="000000"/>
              <w:left w:val="single" w:sz="4" w:space="0" w:color="000000"/>
              <w:bottom w:val="single" w:sz="4" w:space="0" w:color="000000"/>
              <w:right w:val="single" w:sz="4" w:space="0" w:color="000000"/>
            </w:tcBorders>
            <w:vAlign w:val="bottom"/>
          </w:tcPr>
          <w:p w14:paraId="7F4F48D9" w14:textId="7E82B579"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17.1</w:t>
            </w:r>
          </w:p>
        </w:tc>
        <w:tc>
          <w:tcPr>
            <w:tcW w:w="349" w:type="pct"/>
            <w:tcBorders>
              <w:top w:val="single" w:sz="4" w:space="0" w:color="000000"/>
              <w:left w:val="single" w:sz="4" w:space="0" w:color="000000"/>
              <w:bottom w:val="single" w:sz="4" w:space="0" w:color="000000"/>
              <w:right w:val="single" w:sz="4" w:space="0" w:color="000000"/>
            </w:tcBorders>
            <w:vAlign w:val="bottom"/>
          </w:tcPr>
          <w:p w14:paraId="28578E36" w14:textId="7778D42C"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17.0</w:t>
            </w:r>
          </w:p>
        </w:tc>
        <w:tc>
          <w:tcPr>
            <w:tcW w:w="354" w:type="pct"/>
            <w:tcBorders>
              <w:top w:val="single" w:sz="4" w:space="0" w:color="000000"/>
              <w:left w:val="single" w:sz="4" w:space="0" w:color="000000"/>
              <w:bottom w:val="single" w:sz="4" w:space="0" w:color="000000"/>
              <w:right w:val="single" w:sz="4" w:space="0" w:color="000000"/>
            </w:tcBorders>
            <w:vAlign w:val="bottom"/>
          </w:tcPr>
          <w:p w14:paraId="74495893" w14:textId="0426D034"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66.0</w:t>
            </w:r>
          </w:p>
        </w:tc>
        <w:tc>
          <w:tcPr>
            <w:tcW w:w="354" w:type="pct"/>
            <w:tcBorders>
              <w:top w:val="single" w:sz="4" w:space="0" w:color="000000"/>
              <w:left w:val="single" w:sz="4" w:space="0" w:color="000000"/>
              <w:bottom w:val="single" w:sz="4" w:space="0" w:color="000000"/>
              <w:right w:val="single" w:sz="4" w:space="0" w:color="000000"/>
            </w:tcBorders>
            <w:vAlign w:val="bottom"/>
          </w:tcPr>
          <w:p w14:paraId="015106BB" w14:textId="600E0A05"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78.9</w:t>
            </w:r>
          </w:p>
        </w:tc>
      </w:tr>
      <w:tr w:rsidR="00C22852" w:rsidRPr="00617A89" w14:paraId="655BE9A0" w14:textId="70E146A5"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314D19F" w14:textId="348A5DAA" w:rsidR="00374B95" w:rsidRPr="00617A89" w:rsidRDefault="00A922A0" w:rsidP="00374B95">
            <w:pPr>
              <w:spacing w:before="85" w:line="288" w:lineRule="auto"/>
              <w:rPr>
                <w:rFonts w:cs="Arial"/>
                <w:color w:val="000000" w:themeColor="text1"/>
                <w:sz w:val="18"/>
              </w:rPr>
            </w:pPr>
            <w:r w:rsidRPr="00617A89">
              <w:rPr>
                <w:b/>
                <w:bCs/>
                <w:color w:val="000000" w:themeColor="text1"/>
                <w:sz w:val="18"/>
              </w:rPr>
              <w:t xml:space="preserve">First Nations: </w:t>
            </w:r>
            <w:r w:rsidR="00374B95" w:rsidRPr="00617A89">
              <w:rPr>
                <w:rFonts w:cs="Arial"/>
                <w:color w:val="000000" w:themeColor="text1"/>
                <w:sz w:val="18"/>
              </w:rPr>
              <w:t>Non-Indigenous</w:t>
            </w:r>
          </w:p>
        </w:tc>
        <w:tc>
          <w:tcPr>
            <w:tcW w:w="350" w:type="pct"/>
            <w:tcBorders>
              <w:top w:val="single" w:sz="4" w:space="0" w:color="000000"/>
              <w:left w:val="single" w:sz="4" w:space="0" w:color="000000"/>
              <w:bottom w:val="single" w:sz="4" w:space="0" w:color="000000"/>
              <w:right w:val="single" w:sz="4" w:space="0" w:color="000000"/>
            </w:tcBorders>
            <w:vAlign w:val="center"/>
          </w:tcPr>
          <w:p w14:paraId="50BA76A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79.4</w:t>
            </w:r>
          </w:p>
        </w:tc>
        <w:tc>
          <w:tcPr>
            <w:tcW w:w="350" w:type="pct"/>
            <w:tcBorders>
              <w:top w:val="single" w:sz="4" w:space="0" w:color="000000"/>
              <w:left w:val="single" w:sz="4" w:space="0" w:color="000000"/>
              <w:bottom w:val="single" w:sz="4" w:space="0" w:color="000000"/>
              <w:right w:val="single" w:sz="4" w:space="0" w:color="000000"/>
            </w:tcBorders>
            <w:vAlign w:val="center"/>
          </w:tcPr>
          <w:p w14:paraId="1C6615B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91.7</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5B2D47"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89.2</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E4A794"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94.6</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FDA7BD"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92.7</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18E8BD"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90.4</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A53D80"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68,900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354319"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91,000</w:t>
            </w:r>
          </w:p>
        </w:tc>
        <w:tc>
          <w:tcPr>
            <w:tcW w:w="348" w:type="pct"/>
            <w:tcBorders>
              <w:top w:val="single" w:sz="4" w:space="0" w:color="000000"/>
              <w:left w:val="single" w:sz="4" w:space="0" w:color="000000"/>
              <w:bottom w:val="single" w:sz="4" w:space="0" w:color="000000"/>
              <w:right w:val="single" w:sz="4" w:space="0" w:color="000000"/>
            </w:tcBorders>
            <w:vAlign w:val="bottom"/>
          </w:tcPr>
          <w:p w14:paraId="20E70D02" w14:textId="71708781"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17.5</w:t>
            </w:r>
          </w:p>
        </w:tc>
        <w:tc>
          <w:tcPr>
            <w:tcW w:w="349" w:type="pct"/>
            <w:tcBorders>
              <w:top w:val="single" w:sz="4" w:space="0" w:color="000000"/>
              <w:left w:val="single" w:sz="4" w:space="0" w:color="000000"/>
              <w:bottom w:val="single" w:sz="4" w:space="0" w:color="000000"/>
              <w:right w:val="single" w:sz="4" w:space="0" w:color="000000"/>
            </w:tcBorders>
            <w:vAlign w:val="bottom"/>
          </w:tcPr>
          <w:p w14:paraId="59CC65EF" w14:textId="050B52E2"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13.4</w:t>
            </w:r>
          </w:p>
        </w:tc>
        <w:tc>
          <w:tcPr>
            <w:tcW w:w="354" w:type="pct"/>
            <w:tcBorders>
              <w:top w:val="single" w:sz="4" w:space="0" w:color="000000"/>
              <w:left w:val="single" w:sz="4" w:space="0" w:color="000000"/>
              <w:bottom w:val="single" w:sz="4" w:space="0" w:color="000000"/>
              <w:right w:val="single" w:sz="4" w:space="0" w:color="000000"/>
            </w:tcBorders>
            <w:vAlign w:val="bottom"/>
          </w:tcPr>
          <w:p w14:paraId="67186A4B" w14:textId="15A34553"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70.8</w:t>
            </w:r>
          </w:p>
        </w:tc>
        <w:tc>
          <w:tcPr>
            <w:tcW w:w="354" w:type="pct"/>
            <w:tcBorders>
              <w:top w:val="single" w:sz="4" w:space="0" w:color="000000"/>
              <w:left w:val="single" w:sz="4" w:space="0" w:color="000000"/>
              <w:bottom w:val="single" w:sz="4" w:space="0" w:color="000000"/>
              <w:right w:val="single" w:sz="4" w:space="0" w:color="000000"/>
            </w:tcBorders>
            <w:vAlign w:val="bottom"/>
          </w:tcPr>
          <w:p w14:paraId="0D60279F" w14:textId="33A73D05"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78.9</w:t>
            </w:r>
          </w:p>
        </w:tc>
      </w:tr>
      <w:tr w:rsidR="00C22852" w:rsidRPr="00617A89" w14:paraId="26C318C6" w14:textId="02DBE314"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1996D2E" w14:textId="30D37BE7" w:rsidR="00374B95" w:rsidRPr="00617A89" w:rsidRDefault="00A922A0" w:rsidP="00374B95">
            <w:pPr>
              <w:spacing w:before="85" w:line="288" w:lineRule="auto"/>
              <w:rPr>
                <w:rFonts w:cs="Arial"/>
                <w:b/>
                <w:bCs/>
                <w:color w:val="000000" w:themeColor="text1"/>
                <w:sz w:val="18"/>
              </w:rPr>
            </w:pPr>
            <w:r w:rsidRPr="00617A89">
              <w:rPr>
                <w:rFonts w:cs="Arial"/>
                <w:b/>
                <w:bCs/>
                <w:color w:val="000000" w:themeColor="text1"/>
                <w:sz w:val="18"/>
              </w:rPr>
              <w:t xml:space="preserve">Home language**: </w:t>
            </w:r>
            <w:r w:rsidR="00374B95" w:rsidRPr="00617A89">
              <w:rPr>
                <w:rFonts w:cs="Arial"/>
                <w:color w:val="000000" w:themeColor="text1"/>
                <w:sz w:val="18"/>
              </w:rPr>
              <w:t>English</w:t>
            </w:r>
          </w:p>
        </w:tc>
        <w:tc>
          <w:tcPr>
            <w:tcW w:w="350" w:type="pct"/>
            <w:tcBorders>
              <w:top w:val="single" w:sz="4" w:space="0" w:color="000000"/>
              <w:left w:val="single" w:sz="4" w:space="0" w:color="000000"/>
              <w:bottom w:val="single" w:sz="4" w:space="0" w:color="000000"/>
              <w:right w:val="single" w:sz="4" w:space="0" w:color="000000"/>
            </w:tcBorders>
            <w:vAlign w:val="center"/>
          </w:tcPr>
          <w:p w14:paraId="15FE4BF1"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79.7</w:t>
            </w:r>
          </w:p>
        </w:tc>
        <w:tc>
          <w:tcPr>
            <w:tcW w:w="350" w:type="pct"/>
            <w:tcBorders>
              <w:top w:val="single" w:sz="4" w:space="0" w:color="000000"/>
              <w:left w:val="single" w:sz="4" w:space="0" w:color="000000"/>
              <w:bottom w:val="single" w:sz="4" w:space="0" w:color="000000"/>
              <w:right w:val="single" w:sz="4" w:space="0" w:color="000000"/>
            </w:tcBorders>
            <w:vAlign w:val="center"/>
          </w:tcPr>
          <w:p w14:paraId="57B418F1"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91.8</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2DBED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89.5</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FE865B"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94.7</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754BDE"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92.7</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EC5265"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90.4</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21E93A"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69,000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FD055A"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91,100</w:t>
            </w:r>
          </w:p>
        </w:tc>
        <w:tc>
          <w:tcPr>
            <w:tcW w:w="348" w:type="pct"/>
            <w:tcBorders>
              <w:top w:val="single" w:sz="4" w:space="0" w:color="000000"/>
              <w:left w:val="single" w:sz="4" w:space="0" w:color="000000"/>
              <w:bottom w:val="single" w:sz="4" w:space="0" w:color="000000"/>
              <w:right w:val="single" w:sz="4" w:space="0" w:color="000000"/>
            </w:tcBorders>
            <w:vAlign w:val="bottom"/>
          </w:tcPr>
          <w:p w14:paraId="3AA69349" w14:textId="587580C4"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17.4</w:t>
            </w:r>
          </w:p>
        </w:tc>
        <w:tc>
          <w:tcPr>
            <w:tcW w:w="349" w:type="pct"/>
            <w:tcBorders>
              <w:top w:val="single" w:sz="4" w:space="0" w:color="000000"/>
              <w:left w:val="single" w:sz="4" w:space="0" w:color="000000"/>
              <w:bottom w:val="single" w:sz="4" w:space="0" w:color="000000"/>
              <w:right w:val="single" w:sz="4" w:space="0" w:color="000000"/>
            </w:tcBorders>
            <w:vAlign w:val="bottom"/>
          </w:tcPr>
          <w:p w14:paraId="4FB732DA" w14:textId="2ED9B3E0"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13.3</w:t>
            </w:r>
          </w:p>
        </w:tc>
        <w:tc>
          <w:tcPr>
            <w:tcW w:w="354" w:type="pct"/>
            <w:tcBorders>
              <w:top w:val="single" w:sz="4" w:space="0" w:color="000000"/>
              <w:left w:val="single" w:sz="4" w:space="0" w:color="000000"/>
              <w:bottom w:val="single" w:sz="4" w:space="0" w:color="000000"/>
              <w:right w:val="single" w:sz="4" w:space="0" w:color="000000"/>
            </w:tcBorders>
            <w:vAlign w:val="bottom"/>
          </w:tcPr>
          <w:p w14:paraId="387A7BB2" w14:textId="31DCC7AD"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70.7</w:t>
            </w:r>
          </w:p>
        </w:tc>
        <w:tc>
          <w:tcPr>
            <w:tcW w:w="354" w:type="pct"/>
            <w:tcBorders>
              <w:top w:val="single" w:sz="4" w:space="0" w:color="000000"/>
              <w:left w:val="single" w:sz="4" w:space="0" w:color="000000"/>
              <w:bottom w:val="single" w:sz="4" w:space="0" w:color="000000"/>
              <w:right w:val="single" w:sz="4" w:space="0" w:color="000000"/>
            </w:tcBorders>
            <w:vAlign w:val="bottom"/>
          </w:tcPr>
          <w:p w14:paraId="48A31AAF" w14:textId="7DE51009"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78.9</w:t>
            </w:r>
          </w:p>
        </w:tc>
      </w:tr>
      <w:tr w:rsidR="00C22852" w:rsidRPr="00617A89" w14:paraId="6FB299FF" w14:textId="2A348F65"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59A3DEC" w14:textId="447C6BAF" w:rsidR="00374B95" w:rsidRPr="00617A89" w:rsidRDefault="00A922A0" w:rsidP="00374B95">
            <w:pPr>
              <w:spacing w:before="85" w:line="288" w:lineRule="auto"/>
              <w:rPr>
                <w:rFonts w:cs="Arial"/>
                <w:b/>
                <w:bCs/>
                <w:color w:val="000000" w:themeColor="text1"/>
                <w:sz w:val="18"/>
              </w:rPr>
            </w:pPr>
            <w:r w:rsidRPr="00617A89">
              <w:rPr>
                <w:rFonts w:cs="Arial"/>
                <w:b/>
                <w:bCs/>
                <w:color w:val="000000" w:themeColor="text1"/>
                <w:sz w:val="18"/>
              </w:rPr>
              <w:t xml:space="preserve">Home language**: </w:t>
            </w:r>
            <w:r w:rsidR="00374B95" w:rsidRPr="00617A89">
              <w:rPr>
                <w:rFonts w:cs="Arial"/>
                <w:color w:val="000000" w:themeColor="text1"/>
                <w:sz w:val="18"/>
              </w:rPr>
              <w:t>Other</w:t>
            </w:r>
          </w:p>
        </w:tc>
        <w:tc>
          <w:tcPr>
            <w:tcW w:w="350" w:type="pct"/>
            <w:tcBorders>
              <w:top w:val="single" w:sz="4" w:space="0" w:color="000000"/>
              <w:left w:val="single" w:sz="4" w:space="0" w:color="000000"/>
              <w:bottom w:val="single" w:sz="4" w:space="0" w:color="000000"/>
              <w:right w:val="single" w:sz="4" w:space="0" w:color="000000"/>
            </w:tcBorders>
            <w:vAlign w:val="center"/>
          </w:tcPr>
          <w:p w14:paraId="29463FFB"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67.2</w:t>
            </w:r>
          </w:p>
        </w:tc>
        <w:tc>
          <w:tcPr>
            <w:tcW w:w="350" w:type="pct"/>
            <w:tcBorders>
              <w:top w:val="single" w:sz="4" w:space="0" w:color="000000"/>
              <w:left w:val="single" w:sz="4" w:space="0" w:color="000000"/>
              <w:bottom w:val="single" w:sz="4" w:space="0" w:color="000000"/>
              <w:right w:val="single" w:sz="4" w:space="0" w:color="000000"/>
            </w:tcBorders>
            <w:vAlign w:val="center"/>
          </w:tcPr>
          <w:p w14:paraId="07115156"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85.0</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69F8DB"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72.2</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7CAE46"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89.5</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36563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89.9</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95A0CC"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88.6</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467A69"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65,000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D2BD3D"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84,100</w:t>
            </w:r>
          </w:p>
        </w:tc>
        <w:tc>
          <w:tcPr>
            <w:tcW w:w="348" w:type="pct"/>
            <w:tcBorders>
              <w:top w:val="single" w:sz="4" w:space="0" w:color="000000"/>
              <w:left w:val="single" w:sz="4" w:space="0" w:color="000000"/>
              <w:bottom w:val="single" w:sz="4" w:space="0" w:color="000000"/>
              <w:right w:val="single" w:sz="4" w:space="0" w:color="000000"/>
            </w:tcBorders>
            <w:vAlign w:val="bottom"/>
          </w:tcPr>
          <w:p w14:paraId="714CAD11" w14:textId="70D6559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25.5</w:t>
            </w:r>
          </w:p>
        </w:tc>
        <w:tc>
          <w:tcPr>
            <w:tcW w:w="349" w:type="pct"/>
            <w:tcBorders>
              <w:top w:val="single" w:sz="4" w:space="0" w:color="000000"/>
              <w:left w:val="single" w:sz="4" w:space="0" w:color="000000"/>
              <w:bottom w:val="single" w:sz="4" w:space="0" w:color="000000"/>
              <w:right w:val="single" w:sz="4" w:space="0" w:color="000000"/>
            </w:tcBorders>
            <w:vAlign w:val="bottom"/>
          </w:tcPr>
          <w:p w14:paraId="1BD6AF9C" w14:textId="699E6B0D"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21.7</w:t>
            </w:r>
          </w:p>
        </w:tc>
        <w:tc>
          <w:tcPr>
            <w:tcW w:w="354" w:type="pct"/>
            <w:tcBorders>
              <w:top w:val="single" w:sz="4" w:space="0" w:color="000000"/>
              <w:left w:val="single" w:sz="4" w:space="0" w:color="000000"/>
              <w:bottom w:val="single" w:sz="4" w:space="0" w:color="000000"/>
              <w:right w:val="single" w:sz="4" w:space="0" w:color="000000"/>
            </w:tcBorders>
            <w:vAlign w:val="bottom"/>
          </w:tcPr>
          <w:p w14:paraId="6468A760" w14:textId="57A52174"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72.2</w:t>
            </w:r>
          </w:p>
        </w:tc>
        <w:tc>
          <w:tcPr>
            <w:tcW w:w="354" w:type="pct"/>
            <w:tcBorders>
              <w:top w:val="single" w:sz="4" w:space="0" w:color="000000"/>
              <w:left w:val="single" w:sz="4" w:space="0" w:color="000000"/>
              <w:bottom w:val="single" w:sz="4" w:space="0" w:color="000000"/>
              <w:right w:val="single" w:sz="4" w:space="0" w:color="000000"/>
            </w:tcBorders>
            <w:vAlign w:val="bottom"/>
          </w:tcPr>
          <w:p w14:paraId="3D6DF108" w14:textId="750146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79.8</w:t>
            </w:r>
          </w:p>
        </w:tc>
      </w:tr>
      <w:tr w:rsidR="00C22852" w:rsidRPr="00617A89" w14:paraId="3AA232E5" w14:textId="286297DD"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8230DD2" w14:textId="71A41F1E"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Disability***:</w:t>
            </w:r>
            <w:r w:rsidR="00C22852" w:rsidRPr="00617A89">
              <w:rPr>
                <w:rFonts w:cs="Arial"/>
                <w:b/>
                <w:bCs/>
                <w:color w:val="000000" w:themeColor="text1"/>
                <w:sz w:val="18"/>
              </w:rPr>
              <w:t xml:space="preserve"> </w:t>
            </w:r>
            <w:r w:rsidR="00FC2092" w:rsidRPr="00617A89">
              <w:rPr>
                <w:rFonts w:cs="Arial"/>
                <w:color w:val="000000" w:themeColor="text1"/>
                <w:sz w:val="18"/>
              </w:rPr>
              <w:t>D</w:t>
            </w:r>
            <w:r w:rsidR="00374B95" w:rsidRPr="00617A89">
              <w:rPr>
                <w:rFonts w:cs="Arial"/>
                <w:color w:val="000000" w:themeColor="text1"/>
                <w:sz w:val="18"/>
              </w:rPr>
              <w:t>isability</w:t>
            </w:r>
          </w:p>
        </w:tc>
        <w:tc>
          <w:tcPr>
            <w:tcW w:w="350" w:type="pct"/>
            <w:tcBorders>
              <w:top w:val="single" w:sz="4" w:space="0" w:color="000000"/>
              <w:left w:val="single" w:sz="4" w:space="0" w:color="000000"/>
              <w:bottom w:val="single" w:sz="4" w:space="0" w:color="000000"/>
              <w:right w:val="single" w:sz="4" w:space="0" w:color="000000"/>
            </w:tcBorders>
            <w:vAlign w:val="center"/>
          </w:tcPr>
          <w:p w14:paraId="23D6309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69.5</w:t>
            </w:r>
          </w:p>
        </w:tc>
        <w:tc>
          <w:tcPr>
            <w:tcW w:w="350" w:type="pct"/>
            <w:tcBorders>
              <w:top w:val="single" w:sz="4" w:space="0" w:color="000000"/>
              <w:left w:val="single" w:sz="4" w:space="0" w:color="000000"/>
              <w:bottom w:val="single" w:sz="4" w:space="0" w:color="000000"/>
              <w:right w:val="single" w:sz="4" w:space="0" w:color="000000"/>
            </w:tcBorders>
            <w:vAlign w:val="center"/>
          </w:tcPr>
          <w:p w14:paraId="6B1301FF"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86.9</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40781D"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83.4</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4CE0B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91.5</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553001"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88.6</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1F95AC"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86.5</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BD8BFA"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67,800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AFBAE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88,200</w:t>
            </w:r>
          </w:p>
        </w:tc>
        <w:tc>
          <w:tcPr>
            <w:tcW w:w="348" w:type="pct"/>
            <w:tcBorders>
              <w:top w:val="single" w:sz="4" w:space="0" w:color="000000"/>
              <w:left w:val="single" w:sz="4" w:space="0" w:color="000000"/>
              <w:bottom w:val="single" w:sz="4" w:space="0" w:color="000000"/>
              <w:right w:val="single" w:sz="4" w:space="0" w:color="000000"/>
            </w:tcBorders>
            <w:vAlign w:val="bottom"/>
          </w:tcPr>
          <w:p w14:paraId="782EBF34" w14:textId="6AD32A59"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21.4</w:t>
            </w:r>
          </w:p>
        </w:tc>
        <w:tc>
          <w:tcPr>
            <w:tcW w:w="349" w:type="pct"/>
            <w:tcBorders>
              <w:top w:val="single" w:sz="4" w:space="0" w:color="000000"/>
              <w:left w:val="single" w:sz="4" w:space="0" w:color="000000"/>
              <w:bottom w:val="single" w:sz="4" w:space="0" w:color="000000"/>
              <w:right w:val="single" w:sz="4" w:space="0" w:color="000000"/>
            </w:tcBorders>
            <w:vAlign w:val="bottom"/>
          </w:tcPr>
          <w:p w14:paraId="6CA9A246" w14:textId="420C9803"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15.8</w:t>
            </w:r>
          </w:p>
        </w:tc>
        <w:tc>
          <w:tcPr>
            <w:tcW w:w="354" w:type="pct"/>
            <w:tcBorders>
              <w:top w:val="single" w:sz="4" w:space="0" w:color="000000"/>
              <w:left w:val="single" w:sz="4" w:space="0" w:color="000000"/>
              <w:bottom w:val="single" w:sz="4" w:space="0" w:color="000000"/>
              <w:right w:val="single" w:sz="4" w:space="0" w:color="000000"/>
            </w:tcBorders>
            <w:vAlign w:val="bottom"/>
          </w:tcPr>
          <w:p w14:paraId="7ABF8F8C" w14:textId="4CF92F94"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68.7</w:t>
            </w:r>
          </w:p>
        </w:tc>
        <w:tc>
          <w:tcPr>
            <w:tcW w:w="354" w:type="pct"/>
            <w:tcBorders>
              <w:top w:val="single" w:sz="4" w:space="0" w:color="000000"/>
              <w:left w:val="single" w:sz="4" w:space="0" w:color="000000"/>
              <w:bottom w:val="single" w:sz="4" w:space="0" w:color="000000"/>
              <w:right w:val="single" w:sz="4" w:space="0" w:color="000000"/>
            </w:tcBorders>
            <w:vAlign w:val="bottom"/>
          </w:tcPr>
          <w:p w14:paraId="6968B6F3" w14:textId="0EA30D6C"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76.5</w:t>
            </w:r>
          </w:p>
        </w:tc>
      </w:tr>
      <w:tr w:rsidR="00C22852" w:rsidRPr="00617A89" w14:paraId="58C9ABA0" w14:textId="75748F0F"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B874225" w14:textId="1CF82D3A"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 xml:space="preserve">Disability***: </w:t>
            </w:r>
            <w:r w:rsidR="00FC2092" w:rsidRPr="00617A89">
              <w:rPr>
                <w:rFonts w:cs="Arial"/>
                <w:color w:val="000000" w:themeColor="text1"/>
                <w:sz w:val="18"/>
              </w:rPr>
              <w:t xml:space="preserve">No </w:t>
            </w:r>
            <w:r w:rsidR="00374B95" w:rsidRPr="00617A89">
              <w:rPr>
                <w:rFonts w:cs="Arial"/>
                <w:color w:val="000000" w:themeColor="text1"/>
                <w:sz w:val="18"/>
              </w:rPr>
              <w:t>disability</w:t>
            </w:r>
          </w:p>
        </w:tc>
        <w:tc>
          <w:tcPr>
            <w:tcW w:w="350" w:type="pct"/>
            <w:tcBorders>
              <w:top w:val="single" w:sz="4" w:space="0" w:color="000000"/>
              <w:left w:val="single" w:sz="4" w:space="0" w:color="000000"/>
              <w:bottom w:val="single" w:sz="4" w:space="0" w:color="000000"/>
              <w:right w:val="single" w:sz="4" w:space="0" w:color="000000"/>
            </w:tcBorders>
            <w:vAlign w:val="center"/>
          </w:tcPr>
          <w:p w14:paraId="0F01862C"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80.6</w:t>
            </w:r>
          </w:p>
        </w:tc>
        <w:tc>
          <w:tcPr>
            <w:tcW w:w="350" w:type="pct"/>
            <w:tcBorders>
              <w:top w:val="single" w:sz="4" w:space="0" w:color="000000"/>
              <w:left w:val="single" w:sz="4" w:space="0" w:color="000000"/>
              <w:bottom w:val="single" w:sz="4" w:space="0" w:color="000000"/>
              <w:right w:val="single" w:sz="4" w:space="0" w:color="000000"/>
            </w:tcBorders>
            <w:vAlign w:val="center"/>
          </w:tcPr>
          <w:p w14:paraId="4884FBDC"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92.3</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BEF167"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89.9</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3FC506"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95.0</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765165"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93.2</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1D5DD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90.9</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A5EC41"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69,000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6549B6"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91,300</w:t>
            </w:r>
          </w:p>
        </w:tc>
        <w:tc>
          <w:tcPr>
            <w:tcW w:w="348" w:type="pct"/>
            <w:tcBorders>
              <w:top w:val="single" w:sz="4" w:space="0" w:color="000000"/>
              <w:left w:val="single" w:sz="4" w:space="0" w:color="000000"/>
              <w:bottom w:val="single" w:sz="4" w:space="0" w:color="000000"/>
              <w:right w:val="single" w:sz="4" w:space="0" w:color="000000"/>
            </w:tcBorders>
            <w:vAlign w:val="bottom"/>
          </w:tcPr>
          <w:p w14:paraId="239B55E3" w14:textId="78307258"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17.0</w:t>
            </w:r>
          </w:p>
        </w:tc>
        <w:tc>
          <w:tcPr>
            <w:tcW w:w="349" w:type="pct"/>
            <w:tcBorders>
              <w:top w:val="single" w:sz="4" w:space="0" w:color="000000"/>
              <w:left w:val="single" w:sz="4" w:space="0" w:color="000000"/>
              <w:bottom w:val="single" w:sz="4" w:space="0" w:color="000000"/>
              <w:right w:val="single" w:sz="4" w:space="0" w:color="000000"/>
            </w:tcBorders>
            <w:vAlign w:val="bottom"/>
          </w:tcPr>
          <w:p w14:paraId="460E80AB" w14:textId="759F9034"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13.1</w:t>
            </w:r>
          </w:p>
        </w:tc>
        <w:tc>
          <w:tcPr>
            <w:tcW w:w="354" w:type="pct"/>
            <w:tcBorders>
              <w:top w:val="single" w:sz="4" w:space="0" w:color="000000"/>
              <w:left w:val="single" w:sz="4" w:space="0" w:color="000000"/>
              <w:bottom w:val="single" w:sz="4" w:space="0" w:color="000000"/>
              <w:right w:val="single" w:sz="4" w:space="0" w:color="000000"/>
            </w:tcBorders>
            <w:vAlign w:val="bottom"/>
          </w:tcPr>
          <w:p w14:paraId="2B470B08" w14:textId="204694BE"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70.9</w:t>
            </w:r>
          </w:p>
        </w:tc>
        <w:tc>
          <w:tcPr>
            <w:tcW w:w="354" w:type="pct"/>
            <w:tcBorders>
              <w:top w:val="single" w:sz="4" w:space="0" w:color="000000"/>
              <w:left w:val="single" w:sz="4" w:space="0" w:color="000000"/>
              <w:bottom w:val="single" w:sz="4" w:space="0" w:color="000000"/>
              <w:right w:val="single" w:sz="4" w:space="0" w:color="000000"/>
            </w:tcBorders>
            <w:vAlign w:val="bottom"/>
          </w:tcPr>
          <w:p w14:paraId="13A118F4" w14:textId="4EC512D1"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79.2</w:t>
            </w:r>
          </w:p>
        </w:tc>
      </w:tr>
      <w:tr w:rsidR="00C22852" w:rsidRPr="00617A89" w14:paraId="195FDA3F" w14:textId="354D0D5A"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AF00EFF" w14:textId="3EA1FF7A" w:rsidR="00374B95" w:rsidRPr="00617A89" w:rsidRDefault="00A922A0" w:rsidP="00374B95">
            <w:pPr>
              <w:spacing w:before="85" w:line="288" w:lineRule="auto"/>
              <w:rPr>
                <w:rFonts w:cs="Arial"/>
                <w:b/>
                <w:bCs/>
                <w:color w:val="000000" w:themeColor="text1"/>
                <w:sz w:val="18"/>
              </w:rPr>
            </w:pPr>
            <w:r w:rsidRPr="00617A89">
              <w:rPr>
                <w:rFonts w:cs="Arial"/>
                <w:b/>
                <w:bCs/>
                <w:color w:val="000000" w:themeColor="text1"/>
                <w:sz w:val="18"/>
              </w:rPr>
              <w:t xml:space="preserve">First in family status****:  </w:t>
            </w:r>
            <w:r w:rsidR="00374B95" w:rsidRPr="00617A89">
              <w:rPr>
                <w:rFonts w:cs="Arial"/>
                <w:color w:val="000000" w:themeColor="text1"/>
                <w:sz w:val="18"/>
              </w:rPr>
              <w:t>First in family</w:t>
            </w:r>
          </w:p>
        </w:tc>
        <w:tc>
          <w:tcPr>
            <w:tcW w:w="350" w:type="pct"/>
            <w:tcBorders>
              <w:top w:val="single" w:sz="4" w:space="0" w:color="000000"/>
              <w:left w:val="single" w:sz="4" w:space="0" w:color="000000"/>
              <w:bottom w:val="single" w:sz="4" w:space="0" w:color="000000"/>
              <w:right w:val="single" w:sz="4" w:space="0" w:color="000000"/>
            </w:tcBorders>
            <w:vAlign w:val="center"/>
          </w:tcPr>
          <w:p w14:paraId="767C366F"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79.7</w:t>
            </w:r>
          </w:p>
        </w:tc>
        <w:tc>
          <w:tcPr>
            <w:tcW w:w="350" w:type="pct"/>
            <w:tcBorders>
              <w:top w:val="single" w:sz="4" w:space="0" w:color="000000"/>
              <w:left w:val="single" w:sz="4" w:space="0" w:color="000000"/>
              <w:bottom w:val="single" w:sz="4" w:space="0" w:color="000000"/>
              <w:right w:val="single" w:sz="4" w:space="0" w:color="000000"/>
            </w:tcBorders>
            <w:vAlign w:val="center"/>
          </w:tcPr>
          <w:p w14:paraId="16412C7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91.8</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52EF7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89.1</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B8E70B"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94.7</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8469C9"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93.1</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DB273A"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91.1</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7CA26E"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70,000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701EF0"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91,000</w:t>
            </w:r>
          </w:p>
        </w:tc>
        <w:tc>
          <w:tcPr>
            <w:tcW w:w="348" w:type="pct"/>
            <w:tcBorders>
              <w:top w:val="single" w:sz="4" w:space="0" w:color="000000"/>
              <w:left w:val="single" w:sz="4" w:space="0" w:color="000000"/>
              <w:bottom w:val="single" w:sz="4" w:space="0" w:color="000000"/>
              <w:right w:val="single" w:sz="4" w:space="0" w:color="000000"/>
            </w:tcBorders>
            <w:vAlign w:val="bottom"/>
          </w:tcPr>
          <w:p w14:paraId="0F018C76" w14:textId="178BBACE"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16.0</w:t>
            </w:r>
          </w:p>
        </w:tc>
        <w:tc>
          <w:tcPr>
            <w:tcW w:w="349" w:type="pct"/>
            <w:tcBorders>
              <w:top w:val="single" w:sz="4" w:space="0" w:color="000000"/>
              <w:left w:val="single" w:sz="4" w:space="0" w:color="000000"/>
              <w:bottom w:val="single" w:sz="4" w:space="0" w:color="000000"/>
              <w:right w:val="single" w:sz="4" w:space="0" w:color="000000"/>
            </w:tcBorders>
            <w:vAlign w:val="bottom"/>
          </w:tcPr>
          <w:p w14:paraId="2A1B4562" w14:textId="668A3B50"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11.6</w:t>
            </w:r>
          </w:p>
        </w:tc>
        <w:tc>
          <w:tcPr>
            <w:tcW w:w="354" w:type="pct"/>
            <w:tcBorders>
              <w:top w:val="single" w:sz="4" w:space="0" w:color="000000"/>
              <w:left w:val="single" w:sz="4" w:space="0" w:color="000000"/>
              <w:bottom w:val="single" w:sz="4" w:space="0" w:color="000000"/>
              <w:right w:val="single" w:sz="4" w:space="0" w:color="000000"/>
            </w:tcBorders>
            <w:vAlign w:val="bottom"/>
          </w:tcPr>
          <w:p w14:paraId="121780AE" w14:textId="796FB4F0"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69.5</w:t>
            </w:r>
          </w:p>
        </w:tc>
        <w:tc>
          <w:tcPr>
            <w:tcW w:w="354" w:type="pct"/>
            <w:tcBorders>
              <w:top w:val="single" w:sz="4" w:space="0" w:color="000000"/>
              <w:left w:val="single" w:sz="4" w:space="0" w:color="000000"/>
              <w:bottom w:val="single" w:sz="4" w:space="0" w:color="000000"/>
              <w:right w:val="single" w:sz="4" w:space="0" w:color="000000"/>
            </w:tcBorders>
            <w:vAlign w:val="bottom"/>
          </w:tcPr>
          <w:p w14:paraId="68060CAF" w14:textId="4D7D534C"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76.6</w:t>
            </w:r>
          </w:p>
        </w:tc>
      </w:tr>
      <w:tr w:rsidR="00C22852" w:rsidRPr="00617A89" w14:paraId="450E6A98" w14:textId="5705A992"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D445C6F" w14:textId="67D2B653" w:rsidR="00374B95" w:rsidRPr="00617A89" w:rsidRDefault="00A922A0" w:rsidP="00374B95">
            <w:pPr>
              <w:spacing w:before="85" w:line="288" w:lineRule="auto"/>
              <w:rPr>
                <w:rFonts w:cs="Arial"/>
                <w:b/>
                <w:bCs/>
                <w:color w:val="000000" w:themeColor="text1"/>
                <w:sz w:val="18"/>
              </w:rPr>
            </w:pPr>
            <w:r w:rsidRPr="00617A89">
              <w:rPr>
                <w:rFonts w:cs="Arial"/>
                <w:b/>
                <w:bCs/>
                <w:color w:val="000000" w:themeColor="text1"/>
                <w:sz w:val="18"/>
              </w:rPr>
              <w:t xml:space="preserve">First in family status****: </w:t>
            </w:r>
            <w:r w:rsidR="00374B95" w:rsidRPr="00617A89">
              <w:rPr>
                <w:rFonts w:cs="Arial"/>
                <w:color w:val="000000" w:themeColor="text1"/>
                <w:sz w:val="18"/>
              </w:rPr>
              <w:t>Not first in family</w:t>
            </w:r>
          </w:p>
        </w:tc>
        <w:tc>
          <w:tcPr>
            <w:tcW w:w="350" w:type="pct"/>
            <w:tcBorders>
              <w:top w:val="single" w:sz="4" w:space="0" w:color="000000"/>
              <w:left w:val="single" w:sz="4" w:space="0" w:color="000000"/>
              <w:bottom w:val="single" w:sz="4" w:space="0" w:color="000000"/>
              <w:right w:val="single" w:sz="4" w:space="0" w:color="000000"/>
            </w:tcBorders>
            <w:vAlign w:val="center"/>
          </w:tcPr>
          <w:p w14:paraId="129AD4FC"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80.7</w:t>
            </w:r>
          </w:p>
        </w:tc>
        <w:tc>
          <w:tcPr>
            <w:tcW w:w="350" w:type="pct"/>
            <w:tcBorders>
              <w:top w:val="single" w:sz="4" w:space="0" w:color="000000"/>
              <w:left w:val="single" w:sz="4" w:space="0" w:color="000000"/>
              <w:bottom w:val="single" w:sz="4" w:space="0" w:color="000000"/>
              <w:right w:val="single" w:sz="4" w:space="0" w:color="000000"/>
            </w:tcBorders>
            <w:vAlign w:val="center"/>
          </w:tcPr>
          <w:p w14:paraId="58E98609"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92.5</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C7F3D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90.1</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E26083"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95.0</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9D6087"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93.1</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8CD3D6"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90.7</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A7ACCE"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68,000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9D4289"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91,000</w:t>
            </w:r>
          </w:p>
        </w:tc>
        <w:tc>
          <w:tcPr>
            <w:tcW w:w="348" w:type="pct"/>
            <w:tcBorders>
              <w:top w:val="single" w:sz="4" w:space="0" w:color="000000"/>
              <w:left w:val="single" w:sz="4" w:space="0" w:color="000000"/>
              <w:bottom w:val="single" w:sz="4" w:space="0" w:color="000000"/>
              <w:right w:val="single" w:sz="4" w:space="0" w:color="000000"/>
            </w:tcBorders>
            <w:vAlign w:val="bottom"/>
          </w:tcPr>
          <w:p w14:paraId="4D00A58D" w14:textId="60125B08"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19.7</w:t>
            </w:r>
          </w:p>
        </w:tc>
        <w:tc>
          <w:tcPr>
            <w:tcW w:w="349" w:type="pct"/>
            <w:tcBorders>
              <w:top w:val="single" w:sz="4" w:space="0" w:color="000000"/>
              <w:left w:val="single" w:sz="4" w:space="0" w:color="000000"/>
              <w:bottom w:val="single" w:sz="4" w:space="0" w:color="000000"/>
              <w:right w:val="single" w:sz="4" w:space="0" w:color="000000"/>
            </w:tcBorders>
            <w:vAlign w:val="bottom"/>
          </w:tcPr>
          <w:p w14:paraId="4C302EA0" w14:textId="3B3B1C1F"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16.0</w:t>
            </w:r>
          </w:p>
        </w:tc>
        <w:tc>
          <w:tcPr>
            <w:tcW w:w="354" w:type="pct"/>
            <w:tcBorders>
              <w:top w:val="single" w:sz="4" w:space="0" w:color="000000"/>
              <w:left w:val="single" w:sz="4" w:space="0" w:color="000000"/>
              <w:bottom w:val="single" w:sz="4" w:space="0" w:color="000000"/>
              <w:right w:val="single" w:sz="4" w:space="0" w:color="000000"/>
            </w:tcBorders>
            <w:vAlign w:val="bottom"/>
          </w:tcPr>
          <w:p w14:paraId="0898AE21" w14:textId="5BF16B0A"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73.1</w:t>
            </w:r>
          </w:p>
        </w:tc>
        <w:tc>
          <w:tcPr>
            <w:tcW w:w="354" w:type="pct"/>
            <w:tcBorders>
              <w:top w:val="single" w:sz="4" w:space="0" w:color="000000"/>
              <w:left w:val="single" w:sz="4" w:space="0" w:color="000000"/>
              <w:bottom w:val="single" w:sz="4" w:space="0" w:color="000000"/>
              <w:right w:val="single" w:sz="4" w:space="0" w:color="000000"/>
            </w:tcBorders>
            <w:vAlign w:val="bottom"/>
          </w:tcPr>
          <w:p w14:paraId="0F472487" w14:textId="57A45611"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81.5</w:t>
            </w:r>
          </w:p>
        </w:tc>
      </w:tr>
      <w:tr w:rsidR="00C22852" w:rsidRPr="00617A89" w14:paraId="1E3FFD21" w14:textId="34E81B19"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7B21590" w14:textId="404AAFE5" w:rsidR="00DF5816" w:rsidRPr="00617A89" w:rsidRDefault="00A922A0" w:rsidP="00DF5816">
            <w:pPr>
              <w:spacing w:before="85" w:line="288" w:lineRule="auto"/>
              <w:rPr>
                <w:rFonts w:cs="Arial"/>
                <w:color w:val="000000" w:themeColor="text1"/>
                <w:sz w:val="18"/>
              </w:rPr>
            </w:pPr>
            <w:r w:rsidRPr="00617A89">
              <w:rPr>
                <w:rFonts w:cs="Arial"/>
                <w:b/>
                <w:bCs/>
                <w:color w:val="000000" w:themeColor="text1"/>
                <w:sz w:val="18"/>
              </w:rPr>
              <w:t>Socio-economic status*****:</w:t>
            </w:r>
            <w:r w:rsidR="00C22852" w:rsidRPr="00617A89">
              <w:rPr>
                <w:rFonts w:cs="Arial"/>
                <w:b/>
                <w:bCs/>
                <w:color w:val="000000" w:themeColor="text1"/>
                <w:sz w:val="18"/>
              </w:rPr>
              <w:t xml:space="preserve"> </w:t>
            </w:r>
            <w:r w:rsidR="00DF5816" w:rsidRPr="00617A89">
              <w:rPr>
                <w:rFonts w:cs="Arial"/>
                <w:color w:val="000000" w:themeColor="text1"/>
                <w:sz w:val="18"/>
              </w:rPr>
              <w:t>High</w:t>
            </w:r>
          </w:p>
        </w:tc>
        <w:tc>
          <w:tcPr>
            <w:tcW w:w="350" w:type="pct"/>
            <w:tcBorders>
              <w:top w:val="single" w:sz="4" w:space="0" w:color="000000"/>
              <w:left w:val="single" w:sz="4" w:space="0" w:color="000000"/>
              <w:bottom w:val="single" w:sz="4" w:space="0" w:color="000000"/>
              <w:right w:val="single" w:sz="4" w:space="0" w:color="000000"/>
            </w:tcBorders>
            <w:vAlign w:val="bottom"/>
          </w:tcPr>
          <w:p w14:paraId="45F1F813" w14:textId="354C918C"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80.5</w:t>
            </w:r>
          </w:p>
        </w:tc>
        <w:tc>
          <w:tcPr>
            <w:tcW w:w="350" w:type="pct"/>
            <w:tcBorders>
              <w:top w:val="single" w:sz="4" w:space="0" w:color="000000"/>
              <w:left w:val="single" w:sz="4" w:space="0" w:color="000000"/>
              <w:bottom w:val="single" w:sz="4" w:space="0" w:color="000000"/>
              <w:right w:val="single" w:sz="4" w:space="0" w:color="000000"/>
            </w:tcBorders>
            <w:vAlign w:val="bottom"/>
          </w:tcPr>
          <w:p w14:paraId="6EC6C4AB" w14:textId="53F9EB01"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91.8</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73D72B" w14:textId="35B95BE8"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89.9</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1280FD" w14:textId="2307A541"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94.2</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EB20C2" w14:textId="775B7D82"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92.3</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548AD1" w14:textId="0BEAEEB3"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89.9</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5E53B0" w14:textId="4ED3EFEA"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 xml:space="preserve">68,900 </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BD3FA8" w14:textId="33A7C843"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 xml:space="preserve">92,000 </w:t>
            </w:r>
          </w:p>
        </w:tc>
        <w:tc>
          <w:tcPr>
            <w:tcW w:w="348" w:type="pct"/>
            <w:tcBorders>
              <w:top w:val="single" w:sz="4" w:space="0" w:color="000000"/>
              <w:left w:val="single" w:sz="4" w:space="0" w:color="000000"/>
              <w:bottom w:val="single" w:sz="4" w:space="0" w:color="000000"/>
              <w:right w:val="single" w:sz="4" w:space="0" w:color="000000"/>
            </w:tcBorders>
            <w:vAlign w:val="bottom"/>
          </w:tcPr>
          <w:p w14:paraId="67021C8F" w14:textId="451AEDDD"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19.8</w:t>
            </w:r>
          </w:p>
        </w:tc>
        <w:tc>
          <w:tcPr>
            <w:tcW w:w="349" w:type="pct"/>
            <w:tcBorders>
              <w:top w:val="single" w:sz="4" w:space="0" w:color="000000"/>
              <w:left w:val="single" w:sz="4" w:space="0" w:color="000000"/>
              <w:bottom w:val="single" w:sz="4" w:space="0" w:color="000000"/>
              <w:right w:val="single" w:sz="4" w:space="0" w:color="000000"/>
            </w:tcBorders>
            <w:vAlign w:val="bottom"/>
          </w:tcPr>
          <w:p w14:paraId="0FDE059F" w14:textId="352423DB"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15.0</w:t>
            </w:r>
          </w:p>
        </w:tc>
        <w:tc>
          <w:tcPr>
            <w:tcW w:w="354" w:type="pct"/>
            <w:tcBorders>
              <w:top w:val="single" w:sz="4" w:space="0" w:color="000000"/>
              <w:left w:val="single" w:sz="4" w:space="0" w:color="000000"/>
              <w:bottom w:val="single" w:sz="4" w:space="0" w:color="000000"/>
              <w:right w:val="single" w:sz="4" w:space="0" w:color="000000"/>
            </w:tcBorders>
            <w:vAlign w:val="bottom"/>
          </w:tcPr>
          <w:p w14:paraId="3F0BFE8E" w14:textId="5686B88B"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72.5</w:t>
            </w:r>
          </w:p>
        </w:tc>
        <w:tc>
          <w:tcPr>
            <w:tcW w:w="354" w:type="pct"/>
            <w:tcBorders>
              <w:top w:val="single" w:sz="4" w:space="0" w:color="000000"/>
              <w:left w:val="single" w:sz="4" w:space="0" w:color="000000"/>
              <w:bottom w:val="single" w:sz="4" w:space="0" w:color="000000"/>
              <w:right w:val="single" w:sz="4" w:space="0" w:color="000000"/>
            </w:tcBorders>
            <w:vAlign w:val="bottom"/>
          </w:tcPr>
          <w:p w14:paraId="47645065" w14:textId="09629BB1"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81.4</w:t>
            </w:r>
          </w:p>
        </w:tc>
      </w:tr>
      <w:tr w:rsidR="00C22852" w:rsidRPr="00617A89" w14:paraId="0FCD3EE2" w14:textId="583D439D"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7DEA073" w14:textId="0C4AB08C" w:rsidR="00DF5816" w:rsidRPr="00617A89" w:rsidRDefault="00A922A0" w:rsidP="00DF5816">
            <w:pPr>
              <w:spacing w:before="85" w:line="288" w:lineRule="auto"/>
              <w:rPr>
                <w:rFonts w:cs="Arial"/>
                <w:color w:val="000000" w:themeColor="text1"/>
                <w:sz w:val="18"/>
              </w:rPr>
            </w:pPr>
            <w:r w:rsidRPr="00617A89">
              <w:rPr>
                <w:rFonts w:cs="Arial"/>
                <w:b/>
                <w:bCs/>
                <w:color w:val="000000" w:themeColor="text1"/>
                <w:sz w:val="18"/>
              </w:rPr>
              <w:t>Socio-economic status*****:</w:t>
            </w:r>
            <w:r w:rsidR="00C22852" w:rsidRPr="00617A89">
              <w:rPr>
                <w:rFonts w:cs="Arial"/>
                <w:b/>
                <w:bCs/>
                <w:color w:val="000000" w:themeColor="text1"/>
                <w:sz w:val="18"/>
              </w:rPr>
              <w:t xml:space="preserve"> </w:t>
            </w:r>
            <w:r w:rsidR="00DF5816" w:rsidRPr="00617A89">
              <w:rPr>
                <w:rFonts w:cs="Arial"/>
                <w:color w:val="000000" w:themeColor="text1"/>
                <w:sz w:val="18"/>
              </w:rPr>
              <w:t>Medium</w:t>
            </w:r>
          </w:p>
        </w:tc>
        <w:tc>
          <w:tcPr>
            <w:tcW w:w="350" w:type="pct"/>
            <w:tcBorders>
              <w:top w:val="single" w:sz="4" w:space="0" w:color="000000"/>
              <w:left w:val="single" w:sz="4" w:space="0" w:color="000000"/>
              <w:bottom w:val="single" w:sz="4" w:space="0" w:color="000000"/>
              <w:right w:val="single" w:sz="4" w:space="0" w:color="000000"/>
            </w:tcBorders>
            <w:vAlign w:val="bottom"/>
          </w:tcPr>
          <w:p w14:paraId="52BE1DDD" w14:textId="46BA8D87"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79.3</w:t>
            </w:r>
          </w:p>
        </w:tc>
        <w:tc>
          <w:tcPr>
            <w:tcW w:w="350" w:type="pct"/>
            <w:tcBorders>
              <w:top w:val="single" w:sz="4" w:space="0" w:color="000000"/>
              <w:left w:val="single" w:sz="4" w:space="0" w:color="000000"/>
              <w:bottom w:val="single" w:sz="4" w:space="0" w:color="000000"/>
              <w:right w:val="single" w:sz="4" w:space="0" w:color="000000"/>
            </w:tcBorders>
            <w:vAlign w:val="bottom"/>
          </w:tcPr>
          <w:p w14:paraId="628C8911" w14:textId="7DD4500D"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92.1</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4732C97" w14:textId="55100506"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89.3</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82676A" w14:textId="629D8C39"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94.9</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C5F6B8" w14:textId="511946C4"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93.4</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96C6F1" w14:textId="51BCA1CC"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91.2</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5AB3B7" w14:textId="4C97EBB8"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 xml:space="preserve">68,900 </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AD34BF" w14:textId="7B3ADF29"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 xml:space="preserve">90,000 </w:t>
            </w:r>
          </w:p>
        </w:tc>
        <w:tc>
          <w:tcPr>
            <w:tcW w:w="348" w:type="pct"/>
            <w:tcBorders>
              <w:top w:val="single" w:sz="4" w:space="0" w:color="000000"/>
              <w:left w:val="single" w:sz="4" w:space="0" w:color="000000"/>
              <w:bottom w:val="single" w:sz="4" w:space="0" w:color="000000"/>
              <w:right w:val="single" w:sz="4" w:space="0" w:color="000000"/>
            </w:tcBorders>
            <w:vAlign w:val="bottom"/>
          </w:tcPr>
          <w:p w14:paraId="0F1D936F" w14:textId="468069F7"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16.3</w:t>
            </w:r>
          </w:p>
        </w:tc>
        <w:tc>
          <w:tcPr>
            <w:tcW w:w="349" w:type="pct"/>
            <w:tcBorders>
              <w:top w:val="single" w:sz="4" w:space="0" w:color="000000"/>
              <w:left w:val="single" w:sz="4" w:space="0" w:color="000000"/>
              <w:bottom w:val="single" w:sz="4" w:space="0" w:color="000000"/>
              <w:right w:val="single" w:sz="4" w:space="0" w:color="000000"/>
            </w:tcBorders>
            <w:vAlign w:val="bottom"/>
          </w:tcPr>
          <w:p w14:paraId="74C0015D" w14:textId="476E07AA"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13.2</w:t>
            </w:r>
          </w:p>
        </w:tc>
        <w:tc>
          <w:tcPr>
            <w:tcW w:w="354" w:type="pct"/>
            <w:tcBorders>
              <w:top w:val="single" w:sz="4" w:space="0" w:color="000000"/>
              <w:left w:val="single" w:sz="4" w:space="0" w:color="000000"/>
              <w:bottom w:val="single" w:sz="4" w:space="0" w:color="000000"/>
              <w:right w:val="single" w:sz="4" w:space="0" w:color="000000"/>
            </w:tcBorders>
            <w:vAlign w:val="bottom"/>
          </w:tcPr>
          <w:p w14:paraId="4CA5C1D6" w14:textId="26FB9E0F"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71.2</w:t>
            </w:r>
          </w:p>
        </w:tc>
        <w:tc>
          <w:tcPr>
            <w:tcW w:w="354" w:type="pct"/>
            <w:tcBorders>
              <w:top w:val="single" w:sz="4" w:space="0" w:color="000000"/>
              <w:left w:val="single" w:sz="4" w:space="0" w:color="000000"/>
              <w:bottom w:val="single" w:sz="4" w:space="0" w:color="000000"/>
              <w:right w:val="single" w:sz="4" w:space="0" w:color="000000"/>
            </w:tcBorders>
            <w:vAlign w:val="bottom"/>
          </w:tcPr>
          <w:p w14:paraId="4157D060" w14:textId="1DEB673D"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78.5</w:t>
            </w:r>
          </w:p>
        </w:tc>
      </w:tr>
      <w:tr w:rsidR="00C22852" w:rsidRPr="00617A89" w14:paraId="18C3DF6C" w14:textId="68A54547" w:rsidTr="00BC457C">
        <w:trPr>
          <w:trHeight w:val="56"/>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FF2201F" w14:textId="2863A1DC" w:rsidR="00DF5816" w:rsidRPr="00617A89" w:rsidRDefault="00A922A0" w:rsidP="00DF5816">
            <w:pPr>
              <w:spacing w:before="85" w:line="288" w:lineRule="auto"/>
              <w:rPr>
                <w:rFonts w:cs="Arial"/>
                <w:color w:val="000000" w:themeColor="text1"/>
                <w:sz w:val="18"/>
              </w:rPr>
            </w:pPr>
            <w:r w:rsidRPr="00617A89">
              <w:rPr>
                <w:rFonts w:cs="Arial"/>
                <w:b/>
                <w:bCs/>
                <w:color w:val="000000" w:themeColor="text1"/>
                <w:sz w:val="18"/>
              </w:rPr>
              <w:t>Socio-economic status*****:</w:t>
            </w:r>
            <w:r w:rsidR="00C22852" w:rsidRPr="00617A89">
              <w:rPr>
                <w:rFonts w:cs="Arial"/>
                <w:b/>
                <w:bCs/>
                <w:color w:val="000000" w:themeColor="text1"/>
                <w:sz w:val="18"/>
              </w:rPr>
              <w:t xml:space="preserve"> </w:t>
            </w:r>
            <w:r w:rsidR="00DF5816" w:rsidRPr="00617A89">
              <w:rPr>
                <w:rFonts w:cs="Arial"/>
                <w:color w:val="000000" w:themeColor="text1"/>
                <w:sz w:val="18"/>
              </w:rPr>
              <w:t>Low</w:t>
            </w:r>
          </w:p>
        </w:tc>
        <w:tc>
          <w:tcPr>
            <w:tcW w:w="350" w:type="pct"/>
            <w:tcBorders>
              <w:top w:val="single" w:sz="4" w:space="0" w:color="000000"/>
              <w:left w:val="single" w:sz="4" w:space="0" w:color="000000"/>
              <w:bottom w:val="single" w:sz="4" w:space="0" w:color="000000"/>
              <w:right w:val="single" w:sz="4" w:space="0" w:color="000000"/>
            </w:tcBorders>
            <w:vAlign w:val="bottom"/>
          </w:tcPr>
          <w:p w14:paraId="16C71733" w14:textId="1C9028A0"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79.5</w:t>
            </w:r>
          </w:p>
        </w:tc>
        <w:tc>
          <w:tcPr>
            <w:tcW w:w="350" w:type="pct"/>
            <w:tcBorders>
              <w:top w:val="single" w:sz="4" w:space="0" w:color="000000"/>
              <w:left w:val="single" w:sz="4" w:space="0" w:color="000000"/>
              <w:bottom w:val="single" w:sz="4" w:space="0" w:color="000000"/>
              <w:right w:val="single" w:sz="4" w:space="0" w:color="000000"/>
            </w:tcBorders>
            <w:vAlign w:val="bottom"/>
          </w:tcPr>
          <w:p w14:paraId="6ED1B7B9" w14:textId="617337FF"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90.6</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E8216E2" w14:textId="1C38227B"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88.8</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B4E4D8" w14:textId="308F914A"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94.2</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9BC1F57" w14:textId="0EC59E1A"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91.5</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0B2387" w14:textId="4E4EF33B"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89.4</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5E9A22" w14:textId="45D60995"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 xml:space="preserve">70,000 </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4BC4A5" w14:textId="3F3A693A"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 xml:space="preserve">90,100 </w:t>
            </w:r>
          </w:p>
        </w:tc>
        <w:tc>
          <w:tcPr>
            <w:tcW w:w="348" w:type="pct"/>
            <w:tcBorders>
              <w:top w:val="single" w:sz="4" w:space="0" w:color="000000"/>
              <w:left w:val="single" w:sz="4" w:space="0" w:color="000000"/>
              <w:bottom w:val="single" w:sz="4" w:space="0" w:color="000000"/>
              <w:right w:val="single" w:sz="4" w:space="0" w:color="000000"/>
            </w:tcBorders>
            <w:vAlign w:val="bottom"/>
          </w:tcPr>
          <w:p w14:paraId="662C75ED" w14:textId="6328E3EA"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16.6</w:t>
            </w:r>
          </w:p>
        </w:tc>
        <w:tc>
          <w:tcPr>
            <w:tcW w:w="349" w:type="pct"/>
            <w:tcBorders>
              <w:top w:val="single" w:sz="4" w:space="0" w:color="000000"/>
              <w:left w:val="single" w:sz="4" w:space="0" w:color="000000"/>
              <w:bottom w:val="single" w:sz="4" w:space="0" w:color="000000"/>
              <w:right w:val="single" w:sz="4" w:space="0" w:color="000000"/>
            </w:tcBorders>
            <w:vAlign w:val="bottom"/>
          </w:tcPr>
          <w:p w14:paraId="16AAAAF1" w14:textId="32BC7C13"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11.9</w:t>
            </w:r>
          </w:p>
        </w:tc>
        <w:tc>
          <w:tcPr>
            <w:tcW w:w="354" w:type="pct"/>
            <w:tcBorders>
              <w:top w:val="single" w:sz="4" w:space="0" w:color="000000"/>
              <w:left w:val="single" w:sz="4" w:space="0" w:color="000000"/>
              <w:bottom w:val="single" w:sz="4" w:space="0" w:color="000000"/>
              <w:right w:val="single" w:sz="4" w:space="0" w:color="000000"/>
            </w:tcBorders>
            <w:vAlign w:val="bottom"/>
          </w:tcPr>
          <w:p w14:paraId="625354F6" w14:textId="6AE45511"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69.3</w:t>
            </w:r>
          </w:p>
        </w:tc>
        <w:tc>
          <w:tcPr>
            <w:tcW w:w="354" w:type="pct"/>
            <w:tcBorders>
              <w:top w:val="single" w:sz="4" w:space="0" w:color="000000"/>
              <w:left w:val="single" w:sz="4" w:space="0" w:color="000000"/>
              <w:bottom w:val="single" w:sz="4" w:space="0" w:color="000000"/>
              <w:right w:val="single" w:sz="4" w:space="0" w:color="000000"/>
            </w:tcBorders>
            <w:vAlign w:val="bottom"/>
          </w:tcPr>
          <w:p w14:paraId="275FA63C" w14:textId="54A05912" w:rsidR="00DF5816" w:rsidRPr="00617A89" w:rsidRDefault="00DF5816" w:rsidP="00DF5816">
            <w:pPr>
              <w:spacing w:before="85" w:line="288" w:lineRule="auto"/>
              <w:jc w:val="center"/>
              <w:rPr>
                <w:rFonts w:cs="Arial"/>
                <w:color w:val="000000" w:themeColor="text1"/>
                <w:sz w:val="18"/>
              </w:rPr>
            </w:pPr>
            <w:r w:rsidRPr="00617A89">
              <w:rPr>
                <w:rFonts w:cs="Arial"/>
                <w:color w:val="000000" w:themeColor="text1"/>
                <w:sz w:val="18"/>
              </w:rPr>
              <w:t>77.3</w:t>
            </w:r>
          </w:p>
        </w:tc>
      </w:tr>
      <w:tr w:rsidR="00C22852" w:rsidRPr="00617A89" w14:paraId="31BB1E64" w14:textId="0DA17942" w:rsidTr="00BC457C">
        <w:trPr>
          <w:trHeight w:val="20"/>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957F891" w14:textId="114534D7"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Location</w:t>
            </w:r>
            <w:r w:rsidRPr="00617A89">
              <w:rPr>
                <w:rFonts w:cs="Arial"/>
                <w:color w:val="000000" w:themeColor="text1"/>
                <w:sz w:val="18"/>
              </w:rPr>
              <w:t>***** †:</w:t>
            </w:r>
            <w:r w:rsidR="00C22852" w:rsidRPr="00617A89">
              <w:rPr>
                <w:rFonts w:cs="Arial"/>
                <w:color w:val="000000" w:themeColor="text1"/>
                <w:sz w:val="18"/>
              </w:rPr>
              <w:t xml:space="preserve"> </w:t>
            </w:r>
            <w:r w:rsidR="00374B95" w:rsidRPr="00617A89">
              <w:rPr>
                <w:rFonts w:cs="Arial"/>
                <w:color w:val="000000" w:themeColor="text1"/>
                <w:sz w:val="18"/>
              </w:rPr>
              <w:t>Metro</w:t>
            </w:r>
          </w:p>
        </w:tc>
        <w:tc>
          <w:tcPr>
            <w:tcW w:w="350" w:type="pct"/>
            <w:tcBorders>
              <w:top w:val="single" w:sz="4" w:space="0" w:color="000000"/>
              <w:left w:val="single" w:sz="4" w:space="0" w:color="000000"/>
              <w:bottom w:val="single" w:sz="4" w:space="0" w:color="000000"/>
              <w:right w:val="single" w:sz="4" w:space="0" w:color="000000"/>
            </w:tcBorders>
            <w:vAlign w:val="center"/>
          </w:tcPr>
          <w:p w14:paraId="6EE7B31B"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78.9</w:t>
            </w:r>
          </w:p>
        </w:tc>
        <w:tc>
          <w:tcPr>
            <w:tcW w:w="350" w:type="pct"/>
            <w:tcBorders>
              <w:top w:val="single" w:sz="4" w:space="0" w:color="000000"/>
              <w:left w:val="single" w:sz="4" w:space="0" w:color="000000"/>
              <w:bottom w:val="single" w:sz="4" w:space="0" w:color="000000"/>
              <w:right w:val="single" w:sz="4" w:space="0" w:color="000000"/>
            </w:tcBorders>
            <w:vAlign w:val="center"/>
          </w:tcPr>
          <w:p w14:paraId="49CF0A3E"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91.6</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C8DB0B"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89.0</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880BC4"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94.4</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381EB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92.8</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FF3B62"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90.6</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95F47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68,700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D07F94"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90,000</w:t>
            </w:r>
          </w:p>
        </w:tc>
        <w:tc>
          <w:tcPr>
            <w:tcW w:w="348" w:type="pct"/>
            <w:tcBorders>
              <w:top w:val="single" w:sz="4" w:space="0" w:color="000000"/>
              <w:left w:val="single" w:sz="4" w:space="0" w:color="000000"/>
              <w:bottom w:val="single" w:sz="4" w:space="0" w:color="000000"/>
              <w:right w:val="single" w:sz="4" w:space="0" w:color="000000"/>
            </w:tcBorders>
            <w:vAlign w:val="bottom"/>
          </w:tcPr>
          <w:p w14:paraId="2191E75A" w14:textId="4B8FECBC"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17.9</w:t>
            </w:r>
          </w:p>
        </w:tc>
        <w:tc>
          <w:tcPr>
            <w:tcW w:w="349" w:type="pct"/>
            <w:tcBorders>
              <w:top w:val="single" w:sz="4" w:space="0" w:color="000000"/>
              <w:left w:val="single" w:sz="4" w:space="0" w:color="000000"/>
              <w:bottom w:val="single" w:sz="4" w:space="0" w:color="000000"/>
              <w:right w:val="single" w:sz="4" w:space="0" w:color="000000"/>
            </w:tcBorders>
            <w:vAlign w:val="bottom"/>
          </w:tcPr>
          <w:p w14:paraId="644EDCE6" w14:textId="6B79BED6"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13.8</w:t>
            </w:r>
          </w:p>
        </w:tc>
        <w:tc>
          <w:tcPr>
            <w:tcW w:w="354" w:type="pct"/>
            <w:tcBorders>
              <w:top w:val="single" w:sz="4" w:space="0" w:color="000000"/>
              <w:left w:val="single" w:sz="4" w:space="0" w:color="000000"/>
              <w:bottom w:val="single" w:sz="4" w:space="0" w:color="000000"/>
              <w:right w:val="single" w:sz="4" w:space="0" w:color="000000"/>
            </w:tcBorders>
            <w:vAlign w:val="bottom"/>
          </w:tcPr>
          <w:p w14:paraId="459449E9" w14:textId="55BA27FA"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71.1</w:t>
            </w:r>
          </w:p>
        </w:tc>
        <w:tc>
          <w:tcPr>
            <w:tcW w:w="354" w:type="pct"/>
            <w:tcBorders>
              <w:top w:val="single" w:sz="4" w:space="0" w:color="000000"/>
              <w:left w:val="single" w:sz="4" w:space="0" w:color="000000"/>
              <w:bottom w:val="single" w:sz="4" w:space="0" w:color="000000"/>
              <w:right w:val="single" w:sz="4" w:space="0" w:color="000000"/>
            </w:tcBorders>
            <w:vAlign w:val="bottom"/>
          </w:tcPr>
          <w:p w14:paraId="06B58B08" w14:textId="619C8746"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79.5</w:t>
            </w:r>
          </w:p>
        </w:tc>
      </w:tr>
      <w:tr w:rsidR="00C22852" w:rsidRPr="00617A89" w14:paraId="2F3BBAD4" w14:textId="4265A62A" w:rsidTr="00BC457C">
        <w:trPr>
          <w:trHeight w:val="125"/>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289C30F" w14:textId="2708CD43" w:rsidR="00374B95" w:rsidRPr="00617A89" w:rsidRDefault="00A922A0" w:rsidP="00374B95">
            <w:pPr>
              <w:spacing w:before="85" w:line="288" w:lineRule="auto"/>
              <w:rPr>
                <w:rFonts w:cs="Arial"/>
                <w:color w:val="000000" w:themeColor="text1"/>
                <w:sz w:val="18"/>
              </w:rPr>
            </w:pPr>
            <w:r w:rsidRPr="00617A89">
              <w:rPr>
                <w:rFonts w:cs="Arial"/>
                <w:b/>
                <w:bCs/>
                <w:color w:val="000000" w:themeColor="text1"/>
                <w:sz w:val="18"/>
              </w:rPr>
              <w:t>Location</w:t>
            </w:r>
            <w:r w:rsidRPr="00617A89">
              <w:rPr>
                <w:rFonts w:cs="Arial"/>
                <w:color w:val="000000" w:themeColor="text1"/>
                <w:sz w:val="18"/>
              </w:rPr>
              <w:t>***** †:</w:t>
            </w:r>
            <w:r w:rsidR="00C22852" w:rsidRPr="00617A89">
              <w:rPr>
                <w:rFonts w:cs="Arial"/>
                <w:color w:val="000000" w:themeColor="text1"/>
                <w:sz w:val="18"/>
              </w:rPr>
              <w:t xml:space="preserve"> </w:t>
            </w:r>
            <w:r w:rsidR="00374B95" w:rsidRPr="00617A89">
              <w:rPr>
                <w:rFonts w:cs="Arial"/>
                <w:color w:val="000000" w:themeColor="text1"/>
                <w:sz w:val="18"/>
              </w:rPr>
              <w:t>Regional/Remote</w:t>
            </w:r>
          </w:p>
        </w:tc>
        <w:tc>
          <w:tcPr>
            <w:tcW w:w="350" w:type="pct"/>
            <w:tcBorders>
              <w:top w:val="single" w:sz="4" w:space="0" w:color="000000"/>
              <w:left w:val="single" w:sz="4" w:space="0" w:color="000000"/>
              <w:bottom w:val="single" w:sz="4" w:space="0" w:color="000000"/>
              <w:right w:val="single" w:sz="4" w:space="0" w:color="000000"/>
            </w:tcBorders>
            <w:vAlign w:val="center"/>
          </w:tcPr>
          <w:p w14:paraId="2A0D0366"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82.4</w:t>
            </w:r>
          </w:p>
        </w:tc>
        <w:tc>
          <w:tcPr>
            <w:tcW w:w="350" w:type="pct"/>
            <w:tcBorders>
              <w:top w:val="single" w:sz="4" w:space="0" w:color="000000"/>
              <w:left w:val="single" w:sz="4" w:space="0" w:color="000000"/>
              <w:bottom w:val="single" w:sz="4" w:space="0" w:color="000000"/>
              <w:right w:val="single" w:sz="4" w:space="0" w:color="000000"/>
            </w:tcBorders>
            <w:vAlign w:val="center"/>
          </w:tcPr>
          <w:p w14:paraId="504817BA"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92.3</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C312D5"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90.7</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B67488"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95.1</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A168AF"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92.3</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39F557"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90.1</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85D66F"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70,000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803344" w14:textId="77777777"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91,100</w:t>
            </w:r>
          </w:p>
        </w:tc>
        <w:tc>
          <w:tcPr>
            <w:tcW w:w="348" w:type="pct"/>
            <w:tcBorders>
              <w:top w:val="single" w:sz="4" w:space="0" w:color="000000"/>
              <w:left w:val="single" w:sz="4" w:space="0" w:color="000000"/>
              <w:bottom w:val="single" w:sz="4" w:space="0" w:color="000000"/>
              <w:right w:val="single" w:sz="4" w:space="0" w:color="000000"/>
            </w:tcBorders>
            <w:vAlign w:val="bottom"/>
          </w:tcPr>
          <w:p w14:paraId="00F07966" w14:textId="389B1014"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16.3</w:t>
            </w:r>
          </w:p>
        </w:tc>
        <w:tc>
          <w:tcPr>
            <w:tcW w:w="349" w:type="pct"/>
            <w:tcBorders>
              <w:top w:val="single" w:sz="4" w:space="0" w:color="000000"/>
              <w:left w:val="single" w:sz="4" w:space="0" w:color="000000"/>
              <w:bottom w:val="single" w:sz="4" w:space="0" w:color="000000"/>
              <w:right w:val="single" w:sz="4" w:space="0" w:color="000000"/>
            </w:tcBorders>
            <w:vAlign w:val="bottom"/>
          </w:tcPr>
          <w:p w14:paraId="6B1CC8CD" w14:textId="2FC49E51"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12.7</w:t>
            </w:r>
          </w:p>
        </w:tc>
        <w:tc>
          <w:tcPr>
            <w:tcW w:w="354" w:type="pct"/>
            <w:tcBorders>
              <w:top w:val="single" w:sz="4" w:space="0" w:color="000000"/>
              <w:left w:val="single" w:sz="4" w:space="0" w:color="000000"/>
              <w:bottom w:val="single" w:sz="4" w:space="0" w:color="000000"/>
              <w:right w:val="single" w:sz="4" w:space="0" w:color="000000"/>
            </w:tcBorders>
            <w:vAlign w:val="bottom"/>
          </w:tcPr>
          <w:p w14:paraId="547A87C7" w14:textId="4CFE6005"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71.7</w:t>
            </w:r>
          </w:p>
        </w:tc>
        <w:tc>
          <w:tcPr>
            <w:tcW w:w="354" w:type="pct"/>
            <w:tcBorders>
              <w:top w:val="single" w:sz="4" w:space="0" w:color="000000"/>
              <w:left w:val="single" w:sz="4" w:space="0" w:color="000000"/>
              <w:bottom w:val="single" w:sz="4" w:space="0" w:color="000000"/>
              <w:right w:val="single" w:sz="4" w:space="0" w:color="000000"/>
            </w:tcBorders>
            <w:vAlign w:val="bottom"/>
          </w:tcPr>
          <w:p w14:paraId="50A46922" w14:textId="55B6869E" w:rsidR="00374B95" w:rsidRPr="00617A89" w:rsidRDefault="00374B95" w:rsidP="00374B95">
            <w:pPr>
              <w:spacing w:before="85" w:line="288" w:lineRule="auto"/>
              <w:jc w:val="center"/>
              <w:rPr>
                <w:rFonts w:cs="Arial"/>
                <w:color w:val="000000" w:themeColor="text1"/>
                <w:sz w:val="18"/>
              </w:rPr>
            </w:pPr>
            <w:r w:rsidRPr="00617A89">
              <w:rPr>
                <w:rFonts w:cs="Arial"/>
                <w:color w:val="000000" w:themeColor="text1"/>
                <w:sz w:val="18"/>
              </w:rPr>
              <w:t>78.4</w:t>
            </w:r>
          </w:p>
        </w:tc>
      </w:tr>
      <w:tr w:rsidR="00C22852" w:rsidRPr="00617A89" w14:paraId="3FEA40C1" w14:textId="74B5548D" w:rsidTr="00BC457C">
        <w:trPr>
          <w:trHeight w:val="125"/>
        </w:trPr>
        <w:tc>
          <w:tcPr>
            <w:tcW w:w="6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17B2C10" w14:textId="77777777" w:rsidR="00FE75CE" w:rsidRPr="00617A89" w:rsidRDefault="00FE75CE" w:rsidP="00FE75CE">
            <w:pPr>
              <w:spacing w:before="85" w:line="288" w:lineRule="auto"/>
              <w:rPr>
                <w:rFonts w:cs="Arial"/>
                <w:b/>
                <w:bCs/>
                <w:color w:val="000000" w:themeColor="text1"/>
                <w:sz w:val="18"/>
              </w:rPr>
            </w:pPr>
            <w:r w:rsidRPr="00617A89">
              <w:rPr>
                <w:rFonts w:cs="Arial"/>
                <w:b/>
                <w:bCs/>
                <w:color w:val="000000" w:themeColor="text1"/>
                <w:sz w:val="18"/>
              </w:rPr>
              <w:t>Total</w:t>
            </w:r>
          </w:p>
        </w:tc>
        <w:tc>
          <w:tcPr>
            <w:tcW w:w="350" w:type="pct"/>
            <w:tcBorders>
              <w:top w:val="single" w:sz="4" w:space="0" w:color="000000"/>
              <w:left w:val="single" w:sz="4" w:space="0" w:color="000000"/>
              <w:bottom w:val="single" w:sz="4" w:space="0" w:color="000000"/>
              <w:right w:val="single" w:sz="4" w:space="0" w:color="000000"/>
            </w:tcBorders>
            <w:vAlign w:val="center"/>
          </w:tcPr>
          <w:p w14:paraId="0D561B83" w14:textId="77777777"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79.5</w:t>
            </w:r>
          </w:p>
        </w:tc>
        <w:tc>
          <w:tcPr>
            <w:tcW w:w="350" w:type="pct"/>
            <w:tcBorders>
              <w:top w:val="single" w:sz="4" w:space="0" w:color="000000"/>
              <w:left w:val="single" w:sz="4" w:space="0" w:color="000000"/>
              <w:bottom w:val="single" w:sz="4" w:space="0" w:color="000000"/>
              <w:right w:val="single" w:sz="4" w:space="0" w:color="000000"/>
            </w:tcBorders>
            <w:vAlign w:val="center"/>
          </w:tcPr>
          <w:p w14:paraId="3B6A1ED2" w14:textId="77777777"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91.7</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2D3AE6" w14:textId="77777777"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89.2</w:t>
            </w:r>
          </w:p>
        </w:tc>
        <w:tc>
          <w:tcPr>
            <w:tcW w:w="38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F3976DF" w14:textId="77777777"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94.6</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9249D1" w14:textId="77777777"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92.7</w:t>
            </w:r>
          </w:p>
        </w:tc>
        <w:tc>
          <w:tcPr>
            <w:tcW w:w="3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2693B2" w14:textId="77777777"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90.4</w:t>
            </w:r>
          </w:p>
        </w:tc>
        <w:tc>
          <w:tcPr>
            <w:tcW w:w="3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FCD30E" w14:textId="77777777"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69,000</w:t>
            </w:r>
          </w:p>
        </w:tc>
        <w:tc>
          <w:tcPr>
            <w:tcW w:w="3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398D30" w14:textId="77777777"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91,000</w:t>
            </w:r>
          </w:p>
        </w:tc>
        <w:tc>
          <w:tcPr>
            <w:tcW w:w="348" w:type="pct"/>
            <w:tcBorders>
              <w:top w:val="single" w:sz="4" w:space="0" w:color="000000"/>
              <w:left w:val="single" w:sz="4" w:space="0" w:color="000000"/>
              <w:bottom w:val="single" w:sz="4" w:space="0" w:color="000000"/>
              <w:right w:val="single" w:sz="4" w:space="0" w:color="000000"/>
            </w:tcBorders>
            <w:vAlign w:val="bottom"/>
          </w:tcPr>
          <w:p w14:paraId="50A0E5B5" w14:textId="509477B9"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17.5</w:t>
            </w:r>
          </w:p>
        </w:tc>
        <w:tc>
          <w:tcPr>
            <w:tcW w:w="349" w:type="pct"/>
            <w:tcBorders>
              <w:top w:val="single" w:sz="4" w:space="0" w:color="000000"/>
              <w:left w:val="single" w:sz="4" w:space="0" w:color="000000"/>
              <w:bottom w:val="single" w:sz="4" w:space="0" w:color="000000"/>
              <w:right w:val="single" w:sz="4" w:space="0" w:color="000000"/>
            </w:tcBorders>
            <w:vAlign w:val="bottom"/>
          </w:tcPr>
          <w:p w14:paraId="54E789F0" w14:textId="6AC1D59D"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13.4</w:t>
            </w:r>
          </w:p>
        </w:tc>
        <w:tc>
          <w:tcPr>
            <w:tcW w:w="354" w:type="pct"/>
            <w:tcBorders>
              <w:top w:val="single" w:sz="4" w:space="0" w:color="000000"/>
              <w:left w:val="single" w:sz="4" w:space="0" w:color="000000"/>
              <w:bottom w:val="single" w:sz="4" w:space="0" w:color="000000"/>
              <w:right w:val="single" w:sz="4" w:space="0" w:color="000000"/>
            </w:tcBorders>
            <w:vAlign w:val="bottom"/>
          </w:tcPr>
          <w:p w14:paraId="71BA45DA" w14:textId="07EE4B51"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70.7</w:t>
            </w:r>
          </w:p>
        </w:tc>
        <w:tc>
          <w:tcPr>
            <w:tcW w:w="354" w:type="pct"/>
            <w:tcBorders>
              <w:top w:val="single" w:sz="4" w:space="0" w:color="000000"/>
              <w:left w:val="single" w:sz="4" w:space="0" w:color="000000"/>
              <w:bottom w:val="single" w:sz="4" w:space="0" w:color="000000"/>
              <w:right w:val="single" w:sz="4" w:space="0" w:color="000000"/>
            </w:tcBorders>
            <w:vAlign w:val="bottom"/>
          </w:tcPr>
          <w:p w14:paraId="6B799F47" w14:textId="5BCC153A" w:rsidR="00FE75CE" w:rsidRPr="00617A89" w:rsidRDefault="00FE75CE" w:rsidP="00FE75CE">
            <w:pPr>
              <w:spacing w:before="85" w:line="288" w:lineRule="auto"/>
              <w:jc w:val="center"/>
              <w:rPr>
                <w:rFonts w:cs="Arial"/>
                <w:b/>
                <w:bCs/>
                <w:color w:val="000000" w:themeColor="text1"/>
                <w:sz w:val="18"/>
              </w:rPr>
            </w:pPr>
            <w:r w:rsidRPr="00617A89">
              <w:rPr>
                <w:rFonts w:cs="Arial"/>
                <w:b/>
                <w:bCs/>
                <w:color w:val="000000" w:themeColor="text1"/>
                <w:sz w:val="18"/>
              </w:rPr>
              <w:t>78.9</w:t>
            </w:r>
          </w:p>
        </w:tc>
      </w:tr>
    </w:tbl>
    <w:bookmarkEnd w:id="119"/>
    <w:p w14:paraId="18C30F8C" w14:textId="77777777" w:rsidR="00910822" w:rsidRPr="00617A89" w:rsidRDefault="00910822" w:rsidP="00910822">
      <w:pPr>
        <w:pStyle w:val="FigureNote"/>
        <w:rPr>
          <w:color w:val="000000" w:themeColor="text1"/>
          <w:sz w:val="18"/>
          <w:szCs w:val="24"/>
        </w:rPr>
      </w:pPr>
      <w:r w:rsidRPr="00617A89">
        <w:rPr>
          <w:color w:val="000000" w:themeColor="text1"/>
          <w:sz w:val="18"/>
          <w:szCs w:val="24"/>
        </w:rPr>
        <w:t>* ‘Internal mode’ of attendance is where (i) the study is undertaken through attendance at the higher education provider on a regular basis, or (ii) for higher-degree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0E3822C3" w14:textId="77777777" w:rsidR="00910822" w:rsidRPr="00617A89" w:rsidRDefault="00910822" w:rsidP="00910822">
      <w:pPr>
        <w:pStyle w:val="FigureNote"/>
        <w:rPr>
          <w:color w:val="000000" w:themeColor="text1"/>
          <w:sz w:val="18"/>
          <w:szCs w:val="24"/>
          <w:lang w:val="en-AU"/>
        </w:rPr>
      </w:pPr>
      <w:bookmarkStart w:id="120" w:name="_Hlk188969536"/>
      <w:r w:rsidRPr="00617A89">
        <w:rPr>
          <w:color w:val="000000" w:themeColor="text1"/>
          <w:sz w:val="18"/>
          <w:szCs w:val="24"/>
        </w:rPr>
        <w:t>** ‘</w:t>
      </w:r>
      <w:r w:rsidRPr="00617A89">
        <w:rPr>
          <w:color w:val="000000" w:themeColor="text1"/>
          <w:sz w:val="18"/>
          <w:szCs w:val="24"/>
          <w:lang w:val="en-AU"/>
        </w:rPr>
        <w:t>Home language other than English’ refers to graduates who arrived in Australia less than 10 years prior to the year in which the data was collected and who come from a home where a language other than English is spoken. This information is reported by institutions through the Tertiary Collection of Student Information (TCSI) system.</w:t>
      </w:r>
    </w:p>
    <w:p w14:paraId="30DDA6CA" w14:textId="142E0D87" w:rsidR="00357FF0" w:rsidRPr="00617A89" w:rsidRDefault="00357FF0" w:rsidP="00910822">
      <w:pPr>
        <w:pStyle w:val="FigureNote"/>
        <w:rPr>
          <w:color w:val="000000" w:themeColor="text1"/>
          <w:sz w:val="18"/>
          <w:szCs w:val="24"/>
        </w:rPr>
      </w:pPr>
      <w:r w:rsidRPr="00617A89">
        <w:rPr>
          <w:color w:val="000000" w:themeColor="text1"/>
          <w:sz w:val="18"/>
          <w:szCs w:val="24"/>
          <w:lang w:val="en-AU"/>
        </w:rPr>
        <w:t xml:space="preserve">*** </w:t>
      </w:r>
      <w:r w:rsidR="00B3559F" w:rsidRPr="00617A89">
        <w:rPr>
          <w:color w:val="000000" w:themeColor="text1"/>
          <w:sz w:val="18"/>
          <w:szCs w:val="24"/>
        </w:rPr>
        <w:t>Disability information is reported by institutions through the Tertiary Collection of Student Information (TCSI) system, reflecting a disability, impairment or long-term condition which may affect a graduate’s studies.</w:t>
      </w:r>
    </w:p>
    <w:p w14:paraId="1A9A4F76" w14:textId="0EB0587E" w:rsidR="00910822" w:rsidRPr="00617A89" w:rsidRDefault="00910822" w:rsidP="00910822">
      <w:pPr>
        <w:pStyle w:val="FigureNote"/>
        <w:rPr>
          <w:rFonts w:ascii="Calibri" w:hAnsi="Calibri"/>
          <w:color w:val="000000" w:themeColor="text1"/>
          <w:sz w:val="18"/>
          <w:szCs w:val="24"/>
        </w:rPr>
      </w:pPr>
      <w:bookmarkStart w:id="121" w:name="_Hlk188969769"/>
      <w:bookmarkEnd w:id="120"/>
      <w:r w:rsidRPr="00617A89">
        <w:rPr>
          <w:color w:val="000000" w:themeColor="text1"/>
          <w:sz w:val="18"/>
          <w:szCs w:val="24"/>
        </w:rPr>
        <w:t>***</w:t>
      </w:r>
      <w:r w:rsidR="00357FF0" w:rsidRPr="00617A89">
        <w:rPr>
          <w:color w:val="000000" w:themeColor="text1"/>
          <w:sz w:val="18"/>
          <w:szCs w:val="24"/>
        </w:rPr>
        <w:t>*</w:t>
      </w:r>
      <w:r w:rsidRPr="00617A89">
        <w:rPr>
          <w:color w:val="000000" w:themeColor="text1"/>
          <w:sz w:val="18"/>
          <w:szCs w:val="24"/>
        </w:rPr>
        <w:t xml:space="preserve"> ‘First in family’ refers to a graduate attaining a bachelor’s degree level qualification when their parent(s) or guardian(s) have not. This is based on the highest level of educational attainment of a student’s parent(s) or guardian(s), as identified by the student. This information is reported by institutions through the Tertiary Collection of Student Information (TCSI) system. </w:t>
      </w:r>
    </w:p>
    <w:bookmarkEnd w:id="121"/>
    <w:p w14:paraId="2CE71352" w14:textId="2AA1EB2E" w:rsidR="00910822" w:rsidRPr="00617A89" w:rsidRDefault="00910822" w:rsidP="00910822">
      <w:pPr>
        <w:pStyle w:val="FigureNote"/>
        <w:rPr>
          <w:color w:val="000000" w:themeColor="text1"/>
          <w:sz w:val="18"/>
          <w:szCs w:val="24"/>
        </w:rPr>
      </w:pPr>
      <w:r w:rsidRPr="00617A89">
        <w:rPr>
          <w:color w:val="000000" w:themeColor="text1"/>
          <w:sz w:val="18"/>
          <w:szCs w:val="24"/>
        </w:rPr>
        <w:t>****</w:t>
      </w:r>
      <w:r w:rsidR="00357FF0" w:rsidRPr="00617A89">
        <w:rPr>
          <w:color w:val="000000" w:themeColor="text1"/>
          <w:sz w:val="18"/>
          <w:szCs w:val="24"/>
        </w:rPr>
        <w:t>*</w:t>
      </w:r>
      <w:r w:rsidRPr="00617A89">
        <w:rPr>
          <w:color w:val="000000" w:themeColor="text1"/>
          <w:sz w:val="18"/>
          <w:szCs w:val="24"/>
        </w:rPr>
        <w:t xml:space="preserve"> </w:t>
      </w:r>
      <w:bookmarkStart w:id="122" w:name="_Hlk147828314"/>
      <w:r w:rsidRPr="00617A89">
        <w:rPr>
          <w:color w:val="000000" w:themeColor="text1"/>
          <w:sz w:val="18"/>
          <w:szCs w:val="24"/>
        </w:rPr>
        <w:t xml:space="preserve">The socio-economic status and location measures are area-based, associated with students’ first permanent home address submitted when they commenced with their provider, as collected through the TCSI system. Socio-economic status is based on the ABS’ Socio-Economic Indexes for Areas (SEIFA) - The Index of Education and </w:t>
      </w:r>
      <w:bookmarkEnd w:id="122"/>
      <w:r w:rsidRPr="00617A89">
        <w:rPr>
          <w:color w:val="000000" w:themeColor="text1"/>
          <w:sz w:val="18"/>
          <w:szCs w:val="24"/>
        </w:rPr>
        <w:t>Occupation (IEO).</w:t>
      </w:r>
    </w:p>
    <w:p w14:paraId="38BA5650" w14:textId="77777777" w:rsidR="00837587" w:rsidRPr="00617A89" w:rsidRDefault="00910822" w:rsidP="00910822">
      <w:pPr>
        <w:pStyle w:val="FigureNote"/>
        <w:rPr>
          <w:color w:val="000000" w:themeColor="text1"/>
          <w:sz w:val="18"/>
          <w:szCs w:val="24"/>
        </w:rPr>
      </w:pPr>
      <w:r w:rsidRPr="00617A89">
        <w:rPr>
          <w:color w:val="000000" w:themeColor="text1"/>
          <w:sz w:val="18"/>
          <w:szCs w:val="24"/>
        </w:rPr>
        <w:t xml:space="preserve">† </w:t>
      </w:r>
      <w:bookmarkStart w:id="123" w:name="_Hlk147828332"/>
      <w:r w:rsidRPr="00617A89">
        <w:rPr>
          <w:color w:val="000000" w:themeColor="text1"/>
          <w:sz w:val="18"/>
          <w:szCs w:val="24"/>
        </w:rPr>
        <w:t>Location measures are calculated according to the proportion of metro and regional/remote categories</w:t>
      </w:r>
      <w:bookmarkEnd w:id="123"/>
      <w:r w:rsidRPr="00617A89">
        <w:rPr>
          <w:color w:val="000000" w:themeColor="text1"/>
          <w:sz w:val="18"/>
          <w:szCs w:val="24"/>
        </w:rPr>
        <w:t>.</w:t>
      </w:r>
    </w:p>
    <w:p w14:paraId="5C5BF69C" w14:textId="0E9A5024" w:rsidR="00542F9F" w:rsidRPr="00617A89" w:rsidRDefault="007C60E6" w:rsidP="00741D57">
      <w:pPr>
        <w:pStyle w:val="FigureNote"/>
        <w:rPr>
          <w:color w:val="000000" w:themeColor="text1"/>
          <w:sz w:val="18"/>
          <w:szCs w:val="24"/>
        </w:rPr>
      </w:pPr>
      <w:r w:rsidRPr="00617A89">
        <w:rPr>
          <w:color w:val="000000" w:themeColor="text1"/>
          <w:sz w:val="18"/>
          <w:szCs w:val="24"/>
        </w:rPr>
        <w:t>‡</w:t>
      </w:r>
      <w:r w:rsidR="00542F9F" w:rsidRPr="00617A89">
        <w:rPr>
          <w:color w:val="000000" w:themeColor="text1"/>
          <w:sz w:val="18"/>
          <w:szCs w:val="24"/>
        </w:rPr>
        <w:t xml:space="preserve"> </w:t>
      </w:r>
      <w:r w:rsidR="00741D57" w:rsidRPr="00617A89">
        <w:rPr>
          <w:color w:val="000000" w:themeColor="text1"/>
          <w:sz w:val="18"/>
          <w:szCs w:val="24"/>
        </w:rPr>
        <w:t xml:space="preserve">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00741D57" w:rsidRPr="00617A89">
        <w:rPr>
          <w:b/>
          <w:bCs/>
          <w:color w:val="000000" w:themeColor="text1"/>
          <w:sz w:val="18"/>
          <w:szCs w:val="24"/>
        </w:rPr>
        <w:t>Appendix 1</w:t>
      </w:r>
      <w:r w:rsidR="00741D57" w:rsidRPr="00617A89">
        <w:rPr>
          <w:color w:val="000000" w:themeColor="text1"/>
          <w:sz w:val="18"/>
          <w:szCs w:val="24"/>
        </w:rPr>
        <w:t xml:space="preserve"> for further information.</w:t>
      </w:r>
    </w:p>
    <w:p w14:paraId="5D6228D7" w14:textId="4F109B5C" w:rsidR="007C60E6" w:rsidRPr="00617A89" w:rsidRDefault="007C60E6" w:rsidP="00910822">
      <w:pPr>
        <w:pStyle w:val="FigureNote"/>
        <w:rPr>
          <w:color w:val="000000" w:themeColor="text1"/>
          <w:sz w:val="18"/>
          <w:szCs w:val="24"/>
        </w:rPr>
      </w:pPr>
    </w:p>
    <w:p w14:paraId="46719783" w14:textId="77777777" w:rsidR="00F57051" w:rsidRPr="00617A89" w:rsidRDefault="00F57051" w:rsidP="00910822">
      <w:pPr>
        <w:pStyle w:val="FigureNote"/>
        <w:rPr>
          <w:color w:val="000000" w:themeColor="text1"/>
        </w:rPr>
        <w:sectPr w:rsidR="00F57051" w:rsidRPr="00617A89" w:rsidSect="00290AB6">
          <w:headerReference w:type="default" r:id="rId86"/>
          <w:footerReference w:type="default" r:id="rId87"/>
          <w:pgSz w:w="16840" w:h="11900" w:orient="landscape"/>
          <w:pgMar w:top="720" w:right="720" w:bottom="720" w:left="720" w:header="397" w:footer="397" w:gutter="0"/>
          <w:cols w:space="708"/>
          <w:docGrid w:linePitch="360"/>
        </w:sectPr>
      </w:pPr>
    </w:p>
    <w:p w14:paraId="35411BEC" w14:textId="77777777" w:rsidR="00910822" w:rsidRPr="00617A89" w:rsidRDefault="00910822" w:rsidP="00910822">
      <w:pPr>
        <w:pStyle w:val="Heading2"/>
        <w:rPr>
          <w:color w:val="000000" w:themeColor="text1"/>
        </w:rPr>
      </w:pPr>
      <w:bookmarkStart w:id="124" w:name="_Toc136603830"/>
      <w:bookmarkStart w:id="125" w:name="_Toc136603878"/>
      <w:bookmarkStart w:id="126" w:name="_Toc136603926"/>
      <w:bookmarkStart w:id="127" w:name="_Toc136616394"/>
      <w:bookmarkStart w:id="128" w:name="_Toc136616442"/>
      <w:bookmarkStart w:id="129" w:name="_Toc136616490"/>
      <w:bookmarkStart w:id="130" w:name="_Toc136950965"/>
      <w:bookmarkStart w:id="131" w:name="_Toc192179853"/>
      <w:bookmarkStart w:id="132" w:name="_Toc222868446"/>
      <w:bookmarkEnd w:id="124"/>
      <w:bookmarkEnd w:id="125"/>
      <w:bookmarkEnd w:id="126"/>
      <w:bookmarkEnd w:id="127"/>
      <w:bookmarkEnd w:id="128"/>
      <w:bookmarkEnd w:id="129"/>
      <w:bookmarkEnd w:id="130"/>
      <w:r w:rsidRPr="00617A89">
        <w:rPr>
          <w:color w:val="000000" w:themeColor="text1"/>
        </w:rPr>
        <w:t>Study area</w:t>
      </w:r>
      <w:bookmarkEnd w:id="131"/>
      <w:bookmarkEnd w:id="132"/>
    </w:p>
    <w:p w14:paraId="1DD8F0D9" w14:textId="3134FA08" w:rsidR="00910822" w:rsidRPr="00617A89" w:rsidRDefault="00910822" w:rsidP="00910822">
      <w:pPr>
        <w:pStyle w:val="Bodycopy"/>
        <w:rPr>
          <w:color w:val="000000" w:themeColor="text1"/>
        </w:rPr>
      </w:pPr>
      <w:r w:rsidRPr="00617A89">
        <w:rPr>
          <w:color w:val="000000" w:themeColor="text1"/>
        </w:rPr>
        <w:t>Comparisons of full-time employment rates by study area show that while undergraduates from some study areas, particularly those with generalist degrees, have weaker employment outcomes soon after completing their course, the difference in employment outcomes across study areas tends to narrow over time (</w:t>
      </w:r>
      <w:r w:rsidRPr="00617A89">
        <w:rPr>
          <w:b/>
          <w:bCs/>
          <w:color w:val="000000" w:themeColor="text1"/>
        </w:rPr>
        <w:fldChar w:fldCharType="begin"/>
      </w:r>
      <w:r w:rsidRPr="00617A89">
        <w:rPr>
          <w:b/>
          <w:bCs/>
          <w:color w:val="000000" w:themeColor="text1"/>
        </w:rPr>
        <w:instrText xml:space="preserve"> REF _Ref135592725 \h  \* MERGEFORMAT </w:instrText>
      </w:r>
      <w:r w:rsidRPr="00617A89">
        <w:rPr>
          <w:b/>
          <w:bCs/>
          <w:color w:val="000000" w:themeColor="text1"/>
        </w:rPr>
      </w:r>
      <w:r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12</w:t>
      </w:r>
      <w:r w:rsidRPr="00617A89">
        <w:rPr>
          <w:b/>
          <w:bCs/>
          <w:color w:val="000000" w:themeColor="text1"/>
        </w:rPr>
        <w:fldChar w:fldCharType="end"/>
      </w:r>
      <w:r w:rsidRPr="00617A89">
        <w:rPr>
          <w:color w:val="000000" w:themeColor="text1"/>
        </w:rPr>
        <w:t>).</w:t>
      </w:r>
    </w:p>
    <w:p w14:paraId="269C6C95" w14:textId="26C218D8" w:rsidR="00910822" w:rsidRPr="00617A89" w:rsidRDefault="00910822" w:rsidP="00910822">
      <w:pPr>
        <w:pStyle w:val="Bodycopy"/>
        <w:rPr>
          <w:color w:val="000000" w:themeColor="text1"/>
        </w:rPr>
      </w:pPr>
      <w:r w:rsidRPr="00617A89">
        <w:rPr>
          <w:color w:val="000000" w:themeColor="text1"/>
        </w:rPr>
        <w:t>In 2022, full-time employment rates for recent undergraduates ranged from 97.8 per cent for Pharmacy and 96.9 per cent for Rehabilitation to 60.8 per cent for Creative arts and 63.0 per cent for Tourism, hospitality, personal services, sport and recreation – a difference of 37.0 percentage points between the highest and lowest study areas (</w:t>
      </w:r>
      <w:r w:rsidRPr="00617A89">
        <w:rPr>
          <w:b/>
          <w:bCs/>
          <w:color w:val="000000" w:themeColor="text1"/>
        </w:rPr>
        <w:fldChar w:fldCharType="begin"/>
      </w:r>
      <w:r w:rsidRPr="00617A89">
        <w:rPr>
          <w:b/>
          <w:bCs/>
          <w:color w:val="000000" w:themeColor="text1"/>
        </w:rPr>
        <w:instrText xml:space="preserve"> REF _Ref202262609 \h  \* MERGEFORMAT </w:instrText>
      </w:r>
      <w:r w:rsidRPr="00617A89">
        <w:rPr>
          <w:b/>
          <w:bCs/>
          <w:color w:val="000000" w:themeColor="text1"/>
        </w:rPr>
      </w:r>
      <w:r w:rsidRPr="00617A89">
        <w:rPr>
          <w:b/>
          <w:bCs/>
          <w:color w:val="000000" w:themeColor="text1"/>
        </w:rPr>
        <w:fldChar w:fldCharType="separate"/>
      </w:r>
      <w:r w:rsidR="00DB7C31" w:rsidRPr="00617A89">
        <w:rPr>
          <w:b/>
          <w:bCs/>
          <w:color w:val="000000" w:themeColor="text1"/>
        </w:rPr>
        <w:t xml:space="preserve">Table </w:t>
      </w:r>
      <w:r w:rsidR="00DB7C31" w:rsidRPr="00617A89">
        <w:rPr>
          <w:b/>
          <w:bCs/>
          <w:noProof/>
          <w:color w:val="000000" w:themeColor="text1"/>
        </w:rPr>
        <w:t>5</w:t>
      </w:r>
      <w:r w:rsidRPr="00617A89">
        <w:rPr>
          <w:b/>
          <w:bCs/>
          <w:color w:val="000000" w:themeColor="text1"/>
        </w:rPr>
        <w:fldChar w:fldCharType="end"/>
      </w:r>
      <w:r w:rsidRPr="00617A89">
        <w:rPr>
          <w:color w:val="000000" w:themeColor="text1"/>
        </w:rPr>
        <w:t>).</w:t>
      </w:r>
    </w:p>
    <w:p w14:paraId="59FE4900" w14:textId="0F781291" w:rsidR="00910822" w:rsidRPr="00617A89" w:rsidRDefault="00910822" w:rsidP="00910822">
      <w:pPr>
        <w:pStyle w:val="Bodycopy"/>
        <w:rPr>
          <w:color w:val="000000" w:themeColor="text1"/>
        </w:rPr>
      </w:pPr>
      <w:r w:rsidRPr="00617A89">
        <w:rPr>
          <w:color w:val="000000" w:themeColor="text1"/>
        </w:rPr>
        <w:t>By 2025, in the medium-term, the spread in employment rates across study areas for undergraduates had contracted to 14.7 percentage points. Full-time employment rates in many study areas that had high full-time employment rates shortly after course completion remained steady or increased further, while study areas with low full-time employment rates in the short-term had much larger increases 3 years later. For example, the two bottom study areas in 2022, Creative arts, and Tourism, hospitality, personal services, sport and recreation</w:t>
      </w:r>
      <w:r w:rsidR="00D071FE" w:rsidRPr="00617A89">
        <w:rPr>
          <w:color w:val="000000" w:themeColor="text1"/>
        </w:rPr>
        <w:t>,</w:t>
      </w:r>
      <w:r w:rsidRPr="00617A89">
        <w:rPr>
          <w:color w:val="000000" w:themeColor="text1"/>
        </w:rPr>
        <w:t xml:space="preserve"> had the largest increases in full-time employment rates 3 years </w:t>
      </w:r>
      <w:r w:rsidR="00390E46" w:rsidRPr="00617A89">
        <w:rPr>
          <w:color w:val="000000" w:themeColor="text1"/>
        </w:rPr>
        <w:t xml:space="preserve">later, </w:t>
      </w:r>
      <w:r w:rsidRPr="00617A89">
        <w:rPr>
          <w:color w:val="000000" w:themeColor="text1"/>
        </w:rPr>
        <w:t xml:space="preserve">by 22.8 and 27.3 percentage points respectively. In comparison, Medicine, which had the highest full-time employment rate in the medium-term, only increased by 6.4 percentage points </w:t>
      </w:r>
      <w:r w:rsidR="00390E46" w:rsidRPr="00617A89">
        <w:rPr>
          <w:color w:val="000000" w:themeColor="text1"/>
        </w:rPr>
        <w:t>between 2022 and 2025</w:t>
      </w:r>
      <w:r w:rsidRPr="00617A89">
        <w:rPr>
          <w:color w:val="000000" w:themeColor="text1"/>
        </w:rPr>
        <w:t xml:space="preserve">. </w:t>
      </w:r>
    </w:p>
    <w:p w14:paraId="0B4359AC" w14:textId="2E79E6C9" w:rsidR="00910822" w:rsidRPr="00617A89" w:rsidRDefault="00910822" w:rsidP="00910822">
      <w:pPr>
        <w:pStyle w:val="Bodycopy"/>
        <w:rPr>
          <w:color w:val="000000" w:themeColor="text1"/>
        </w:rPr>
      </w:pPr>
      <w:r w:rsidRPr="00617A89">
        <w:rPr>
          <w:color w:val="000000" w:themeColor="text1"/>
        </w:rPr>
        <w:t xml:space="preserve">Other factors beyond labour market demand can also influence employment outcomes across study areas. For instance, </w:t>
      </w:r>
      <w:r w:rsidR="00300B2A" w:rsidRPr="00617A89">
        <w:rPr>
          <w:color w:val="000000" w:themeColor="text1"/>
        </w:rPr>
        <w:t xml:space="preserve">the </w:t>
      </w:r>
      <w:r w:rsidRPr="00617A89">
        <w:rPr>
          <w:color w:val="000000" w:themeColor="text1"/>
        </w:rPr>
        <w:t>undergraduate full-time employment rate for Science and mathematics graduates w</w:t>
      </w:r>
      <w:r w:rsidR="00300B2A" w:rsidRPr="00617A89">
        <w:rPr>
          <w:color w:val="000000" w:themeColor="text1"/>
        </w:rPr>
        <w:t>as</w:t>
      </w:r>
      <w:r w:rsidRPr="00617A89">
        <w:rPr>
          <w:color w:val="000000" w:themeColor="text1"/>
        </w:rPr>
        <w:t xml:space="preserve"> relatively low in the short- and medium-term, however,</w:t>
      </w:r>
      <w:r w:rsidR="00AC135E" w:rsidRPr="00617A89">
        <w:rPr>
          <w:color w:val="000000" w:themeColor="text1"/>
        </w:rPr>
        <w:t xml:space="preserve"> the</w:t>
      </w:r>
      <w:r w:rsidRPr="00617A89">
        <w:rPr>
          <w:color w:val="000000" w:themeColor="text1"/>
        </w:rPr>
        <w:t xml:space="preserve"> further full-time study rate </w:t>
      </w:r>
      <w:r w:rsidR="00AC135E" w:rsidRPr="00617A89">
        <w:rPr>
          <w:color w:val="000000" w:themeColor="text1"/>
        </w:rPr>
        <w:t>was</w:t>
      </w:r>
      <w:r w:rsidRPr="00617A89">
        <w:rPr>
          <w:color w:val="000000" w:themeColor="text1"/>
        </w:rPr>
        <w:t xml:space="preserve"> </w:t>
      </w:r>
      <w:r w:rsidR="00CA78A7" w:rsidRPr="00617A89">
        <w:rPr>
          <w:color w:val="000000" w:themeColor="text1"/>
        </w:rPr>
        <w:t xml:space="preserve">the </w:t>
      </w:r>
      <w:r w:rsidRPr="00617A89">
        <w:rPr>
          <w:color w:val="000000" w:themeColor="text1"/>
        </w:rPr>
        <w:t>highest for this study area – 34.5 in the short-term and 32.7 per cent in the medium-term. Additionally, Science and mathematics undergraduates reported the lowest labour force participation rate, likely due to their propensity to continue straight into further full-time study.</w:t>
      </w:r>
    </w:p>
    <w:p w14:paraId="31D3D8B4" w14:textId="6AEFF7F2" w:rsidR="00910822" w:rsidRPr="00617A89" w:rsidRDefault="00910822" w:rsidP="00910822">
      <w:pPr>
        <w:pStyle w:val="Bodycopy"/>
        <w:rPr>
          <w:color w:val="000000" w:themeColor="text1"/>
        </w:rPr>
      </w:pPr>
      <w:r w:rsidRPr="00617A89">
        <w:rPr>
          <w:color w:val="000000" w:themeColor="text1"/>
        </w:rPr>
        <w:t>Median salaries also differed across study areas and had greatly different increases over the 3-year period. In 2022, Pharmacy undergraduates reported the lowest median salary of $52,200; 3 years later, this had almost doubled to $97,700</w:t>
      </w:r>
      <w:r w:rsidR="00F174F1" w:rsidRPr="00617A89">
        <w:rPr>
          <w:color w:val="000000" w:themeColor="text1"/>
        </w:rPr>
        <w:t xml:space="preserve"> (</w:t>
      </w:r>
      <w:r w:rsidRPr="00617A89">
        <w:rPr>
          <w:color w:val="000000" w:themeColor="text1"/>
        </w:rPr>
        <w:t>an increase of 87.2 per cent</w:t>
      </w:r>
      <w:r w:rsidR="00F174F1" w:rsidRPr="00617A89">
        <w:rPr>
          <w:color w:val="000000" w:themeColor="text1"/>
        </w:rPr>
        <w:t>),</w:t>
      </w:r>
      <w:r w:rsidR="005C6E21" w:rsidRPr="00617A89">
        <w:rPr>
          <w:color w:val="000000" w:themeColor="text1"/>
        </w:rPr>
        <w:t xml:space="preserve"> </w:t>
      </w:r>
      <w:r w:rsidR="00B467AA" w:rsidRPr="00617A89">
        <w:rPr>
          <w:color w:val="000000" w:themeColor="text1"/>
        </w:rPr>
        <w:t xml:space="preserve">well above the national average of </w:t>
      </w:r>
      <w:r w:rsidR="00D13B1F" w:rsidRPr="00617A89">
        <w:rPr>
          <w:color w:val="000000" w:themeColor="text1"/>
        </w:rPr>
        <w:t>$91,000.</w:t>
      </w:r>
    </w:p>
    <w:p w14:paraId="2A410220" w14:textId="4A6B91FF" w:rsidR="00CD1884" w:rsidRPr="00617A89" w:rsidRDefault="00386DE8" w:rsidP="00910822">
      <w:pPr>
        <w:pStyle w:val="Bodycopy"/>
        <w:rPr>
          <w:color w:val="000000" w:themeColor="text1"/>
        </w:rPr>
      </w:pPr>
      <w:r w:rsidRPr="00617A89">
        <w:rPr>
          <w:color w:val="000000" w:themeColor="text1"/>
        </w:rPr>
        <w:t xml:space="preserve">The median salary for </w:t>
      </w:r>
      <w:r w:rsidR="00910822" w:rsidRPr="00617A89">
        <w:rPr>
          <w:color w:val="000000" w:themeColor="text1"/>
        </w:rPr>
        <w:t xml:space="preserve">Nursing undergraduates </w:t>
      </w:r>
      <w:r w:rsidR="00510657" w:rsidRPr="00617A89">
        <w:rPr>
          <w:color w:val="000000" w:themeColor="text1"/>
        </w:rPr>
        <w:t>was on par with the national average</w:t>
      </w:r>
      <w:r w:rsidR="0062697F" w:rsidRPr="00617A89">
        <w:rPr>
          <w:color w:val="000000" w:themeColor="text1"/>
        </w:rPr>
        <w:t xml:space="preserve"> in 2022</w:t>
      </w:r>
      <w:r w:rsidR="004E2AA7" w:rsidRPr="00617A89">
        <w:rPr>
          <w:color w:val="000000" w:themeColor="text1"/>
        </w:rPr>
        <w:t xml:space="preserve"> but had </w:t>
      </w:r>
      <w:r w:rsidR="008C37FB" w:rsidRPr="00617A89">
        <w:rPr>
          <w:color w:val="000000" w:themeColor="text1"/>
        </w:rPr>
        <w:t>the lowest 3-year salary growth of all study areas</w:t>
      </w:r>
      <w:r w:rsidR="004B261B" w:rsidRPr="00617A89">
        <w:rPr>
          <w:color w:val="000000" w:themeColor="text1"/>
        </w:rPr>
        <w:t xml:space="preserve"> - by 2025, Nursing undergraduates</w:t>
      </w:r>
      <w:r w:rsidR="00EA7BB5" w:rsidRPr="00617A89">
        <w:rPr>
          <w:color w:val="000000" w:themeColor="text1"/>
        </w:rPr>
        <w:t xml:space="preserve"> reported a median salary of </w:t>
      </w:r>
      <w:r w:rsidR="009A460A" w:rsidRPr="00617A89">
        <w:rPr>
          <w:color w:val="000000" w:themeColor="text1"/>
        </w:rPr>
        <w:t>$85,00</w:t>
      </w:r>
      <w:r w:rsidR="00C6198D" w:rsidRPr="00617A89">
        <w:rPr>
          <w:color w:val="000000" w:themeColor="text1"/>
        </w:rPr>
        <w:t>0</w:t>
      </w:r>
      <w:r w:rsidR="00392622" w:rsidRPr="00617A89">
        <w:rPr>
          <w:color w:val="000000" w:themeColor="text1"/>
        </w:rPr>
        <w:t xml:space="preserve">, </w:t>
      </w:r>
      <w:r w:rsidR="00F67041" w:rsidRPr="00617A89">
        <w:rPr>
          <w:color w:val="000000" w:themeColor="text1"/>
        </w:rPr>
        <w:t xml:space="preserve">falling below the national average of $91,000. </w:t>
      </w:r>
      <w:r w:rsidR="00910822" w:rsidRPr="00617A89">
        <w:rPr>
          <w:color w:val="000000" w:themeColor="text1"/>
        </w:rPr>
        <w:t>Dentistry undergraduates reported the highest short-term median salary of $89,700 and this remained the highest 3 years later at $128,900.</w:t>
      </w:r>
    </w:p>
    <w:p w14:paraId="0C396FD0" w14:textId="0EC4DA70" w:rsidR="00910822" w:rsidRPr="00617A89" w:rsidRDefault="00910822" w:rsidP="00910822">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sectPr w:rsidR="00910822" w:rsidRPr="00617A89" w:rsidSect="00910822">
          <w:headerReference w:type="default" r:id="rId88"/>
          <w:footerReference w:type="default" r:id="rId89"/>
          <w:pgSz w:w="11900" w:h="16840"/>
          <w:pgMar w:top="720" w:right="720" w:bottom="720" w:left="720" w:header="397" w:footer="397" w:gutter="0"/>
          <w:cols w:space="708"/>
          <w:docGrid w:linePitch="360"/>
        </w:sectPr>
      </w:pPr>
      <w:r w:rsidRPr="00617A89">
        <w:rPr>
          <w:rFonts w:ascii="ArialMT" w:hAnsi="ArialMT" w:cs="ArialMT"/>
          <w:color w:val="000000" w:themeColor="text1"/>
          <w:lang w:val="en-GB"/>
        </w:rPr>
        <w:t xml:space="preserve">In general terms, trends in employment outcomes for postgraduate coursework and postgraduate research graduates </w:t>
      </w:r>
      <w:r w:rsidR="00001351" w:rsidRPr="00617A89">
        <w:rPr>
          <w:rFonts w:ascii="ArialMT" w:hAnsi="ArialMT" w:cs="ArialMT"/>
          <w:color w:val="000000" w:themeColor="text1"/>
          <w:lang w:val="en-GB"/>
        </w:rPr>
        <w:t>were broadly</w:t>
      </w:r>
      <w:r w:rsidRPr="00617A89">
        <w:rPr>
          <w:rFonts w:ascii="ArialMT" w:hAnsi="ArialMT" w:cs="ArialMT"/>
          <w:color w:val="000000" w:themeColor="text1"/>
          <w:lang w:val="en-GB"/>
        </w:rPr>
        <w:t xml:space="preserve"> similar to those observed for undergraduates.</w:t>
      </w:r>
      <w:r w:rsidRPr="00617A89">
        <w:rPr>
          <w:rStyle w:val="FootnoteReference"/>
          <w:rFonts w:cs="ArialMT"/>
          <w:color w:val="000000" w:themeColor="text1"/>
          <w:lang w:val="en-GB"/>
        </w:rPr>
        <w:footnoteReference w:id="12"/>
      </w:r>
      <w:r w:rsidRPr="00617A89">
        <w:rPr>
          <w:rFonts w:ascii="ArialMT" w:hAnsi="ArialMT" w:cs="ArialMT"/>
          <w:color w:val="000000" w:themeColor="text1"/>
          <w:lang w:val="en-GB"/>
        </w:rPr>
        <w:t xml:space="preserve"> That is, graduates from more vocationally oriented programs such as Pharmacy and Medicine tend</w:t>
      </w:r>
      <w:r w:rsidR="007D78A5" w:rsidRPr="00617A89">
        <w:rPr>
          <w:rFonts w:ascii="ArialMT" w:hAnsi="ArialMT" w:cs="ArialMT"/>
          <w:color w:val="000000" w:themeColor="text1"/>
          <w:lang w:val="en-GB"/>
        </w:rPr>
        <w:t>ed</w:t>
      </w:r>
      <w:r w:rsidRPr="00617A89">
        <w:rPr>
          <w:rFonts w:ascii="ArialMT" w:hAnsi="ArialMT" w:cs="ArialMT"/>
          <w:color w:val="000000" w:themeColor="text1"/>
          <w:lang w:val="en-GB"/>
        </w:rPr>
        <w:t xml:space="preserve"> to have higher rates of full-time employment in the short-term than those from more generalist study areas, such as Science and mathematics, and Communications. However, the difference diminishe</w:t>
      </w:r>
      <w:r w:rsidR="00BE5EEB" w:rsidRPr="00617A89">
        <w:rPr>
          <w:rFonts w:ascii="ArialMT" w:hAnsi="ArialMT" w:cs="ArialMT"/>
          <w:color w:val="000000" w:themeColor="text1"/>
          <w:lang w:val="en-GB"/>
        </w:rPr>
        <w:t>d</w:t>
      </w:r>
      <w:r w:rsidRPr="00617A89">
        <w:rPr>
          <w:rFonts w:ascii="ArialMT" w:hAnsi="ArialMT" w:cs="ArialMT"/>
          <w:color w:val="000000" w:themeColor="text1"/>
          <w:lang w:val="en-GB"/>
        </w:rPr>
        <w:t xml:space="preserve"> over time.</w:t>
      </w:r>
      <w:r w:rsidR="00411BBF" w:rsidRPr="00617A89">
        <w:rPr>
          <w:rFonts w:ascii="ArialMT" w:hAnsi="ArialMT" w:cs="ArialMT"/>
          <w:color w:val="000000" w:themeColor="text1"/>
          <w:lang w:val="en-GB"/>
        </w:rPr>
        <w:t xml:space="preserve"> </w:t>
      </w:r>
      <w:r w:rsidR="00F27F0A" w:rsidRPr="00617A89">
        <w:rPr>
          <w:rFonts w:ascii="ArialMT" w:hAnsi="ArialMT" w:cs="ArialMT"/>
          <w:color w:val="000000" w:themeColor="text1"/>
          <w:lang w:val="en-GB"/>
        </w:rPr>
        <w:t xml:space="preserve"> Like undergraduate median salaries, </w:t>
      </w:r>
      <w:r w:rsidR="00FB2EEF" w:rsidRPr="00617A89">
        <w:rPr>
          <w:rFonts w:ascii="ArialMT" w:hAnsi="ArialMT" w:cs="ArialMT"/>
          <w:color w:val="000000" w:themeColor="text1"/>
          <w:lang w:val="en-GB"/>
        </w:rPr>
        <w:t>these too varied by study area at the postgraduate level</w:t>
      </w:r>
      <w:r w:rsidR="00942482" w:rsidRPr="00617A89">
        <w:rPr>
          <w:rFonts w:ascii="ArialMT" w:hAnsi="ArialMT" w:cs="ArialMT"/>
          <w:color w:val="000000" w:themeColor="text1"/>
          <w:lang w:val="en-GB"/>
        </w:rPr>
        <w:t xml:space="preserve"> in the short- and medium-term.</w:t>
      </w:r>
    </w:p>
    <w:p w14:paraId="4DF29D81" w14:textId="0BB04928" w:rsidR="00910822" w:rsidRPr="00617A89" w:rsidRDefault="00910822" w:rsidP="00910822">
      <w:pPr>
        <w:pStyle w:val="Caption"/>
        <w:rPr>
          <w:color w:val="000000" w:themeColor="text1"/>
        </w:rPr>
      </w:pPr>
      <w:bookmarkStart w:id="133" w:name="_Ref135592725"/>
      <w:bookmarkStart w:id="134" w:name="_Ref140658941"/>
      <w:bookmarkStart w:id="135" w:name="_Toc222868506"/>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12</w:t>
      </w:r>
      <w:r w:rsidR="00DB7C31" w:rsidRPr="00617A89">
        <w:rPr>
          <w:noProof/>
          <w:color w:val="000000" w:themeColor="text1"/>
        </w:rPr>
        <w:fldChar w:fldCharType="end"/>
      </w:r>
      <w:bookmarkEnd w:id="133"/>
      <w:bookmarkEnd w:id="134"/>
      <w:r w:rsidR="00A922A0" w:rsidRPr="00617A89">
        <w:rPr>
          <w:noProof/>
          <w:color w:val="000000" w:themeColor="text1"/>
        </w:rPr>
        <w:tab/>
      </w:r>
      <w:r w:rsidRPr="00617A89">
        <w:rPr>
          <w:color w:val="000000" w:themeColor="text1"/>
        </w:rPr>
        <w:t>Domestic undergraduate full-time employment rate in the short- and medium-term, by study area</w:t>
      </w:r>
      <w:bookmarkEnd w:id="135"/>
    </w:p>
    <w:p w14:paraId="3001B25A" w14:textId="0815EE98" w:rsidR="00910822" w:rsidRPr="00617A89" w:rsidRDefault="00A434E8" w:rsidP="00A5384A">
      <w:pPr>
        <w:rPr>
          <w:color w:val="000000" w:themeColor="text1"/>
        </w:rPr>
      </w:pPr>
      <w:r w:rsidRPr="00617A89">
        <w:rPr>
          <w:noProof/>
          <w:color w:val="000000" w:themeColor="text1"/>
        </w:rPr>
        <w:drawing>
          <wp:inline distT="0" distB="0" distL="0" distR="0" wp14:anchorId="3C8445F9" wp14:editId="560F1A1B">
            <wp:extent cx="9779000" cy="365760"/>
            <wp:effectExtent l="0" t="0" r="0" b="0"/>
            <wp:docPr id="171677285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72853" name="Picture 3">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79000" cy="365760"/>
                    </a:xfrm>
                    <a:prstGeom prst="rect">
                      <a:avLst/>
                    </a:prstGeom>
                    <a:noFill/>
                  </pic:spPr>
                </pic:pic>
              </a:graphicData>
            </a:graphic>
          </wp:inline>
        </w:drawing>
      </w:r>
    </w:p>
    <w:p w14:paraId="485FB3AB" w14:textId="59784D54" w:rsidR="00A434E8" w:rsidRPr="00617A89" w:rsidRDefault="00A434E8" w:rsidP="00A5384A">
      <w:pPr>
        <w:rPr>
          <w:color w:val="000000" w:themeColor="text1"/>
        </w:rPr>
      </w:pPr>
      <w:r w:rsidRPr="00617A89">
        <w:rPr>
          <w:noProof/>
        </w:rPr>
        <w:drawing>
          <wp:inline distT="0" distB="0" distL="0" distR="0" wp14:anchorId="149717B0" wp14:editId="4A6C89FC">
            <wp:extent cx="9779000" cy="354966"/>
            <wp:effectExtent l="0" t="0" r="0" b="6985"/>
            <wp:docPr id="16289779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7918" name="Picture 1">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779000" cy="354966"/>
                    </a:xfrm>
                    <a:prstGeom prst="rect">
                      <a:avLst/>
                    </a:prstGeom>
                  </pic:spPr>
                </pic:pic>
              </a:graphicData>
            </a:graphic>
          </wp:inline>
        </w:drawing>
      </w:r>
      <w:r w:rsidRPr="00617A89">
        <w:rPr>
          <w:noProof/>
          <w:color w:val="000000" w:themeColor="text1"/>
        </w:rPr>
        <w:drawing>
          <wp:inline distT="0" distB="0" distL="0" distR="0" wp14:anchorId="0E14634D" wp14:editId="00429468">
            <wp:extent cx="9827895" cy="4249420"/>
            <wp:effectExtent l="0" t="0" r="1905" b="0"/>
            <wp:docPr id="88820887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08879" name="Picture 4">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827895" cy="4249420"/>
                    </a:xfrm>
                    <a:prstGeom prst="rect">
                      <a:avLst/>
                    </a:prstGeom>
                    <a:noFill/>
                  </pic:spPr>
                </pic:pic>
              </a:graphicData>
            </a:graphic>
          </wp:inline>
        </w:drawing>
      </w:r>
    </w:p>
    <w:p w14:paraId="6ABA66DB" w14:textId="77777777" w:rsidR="00A434E8" w:rsidRPr="00617A89" w:rsidRDefault="002E4B5F" w:rsidP="00E53D5E">
      <w:pPr>
        <w:pStyle w:val="FigureNote"/>
        <w:rPr>
          <w:color w:val="000000" w:themeColor="text1"/>
          <w:sz w:val="18"/>
          <w:szCs w:val="24"/>
        </w:rPr>
      </w:pPr>
      <w:r w:rsidRPr="00617A89">
        <w:rPr>
          <w:color w:val="000000" w:themeColor="text1"/>
          <w:sz w:val="18"/>
          <w:szCs w:val="24"/>
        </w:rPr>
        <w:t>*</w:t>
      </w:r>
      <w:r w:rsidR="00E53D5E" w:rsidRPr="00617A89">
        <w:rPr>
          <w:color w:val="000000" w:themeColor="text1"/>
          <w:sz w:val="18"/>
          <w:szCs w:val="24"/>
        </w:rPr>
        <w:t xml:space="preserve"> </w:t>
      </w:r>
      <w:r w:rsidR="00741D57" w:rsidRPr="00617A89">
        <w:rPr>
          <w:color w:val="000000" w:themeColor="text1"/>
          <w:sz w:val="18"/>
          <w:szCs w:val="24"/>
        </w:rPr>
        <w:t>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w:t>
      </w:r>
      <w:r w:rsidR="00E53D5E" w:rsidRPr="00617A89">
        <w:rPr>
          <w:color w:val="000000" w:themeColor="text1"/>
          <w:sz w:val="18"/>
          <w:szCs w:val="24"/>
        </w:rPr>
        <w:t xml:space="preserve">. See </w:t>
      </w:r>
      <w:r w:rsidR="00E53D5E" w:rsidRPr="00617A89">
        <w:rPr>
          <w:b/>
          <w:bCs/>
          <w:color w:val="000000" w:themeColor="text1"/>
          <w:sz w:val="18"/>
          <w:szCs w:val="24"/>
        </w:rPr>
        <w:t>Appendix 1</w:t>
      </w:r>
      <w:r w:rsidR="00E53D5E" w:rsidRPr="00617A89">
        <w:rPr>
          <w:color w:val="000000" w:themeColor="text1"/>
          <w:sz w:val="18"/>
          <w:szCs w:val="24"/>
        </w:rPr>
        <w:t xml:space="preserve"> for further information.</w:t>
      </w:r>
      <w:r w:rsidR="00A434E8" w:rsidRPr="00617A89">
        <w:rPr>
          <w:color w:val="000000" w:themeColor="text1"/>
          <w:sz w:val="18"/>
          <w:szCs w:val="24"/>
        </w:rPr>
        <w:t xml:space="preserve"> </w:t>
      </w:r>
    </w:p>
    <w:p w14:paraId="4C23E1AA" w14:textId="41B22822" w:rsidR="00A434E8" w:rsidRPr="00617A89" w:rsidRDefault="00A434E8" w:rsidP="00E53D5E">
      <w:pPr>
        <w:pStyle w:val="FigureNote"/>
        <w:rPr>
          <w:color w:val="000000" w:themeColor="text1"/>
        </w:rPr>
        <w:sectPr w:rsidR="00A434E8" w:rsidRPr="00617A89" w:rsidSect="00910822">
          <w:footerReference w:type="default" r:id="rId93"/>
          <w:pgSz w:w="16840" w:h="11900" w:orient="landscape"/>
          <w:pgMar w:top="720" w:right="720" w:bottom="720" w:left="720" w:header="397" w:footer="397" w:gutter="0"/>
          <w:cols w:space="708"/>
          <w:docGrid w:linePitch="360"/>
        </w:sectPr>
      </w:pPr>
      <w:r w:rsidRPr="00617A89">
        <w:rPr>
          <w:color w:val="000000" w:themeColor="text1"/>
          <w:sz w:val="18"/>
          <w:szCs w:val="24"/>
        </w:rPr>
        <w:t>Note: ‘ppts’ refers to percentage points, indicating the absolute change between two percentage values.</w:t>
      </w:r>
    </w:p>
    <w:p w14:paraId="17950EBA" w14:textId="4B925DFD" w:rsidR="00910822" w:rsidRPr="00617A89" w:rsidRDefault="00910822" w:rsidP="00910822">
      <w:pPr>
        <w:pStyle w:val="Caption"/>
        <w:keepNext/>
        <w:rPr>
          <w:color w:val="000000" w:themeColor="text1"/>
        </w:rPr>
      </w:pPr>
      <w:bookmarkStart w:id="136" w:name="_Ref202262609"/>
      <w:bookmarkStart w:id="137" w:name="_Toc222868475"/>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5</w:t>
      </w:r>
      <w:r w:rsidR="00DB7C31" w:rsidRPr="00617A89">
        <w:rPr>
          <w:noProof/>
          <w:color w:val="000000" w:themeColor="text1"/>
        </w:rPr>
        <w:fldChar w:fldCharType="end"/>
      </w:r>
      <w:bookmarkEnd w:id="136"/>
      <w:r w:rsidR="00A922A0" w:rsidRPr="00617A89">
        <w:rPr>
          <w:color w:val="000000" w:themeColor="text1"/>
        </w:rPr>
        <w:tab/>
      </w:r>
      <w:r w:rsidRPr="00617A89">
        <w:rPr>
          <w:color w:val="000000" w:themeColor="text1"/>
        </w:rPr>
        <w:t>Domestic undergraduate labour market and further study outcomes by study area</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3258"/>
        <w:gridCol w:w="1277"/>
        <w:gridCol w:w="1274"/>
        <w:gridCol w:w="1136"/>
        <w:gridCol w:w="1274"/>
        <w:gridCol w:w="1136"/>
        <w:gridCol w:w="1274"/>
        <w:gridCol w:w="1277"/>
        <w:gridCol w:w="1274"/>
        <w:gridCol w:w="985"/>
        <w:gridCol w:w="1225"/>
      </w:tblGrid>
      <w:tr w:rsidR="00C22852" w:rsidRPr="00617A89" w14:paraId="016AC460" w14:textId="77777777" w:rsidTr="00A922A0">
        <w:trPr>
          <w:trHeight w:val="60"/>
          <w:tblHeader/>
        </w:trPr>
        <w:tc>
          <w:tcPr>
            <w:tcW w:w="1058" w:type="pct"/>
            <w:tcMar>
              <w:top w:w="57" w:type="dxa"/>
              <w:left w:w="57" w:type="dxa"/>
              <w:bottom w:w="57" w:type="dxa"/>
            </w:tcMar>
            <w:vAlign w:val="bottom"/>
          </w:tcPr>
          <w:p w14:paraId="362A30FA" w14:textId="2AE582F3" w:rsidR="00910822" w:rsidRPr="00617A89" w:rsidRDefault="00A922A0" w:rsidP="00A922A0">
            <w:pPr>
              <w:rPr>
                <w:rFonts w:eastAsia="Aptos" w:cs="Arial"/>
                <w:b/>
                <w:color w:val="000000" w:themeColor="text1"/>
                <w:sz w:val="18"/>
              </w:rPr>
            </w:pPr>
            <w:r w:rsidRPr="00617A89">
              <w:rPr>
                <w:rFonts w:eastAsia="MS Mincho" w:cs="Arial"/>
                <w:b/>
                <w:color w:val="000000" w:themeColor="text1"/>
                <w:sz w:val="18"/>
                <w:lang w:val="en-GB"/>
              </w:rPr>
              <w:t>Study</w:t>
            </w:r>
            <w:r w:rsidRPr="00617A89">
              <w:rPr>
                <w:rFonts w:eastAsia="MS Mincho" w:cs="Arial"/>
                <w:b/>
                <w:caps/>
                <w:color w:val="000000" w:themeColor="text1"/>
                <w:sz w:val="18"/>
                <w:lang w:val="en-GB"/>
              </w:rPr>
              <w:t xml:space="preserve"> </w:t>
            </w:r>
            <w:r w:rsidRPr="00617A89">
              <w:rPr>
                <w:rFonts w:eastAsia="MS Mincho" w:cs="Arial"/>
                <w:b/>
                <w:color w:val="000000" w:themeColor="text1"/>
                <w:sz w:val="18"/>
                <w:lang w:val="en-GB"/>
              </w:rPr>
              <w:t>area</w:t>
            </w:r>
          </w:p>
        </w:tc>
        <w:tc>
          <w:tcPr>
            <w:tcW w:w="415" w:type="pct"/>
            <w:vAlign w:val="bottom"/>
          </w:tcPr>
          <w:p w14:paraId="3B3B276E" w14:textId="77777777" w:rsidR="00A922A0" w:rsidRPr="00617A89" w:rsidRDefault="00A922A0" w:rsidP="00A922A0">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Full-time</w:t>
            </w:r>
          </w:p>
          <w:p w14:paraId="0BA5C59C" w14:textId="4E6D4A0D" w:rsidR="00910822" w:rsidRPr="00617A89" w:rsidRDefault="00A922A0" w:rsidP="00A922A0">
            <w:pPr>
              <w:widowControl w:val="0"/>
              <w:autoSpaceDE w:val="0"/>
              <w:autoSpaceDN w:val="0"/>
              <w:adjustRightInd w:val="0"/>
              <w:spacing w:line="288" w:lineRule="auto"/>
              <w:jc w:val="center"/>
              <w:textAlignment w:val="center"/>
              <w:rPr>
                <w:rFonts w:eastAsia="MS Mincho" w:cs="Arial"/>
                <w:b/>
                <w:caps/>
                <w:color w:val="000000" w:themeColor="text1"/>
                <w:sz w:val="18"/>
                <w:lang w:val="en-GB"/>
              </w:rPr>
            </w:pPr>
            <w:r w:rsidRPr="00617A89">
              <w:rPr>
                <w:rFonts w:eastAsia="MS Mincho" w:cs="Arial"/>
                <w:b/>
                <w:color w:val="000000" w:themeColor="text1"/>
                <w:sz w:val="18"/>
                <w:lang w:val="en-GB"/>
              </w:rPr>
              <w:t xml:space="preserve">Employment rate </w:t>
            </w:r>
            <w:r w:rsidR="00741D57" w:rsidRPr="00617A89">
              <w:rPr>
                <w:rFonts w:cs="Arial"/>
                <w:b/>
                <w:color w:val="000000" w:themeColor="text1"/>
                <w:sz w:val="18"/>
              </w:rPr>
              <w:t>(%)</w:t>
            </w:r>
            <w:r w:rsidR="00741D57" w:rsidRPr="00617A89">
              <w:rPr>
                <w:rFonts w:cs="Arial"/>
                <w:b/>
                <w:color w:val="000000" w:themeColor="text1"/>
                <w:sz w:val="18"/>
                <w:vertAlign w:val="superscript"/>
              </w:rPr>
              <w:t>‡</w:t>
            </w:r>
            <w:r w:rsidRPr="00617A89">
              <w:rPr>
                <w:rFonts w:eastAsia="MS Mincho" w:cs="Arial"/>
                <w:b/>
                <w:color w:val="000000" w:themeColor="text1"/>
                <w:sz w:val="18"/>
                <w:lang w:val="en-GB"/>
              </w:rPr>
              <w:t xml:space="preserve">: </w:t>
            </w:r>
            <w:r w:rsidR="00910822" w:rsidRPr="00617A89">
              <w:rPr>
                <w:rFonts w:eastAsia="MS Mincho" w:cs="Arial"/>
                <w:b/>
                <w:caps/>
                <w:color w:val="000000" w:themeColor="text1"/>
                <w:sz w:val="18"/>
                <w:lang w:val="en-GB"/>
              </w:rPr>
              <w:t>S</w:t>
            </w:r>
            <w:r w:rsidR="00910822" w:rsidRPr="00617A89">
              <w:rPr>
                <w:rFonts w:eastAsia="MS Mincho" w:cs="Arial"/>
                <w:b/>
                <w:color w:val="000000" w:themeColor="text1"/>
                <w:sz w:val="18"/>
                <w:lang w:val="en-GB"/>
              </w:rPr>
              <w:t>hort-term (2022)</w:t>
            </w:r>
          </w:p>
        </w:tc>
        <w:tc>
          <w:tcPr>
            <w:tcW w:w="414" w:type="pct"/>
            <w:vAlign w:val="bottom"/>
          </w:tcPr>
          <w:p w14:paraId="0EF0EFD4" w14:textId="77777777" w:rsidR="00A922A0" w:rsidRPr="00617A89" w:rsidRDefault="00A922A0" w:rsidP="00A922A0">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Full-time</w:t>
            </w:r>
          </w:p>
          <w:p w14:paraId="719A9C87" w14:textId="547290FC" w:rsidR="00910822" w:rsidRPr="00617A89" w:rsidRDefault="00A922A0" w:rsidP="00A922A0">
            <w:pPr>
              <w:widowControl w:val="0"/>
              <w:autoSpaceDE w:val="0"/>
              <w:autoSpaceDN w:val="0"/>
              <w:adjustRightInd w:val="0"/>
              <w:spacing w:line="288" w:lineRule="auto"/>
              <w:jc w:val="center"/>
              <w:textAlignment w:val="center"/>
              <w:rPr>
                <w:rFonts w:eastAsia="MS Mincho" w:cs="Arial"/>
                <w:b/>
                <w:caps/>
                <w:color w:val="000000" w:themeColor="text1"/>
                <w:sz w:val="18"/>
                <w:lang w:val="en-GB"/>
              </w:rPr>
            </w:pPr>
            <w:r w:rsidRPr="00617A89">
              <w:rPr>
                <w:rFonts w:eastAsia="MS Mincho" w:cs="Arial"/>
                <w:b/>
                <w:color w:val="000000" w:themeColor="text1"/>
                <w:sz w:val="18"/>
                <w:lang w:val="en-GB"/>
              </w:rPr>
              <w:t xml:space="preserve">Employment rate </w:t>
            </w:r>
            <w:r w:rsidR="00741D57" w:rsidRPr="00617A89">
              <w:rPr>
                <w:rFonts w:cs="Arial"/>
                <w:b/>
                <w:color w:val="000000" w:themeColor="text1"/>
                <w:sz w:val="18"/>
              </w:rPr>
              <w:t>(%)</w:t>
            </w:r>
            <w:r w:rsidR="00741D57" w:rsidRPr="00617A89">
              <w:rPr>
                <w:rFonts w:cs="Arial"/>
                <w:b/>
                <w:color w:val="000000" w:themeColor="text1"/>
                <w:sz w:val="18"/>
                <w:vertAlign w:val="superscript"/>
              </w:rPr>
              <w:t>‡</w:t>
            </w:r>
            <w:r w:rsidRPr="00617A89">
              <w:rPr>
                <w:rFonts w:eastAsia="MS Mincho" w:cs="Arial"/>
                <w:b/>
                <w:color w:val="000000" w:themeColor="text1"/>
                <w:sz w:val="18"/>
                <w:lang w:val="en-GB"/>
              </w:rPr>
              <w:t xml:space="preserve">: </w:t>
            </w:r>
            <w:r w:rsidR="00910822" w:rsidRPr="00617A89">
              <w:rPr>
                <w:rFonts w:eastAsia="MS Mincho" w:cs="Arial"/>
                <w:b/>
                <w:color w:val="000000" w:themeColor="text1"/>
                <w:sz w:val="18"/>
                <w:lang w:val="en-GB"/>
              </w:rPr>
              <w:t>Medium-term (2025)</w:t>
            </w:r>
          </w:p>
        </w:tc>
        <w:tc>
          <w:tcPr>
            <w:tcW w:w="369" w:type="pct"/>
            <w:tcMar>
              <w:top w:w="57" w:type="dxa"/>
              <w:left w:w="57" w:type="dxa"/>
              <w:bottom w:w="57" w:type="dxa"/>
              <w:right w:w="57" w:type="dxa"/>
            </w:tcMar>
            <w:vAlign w:val="bottom"/>
          </w:tcPr>
          <w:p w14:paraId="562B2C39" w14:textId="72E34D5D" w:rsidR="00A922A0" w:rsidRPr="00617A89" w:rsidRDefault="00A922A0" w:rsidP="00A922A0">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Overall</w:t>
            </w:r>
          </w:p>
          <w:p w14:paraId="5373E359" w14:textId="6C3ED073" w:rsidR="00910822" w:rsidRPr="00617A89" w:rsidRDefault="00A922A0" w:rsidP="00A922A0">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 xml:space="preserve">Employment rate </w:t>
            </w:r>
            <w:r w:rsidR="00741D57" w:rsidRPr="00617A89">
              <w:rPr>
                <w:rFonts w:cs="Arial"/>
                <w:b/>
                <w:color w:val="000000" w:themeColor="text1"/>
                <w:sz w:val="18"/>
              </w:rPr>
              <w:t>(%)</w:t>
            </w:r>
            <w:r w:rsidR="00741D57" w:rsidRPr="00617A89">
              <w:rPr>
                <w:rFonts w:cs="Arial"/>
                <w:b/>
                <w:color w:val="000000" w:themeColor="text1"/>
                <w:sz w:val="18"/>
                <w:vertAlign w:val="superscript"/>
              </w:rPr>
              <w:t>‡</w:t>
            </w:r>
            <w:r w:rsidRPr="00617A89">
              <w:rPr>
                <w:rFonts w:eastAsia="MS Mincho" w:cs="Arial"/>
                <w:b/>
                <w:color w:val="000000" w:themeColor="text1"/>
                <w:sz w:val="18"/>
                <w:lang w:val="en-GB"/>
              </w:rPr>
              <w:t xml:space="preserve">: </w:t>
            </w:r>
            <w:r w:rsidR="00910822" w:rsidRPr="00617A89">
              <w:rPr>
                <w:rFonts w:eastAsia="MS Mincho" w:cs="Arial"/>
                <w:b/>
                <w:caps/>
                <w:color w:val="000000" w:themeColor="text1"/>
                <w:sz w:val="18"/>
                <w:lang w:val="en-GB"/>
              </w:rPr>
              <w:t>S</w:t>
            </w:r>
            <w:r w:rsidR="00910822" w:rsidRPr="00617A89">
              <w:rPr>
                <w:rFonts w:eastAsia="MS Mincho" w:cs="Arial"/>
                <w:b/>
                <w:color w:val="000000" w:themeColor="text1"/>
                <w:sz w:val="18"/>
                <w:lang w:val="en-GB"/>
              </w:rPr>
              <w:t>hort-term (2022)</w:t>
            </w:r>
          </w:p>
        </w:tc>
        <w:tc>
          <w:tcPr>
            <w:tcW w:w="414" w:type="pct"/>
            <w:tcMar>
              <w:top w:w="57" w:type="dxa"/>
              <w:left w:w="57" w:type="dxa"/>
              <w:bottom w:w="57" w:type="dxa"/>
              <w:right w:w="57" w:type="dxa"/>
            </w:tcMar>
            <w:vAlign w:val="bottom"/>
          </w:tcPr>
          <w:p w14:paraId="7AA4E694" w14:textId="151BCF5D" w:rsidR="00A922A0" w:rsidRPr="00617A89" w:rsidRDefault="00A922A0" w:rsidP="00A922A0">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Overall</w:t>
            </w:r>
          </w:p>
          <w:p w14:paraId="1FE5B45C" w14:textId="382559BA" w:rsidR="00910822" w:rsidRPr="00617A89" w:rsidRDefault="00A922A0" w:rsidP="00A922A0">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 xml:space="preserve">Employment rate </w:t>
            </w:r>
            <w:r w:rsidR="00741D57" w:rsidRPr="00617A89">
              <w:rPr>
                <w:rFonts w:cs="Arial"/>
                <w:b/>
                <w:color w:val="000000" w:themeColor="text1"/>
                <w:sz w:val="18"/>
              </w:rPr>
              <w:t>(%)</w:t>
            </w:r>
            <w:r w:rsidR="00741D57" w:rsidRPr="00617A89">
              <w:rPr>
                <w:rFonts w:cs="Arial"/>
                <w:b/>
                <w:color w:val="000000" w:themeColor="text1"/>
                <w:sz w:val="18"/>
                <w:vertAlign w:val="superscript"/>
              </w:rPr>
              <w:t>‡</w:t>
            </w:r>
            <w:r w:rsidRPr="00617A89">
              <w:rPr>
                <w:rFonts w:eastAsia="MS Mincho" w:cs="Arial"/>
                <w:b/>
                <w:color w:val="000000" w:themeColor="text1"/>
                <w:sz w:val="18"/>
                <w:lang w:val="en-GB"/>
              </w:rPr>
              <w:t xml:space="preserve">: </w:t>
            </w:r>
            <w:r w:rsidR="00910822" w:rsidRPr="00617A89">
              <w:rPr>
                <w:rFonts w:eastAsia="MS Mincho" w:cs="Arial"/>
                <w:b/>
                <w:color w:val="000000" w:themeColor="text1"/>
                <w:sz w:val="18"/>
                <w:lang w:val="en-GB"/>
              </w:rPr>
              <w:t>Medium-term (2025)</w:t>
            </w:r>
          </w:p>
        </w:tc>
        <w:tc>
          <w:tcPr>
            <w:tcW w:w="369" w:type="pct"/>
            <w:tcMar>
              <w:top w:w="57" w:type="dxa"/>
              <w:left w:w="57" w:type="dxa"/>
              <w:bottom w:w="57" w:type="dxa"/>
              <w:right w:w="57" w:type="dxa"/>
            </w:tcMar>
            <w:vAlign w:val="bottom"/>
          </w:tcPr>
          <w:p w14:paraId="4A44FDE5" w14:textId="6895547F" w:rsidR="00910822" w:rsidRPr="00617A89" w:rsidRDefault="00A922A0" w:rsidP="00A922A0">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 xml:space="preserve">Labour force participation rate </w:t>
            </w:r>
            <w:r w:rsidR="00741D57" w:rsidRPr="00617A89">
              <w:rPr>
                <w:rFonts w:cs="Arial"/>
                <w:b/>
                <w:color w:val="000000" w:themeColor="text1"/>
                <w:sz w:val="18"/>
              </w:rPr>
              <w:t>(%)</w:t>
            </w:r>
            <w:r w:rsidR="00741D57" w:rsidRPr="00617A89">
              <w:rPr>
                <w:rFonts w:cs="Arial"/>
                <w:b/>
                <w:color w:val="000000" w:themeColor="text1"/>
                <w:sz w:val="18"/>
                <w:vertAlign w:val="superscript"/>
              </w:rPr>
              <w:t>‡</w:t>
            </w:r>
            <w:r w:rsidRPr="00617A89">
              <w:rPr>
                <w:rFonts w:eastAsia="MS Mincho" w:cs="Arial"/>
                <w:b/>
                <w:color w:val="000000" w:themeColor="text1"/>
                <w:sz w:val="18"/>
                <w:lang w:val="en-GB"/>
              </w:rPr>
              <w:t xml:space="preserve">: </w:t>
            </w:r>
            <w:r w:rsidR="00910822" w:rsidRPr="00617A89">
              <w:rPr>
                <w:rFonts w:eastAsia="MS Mincho" w:cs="Arial"/>
                <w:b/>
                <w:caps/>
                <w:color w:val="000000" w:themeColor="text1"/>
                <w:sz w:val="18"/>
                <w:lang w:val="en-GB"/>
              </w:rPr>
              <w:t>S</w:t>
            </w:r>
            <w:r w:rsidR="00910822" w:rsidRPr="00617A89">
              <w:rPr>
                <w:rFonts w:eastAsia="MS Mincho" w:cs="Arial"/>
                <w:b/>
                <w:color w:val="000000" w:themeColor="text1"/>
                <w:sz w:val="18"/>
                <w:lang w:val="en-GB"/>
              </w:rPr>
              <w:t>hort-term (2022)</w:t>
            </w:r>
          </w:p>
        </w:tc>
        <w:tc>
          <w:tcPr>
            <w:tcW w:w="414" w:type="pct"/>
            <w:tcMar>
              <w:top w:w="57" w:type="dxa"/>
              <w:left w:w="57" w:type="dxa"/>
              <w:bottom w:w="57" w:type="dxa"/>
              <w:right w:w="57" w:type="dxa"/>
            </w:tcMar>
            <w:vAlign w:val="bottom"/>
          </w:tcPr>
          <w:p w14:paraId="53CD172D" w14:textId="2DEC07F0" w:rsidR="00910822" w:rsidRPr="00617A89" w:rsidRDefault="00A922A0" w:rsidP="00A922A0">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 xml:space="preserve">Labour force participation rate </w:t>
            </w:r>
            <w:r w:rsidR="00741D57" w:rsidRPr="00617A89">
              <w:rPr>
                <w:rFonts w:cs="Arial"/>
                <w:b/>
                <w:color w:val="000000" w:themeColor="text1"/>
                <w:sz w:val="18"/>
              </w:rPr>
              <w:t>(%)</w:t>
            </w:r>
            <w:r w:rsidR="00741D57" w:rsidRPr="00617A89">
              <w:rPr>
                <w:rFonts w:cs="Arial"/>
                <w:b/>
                <w:color w:val="000000" w:themeColor="text1"/>
                <w:sz w:val="18"/>
                <w:vertAlign w:val="superscript"/>
              </w:rPr>
              <w:t>‡</w:t>
            </w:r>
            <w:r w:rsidRPr="00617A89">
              <w:rPr>
                <w:rFonts w:eastAsia="MS Mincho" w:cs="Arial"/>
                <w:b/>
                <w:color w:val="000000" w:themeColor="text1"/>
                <w:sz w:val="18"/>
                <w:lang w:val="en-GB"/>
              </w:rPr>
              <w:t xml:space="preserve">: </w:t>
            </w:r>
            <w:r w:rsidR="00910822" w:rsidRPr="00617A89">
              <w:rPr>
                <w:rFonts w:eastAsia="MS Mincho" w:cs="Arial"/>
                <w:b/>
                <w:color w:val="000000" w:themeColor="text1"/>
                <w:sz w:val="18"/>
                <w:lang w:val="en-GB"/>
              </w:rPr>
              <w:t>Medium-term (2025)</w:t>
            </w:r>
          </w:p>
        </w:tc>
        <w:tc>
          <w:tcPr>
            <w:tcW w:w="415" w:type="pct"/>
            <w:tcMar>
              <w:top w:w="57" w:type="dxa"/>
              <w:left w:w="57" w:type="dxa"/>
              <w:bottom w:w="57" w:type="dxa"/>
              <w:right w:w="57" w:type="dxa"/>
            </w:tcMar>
            <w:vAlign w:val="bottom"/>
          </w:tcPr>
          <w:p w14:paraId="7DFF0325" w14:textId="6154170F" w:rsidR="00910822" w:rsidRPr="00617A89" w:rsidRDefault="00A922A0" w:rsidP="00A922A0">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bCs/>
                <w:color w:val="000000" w:themeColor="text1"/>
                <w:sz w:val="18"/>
                <w:lang w:val="en-GB"/>
              </w:rPr>
              <w:t xml:space="preserve">Median annual full-time salary ($): </w:t>
            </w:r>
            <w:r w:rsidR="00910822" w:rsidRPr="00617A89">
              <w:rPr>
                <w:rFonts w:eastAsia="MS Mincho" w:cs="Arial"/>
                <w:b/>
                <w:caps/>
                <w:color w:val="000000" w:themeColor="text1"/>
                <w:sz w:val="18"/>
                <w:lang w:val="en-GB"/>
              </w:rPr>
              <w:t>S</w:t>
            </w:r>
            <w:r w:rsidR="00910822" w:rsidRPr="00617A89">
              <w:rPr>
                <w:rFonts w:eastAsia="MS Mincho" w:cs="Arial"/>
                <w:b/>
                <w:color w:val="000000" w:themeColor="text1"/>
                <w:sz w:val="18"/>
                <w:lang w:val="en-GB"/>
              </w:rPr>
              <w:t>hort-term (2022)</w:t>
            </w:r>
          </w:p>
        </w:tc>
        <w:tc>
          <w:tcPr>
            <w:tcW w:w="414" w:type="pct"/>
            <w:tcMar>
              <w:top w:w="57" w:type="dxa"/>
              <w:left w:w="57" w:type="dxa"/>
              <w:bottom w:w="57" w:type="dxa"/>
              <w:right w:w="57" w:type="dxa"/>
            </w:tcMar>
            <w:vAlign w:val="bottom"/>
          </w:tcPr>
          <w:p w14:paraId="3B288E90" w14:textId="72057376" w:rsidR="00910822" w:rsidRPr="00617A89" w:rsidRDefault="00A922A0" w:rsidP="00A922A0">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bCs/>
                <w:color w:val="000000" w:themeColor="text1"/>
                <w:sz w:val="18"/>
                <w:lang w:val="en-GB"/>
              </w:rPr>
              <w:t xml:space="preserve">Median annual full-time salary ($): </w:t>
            </w:r>
            <w:r w:rsidR="00910822" w:rsidRPr="00617A89">
              <w:rPr>
                <w:rFonts w:eastAsia="MS Mincho" w:cs="Arial"/>
                <w:b/>
                <w:color w:val="000000" w:themeColor="text1"/>
                <w:sz w:val="18"/>
                <w:lang w:val="en-GB"/>
              </w:rPr>
              <w:t>Medium-term (2025)</w:t>
            </w:r>
          </w:p>
        </w:tc>
        <w:tc>
          <w:tcPr>
            <w:tcW w:w="320" w:type="pct"/>
            <w:vAlign w:val="bottom"/>
          </w:tcPr>
          <w:p w14:paraId="1DF2085A" w14:textId="7F72D1B0" w:rsidR="00910822" w:rsidRPr="00617A89" w:rsidRDefault="00A922A0" w:rsidP="00A922A0">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bCs/>
                <w:color w:val="000000" w:themeColor="text1"/>
                <w:sz w:val="18"/>
                <w:lang w:val="en-GB"/>
              </w:rPr>
              <w:t xml:space="preserve">In further full-time study (%): </w:t>
            </w:r>
            <w:r w:rsidR="00910822" w:rsidRPr="00617A89">
              <w:rPr>
                <w:rFonts w:eastAsia="MS Mincho" w:cs="Arial"/>
                <w:b/>
                <w:caps/>
                <w:color w:val="000000" w:themeColor="text1"/>
                <w:sz w:val="18"/>
                <w:lang w:val="en-GB"/>
              </w:rPr>
              <w:t>S</w:t>
            </w:r>
            <w:r w:rsidR="00910822" w:rsidRPr="00617A89">
              <w:rPr>
                <w:rFonts w:eastAsia="MS Mincho" w:cs="Arial"/>
                <w:b/>
                <w:color w:val="000000" w:themeColor="text1"/>
                <w:sz w:val="18"/>
                <w:lang w:val="en-GB"/>
              </w:rPr>
              <w:t>hort-term (2022)</w:t>
            </w:r>
          </w:p>
        </w:tc>
        <w:tc>
          <w:tcPr>
            <w:tcW w:w="398" w:type="pct"/>
            <w:vAlign w:val="bottom"/>
          </w:tcPr>
          <w:p w14:paraId="69371698" w14:textId="0380CE31" w:rsidR="00910822" w:rsidRPr="00617A89" w:rsidRDefault="00A922A0" w:rsidP="00A922A0">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bCs/>
                <w:color w:val="000000" w:themeColor="text1"/>
                <w:sz w:val="18"/>
                <w:lang w:val="en-GB"/>
              </w:rPr>
              <w:t xml:space="preserve">In further full-time study (%): </w:t>
            </w:r>
            <w:r w:rsidR="00910822" w:rsidRPr="00617A89">
              <w:rPr>
                <w:rFonts w:eastAsia="MS Mincho" w:cs="Arial"/>
                <w:b/>
                <w:color w:val="000000" w:themeColor="text1"/>
                <w:sz w:val="18"/>
                <w:lang w:val="en-GB"/>
              </w:rPr>
              <w:t>Medium-term (2025)</w:t>
            </w:r>
          </w:p>
        </w:tc>
      </w:tr>
      <w:tr w:rsidR="00C22852" w:rsidRPr="00617A89" w14:paraId="6C0EA8C5" w14:textId="77777777" w:rsidTr="00A922A0">
        <w:trPr>
          <w:trHeight w:val="60"/>
        </w:trPr>
        <w:tc>
          <w:tcPr>
            <w:tcW w:w="1058" w:type="pct"/>
            <w:tcMar>
              <w:top w:w="57" w:type="dxa"/>
              <w:left w:w="57" w:type="dxa"/>
              <w:bottom w:w="57" w:type="dxa"/>
              <w:right w:w="0" w:type="dxa"/>
            </w:tcMar>
            <w:vAlign w:val="center"/>
          </w:tcPr>
          <w:p w14:paraId="77FC53B7" w14:textId="77777777" w:rsidR="00910822" w:rsidRPr="00617A89" w:rsidRDefault="00910822" w:rsidP="00E37470">
            <w:pPr>
              <w:spacing w:before="85" w:line="288" w:lineRule="auto"/>
              <w:rPr>
                <w:rFonts w:eastAsia="Aptos" w:cs="Arial"/>
                <w:b/>
                <w:bCs/>
                <w:color w:val="000000" w:themeColor="text1"/>
                <w:sz w:val="18"/>
              </w:rPr>
            </w:pPr>
            <w:r w:rsidRPr="00617A89">
              <w:rPr>
                <w:rFonts w:cs="Arial"/>
                <w:color w:val="000000" w:themeColor="text1"/>
                <w:sz w:val="18"/>
              </w:rPr>
              <w:t>Agriculture and environmental studies</w:t>
            </w:r>
          </w:p>
        </w:tc>
        <w:tc>
          <w:tcPr>
            <w:tcW w:w="415" w:type="pct"/>
            <w:vAlign w:val="center"/>
          </w:tcPr>
          <w:p w14:paraId="26248034"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84.5</w:t>
            </w:r>
          </w:p>
        </w:tc>
        <w:tc>
          <w:tcPr>
            <w:tcW w:w="414" w:type="pct"/>
            <w:vAlign w:val="center"/>
          </w:tcPr>
          <w:p w14:paraId="61571F7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93.5</w:t>
            </w:r>
          </w:p>
        </w:tc>
        <w:tc>
          <w:tcPr>
            <w:tcW w:w="369" w:type="pct"/>
            <w:tcMar>
              <w:top w:w="57" w:type="dxa"/>
              <w:left w:w="57" w:type="dxa"/>
              <w:bottom w:w="57" w:type="dxa"/>
              <w:right w:w="57" w:type="dxa"/>
            </w:tcMar>
            <w:vAlign w:val="center"/>
          </w:tcPr>
          <w:p w14:paraId="665FB4A8"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92.1</w:t>
            </w:r>
          </w:p>
        </w:tc>
        <w:tc>
          <w:tcPr>
            <w:tcW w:w="414" w:type="pct"/>
            <w:tcMar>
              <w:top w:w="57" w:type="dxa"/>
              <w:left w:w="57" w:type="dxa"/>
              <w:bottom w:w="57" w:type="dxa"/>
              <w:right w:w="57" w:type="dxa"/>
            </w:tcMar>
            <w:vAlign w:val="center"/>
          </w:tcPr>
          <w:p w14:paraId="00A27E5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94.8</w:t>
            </w:r>
          </w:p>
        </w:tc>
        <w:tc>
          <w:tcPr>
            <w:tcW w:w="369" w:type="pct"/>
            <w:tcMar>
              <w:top w:w="57" w:type="dxa"/>
              <w:left w:w="57" w:type="dxa"/>
              <w:bottom w:w="57" w:type="dxa"/>
              <w:right w:w="57" w:type="dxa"/>
            </w:tcMar>
            <w:vAlign w:val="center"/>
          </w:tcPr>
          <w:p w14:paraId="74D61D0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88.4</w:t>
            </w:r>
          </w:p>
        </w:tc>
        <w:tc>
          <w:tcPr>
            <w:tcW w:w="414" w:type="pct"/>
            <w:tcMar>
              <w:top w:w="57" w:type="dxa"/>
              <w:left w:w="57" w:type="dxa"/>
              <w:bottom w:w="57" w:type="dxa"/>
              <w:right w:w="57" w:type="dxa"/>
            </w:tcMar>
            <w:vAlign w:val="center"/>
          </w:tcPr>
          <w:p w14:paraId="5525A489"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87.4</w:t>
            </w:r>
          </w:p>
        </w:tc>
        <w:tc>
          <w:tcPr>
            <w:tcW w:w="415" w:type="pct"/>
            <w:tcMar>
              <w:top w:w="57" w:type="dxa"/>
              <w:left w:w="57" w:type="dxa"/>
              <w:bottom w:w="57" w:type="dxa"/>
              <w:right w:w="57" w:type="dxa"/>
            </w:tcMar>
            <w:vAlign w:val="center"/>
          </w:tcPr>
          <w:p w14:paraId="20260A4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70,000</w:t>
            </w:r>
          </w:p>
        </w:tc>
        <w:tc>
          <w:tcPr>
            <w:tcW w:w="414" w:type="pct"/>
            <w:tcMar>
              <w:top w:w="57" w:type="dxa"/>
              <w:left w:w="57" w:type="dxa"/>
              <w:bottom w:w="57" w:type="dxa"/>
              <w:right w:w="57" w:type="dxa"/>
            </w:tcMar>
            <w:vAlign w:val="center"/>
          </w:tcPr>
          <w:p w14:paraId="6E658FA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91,200</w:t>
            </w:r>
          </w:p>
        </w:tc>
        <w:tc>
          <w:tcPr>
            <w:tcW w:w="320" w:type="pct"/>
            <w:vAlign w:val="center"/>
          </w:tcPr>
          <w:p w14:paraId="4944BA2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11.8</w:t>
            </w:r>
          </w:p>
        </w:tc>
        <w:tc>
          <w:tcPr>
            <w:tcW w:w="398" w:type="pct"/>
            <w:vAlign w:val="center"/>
          </w:tcPr>
          <w:p w14:paraId="6CA75FA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w:t>
            </w:r>
          </w:p>
        </w:tc>
      </w:tr>
      <w:tr w:rsidR="00C22852" w:rsidRPr="00617A89" w14:paraId="0CC4F4AD" w14:textId="77777777" w:rsidTr="00A922A0">
        <w:trPr>
          <w:trHeight w:val="60"/>
        </w:trPr>
        <w:tc>
          <w:tcPr>
            <w:tcW w:w="1058" w:type="pct"/>
            <w:tcMar>
              <w:top w:w="57" w:type="dxa"/>
              <w:left w:w="57" w:type="dxa"/>
              <w:bottom w:w="57" w:type="dxa"/>
              <w:right w:w="0" w:type="dxa"/>
            </w:tcMar>
            <w:vAlign w:val="center"/>
          </w:tcPr>
          <w:p w14:paraId="096D7280"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Architecture and built environment</w:t>
            </w:r>
          </w:p>
        </w:tc>
        <w:tc>
          <w:tcPr>
            <w:tcW w:w="415" w:type="pct"/>
            <w:vAlign w:val="center"/>
          </w:tcPr>
          <w:p w14:paraId="46CE3F6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80.0</w:t>
            </w:r>
          </w:p>
        </w:tc>
        <w:tc>
          <w:tcPr>
            <w:tcW w:w="414" w:type="pct"/>
            <w:vAlign w:val="center"/>
          </w:tcPr>
          <w:p w14:paraId="71629D3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91.2</w:t>
            </w:r>
          </w:p>
        </w:tc>
        <w:tc>
          <w:tcPr>
            <w:tcW w:w="369" w:type="pct"/>
            <w:tcMar>
              <w:top w:w="57" w:type="dxa"/>
              <w:left w:w="57" w:type="dxa"/>
              <w:bottom w:w="57" w:type="dxa"/>
              <w:right w:w="57" w:type="dxa"/>
            </w:tcMar>
            <w:vAlign w:val="center"/>
          </w:tcPr>
          <w:p w14:paraId="6F36488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90.0</w:t>
            </w:r>
          </w:p>
        </w:tc>
        <w:tc>
          <w:tcPr>
            <w:tcW w:w="414" w:type="pct"/>
            <w:tcMar>
              <w:top w:w="57" w:type="dxa"/>
              <w:left w:w="57" w:type="dxa"/>
              <w:bottom w:w="57" w:type="dxa"/>
              <w:right w:w="57" w:type="dxa"/>
            </w:tcMar>
            <w:vAlign w:val="center"/>
          </w:tcPr>
          <w:p w14:paraId="1089657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93.4</w:t>
            </w:r>
          </w:p>
        </w:tc>
        <w:tc>
          <w:tcPr>
            <w:tcW w:w="369" w:type="pct"/>
            <w:tcMar>
              <w:top w:w="57" w:type="dxa"/>
              <w:left w:w="57" w:type="dxa"/>
              <w:bottom w:w="57" w:type="dxa"/>
              <w:right w:w="57" w:type="dxa"/>
            </w:tcMar>
            <w:vAlign w:val="center"/>
          </w:tcPr>
          <w:p w14:paraId="020775C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94.6</w:t>
            </w:r>
          </w:p>
        </w:tc>
        <w:tc>
          <w:tcPr>
            <w:tcW w:w="414" w:type="pct"/>
            <w:tcMar>
              <w:top w:w="57" w:type="dxa"/>
              <w:left w:w="57" w:type="dxa"/>
              <w:bottom w:w="57" w:type="dxa"/>
              <w:right w:w="57" w:type="dxa"/>
            </w:tcMar>
            <w:vAlign w:val="center"/>
          </w:tcPr>
          <w:p w14:paraId="733D44E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95.5</w:t>
            </w:r>
          </w:p>
        </w:tc>
        <w:tc>
          <w:tcPr>
            <w:tcW w:w="415" w:type="pct"/>
            <w:tcMar>
              <w:top w:w="57" w:type="dxa"/>
              <w:left w:w="57" w:type="dxa"/>
              <w:bottom w:w="57" w:type="dxa"/>
              <w:right w:w="57" w:type="dxa"/>
            </w:tcMar>
            <w:vAlign w:val="center"/>
          </w:tcPr>
          <w:p w14:paraId="108A33C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65,000</w:t>
            </w:r>
          </w:p>
        </w:tc>
        <w:tc>
          <w:tcPr>
            <w:tcW w:w="414" w:type="pct"/>
            <w:tcMar>
              <w:top w:w="57" w:type="dxa"/>
              <w:left w:w="57" w:type="dxa"/>
              <w:bottom w:w="57" w:type="dxa"/>
              <w:right w:w="57" w:type="dxa"/>
            </w:tcMar>
            <w:vAlign w:val="center"/>
          </w:tcPr>
          <w:p w14:paraId="20F25269"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84,000</w:t>
            </w:r>
          </w:p>
        </w:tc>
        <w:tc>
          <w:tcPr>
            <w:tcW w:w="320" w:type="pct"/>
            <w:vAlign w:val="center"/>
          </w:tcPr>
          <w:p w14:paraId="0B50413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13.6</w:t>
            </w:r>
          </w:p>
        </w:tc>
        <w:tc>
          <w:tcPr>
            <w:tcW w:w="398" w:type="pct"/>
            <w:vAlign w:val="center"/>
          </w:tcPr>
          <w:p w14:paraId="20E1AD6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7.7</w:t>
            </w:r>
          </w:p>
        </w:tc>
      </w:tr>
      <w:tr w:rsidR="00C22852" w:rsidRPr="00617A89" w14:paraId="430F20D7" w14:textId="77777777" w:rsidTr="00A922A0">
        <w:trPr>
          <w:trHeight w:val="60"/>
        </w:trPr>
        <w:tc>
          <w:tcPr>
            <w:tcW w:w="1058" w:type="pct"/>
            <w:tcMar>
              <w:top w:w="57" w:type="dxa"/>
              <w:left w:w="57" w:type="dxa"/>
              <w:bottom w:w="57" w:type="dxa"/>
              <w:right w:w="0" w:type="dxa"/>
            </w:tcMar>
            <w:vAlign w:val="center"/>
          </w:tcPr>
          <w:p w14:paraId="7AEB382F"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Business and management</w:t>
            </w:r>
          </w:p>
        </w:tc>
        <w:tc>
          <w:tcPr>
            <w:tcW w:w="415" w:type="pct"/>
            <w:vAlign w:val="center"/>
          </w:tcPr>
          <w:p w14:paraId="2CD74AC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84.8</w:t>
            </w:r>
          </w:p>
        </w:tc>
        <w:tc>
          <w:tcPr>
            <w:tcW w:w="414" w:type="pct"/>
            <w:vAlign w:val="center"/>
          </w:tcPr>
          <w:p w14:paraId="5A5C76C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94.1</w:t>
            </w:r>
          </w:p>
        </w:tc>
        <w:tc>
          <w:tcPr>
            <w:tcW w:w="369" w:type="pct"/>
            <w:tcMar>
              <w:top w:w="57" w:type="dxa"/>
              <w:left w:w="57" w:type="dxa"/>
              <w:bottom w:w="57" w:type="dxa"/>
              <w:right w:w="57" w:type="dxa"/>
            </w:tcMar>
            <w:vAlign w:val="center"/>
          </w:tcPr>
          <w:p w14:paraId="2844A86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90.8</w:t>
            </w:r>
          </w:p>
        </w:tc>
        <w:tc>
          <w:tcPr>
            <w:tcW w:w="414" w:type="pct"/>
            <w:tcMar>
              <w:top w:w="57" w:type="dxa"/>
              <w:left w:w="57" w:type="dxa"/>
              <w:bottom w:w="57" w:type="dxa"/>
              <w:right w:w="57" w:type="dxa"/>
            </w:tcMar>
            <w:vAlign w:val="center"/>
          </w:tcPr>
          <w:p w14:paraId="6CFC31A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95.4</w:t>
            </w:r>
          </w:p>
        </w:tc>
        <w:tc>
          <w:tcPr>
            <w:tcW w:w="369" w:type="pct"/>
            <w:tcMar>
              <w:top w:w="57" w:type="dxa"/>
              <w:left w:w="57" w:type="dxa"/>
              <w:bottom w:w="57" w:type="dxa"/>
              <w:right w:w="57" w:type="dxa"/>
            </w:tcMar>
            <w:vAlign w:val="center"/>
          </w:tcPr>
          <w:p w14:paraId="220AD30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96.7</w:t>
            </w:r>
          </w:p>
        </w:tc>
        <w:tc>
          <w:tcPr>
            <w:tcW w:w="414" w:type="pct"/>
            <w:tcMar>
              <w:top w:w="57" w:type="dxa"/>
              <w:left w:w="57" w:type="dxa"/>
              <w:bottom w:w="57" w:type="dxa"/>
              <w:right w:w="57" w:type="dxa"/>
            </w:tcMar>
            <w:vAlign w:val="center"/>
          </w:tcPr>
          <w:p w14:paraId="144D8B5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94.9</w:t>
            </w:r>
          </w:p>
        </w:tc>
        <w:tc>
          <w:tcPr>
            <w:tcW w:w="415" w:type="pct"/>
            <w:tcMar>
              <w:top w:w="57" w:type="dxa"/>
              <w:left w:w="57" w:type="dxa"/>
              <w:bottom w:w="57" w:type="dxa"/>
              <w:right w:w="57" w:type="dxa"/>
            </w:tcMar>
            <w:vAlign w:val="center"/>
          </w:tcPr>
          <w:p w14:paraId="7DE6F7A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65,000</w:t>
            </w:r>
          </w:p>
        </w:tc>
        <w:tc>
          <w:tcPr>
            <w:tcW w:w="414" w:type="pct"/>
            <w:tcMar>
              <w:top w:w="57" w:type="dxa"/>
              <w:left w:w="57" w:type="dxa"/>
              <w:bottom w:w="57" w:type="dxa"/>
              <w:right w:w="57" w:type="dxa"/>
            </w:tcMar>
            <w:vAlign w:val="center"/>
          </w:tcPr>
          <w:p w14:paraId="20B8596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95,000</w:t>
            </w:r>
          </w:p>
        </w:tc>
        <w:tc>
          <w:tcPr>
            <w:tcW w:w="320" w:type="pct"/>
            <w:vAlign w:val="center"/>
          </w:tcPr>
          <w:p w14:paraId="5B49944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8.5</w:t>
            </w:r>
          </w:p>
        </w:tc>
        <w:tc>
          <w:tcPr>
            <w:tcW w:w="398" w:type="pct"/>
            <w:vAlign w:val="center"/>
          </w:tcPr>
          <w:p w14:paraId="30C9A6C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5.7</w:t>
            </w:r>
          </w:p>
        </w:tc>
      </w:tr>
      <w:tr w:rsidR="00C22852" w:rsidRPr="00617A89" w14:paraId="3AAD354A" w14:textId="77777777" w:rsidTr="00A922A0">
        <w:trPr>
          <w:trHeight w:val="60"/>
        </w:trPr>
        <w:tc>
          <w:tcPr>
            <w:tcW w:w="1058" w:type="pct"/>
            <w:tcMar>
              <w:top w:w="57" w:type="dxa"/>
              <w:left w:w="57" w:type="dxa"/>
              <w:bottom w:w="57" w:type="dxa"/>
              <w:right w:w="0" w:type="dxa"/>
            </w:tcMar>
            <w:vAlign w:val="center"/>
          </w:tcPr>
          <w:p w14:paraId="366BB312"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Communications</w:t>
            </w:r>
          </w:p>
        </w:tc>
        <w:tc>
          <w:tcPr>
            <w:tcW w:w="415" w:type="pct"/>
            <w:vAlign w:val="center"/>
          </w:tcPr>
          <w:p w14:paraId="5CC180A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70.5</w:t>
            </w:r>
          </w:p>
        </w:tc>
        <w:tc>
          <w:tcPr>
            <w:tcW w:w="414" w:type="pct"/>
            <w:vAlign w:val="center"/>
          </w:tcPr>
          <w:p w14:paraId="0671223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85.6</w:t>
            </w:r>
          </w:p>
        </w:tc>
        <w:tc>
          <w:tcPr>
            <w:tcW w:w="369" w:type="pct"/>
            <w:tcMar>
              <w:top w:w="57" w:type="dxa"/>
              <w:left w:w="57" w:type="dxa"/>
              <w:bottom w:w="57" w:type="dxa"/>
              <w:right w:w="57" w:type="dxa"/>
            </w:tcMar>
            <w:vAlign w:val="center"/>
          </w:tcPr>
          <w:p w14:paraId="3D3B785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86.8</w:t>
            </w:r>
          </w:p>
        </w:tc>
        <w:tc>
          <w:tcPr>
            <w:tcW w:w="414" w:type="pct"/>
            <w:tcMar>
              <w:top w:w="57" w:type="dxa"/>
              <w:left w:w="57" w:type="dxa"/>
              <w:bottom w:w="57" w:type="dxa"/>
              <w:right w:w="57" w:type="dxa"/>
            </w:tcMar>
            <w:vAlign w:val="center"/>
          </w:tcPr>
          <w:p w14:paraId="2D8591C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91.3</w:t>
            </w:r>
          </w:p>
        </w:tc>
        <w:tc>
          <w:tcPr>
            <w:tcW w:w="369" w:type="pct"/>
            <w:tcMar>
              <w:top w:w="57" w:type="dxa"/>
              <w:left w:w="57" w:type="dxa"/>
              <w:bottom w:w="57" w:type="dxa"/>
              <w:right w:w="57" w:type="dxa"/>
            </w:tcMar>
            <w:vAlign w:val="center"/>
          </w:tcPr>
          <w:p w14:paraId="783755A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91.7</w:t>
            </w:r>
          </w:p>
        </w:tc>
        <w:tc>
          <w:tcPr>
            <w:tcW w:w="414" w:type="pct"/>
            <w:tcMar>
              <w:top w:w="57" w:type="dxa"/>
              <w:left w:w="57" w:type="dxa"/>
              <w:bottom w:w="57" w:type="dxa"/>
              <w:right w:w="57" w:type="dxa"/>
            </w:tcMar>
            <w:vAlign w:val="center"/>
          </w:tcPr>
          <w:p w14:paraId="7DDD4B3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86.1</w:t>
            </w:r>
          </w:p>
        </w:tc>
        <w:tc>
          <w:tcPr>
            <w:tcW w:w="415" w:type="pct"/>
            <w:tcMar>
              <w:top w:w="57" w:type="dxa"/>
              <w:left w:w="57" w:type="dxa"/>
              <w:bottom w:w="57" w:type="dxa"/>
              <w:right w:w="57" w:type="dxa"/>
            </w:tcMar>
            <w:vAlign w:val="center"/>
          </w:tcPr>
          <w:p w14:paraId="2D9A961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60,500</w:t>
            </w:r>
          </w:p>
        </w:tc>
        <w:tc>
          <w:tcPr>
            <w:tcW w:w="414" w:type="pct"/>
            <w:tcMar>
              <w:top w:w="57" w:type="dxa"/>
              <w:left w:w="57" w:type="dxa"/>
              <w:bottom w:w="57" w:type="dxa"/>
              <w:right w:w="57" w:type="dxa"/>
            </w:tcMar>
            <w:vAlign w:val="center"/>
          </w:tcPr>
          <w:p w14:paraId="1E7D54A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80,000</w:t>
            </w:r>
          </w:p>
        </w:tc>
        <w:tc>
          <w:tcPr>
            <w:tcW w:w="320" w:type="pct"/>
            <w:vAlign w:val="center"/>
          </w:tcPr>
          <w:p w14:paraId="4925C2D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12.0</w:t>
            </w:r>
          </w:p>
        </w:tc>
        <w:tc>
          <w:tcPr>
            <w:tcW w:w="398" w:type="pct"/>
            <w:vAlign w:val="center"/>
          </w:tcPr>
          <w:p w14:paraId="48B09E14"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9.6</w:t>
            </w:r>
          </w:p>
        </w:tc>
      </w:tr>
      <w:tr w:rsidR="00C22852" w:rsidRPr="00617A89" w14:paraId="44597B8A" w14:textId="77777777" w:rsidTr="00A922A0">
        <w:trPr>
          <w:trHeight w:val="60"/>
        </w:trPr>
        <w:tc>
          <w:tcPr>
            <w:tcW w:w="1058" w:type="pct"/>
            <w:tcMar>
              <w:top w:w="57" w:type="dxa"/>
              <w:left w:w="57" w:type="dxa"/>
              <w:bottom w:w="57" w:type="dxa"/>
              <w:right w:w="0" w:type="dxa"/>
            </w:tcMar>
            <w:vAlign w:val="center"/>
          </w:tcPr>
          <w:p w14:paraId="21E2316D"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Computing and information systems</w:t>
            </w:r>
          </w:p>
        </w:tc>
        <w:tc>
          <w:tcPr>
            <w:tcW w:w="415" w:type="pct"/>
            <w:vAlign w:val="center"/>
          </w:tcPr>
          <w:p w14:paraId="7D8ED86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77.5</w:t>
            </w:r>
          </w:p>
        </w:tc>
        <w:tc>
          <w:tcPr>
            <w:tcW w:w="414" w:type="pct"/>
            <w:vAlign w:val="center"/>
          </w:tcPr>
          <w:p w14:paraId="6C10849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91.0</w:t>
            </w:r>
          </w:p>
        </w:tc>
        <w:tc>
          <w:tcPr>
            <w:tcW w:w="369" w:type="pct"/>
            <w:tcMar>
              <w:top w:w="57" w:type="dxa"/>
              <w:left w:w="57" w:type="dxa"/>
              <w:bottom w:w="57" w:type="dxa"/>
              <w:right w:w="57" w:type="dxa"/>
            </w:tcMar>
            <w:vAlign w:val="center"/>
          </w:tcPr>
          <w:p w14:paraId="50BA7B7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84.2</w:t>
            </w:r>
          </w:p>
        </w:tc>
        <w:tc>
          <w:tcPr>
            <w:tcW w:w="414" w:type="pct"/>
            <w:tcMar>
              <w:top w:w="57" w:type="dxa"/>
              <w:left w:w="57" w:type="dxa"/>
              <w:bottom w:w="57" w:type="dxa"/>
              <w:right w:w="57" w:type="dxa"/>
            </w:tcMar>
            <w:vAlign w:val="center"/>
          </w:tcPr>
          <w:p w14:paraId="1D1FD834"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92.0</w:t>
            </w:r>
          </w:p>
        </w:tc>
        <w:tc>
          <w:tcPr>
            <w:tcW w:w="369" w:type="pct"/>
            <w:tcMar>
              <w:top w:w="57" w:type="dxa"/>
              <w:left w:w="57" w:type="dxa"/>
              <w:bottom w:w="57" w:type="dxa"/>
              <w:right w:w="57" w:type="dxa"/>
            </w:tcMar>
            <w:vAlign w:val="center"/>
          </w:tcPr>
          <w:p w14:paraId="69B61768"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95.0</w:t>
            </w:r>
          </w:p>
        </w:tc>
        <w:tc>
          <w:tcPr>
            <w:tcW w:w="414" w:type="pct"/>
            <w:tcMar>
              <w:top w:w="57" w:type="dxa"/>
              <w:left w:w="57" w:type="dxa"/>
              <w:bottom w:w="57" w:type="dxa"/>
              <w:right w:w="57" w:type="dxa"/>
            </w:tcMar>
            <w:vAlign w:val="center"/>
          </w:tcPr>
          <w:p w14:paraId="09ACECC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95.0</w:t>
            </w:r>
          </w:p>
        </w:tc>
        <w:tc>
          <w:tcPr>
            <w:tcW w:w="415" w:type="pct"/>
            <w:tcMar>
              <w:top w:w="57" w:type="dxa"/>
              <w:left w:w="57" w:type="dxa"/>
              <w:bottom w:w="57" w:type="dxa"/>
              <w:right w:w="57" w:type="dxa"/>
            </w:tcMar>
            <w:vAlign w:val="center"/>
          </w:tcPr>
          <w:p w14:paraId="4A04CC7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69,100</w:t>
            </w:r>
          </w:p>
        </w:tc>
        <w:tc>
          <w:tcPr>
            <w:tcW w:w="414" w:type="pct"/>
            <w:tcMar>
              <w:top w:w="57" w:type="dxa"/>
              <w:left w:w="57" w:type="dxa"/>
              <w:bottom w:w="57" w:type="dxa"/>
              <w:right w:w="57" w:type="dxa"/>
            </w:tcMar>
            <w:vAlign w:val="center"/>
          </w:tcPr>
          <w:p w14:paraId="3524A4D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100,000</w:t>
            </w:r>
          </w:p>
        </w:tc>
        <w:tc>
          <w:tcPr>
            <w:tcW w:w="320" w:type="pct"/>
            <w:vAlign w:val="center"/>
          </w:tcPr>
          <w:p w14:paraId="59D5452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w:t>
            </w:r>
          </w:p>
        </w:tc>
        <w:tc>
          <w:tcPr>
            <w:tcW w:w="398" w:type="pct"/>
            <w:vAlign w:val="center"/>
          </w:tcPr>
          <w:p w14:paraId="65CB53C4"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5.8</w:t>
            </w:r>
          </w:p>
        </w:tc>
      </w:tr>
      <w:tr w:rsidR="00C22852" w:rsidRPr="00617A89" w14:paraId="2F33F497" w14:textId="77777777" w:rsidTr="00A922A0">
        <w:trPr>
          <w:trHeight w:val="60"/>
        </w:trPr>
        <w:tc>
          <w:tcPr>
            <w:tcW w:w="1058" w:type="pct"/>
            <w:tcMar>
              <w:top w:w="57" w:type="dxa"/>
              <w:left w:w="57" w:type="dxa"/>
              <w:bottom w:w="57" w:type="dxa"/>
              <w:right w:w="0" w:type="dxa"/>
            </w:tcMar>
            <w:vAlign w:val="center"/>
          </w:tcPr>
          <w:p w14:paraId="37E54835"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Creative arts</w:t>
            </w:r>
          </w:p>
        </w:tc>
        <w:tc>
          <w:tcPr>
            <w:tcW w:w="415" w:type="pct"/>
            <w:vAlign w:val="center"/>
          </w:tcPr>
          <w:p w14:paraId="720FE26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60.8</w:t>
            </w:r>
          </w:p>
        </w:tc>
        <w:tc>
          <w:tcPr>
            <w:tcW w:w="414" w:type="pct"/>
            <w:vAlign w:val="center"/>
          </w:tcPr>
          <w:p w14:paraId="666CAE3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83.6</w:t>
            </w:r>
          </w:p>
        </w:tc>
        <w:tc>
          <w:tcPr>
            <w:tcW w:w="369" w:type="pct"/>
            <w:tcMar>
              <w:top w:w="57" w:type="dxa"/>
              <w:left w:w="57" w:type="dxa"/>
              <w:bottom w:w="57" w:type="dxa"/>
              <w:right w:w="57" w:type="dxa"/>
            </w:tcMar>
            <w:vAlign w:val="center"/>
          </w:tcPr>
          <w:p w14:paraId="7264E52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84.2</w:t>
            </w:r>
          </w:p>
        </w:tc>
        <w:tc>
          <w:tcPr>
            <w:tcW w:w="414" w:type="pct"/>
            <w:tcMar>
              <w:top w:w="57" w:type="dxa"/>
              <w:left w:w="57" w:type="dxa"/>
              <w:bottom w:w="57" w:type="dxa"/>
              <w:right w:w="57" w:type="dxa"/>
            </w:tcMar>
            <w:vAlign w:val="center"/>
          </w:tcPr>
          <w:p w14:paraId="23B8BDB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91.3</w:t>
            </w:r>
          </w:p>
        </w:tc>
        <w:tc>
          <w:tcPr>
            <w:tcW w:w="369" w:type="pct"/>
            <w:tcMar>
              <w:top w:w="57" w:type="dxa"/>
              <w:left w:w="57" w:type="dxa"/>
              <w:bottom w:w="57" w:type="dxa"/>
              <w:right w:w="57" w:type="dxa"/>
            </w:tcMar>
            <w:vAlign w:val="center"/>
          </w:tcPr>
          <w:p w14:paraId="01533C0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90.4</w:t>
            </w:r>
          </w:p>
        </w:tc>
        <w:tc>
          <w:tcPr>
            <w:tcW w:w="414" w:type="pct"/>
            <w:tcMar>
              <w:top w:w="57" w:type="dxa"/>
              <w:left w:w="57" w:type="dxa"/>
              <w:bottom w:w="57" w:type="dxa"/>
              <w:right w:w="57" w:type="dxa"/>
            </w:tcMar>
            <w:vAlign w:val="center"/>
          </w:tcPr>
          <w:p w14:paraId="71336A0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86.5</w:t>
            </w:r>
          </w:p>
        </w:tc>
        <w:tc>
          <w:tcPr>
            <w:tcW w:w="415" w:type="pct"/>
            <w:tcMar>
              <w:top w:w="57" w:type="dxa"/>
              <w:left w:w="57" w:type="dxa"/>
              <w:bottom w:w="57" w:type="dxa"/>
              <w:right w:w="57" w:type="dxa"/>
            </w:tcMar>
            <w:vAlign w:val="center"/>
          </w:tcPr>
          <w:p w14:paraId="5C778E4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57,200</w:t>
            </w:r>
          </w:p>
        </w:tc>
        <w:tc>
          <w:tcPr>
            <w:tcW w:w="414" w:type="pct"/>
            <w:tcMar>
              <w:top w:w="57" w:type="dxa"/>
              <w:left w:w="57" w:type="dxa"/>
              <w:bottom w:w="57" w:type="dxa"/>
              <w:right w:w="57" w:type="dxa"/>
            </w:tcMar>
            <w:vAlign w:val="center"/>
          </w:tcPr>
          <w:p w14:paraId="719AD37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75,000</w:t>
            </w:r>
          </w:p>
        </w:tc>
        <w:tc>
          <w:tcPr>
            <w:tcW w:w="320" w:type="pct"/>
            <w:vAlign w:val="center"/>
          </w:tcPr>
          <w:p w14:paraId="5BAEB47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19.6</w:t>
            </w:r>
          </w:p>
        </w:tc>
        <w:tc>
          <w:tcPr>
            <w:tcW w:w="398" w:type="pct"/>
            <w:vAlign w:val="center"/>
          </w:tcPr>
          <w:p w14:paraId="584D795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12.9</w:t>
            </w:r>
          </w:p>
        </w:tc>
      </w:tr>
      <w:tr w:rsidR="00C22852" w:rsidRPr="00617A89" w14:paraId="1CDC07E7" w14:textId="77777777" w:rsidTr="00A922A0">
        <w:trPr>
          <w:trHeight w:val="60"/>
        </w:trPr>
        <w:tc>
          <w:tcPr>
            <w:tcW w:w="1058" w:type="pct"/>
            <w:tcMar>
              <w:top w:w="57" w:type="dxa"/>
              <w:left w:w="57" w:type="dxa"/>
              <w:bottom w:w="57" w:type="dxa"/>
              <w:right w:w="0" w:type="dxa"/>
            </w:tcMar>
            <w:vAlign w:val="center"/>
          </w:tcPr>
          <w:p w14:paraId="773B085D"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Dentistry</w:t>
            </w:r>
          </w:p>
        </w:tc>
        <w:tc>
          <w:tcPr>
            <w:tcW w:w="415" w:type="pct"/>
            <w:vAlign w:val="center"/>
          </w:tcPr>
          <w:p w14:paraId="2EBCCAE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93.8</w:t>
            </w:r>
          </w:p>
        </w:tc>
        <w:tc>
          <w:tcPr>
            <w:tcW w:w="414" w:type="pct"/>
            <w:vAlign w:val="center"/>
          </w:tcPr>
          <w:p w14:paraId="1BBFCD3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94.1</w:t>
            </w:r>
          </w:p>
        </w:tc>
        <w:tc>
          <w:tcPr>
            <w:tcW w:w="369" w:type="pct"/>
            <w:tcMar>
              <w:top w:w="57" w:type="dxa"/>
              <w:left w:w="57" w:type="dxa"/>
              <w:bottom w:w="57" w:type="dxa"/>
              <w:right w:w="57" w:type="dxa"/>
            </w:tcMar>
            <w:vAlign w:val="center"/>
          </w:tcPr>
          <w:p w14:paraId="283088A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92.5</w:t>
            </w:r>
          </w:p>
        </w:tc>
        <w:tc>
          <w:tcPr>
            <w:tcW w:w="414" w:type="pct"/>
            <w:tcMar>
              <w:top w:w="57" w:type="dxa"/>
              <w:left w:w="57" w:type="dxa"/>
              <w:bottom w:w="57" w:type="dxa"/>
              <w:right w:w="57" w:type="dxa"/>
            </w:tcMar>
            <w:vAlign w:val="center"/>
          </w:tcPr>
          <w:p w14:paraId="68F7480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96.9</w:t>
            </w:r>
          </w:p>
        </w:tc>
        <w:tc>
          <w:tcPr>
            <w:tcW w:w="369" w:type="pct"/>
            <w:tcMar>
              <w:top w:w="57" w:type="dxa"/>
              <w:left w:w="57" w:type="dxa"/>
              <w:bottom w:w="57" w:type="dxa"/>
              <w:right w:w="57" w:type="dxa"/>
            </w:tcMar>
            <w:vAlign w:val="center"/>
          </w:tcPr>
          <w:p w14:paraId="719435A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95.7</w:t>
            </w:r>
          </w:p>
        </w:tc>
        <w:tc>
          <w:tcPr>
            <w:tcW w:w="414" w:type="pct"/>
            <w:tcMar>
              <w:top w:w="57" w:type="dxa"/>
              <w:left w:w="57" w:type="dxa"/>
              <w:bottom w:w="57" w:type="dxa"/>
              <w:right w:w="57" w:type="dxa"/>
            </w:tcMar>
            <w:vAlign w:val="center"/>
          </w:tcPr>
          <w:p w14:paraId="5DDBF999"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92.9</w:t>
            </w:r>
          </w:p>
        </w:tc>
        <w:tc>
          <w:tcPr>
            <w:tcW w:w="415" w:type="pct"/>
            <w:tcMar>
              <w:top w:w="57" w:type="dxa"/>
              <w:left w:w="57" w:type="dxa"/>
              <w:bottom w:w="57" w:type="dxa"/>
              <w:right w:w="57" w:type="dxa"/>
            </w:tcMar>
            <w:vAlign w:val="center"/>
          </w:tcPr>
          <w:p w14:paraId="5B0354F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89,700</w:t>
            </w:r>
          </w:p>
        </w:tc>
        <w:tc>
          <w:tcPr>
            <w:tcW w:w="414" w:type="pct"/>
            <w:tcMar>
              <w:top w:w="57" w:type="dxa"/>
              <w:left w:w="57" w:type="dxa"/>
              <w:bottom w:w="57" w:type="dxa"/>
              <w:right w:w="57" w:type="dxa"/>
            </w:tcMar>
            <w:vAlign w:val="center"/>
          </w:tcPr>
          <w:p w14:paraId="29E0A27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128,900</w:t>
            </w:r>
          </w:p>
        </w:tc>
        <w:tc>
          <w:tcPr>
            <w:tcW w:w="320" w:type="pct"/>
            <w:vAlign w:val="center"/>
          </w:tcPr>
          <w:p w14:paraId="29C665C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11.9</w:t>
            </w:r>
          </w:p>
        </w:tc>
        <w:tc>
          <w:tcPr>
            <w:tcW w:w="398" w:type="pct"/>
            <w:vAlign w:val="center"/>
          </w:tcPr>
          <w:p w14:paraId="3B3C8C38"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10.7</w:t>
            </w:r>
          </w:p>
        </w:tc>
      </w:tr>
      <w:tr w:rsidR="00C22852" w:rsidRPr="00617A89" w14:paraId="47C3BA83" w14:textId="77777777" w:rsidTr="00A922A0">
        <w:trPr>
          <w:trHeight w:val="60"/>
        </w:trPr>
        <w:tc>
          <w:tcPr>
            <w:tcW w:w="1058" w:type="pct"/>
            <w:tcMar>
              <w:top w:w="57" w:type="dxa"/>
              <w:left w:w="57" w:type="dxa"/>
              <w:bottom w:w="57" w:type="dxa"/>
              <w:right w:w="0" w:type="dxa"/>
            </w:tcMar>
            <w:vAlign w:val="center"/>
          </w:tcPr>
          <w:p w14:paraId="4027EE4D"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Engineering</w:t>
            </w:r>
          </w:p>
        </w:tc>
        <w:tc>
          <w:tcPr>
            <w:tcW w:w="415" w:type="pct"/>
            <w:vAlign w:val="center"/>
          </w:tcPr>
          <w:p w14:paraId="56EDE174"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88.5</w:t>
            </w:r>
          </w:p>
        </w:tc>
        <w:tc>
          <w:tcPr>
            <w:tcW w:w="414" w:type="pct"/>
            <w:vAlign w:val="center"/>
          </w:tcPr>
          <w:p w14:paraId="7EEF050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95.5</w:t>
            </w:r>
          </w:p>
        </w:tc>
        <w:tc>
          <w:tcPr>
            <w:tcW w:w="369" w:type="pct"/>
            <w:tcMar>
              <w:top w:w="57" w:type="dxa"/>
              <w:left w:w="57" w:type="dxa"/>
              <w:bottom w:w="57" w:type="dxa"/>
              <w:right w:w="57" w:type="dxa"/>
            </w:tcMar>
            <w:vAlign w:val="center"/>
          </w:tcPr>
          <w:p w14:paraId="32A15209"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91.9</w:t>
            </w:r>
          </w:p>
        </w:tc>
        <w:tc>
          <w:tcPr>
            <w:tcW w:w="414" w:type="pct"/>
            <w:tcMar>
              <w:top w:w="57" w:type="dxa"/>
              <w:left w:w="57" w:type="dxa"/>
              <w:bottom w:w="57" w:type="dxa"/>
              <w:right w:w="57" w:type="dxa"/>
            </w:tcMar>
            <w:vAlign w:val="center"/>
          </w:tcPr>
          <w:p w14:paraId="71D4F16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96.3</w:t>
            </w:r>
          </w:p>
        </w:tc>
        <w:tc>
          <w:tcPr>
            <w:tcW w:w="369" w:type="pct"/>
            <w:tcMar>
              <w:top w:w="57" w:type="dxa"/>
              <w:left w:w="57" w:type="dxa"/>
              <w:bottom w:w="57" w:type="dxa"/>
              <w:right w:w="57" w:type="dxa"/>
            </w:tcMar>
            <w:vAlign w:val="center"/>
          </w:tcPr>
          <w:p w14:paraId="113E810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96.4</w:t>
            </w:r>
          </w:p>
        </w:tc>
        <w:tc>
          <w:tcPr>
            <w:tcW w:w="414" w:type="pct"/>
            <w:tcMar>
              <w:top w:w="57" w:type="dxa"/>
              <w:left w:w="57" w:type="dxa"/>
              <w:bottom w:w="57" w:type="dxa"/>
              <w:right w:w="57" w:type="dxa"/>
            </w:tcMar>
            <w:vAlign w:val="center"/>
          </w:tcPr>
          <w:p w14:paraId="25E86D1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95.5</w:t>
            </w:r>
          </w:p>
        </w:tc>
        <w:tc>
          <w:tcPr>
            <w:tcW w:w="415" w:type="pct"/>
            <w:tcMar>
              <w:top w:w="57" w:type="dxa"/>
              <w:left w:w="57" w:type="dxa"/>
              <w:bottom w:w="57" w:type="dxa"/>
              <w:right w:w="57" w:type="dxa"/>
            </w:tcMar>
            <w:vAlign w:val="center"/>
          </w:tcPr>
          <w:p w14:paraId="60ACED4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71,000</w:t>
            </w:r>
          </w:p>
        </w:tc>
        <w:tc>
          <w:tcPr>
            <w:tcW w:w="414" w:type="pct"/>
            <w:tcMar>
              <w:top w:w="57" w:type="dxa"/>
              <w:left w:w="57" w:type="dxa"/>
              <w:bottom w:w="57" w:type="dxa"/>
              <w:right w:w="57" w:type="dxa"/>
            </w:tcMar>
            <w:vAlign w:val="center"/>
          </w:tcPr>
          <w:p w14:paraId="6516CCC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103,000</w:t>
            </w:r>
          </w:p>
        </w:tc>
        <w:tc>
          <w:tcPr>
            <w:tcW w:w="320" w:type="pct"/>
            <w:vAlign w:val="center"/>
          </w:tcPr>
          <w:p w14:paraId="36BAB2E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12.3</w:t>
            </w:r>
          </w:p>
        </w:tc>
        <w:tc>
          <w:tcPr>
            <w:tcW w:w="398" w:type="pct"/>
            <w:vAlign w:val="center"/>
          </w:tcPr>
          <w:p w14:paraId="336F16A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7.3</w:t>
            </w:r>
          </w:p>
        </w:tc>
      </w:tr>
      <w:tr w:rsidR="00C22852" w:rsidRPr="00617A89" w14:paraId="615F61F1" w14:textId="77777777" w:rsidTr="00A922A0">
        <w:trPr>
          <w:trHeight w:val="60"/>
        </w:trPr>
        <w:tc>
          <w:tcPr>
            <w:tcW w:w="1058" w:type="pct"/>
            <w:tcMar>
              <w:top w:w="57" w:type="dxa"/>
              <w:left w:w="57" w:type="dxa"/>
              <w:bottom w:w="57" w:type="dxa"/>
              <w:right w:w="0" w:type="dxa"/>
            </w:tcMar>
            <w:vAlign w:val="center"/>
          </w:tcPr>
          <w:p w14:paraId="3AD70AE2"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Health services and support</w:t>
            </w:r>
          </w:p>
        </w:tc>
        <w:tc>
          <w:tcPr>
            <w:tcW w:w="415" w:type="pct"/>
            <w:vAlign w:val="center"/>
          </w:tcPr>
          <w:p w14:paraId="66C94B0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79.9</w:t>
            </w:r>
          </w:p>
        </w:tc>
        <w:tc>
          <w:tcPr>
            <w:tcW w:w="414" w:type="pct"/>
            <w:vAlign w:val="center"/>
          </w:tcPr>
          <w:p w14:paraId="53503DF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92.5</w:t>
            </w:r>
          </w:p>
        </w:tc>
        <w:tc>
          <w:tcPr>
            <w:tcW w:w="369" w:type="pct"/>
            <w:tcMar>
              <w:top w:w="57" w:type="dxa"/>
              <w:left w:w="57" w:type="dxa"/>
              <w:bottom w:w="57" w:type="dxa"/>
              <w:right w:w="57" w:type="dxa"/>
            </w:tcMar>
            <w:vAlign w:val="center"/>
          </w:tcPr>
          <w:p w14:paraId="4865C7D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91.6</w:t>
            </w:r>
          </w:p>
        </w:tc>
        <w:tc>
          <w:tcPr>
            <w:tcW w:w="414" w:type="pct"/>
            <w:tcMar>
              <w:top w:w="57" w:type="dxa"/>
              <w:left w:w="57" w:type="dxa"/>
              <w:bottom w:w="57" w:type="dxa"/>
              <w:right w:w="57" w:type="dxa"/>
            </w:tcMar>
            <w:vAlign w:val="center"/>
          </w:tcPr>
          <w:p w14:paraId="03B0ECF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95.6</w:t>
            </w:r>
          </w:p>
        </w:tc>
        <w:tc>
          <w:tcPr>
            <w:tcW w:w="369" w:type="pct"/>
            <w:tcMar>
              <w:top w:w="57" w:type="dxa"/>
              <w:left w:w="57" w:type="dxa"/>
              <w:bottom w:w="57" w:type="dxa"/>
              <w:right w:w="57" w:type="dxa"/>
            </w:tcMar>
            <w:vAlign w:val="center"/>
          </w:tcPr>
          <w:p w14:paraId="357F490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93.2</w:t>
            </w:r>
          </w:p>
        </w:tc>
        <w:tc>
          <w:tcPr>
            <w:tcW w:w="414" w:type="pct"/>
            <w:tcMar>
              <w:top w:w="57" w:type="dxa"/>
              <w:left w:w="57" w:type="dxa"/>
              <w:bottom w:w="57" w:type="dxa"/>
              <w:right w:w="57" w:type="dxa"/>
            </w:tcMar>
            <w:vAlign w:val="center"/>
          </w:tcPr>
          <w:p w14:paraId="6F2132B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90.7</w:t>
            </w:r>
          </w:p>
        </w:tc>
        <w:tc>
          <w:tcPr>
            <w:tcW w:w="415" w:type="pct"/>
            <w:tcMar>
              <w:top w:w="57" w:type="dxa"/>
              <w:left w:w="57" w:type="dxa"/>
              <w:bottom w:w="57" w:type="dxa"/>
              <w:right w:w="57" w:type="dxa"/>
            </w:tcMar>
            <w:vAlign w:val="center"/>
          </w:tcPr>
          <w:p w14:paraId="67A4420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70,000</w:t>
            </w:r>
          </w:p>
        </w:tc>
        <w:tc>
          <w:tcPr>
            <w:tcW w:w="414" w:type="pct"/>
            <w:tcMar>
              <w:top w:w="57" w:type="dxa"/>
              <w:left w:w="57" w:type="dxa"/>
              <w:bottom w:w="57" w:type="dxa"/>
              <w:right w:w="57" w:type="dxa"/>
            </w:tcMar>
            <w:vAlign w:val="center"/>
          </w:tcPr>
          <w:p w14:paraId="238681A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93,000</w:t>
            </w:r>
          </w:p>
        </w:tc>
        <w:tc>
          <w:tcPr>
            <w:tcW w:w="320" w:type="pct"/>
            <w:vAlign w:val="center"/>
          </w:tcPr>
          <w:p w14:paraId="7A27CAF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18.3</w:t>
            </w:r>
          </w:p>
        </w:tc>
        <w:tc>
          <w:tcPr>
            <w:tcW w:w="398" w:type="pct"/>
            <w:vAlign w:val="center"/>
          </w:tcPr>
          <w:p w14:paraId="63A2388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13.4</w:t>
            </w:r>
          </w:p>
        </w:tc>
      </w:tr>
      <w:tr w:rsidR="00C22852" w:rsidRPr="00617A89" w14:paraId="6DEEA22C" w14:textId="77777777" w:rsidTr="00A922A0">
        <w:trPr>
          <w:trHeight w:val="60"/>
        </w:trPr>
        <w:tc>
          <w:tcPr>
            <w:tcW w:w="1058" w:type="pct"/>
            <w:tcMar>
              <w:top w:w="57" w:type="dxa"/>
              <w:left w:w="57" w:type="dxa"/>
              <w:bottom w:w="57" w:type="dxa"/>
              <w:right w:w="0" w:type="dxa"/>
            </w:tcMar>
            <w:vAlign w:val="center"/>
          </w:tcPr>
          <w:p w14:paraId="233D3EA8"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Humanities, culture and social sciences</w:t>
            </w:r>
          </w:p>
        </w:tc>
        <w:tc>
          <w:tcPr>
            <w:tcW w:w="415" w:type="pct"/>
            <w:vAlign w:val="center"/>
          </w:tcPr>
          <w:p w14:paraId="7F99804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73.9</w:t>
            </w:r>
          </w:p>
        </w:tc>
        <w:tc>
          <w:tcPr>
            <w:tcW w:w="414" w:type="pct"/>
            <w:vAlign w:val="center"/>
          </w:tcPr>
          <w:p w14:paraId="3EDB2E69"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90.0</w:t>
            </w:r>
          </w:p>
        </w:tc>
        <w:tc>
          <w:tcPr>
            <w:tcW w:w="369" w:type="pct"/>
            <w:tcMar>
              <w:top w:w="57" w:type="dxa"/>
              <w:left w:w="57" w:type="dxa"/>
              <w:bottom w:w="57" w:type="dxa"/>
              <w:right w:w="57" w:type="dxa"/>
            </w:tcMar>
            <w:vAlign w:val="center"/>
          </w:tcPr>
          <w:p w14:paraId="79904D7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87.3</w:t>
            </w:r>
          </w:p>
        </w:tc>
        <w:tc>
          <w:tcPr>
            <w:tcW w:w="414" w:type="pct"/>
            <w:tcMar>
              <w:top w:w="57" w:type="dxa"/>
              <w:left w:w="57" w:type="dxa"/>
              <w:bottom w:w="57" w:type="dxa"/>
              <w:right w:w="57" w:type="dxa"/>
            </w:tcMar>
            <w:vAlign w:val="center"/>
          </w:tcPr>
          <w:p w14:paraId="2FF951A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93.8</w:t>
            </w:r>
          </w:p>
        </w:tc>
        <w:tc>
          <w:tcPr>
            <w:tcW w:w="369" w:type="pct"/>
            <w:tcMar>
              <w:top w:w="57" w:type="dxa"/>
              <w:left w:w="57" w:type="dxa"/>
              <w:bottom w:w="57" w:type="dxa"/>
              <w:right w:w="57" w:type="dxa"/>
            </w:tcMar>
            <w:vAlign w:val="center"/>
          </w:tcPr>
          <w:p w14:paraId="0ABD87B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92.1</w:t>
            </w:r>
          </w:p>
        </w:tc>
        <w:tc>
          <w:tcPr>
            <w:tcW w:w="414" w:type="pct"/>
            <w:tcMar>
              <w:top w:w="57" w:type="dxa"/>
              <w:left w:w="57" w:type="dxa"/>
              <w:bottom w:w="57" w:type="dxa"/>
              <w:right w:w="57" w:type="dxa"/>
            </w:tcMar>
            <w:vAlign w:val="center"/>
          </w:tcPr>
          <w:p w14:paraId="240B9B5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89.9</w:t>
            </w:r>
          </w:p>
        </w:tc>
        <w:tc>
          <w:tcPr>
            <w:tcW w:w="415" w:type="pct"/>
            <w:tcMar>
              <w:top w:w="57" w:type="dxa"/>
              <w:left w:w="57" w:type="dxa"/>
              <w:bottom w:w="57" w:type="dxa"/>
              <w:right w:w="57" w:type="dxa"/>
            </w:tcMar>
            <w:vAlign w:val="center"/>
          </w:tcPr>
          <w:p w14:paraId="6C52629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67,000</w:t>
            </w:r>
          </w:p>
        </w:tc>
        <w:tc>
          <w:tcPr>
            <w:tcW w:w="414" w:type="pct"/>
            <w:tcMar>
              <w:top w:w="57" w:type="dxa"/>
              <w:left w:w="57" w:type="dxa"/>
              <w:bottom w:w="57" w:type="dxa"/>
              <w:right w:w="57" w:type="dxa"/>
            </w:tcMar>
            <w:vAlign w:val="center"/>
          </w:tcPr>
          <w:p w14:paraId="2F9D37D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90,000</w:t>
            </w:r>
          </w:p>
        </w:tc>
        <w:tc>
          <w:tcPr>
            <w:tcW w:w="320" w:type="pct"/>
            <w:vAlign w:val="center"/>
          </w:tcPr>
          <w:p w14:paraId="3D73E5A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23.0</w:t>
            </w:r>
          </w:p>
        </w:tc>
        <w:tc>
          <w:tcPr>
            <w:tcW w:w="398" w:type="pct"/>
            <w:vAlign w:val="center"/>
          </w:tcPr>
          <w:p w14:paraId="223F355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14.9</w:t>
            </w:r>
          </w:p>
        </w:tc>
      </w:tr>
      <w:tr w:rsidR="00C22852" w:rsidRPr="00617A89" w14:paraId="2B4650B4" w14:textId="77777777" w:rsidTr="00A922A0">
        <w:trPr>
          <w:trHeight w:val="60"/>
        </w:trPr>
        <w:tc>
          <w:tcPr>
            <w:tcW w:w="1058" w:type="pct"/>
            <w:tcMar>
              <w:top w:w="57" w:type="dxa"/>
              <w:left w:w="57" w:type="dxa"/>
              <w:bottom w:w="57" w:type="dxa"/>
              <w:right w:w="0" w:type="dxa"/>
            </w:tcMar>
            <w:vAlign w:val="center"/>
          </w:tcPr>
          <w:p w14:paraId="76D06213"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Law and paralegal studies</w:t>
            </w:r>
          </w:p>
        </w:tc>
        <w:tc>
          <w:tcPr>
            <w:tcW w:w="415" w:type="pct"/>
            <w:vAlign w:val="center"/>
          </w:tcPr>
          <w:p w14:paraId="334F68E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81.2</w:t>
            </w:r>
          </w:p>
        </w:tc>
        <w:tc>
          <w:tcPr>
            <w:tcW w:w="414" w:type="pct"/>
            <w:vAlign w:val="center"/>
          </w:tcPr>
          <w:p w14:paraId="0878B62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95.1</w:t>
            </w:r>
          </w:p>
        </w:tc>
        <w:tc>
          <w:tcPr>
            <w:tcW w:w="369" w:type="pct"/>
            <w:tcMar>
              <w:top w:w="57" w:type="dxa"/>
              <w:left w:w="57" w:type="dxa"/>
              <w:bottom w:w="57" w:type="dxa"/>
              <w:right w:w="57" w:type="dxa"/>
            </w:tcMar>
            <w:vAlign w:val="center"/>
          </w:tcPr>
          <w:p w14:paraId="19F07AD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88.2</w:t>
            </w:r>
          </w:p>
        </w:tc>
        <w:tc>
          <w:tcPr>
            <w:tcW w:w="414" w:type="pct"/>
            <w:tcMar>
              <w:top w:w="57" w:type="dxa"/>
              <w:left w:w="57" w:type="dxa"/>
              <w:bottom w:w="57" w:type="dxa"/>
              <w:right w:w="57" w:type="dxa"/>
            </w:tcMar>
            <w:vAlign w:val="center"/>
          </w:tcPr>
          <w:p w14:paraId="39A4617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96.0</w:t>
            </w:r>
          </w:p>
        </w:tc>
        <w:tc>
          <w:tcPr>
            <w:tcW w:w="369" w:type="pct"/>
            <w:tcMar>
              <w:top w:w="57" w:type="dxa"/>
              <w:left w:w="57" w:type="dxa"/>
              <w:bottom w:w="57" w:type="dxa"/>
              <w:right w:w="57" w:type="dxa"/>
            </w:tcMar>
            <w:vAlign w:val="center"/>
          </w:tcPr>
          <w:p w14:paraId="723B0AC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94.1</w:t>
            </w:r>
          </w:p>
        </w:tc>
        <w:tc>
          <w:tcPr>
            <w:tcW w:w="414" w:type="pct"/>
            <w:tcMar>
              <w:top w:w="57" w:type="dxa"/>
              <w:left w:w="57" w:type="dxa"/>
              <w:bottom w:w="57" w:type="dxa"/>
              <w:right w:w="57" w:type="dxa"/>
            </w:tcMar>
            <w:vAlign w:val="center"/>
          </w:tcPr>
          <w:p w14:paraId="5E18A518"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92.8</w:t>
            </w:r>
          </w:p>
        </w:tc>
        <w:tc>
          <w:tcPr>
            <w:tcW w:w="415" w:type="pct"/>
            <w:tcMar>
              <w:top w:w="57" w:type="dxa"/>
              <w:left w:w="57" w:type="dxa"/>
              <w:bottom w:w="57" w:type="dxa"/>
              <w:right w:w="57" w:type="dxa"/>
            </w:tcMar>
            <w:vAlign w:val="center"/>
          </w:tcPr>
          <w:p w14:paraId="728263D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70,000</w:t>
            </w:r>
          </w:p>
        </w:tc>
        <w:tc>
          <w:tcPr>
            <w:tcW w:w="414" w:type="pct"/>
            <w:tcMar>
              <w:top w:w="57" w:type="dxa"/>
              <w:left w:w="57" w:type="dxa"/>
              <w:bottom w:w="57" w:type="dxa"/>
              <w:right w:w="57" w:type="dxa"/>
            </w:tcMar>
            <w:vAlign w:val="center"/>
          </w:tcPr>
          <w:p w14:paraId="0F3DB61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100,000</w:t>
            </w:r>
          </w:p>
        </w:tc>
        <w:tc>
          <w:tcPr>
            <w:tcW w:w="320" w:type="pct"/>
            <w:vAlign w:val="center"/>
          </w:tcPr>
          <w:p w14:paraId="4D7FF2D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19.1</w:t>
            </w:r>
          </w:p>
        </w:tc>
        <w:tc>
          <w:tcPr>
            <w:tcW w:w="398" w:type="pct"/>
            <w:vAlign w:val="center"/>
          </w:tcPr>
          <w:p w14:paraId="4094E5F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6.5</w:t>
            </w:r>
          </w:p>
        </w:tc>
      </w:tr>
      <w:tr w:rsidR="00C22852" w:rsidRPr="00617A89" w14:paraId="6947EFBE" w14:textId="77777777" w:rsidTr="00A922A0">
        <w:trPr>
          <w:trHeight w:val="60"/>
        </w:trPr>
        <w:tc>
          <w:tcPr>
            <w:tcW w:w="1058" w:type="pct"/>
            <w:tcMar>
              <w:top w:w="57" w:type="dxa"/>
              <w:left w:w="57" w:type="dxa"/>
              <w:bottom w:w="57" w:type="dxa"/>
              <w:right w:w="0" w:type="dxa"/>
            </w:tcMar>
            <w:vAlign w:val="center"/>
          </w:tcPr>
          <w:p w14:paraId="4392D06C"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Medicine</w:t>
            </w:r>
          </w:p>
        </w:tc>
        <w:tc>
          <w:tcPr>
            <w:tcW w:w="415" w:type="pct"/>
            <w:vAlign w:val="center"/>
          </w:tcPr>
          <w:p w14:paraId="7252A09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91.9</w:t>
            </w:r>
          </w:p>
        </w:tc>
        <w:tc>
          <w:tcPr>
            <w:tcW w:w="414" w:type="pct"/>
            <w:vAlign w:val="center"/>
          </w:tcPr>
          <w:p w14:paraId="66E6B2A4"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98.3</w:t>
            </w:r>
          </w:p>
        </w:tc>
        <w:tc>
          <w:tcPr>
            <w:tcW w:w="369" w:type="pct"/>
            <w:tcMar>
              <w:top w:w="57" w:type="dxa"/>
              <w:left w:w="57" w:type="dxa"/>
              <w:bottom w:w="57" w:type="dxa"/>
              <w:right w:w="57" w:type="dxa"/>
            </w:tcMar>
            <w:vAlign w:val="center"/>
          </w:tcPr>
          <w:p w14:paraId="3B60210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91.2</w:t>
            </w:r>
          </w:p>
        </w:tc>
        <w:tc>
          <w:tcPr>
            <w:tcW w:w="414" w:type="pct"/>
            <w:tcMar>
              <w:top w:w="57" w:type="dxa"/>
              <w:left w:w="57" w:type="dxa"/>
              <w:bottom w:w="57" w:type="dxa"/>
              <w:right w:w="57" w:type="dxa"/>
            </w:tcMar>
            <w:vAlign w:val="center"/>
          </w:tcPr>
          <w:p w14:paraId="71DF24F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98.6</w:t>
            </w:r>
          </w:p>
        </w:tc>
        <w:tc>
          <w:tcPr>
            <w:tcW w:w="369" w:type="pct"/>
            <w:tcMar>
              <w:top w:w="57" w:type="dxa"/>
              <w:left w:w="57" w:type="dxa"/>
              <w:bottom w:w="57" w:type="dxa"/>
              <w:right w:w="57" w:type="dxa"/>
            </w:tcMar>
            <w:vAlign w:val="center"/>
          </w:tcPr>
          <w:p w14:paraId="189AE0E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93.5</w:t>
            </w:r>
          </w:p>
        </w:tc>
        <w:tc>
          <w:tcPr>
            <w:tcW w:w="414" w:type="pct"/>
            <w:tcMar>
              <w:top w:w="57" w:type="dxa"/>
              <w:left w:w="57" w:type="dxa"/>
              <w:bottom w:w="57" w:type="dxa"/>
              <w:right w:w="57" w:type="dxa"/>
            </w:tcMar>
            <w:vAlign w:val="center"/>
          </w:tcPr>
          <w:p w14:paraId="08B262B9"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90.4</w:t>
            </w:r>
          </w:p>
        </w:tc>
        <w:tc>
          <w:tcPr>
            <w:tcW w:w="415" w:type="pct"/>
            <w:tcMar>
              <w:top w:w="57" w:type="dxa"/>
              <w:left w:w="57" w:type="dxa"/>
              <w:bottom w:w="57" w:type="dxa"/>
              <w:right w:w="57" w:type="dxa"/>
            </w:tcMar>
            <w:vAlign w:val="center"/>
          </w:tcPr>
          <w:p w14:paraId="3E820928"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80,000</w:t>
            </w:r>
          </w:p>
        </w:tc>
        <w:tc>
          <w:tcPr>
            <w:tcW w:w="414" w:type="pct"/>
            <w:tcMar>
              <w:top w:w="57" w:type="dxa"/>
              <w:left w:w="57" w:type="dxa"/>
              <w:bottom w:w="57" w:type="dxa"/>
              <w:right w:w="57" w:type="dxa"/>
            </w:tcMar>
            <w:vAlign w:val="center"/>
          </w:tcPr>
          <w:p w14:paraId="1DA614F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115,000</w:t>
            </w:r>
          </w:p>
        </w:tc>
        <w:tc>
          <w:tcPr>
            <w:tcW w:w="320" w:type="pct"/>
            <w:vAlign w:val="center"/>
          </w:tcPr>
          <w:p w14:paraId="077FA5A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14.1</w:t>
            </w:r>
          </w:p>
        </w:tc>
        <w:tc>
          <w:tcPr>
            <w:tcW w:w="398" w:type="pct"/>
            <w:vAlign w:val="center"/>
          </w:tcPr>
          <w:p w14:paraId="47036BB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21.1</w:t>
            </w:r>
          </w:p>
        </w:tc>
      </w:tr>
      <w:tr w:rsidR="00C22852" w:rsidRPr="00617A89" w14:paraId="15228BC7" w14:textId="77777777" w:rsidTr="00A922A0">
        <w:trPr>
          <w:trHeight w:val="60"/>
        </w:trPr>
        <w:tc>
          <w:tcPr>
            <w:tcW w:w="1058" w:type="pct"/>
            <w:tcMar>
              <w:top w:w="57" w:type="dxa"/>
              <w:left w:w="57" w:type="dxa"/>
              <w:bottom w:w="57" w:type="dxa"/>
              <w:right w:w="0" w:type="dxa"/>
            </w:tcMar>
            <w:vAlign w:val="center"/>
          </w:tcPr>
          <w:p w14:paraId="07C548EF"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Nursing</w:t>
            </w:r>
          </w:p>
        </w:tc>
        <w:tc>
          <w:tcPr>
            <w:tcW w:w="415" w:type="pct"/>
            <w:vAlign w:val="center"/>
          </w:tcPr>
          <w:p w14:paraId="368BA46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84.9</w:t>
            </w:r>
          </w:p>
        </w:tc>
        <w:tc>
          <w:tcPr>
            <w:tcW w:w="414" w:type="pct"/>
            <w:vAlign w:val="center"/>
          </w:tcPr>
          <w:p w14:paraId="2630053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94.1</w:t>
            </w:r>
          </w:p>
        </w:tc>
        <w:tc>
          <w:tcPr>
            <w:tcW w:w="369" w:type="pct"/>
            <w:tcMar>
              <w:top w:w="57" w:type="dxa"/>
              <w:left w:w="57" w:type="dxa"/>
              <w:bottom w:w="57" w:type="dxa"/>
              <w:right w:w="57" w:type="dxa"/>
            </w:tcMar>
            <w:vAlign w:val="center"/>
          </w:tcPr>
          <w:p w14:paraId="1B453FD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92.6</w:t>
            </w:r>
          </w:p>
        </w:tc>
        <w:tc>
          <w:tcPr>
            <w:tcW w:w="414" w:type="pct"/>
            <w:tcMar>
              <w:top w:w="57" w:type="dxa"/>
              <w:left w:w="57" w:type="dxa"/>
              <w:bottom w:w="57" w:type="dxa"/>
              <w:right w:w="57" w:type="dxa"/>
            </w:tcMar>
            <w:vAlign w:val="center"/>
          </w:tcPr>
          <w:p w14:paraId="4AADDBD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97.7</w:t>
            </w:r>
          </w:p>
        </w:tc>
        <w:tc>
          <w:tcPr>
            <w:tcW w:w="369" w:type="pct"/>
            <w:tcMar>
              <w:top w:w="57" w:type="dxa"/>
              <w:left w:w="57" w:type="dxa"/>
              <w:bottom w:w="57" w:type="dxa"/>
              <w:right w:w="57" w:type="dxa"/>
            </w:tcMar>
            <w:vAlign w:val="center"/>
          </w:tcPr>
          <w:p w14:paraId="0AD69ED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95.5</w:t>
            </w:r>
          </w:p>
        </w:tc>
        <w:tc>
          <w:tcPr>
            <w:tcW w:w="414" w:type="pct"/>
            <w:tcMar>
              <w:top w:w="57" w:type="dxa"/>
              <w:left w:w="57" w:type="dxa"/>
              <w:bottom w:w="57" w:type="dxa"/>
              <w:right w:w="57" w:type="dxa"/>
            </w:tcMar>
            <w:vAlign w:val="center"/>
          </w:tcPr>
          <w:p w14:paraId="6697931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92.6</w:t>
            </w:r>
          </w:p>
        </w:tc>
        <w:tc>
          <w:tcPr>
            <w:tcW w:w="415" w:type="pct"/>
            <w:tcMar>
              <w:top w:w="57" w:type="dxa"/>
              <w:left w:w="57" w:type="dxa"/>
              <w:bottom w:w="57" w:type="dxa"/>
              <w:right w:w="57" w:type="dxa"/>
            </w:tcMar>
            <w:vAlign w:val="center"/>
          </w:tcPr>
          <w:p w14:paraId="5FF39B8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68,900</w:t>
            </w:r>
          </w:p>
        </w:tc>
        <w:tc>
          <w:tcPr>
            <w:tcW w:w="414" w:type="pct"/>
            <w:tcMar>
              <w:top w:w="57" w:type="dxa"/>
              <w:left w:w="57" w:type="dxa"/>
              <w:bottom w:w="57" w:type="dxa"/>
              <w:right w:w="57" w:type="dxa"/>
            </w:tcMar>
            <w:vAlign w:val="center"/>
          </w:tcPr>
          <w:p w14:paraId="1FA325C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85,000</w:t>
            </w:r>
          </w:p>
        </w:tc>
        <w:tc>
          <w:tcPr>
            <w:tcW w:w="320" w:type="pct"/>
            <w:vAlign w:val="center"/>
          </w:tcPr>
          <w:p w14:paraId="50EDD814"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3.5</w:t>
            </w:r>
          </w:p>
        </w:tc>
        <w:tc>
          <w:tcPr>
            <w:tcW w:w="398" w:type="pct"/>
            <w:vAlign w:val="center"/>
          </w:tcPr>
          <w:p w14:paraId="4F87505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8.9</w:t>
            </w:r>
          </w:p>
        </w:tc>
      </w:tr>
      <w:tr w:rsidR="00C22852" w:rsidRPr="00617A89" w14:paraId="2F12FCFA" w14:textId="77777777" w:rsidTr="00A922A0">
        <w:trPr>
          <w:trHeight w:val="60"/>
        </w:trPr>
        <w:tc>
          <w:tcPr>
            <w:tcW w:w="1058" w:type="pct"/>
            <w:tcMar>
              <w:top w:w="57" w:type="dxa"/>
              <w:left w:w="57" w:type="dxa"/>
              <w:bottom w:w="57" w:type="dxa"/>
              <w:right w:w="0" w:type="dxa"/>
            </w:tcMar>
            <w:vAlign w:val="center"/>
          </w:tcPr>
          <w:p w14:paraId="6959072A"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Pharmacy</w:t>
            </w:r>
          </w:p>
        </w:tc>
        <w:tc>
          <w:tcPr>
            <w:tcW w:w="415" w:type="pct"/>
            <w:vAlign w:val="center"/>
          </w:tcPr>
          <w:p w14:paraId="1774C71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97.8</w:t>
            </w:r>
          </w:p>
        </w:tc>
        <w:tc>
          <w:tcPr>
            <w:tcW w:w="414" w:type="pct"/>
            <w:vAlign w:val="center"/>
          </w:tcPr>
          <w:p w14:paraId="7606F90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97.4</w:t>
            </w:r>
          </w:p>
        </w:tc>
        <w:tc>
          <w:tcPr>
            <w:tcW w:w="369" w:type="pct"/>
            <w:tcMar>
              <w:top w:w="57" w:type="dxa"/>
              <w:left w:w="57" w:type="dxa"/>
              <w:bottom w:w="57" w:type="dxa"/>
              <w:right w:w="57" w:type="dxa"/>
            </w:tcMar>
            <w:vAlign w:val="center"/>
          </w:tcPr>
          <w:p w14:paraId="048D41F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99.0</w:t>
            </w:r>
          </w:p>
        </w:tc>
        <w:tc>
          <w:tcPr>
            <w:tcW w:w="414" w:type="pct"/>
            <w:tcMar>
              <w:top w:w="57" w:type="dxa"/>
              <w:left w:w="57" w:type="dxa"/>
              <w:bottom w:w="57" w:type="dxa"/>
              <w:right w:w="57" w:type="dxa"/>
            </w:tcMar>
            <w:vAlign w:val="center"/>
          </w:tcPr>
          <w:p w14:paraId="3A27625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95.9</w:t>
            </w:r>
          </w:p>
        </w:tc>
        <w:tc>
          <w:tcPr>
            <w:tcW w:w="369" w:type="pct"/>
            <w:tcMar>
              <w:top w:w="57" w:type="dxa"/>
              <w:left w:w="57" w:type="dxa"/>
              <w:bottom w:w="57" w:type="dxa"/>
              <w:right w:w="57" w:type="dxa"/>
            </w:tcMar>
            <w:vAlign w:val="center"/>
          </w:tcPr>
          <w:p w14:paraId="13F4686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95.2</w:t>
            </w:r>
          </w:p>
        </w:tc>
        <w:tc>
          <w:tcPr>
            <w:tcW w:w="414" w:type="pct"/>
            <w:tcMar>
              <w:top w:w="57" w:type="dxa"/>
              <w:left w:w="57" w:type="dxa"/>
              <w:bottom w:w="57" w:type="dxa"/>
              <w:right w:w="57" w:type="dxa"/>
            </w:tcMar>
            <w:vAlign w:val="center"/>
          </w:tcPr>
          <w:p w14:paraId="2255946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92.4</w:t>
            </w:r>
          </w:p>
        </w:tc>
        <w:tc>
          <w:tcPr>
            <w:tcW w:w="415" w:type="pct"/>
            <w:tcMar>
              <w:top w:w="57" w:type="dxa"/>
              <w:left w:w="57" w:type="dxa"/>
              <w:bottom w:w="57" w:type="dxa"/>
              <w:right w:w="57" w:type="dxa"/>
            </w:tcMar>
            <w:vAlign w:val="center"/>
          </w:tcPr>
          <w:p w14:paraId="482BFA1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52,200</w:t>
            </w:r>
          </w:p>
        </w:tc>
        <w:tc>
          <w:tcPr>
            <w:tcW w:w="414" w:type="pct"/>
            <w:tcMar>
              <w:top w:w="57" w:type="dxa"/>
              <w:left w:w="57" w:type="dxa"/>
              <w:bottom w:w="57" w:type="dxa"/>
              <w:right w:w="57" w:type="dxa"/>
            </w:tcMar>
            <w:vAlign w:val="center"/>
          </w:tcPr>
          <w:p w14:paraId="5A26B5D9"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97,700</w:t>
            </w:r>
          </w:p>
        </w:tc>
        <w:tc>
          <w:tcPr>
            <w:tcW w:w="320" w:type="pct"/>
            <w:vAlign w:val="center"/>
          </w:tcPr>
          <w:p w14:paraId="1A1B301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15.2</w:t>
            </w:r>
          </w:p>
        </w:tc>
        <w:tc>
          <w:tcPr>
            <w:tcW w:w="398" w:type="pct"/>
            <w:vAlign w:val="center"/>
          </w:tcPr>
          <w:p w14:paraId="20105ED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14.3</w:t>
            </w:r>
          </w:p>
        </w:tc>
      </w:tr>
      <w:tr w:rsidR="00C22852" w:rsidRPr="00617A89" w14:paraId="1B1D2CD5" w14:textId="77777777" w:rsidTr="00A922A0">
        <w:trPr>
          <w:trHeight w:val="60"/>
        </w:trPr>
        <w:tc>
          <w:tcPr>
            <w:tcW w:w="1058" w:type="pct"/>
            <w:tcMar>
              <w:top w:w="57" w:type="dxa"/>
              <w:left w:w="57" w:type="dxa"/>
              <w:bottom w:w="57" w:type="dxa"/>
              <w:right w:w="0" w:type="dxa"/>
            </w:tcMar>
            <w:vAlign w:val="center"/>
          </w:tcPr>
          <w:p w14:paraId="067FD65F"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Psychology</w:t>
            </w:r>
          </w:p>
        </w:tc>
        <w:tc>
          <w:tcPr>
            <w:tcW w:w="415" w:type="pct"/>
            <w:vAlign w:val="center"/>
          </w:tcPr>
          <w:p w14:paraId="714F9BE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73.1</w:t>
            </w:r>
          </w:p>
        </w:tc>
        <w:tc>
          <w:tcPr>
            <w:tcW w:w="414" w:type="pct"/>
            <w:vAlign w:val="center"/>
          </w:tcPr>
          <w:p w14:paraId="161DD3C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87.7</w:t>
            </w:r>
          </w:p>
        </w:tc>
        <w:tc>
          <w:tcPr>
            <w:tcW w:w="369" w:type="pct"/>
            <w:tcMar>
              <w:top w:w="57" w:type="dxa"/>
              <w:left w:w="57" w:type="dxa"/>
              <w:bottom w:w="57" w:type="dxa"/>
              <w:right w:w="57" w:type="dxa"/>
            </w:tcMar>
            <w:vAlign w:val="center"/>
          </w:tcPr>
          <w:p w14:paraId="115141F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87.7</w:t>
            </w:r>
          </w:p>
        </w:tc>
        <w:tc>
          <w:tcPr>
            <w:tcW w:w="414" w:type="pct"/>
            <w:tcMar>
              <w:top w:w="57" w:type="dxa"/>
              <w:left w:w="57" w:type="dxa"/>
              <w:bottom w:w="57" w:type="dxa"/>
              <w:right w:w="57" w:type="dxa"/>
            </w:tcMar>
            <w:vAlign w:val="center"/>
          </w:tcPr>
          <w:p w14:paraId="755BA88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93.4</w:t>
            </w:r>
          </w:p>
        </w:tc>
        <w:tc>
          <w:tcPr>
            <w:tcW w:w="369" w:type="pct"/>
            <w:tcMar>
              <w:top w:w="57" w:type="dxa"/>
              <w:left w:w="57" w:type="dxa"/>
              <w:bottom w:w="57" w:type="dxa"/>
              <w:right w:w="57" w:type="dxa"/>
            </w:tcMar>
            <w:vAlign w:val="center"/>
          </w:tcPr>
          <w:p w14:paraId="585DCF3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90.7</w:t>
            </w:r>
          </w:p>
        </w:tc>
        <w:tc>
          <w:tcPr>
            <w:tcW w:w="414" w:type="pct"/>
            <w:tcMar>
              <w:top w:w="57" w:type="dxa"/>
              <w:left w:w="57" w:type="dxa"/>
              <w:bottom w:w="57" w:type="dxa"/>
              <w:right w:w="57" w:type="dxa"/>
            </w:tcMar>
            <w:vAlign w:val="center"/>
          </w:tcPr>
          <w:p w14:paraId="21E3280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89.3</w:t>
            </w:r>
          </w:p>
        </w:tc>
        <w:tc>
          <w:tcPr>
            <w:tcW w:w="415" w:type="pct"/>
            <w:tcMar>
              <w:top w:w="57" w:type="dxa"/>
              <w:left w:w="57" w:type="dxa"/>
              <w:bottom w:w="57" w:type="dxa"/>
              <w:right w:w="57" w:type="dxa"/>
            </w:tcMar>
            <w:vAlign w:val="center"/>
          </w:tcPr>
          <w:p w14:paraId="228467F8"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69,800</w:t>
            </w:r>
          </w:p>
        </w:tc>
        <w:tc>
          <w:tcPr>
            <w:tcW w:w="414" w:type="pct"/>
            <w:tcMar>
              <w:top w:w="57" w:type="dxa"/>
              <w:left w:w="57" w:type="dxa"/>
              <w:bottom w:w="57" w:type="dxa"/>
              <w:right w:w="57" w:type="dxa"/>
            </w:tcMar>
            <w:vAlign w:val="center"/>
          </w:tcPr>
          <w:p w14:paraId="4C95687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91,300</w:t>
            </w:r>
          </w:p>
        </w:tc>
        <w:tc>
          <w:tcPr>
            <w:tcW w:w="320" w:type="pct"/>
            <w:vAlign w:val="center"/>
          </w:tcPr>
          <w:p w14:paraId="1AD6639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30.8</w:t>
            </w:r>
          </w:p>
        </w:tc>
        <w:tc>
          <w:tcPr>
            <w:tcW w:w="398" w:type="pct"/>
            <w:vAlign w:val="center"/>
          </w:tcPr>
          <w:p w14:paraId="2DB886E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19.3</w:t>
            </w:r>
          </w:p>
        </w:tc>
      </w:tr>
      <w:tr w:rsidR="00C22852" w:rsidRPr="00617A89" w14:paraId="63DA6FDC" w14:textId="77777777" w:rsidTr="00A922A0">
        <w:trPr>
          <w:trHeight w:val="60"/>
        </w:trPr>
        <w:tc>
          <w:tcPr>
            <w:tcW w:w="1058" w:type="pct"/>
            <w:tcMar>
              <w:top w:w="57" w:type="dxa"/>
              <w:left w:w="57" w:type="dxa"/>
              <w:bottom w:w="57" w:type="dxa"/>
              <w:right w:w="0" w:type="dxa"/>
            </w:tcMar>
            <w:vAlign w:val="center"/>
          </w:tcPr>
          <w:p w14:paraId="494DAF16"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Rehabilitation</w:t>
            </w:r>
          </w:p>
        </w:tc>
        <w:tc>
          <w:tcPr>
            <w:tcW w:w="415" w:type="pct"/>
            <w:vAlign w:val="center"/>
          </w:tcPr>
          <w:p w14:paraId="4442B25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96.9</w:t>
            </w:r>
          </w:p>
        </w:tc>
        <w:tc>
          <w:tcPr>
            <w:tcW w:w="414" w:type="pct"/>
            <w:vAlign w:val="center"/>
          </w:tcPr>
          <w:p w14:paraId="4DBF804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95.8</w:t>
            </w:r>
          </w:p>
        </w:tc>
        <w:tc>
          <w:tcPr>
            <w:tcW w:w="369" w:type="pct"/>
            <w:tcMar>
              <w:top w:w="57" w:type="dxa"/>
              <w:left w:w="57" w:type="dxa"/>
              <w:bottom w:w="57" w:type="dxa"/>
              <w:right w:w="57" w:type="dxa"/>
            </w:tcMar>
            <w:vAlign w:val="center"/>
          </w:tcPr>
          <w:p w14:paraId="46A9F0A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97.5</w:t>
            </w:r>
          </w:p>
        </w:tc>
        <w:tc>
          <w:tcPr>
            <w:tcW w:w="414" w:type="pct"/>
            <w:tcMar>
              <w:top w:w="57" w:type="dxa"/>
              <w:left w:w="57" w:type="dxa"/>
              <w:bottom w:w="57" w:type="dxa"/>
              <w:right w:w="57" w:type="dxa"/>
            </w:tcMar>
            <w:vAlign w:val="center"/>
          </w:tcPr>
          <w:p w14:paraId="0080FE2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97.6</w:t>
            </w:r>
          </w:p>
        </w:tc>
        <w:tc>
          <w:tcPr>
            <w:tcW w:w="369" w:type="pct"/>
            <w:tcMar>
              <w:top w:w="57" w:type="dxa"/>
              <w:left w:w="57" w:type="dxa"/>
              <w:bottom w:w="57" w:type="dxa"/>
              <w:right w:w="57" w:type="dxa"/>
            </w:tcMar>
            <w:vAlign w:val="center"/>
          </w:tcPr>
          <w:p w14:paraId="6FA1B67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97.5</w:t>
            </w:r>
          </w:p>
        </w:tc>
        <w:tc>
          <w:tcPr>
            <w:tcW w:w="414" w:type="pct"/>
            <w:tcMar>
              <w:top w:w="57" w:type="dxa"/>
              <w:left w:w="57" w:type="dxa"/>
              <w:bottom w:w="57" w:type="dxa"/>
              <w:right w:w="57" w:type="dxa"/>
            </w:tcMar>
            <w:vAlign w:val="center"/>
          </w:tcPr>
          <w:p w14:paraId="29E2C15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94.5</w:t>
            </w:r>
          </w:p>
        </w:tc>
        <w:tc>
          <w:tcPr>
            <w:tcW w:w="415" w:type="pct"/>
            <w:tcMar>
              <w:top w:w="57" w:type="dxa"/>
              <w:left w:w="57" w:type="dxa"/>
              <w:bottom w:w="57" w:type="dxa"/>
              <w:right w:w="57" w:type="dxa"/>
            </w:tcMar>
            <w:vAlign w:val="center"/>
          </w:tcPr>
          <w:p w14:paraId="7B1FE338"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70,000</w:t>
            </w:r>
          </w:p>
        </w:tc>
        <w:tc>
          <w:tcPr>
            <w:tcW w:w="414" w:type="pct"/>
            <w:tcMar>
              <w:top w:w="57" w:type="dxa"/>
              <w:left w:w="57" w:type="dxa"/>
              <w:bottom w:w="57" w:type="dxa"/>
              <w:right w:w="57" w:type="dxa"/>
            </w:tcMar>
            <w:vAlign w:val="center"/>
          </w:tcPr>
          <w:p w14:paraId="115CD98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89,700</w:t>
            </w:r>
          </w:p>
        </w:tc>
        <w:tc>
          <w:tcPr>
            <w:tcW w:w="320" w:type="pct"/>
            <w:vAlign w:val="center"/>
          </w:tcPr>
          <w:p w14:paraId="3211BF0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0.8</w:t>
            </w:r>
          </w:p>
        </w:tc>
        <w:tc>
          <w:tcPr>
            <w:tcW w:w="398" w:type="pct"/>
            <w:vAlign w:val="center"/>
          </w:tcPr>
          <w:p w14:paraId="6DDA1EB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5.2</w:t>
            </w:r>
          </w:p>
        </w:tc>
      </w:tr>
      <w:tr w:rsidR="00C22852" w:rsidRPr="00617A89" w14:paraId="180158F0" w14:textId="77777777" w:rsidTr="00A922A0">
        <w:trPr>
          <w:trHeight w:val="60"/>
        </w:trPr>
        <w:tc>
          <w:tcPr>
            <w:tcW w:w="1058" w:type="pct"/>
            <w:tcMar>
              <w:top w:w="57" w:type="dxa"/>
              <w:left w:w="57" w:type="dxa"/>
              <w:bottom w:w="57" w:type="dxa"/>
              <w:right w:w="0" w:type="dxa"/>
            </w:tcMar>
            <w:vAlign w:val="center"/>
          </w:tcPr>
          <w:p w14:paraId="4E02291B"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Science and mathematics</w:t>
            </w:r>
          </w:p>
        </w:tc>
        <w:tc>
          <w:tcPr>
            <w:tcW w:w="415" w:type="pct"/>
            <w:vAlign w:val="center"/>
          </w:tcPr>
          <w:p w14:paraId="43EFD70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72.9</w:t>
            </w:r>
          </w:p>
        </w:tc>
        <w:tc>
          <w:tcPr>
            <w:tcW w:w="414" w:type="pct"/>
            <w:vAlign w:val="center"/>
          </w:tcPr>
          <w:p w14:paraId="63185EA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91.1</w:t>
            </w:r>
          </w:p>
        </w:tc>
        <w:tc>
          <w:tcPr>
            <w:tcW w:w="369" w:type="pct"/>
            <w:tcMar>
              <w:top w:w="57" w:type="dxa"/>
              <w:left w:w="57" w:type="dxa"/>
              <w:bottom w:w="57" w:type="dxa"/>
              <w:right w:w="57" w:type="dxa"/>
            </w:tcMar>
            <w:vAlign w:val="center"/>
          </w:tcPr>
          <w:p w14:paraId="38F3772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86.2</w:t>
            </w:r>
          </w:p>
        </w:tc>
        <w:tc>
          <w:tcPr>
            <w:tcW w:w="414" w:type="pct"/>
            <w:tcMar>
              <w:top w:w="57" w:type="dxa"/>
              <w:left w:w="57" w:type="dxa"/>
              <w:bottom w:w="57" w:type="dxa"/>
              <w:right w:w="57" w:type="dxa"/>
            </w:tcMar>
            <w:vAlign w:val="center"/>
          </w:tcPr>
          <w:p w14:paraId="6F2F924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92.8</w:t>
            </w:r>
          </w:p>
        </w:tc>
        <w:tc>
          <w:tcPr>
            <w:tcW w:w="369" w:type="pct"/>
            <w:tcMar>
              <w:top w:w="57" w:type="dxa"/>
              <w:left w:w="57" w:type="dxa"/>
              <w:bottom w:w="57" w:type="dxa"/>
              <w:right w:w="57" w:type="dxa"/>
            </w:tcMar>
            <w:vAlign w:val="center"/>
          </w:tcPr>
          <w:p w14:paraId="0F0C5A1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86.8</w:t>
            </w:r>
          </w:p>
        </w:tc>
        <w:tc>
          <w:tcPr>
            <w:tcW w:w="414" w:type="pct"/>
            <w:tcMar>
              <w:top w:w="57" w:type="dxa"/>
              <w:left w:w="57" w:type="dxa"/>
              <w:bottom w:w="57" w:type="dxa"/>
              <w:right w:w="57" w:type="dxa"/>
            </w:tcMar>
            <w:vAlign w:val="center"/>
          </w:tcPr>
          <w:p w14:paraId="67E9983F"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84.4</w:t>
            </w:r>
          </w:p>
        </w:tc>
        <w:tc>
          <w:tcPr>
            <w:tcW w:w="415" w:type="pct"/>
            <w:tcMar>
              <w:top w:w="57" w:type="dxa"/>
              <w:left w:w="57" w:type="dxa"/>
              <w:bottom w:w="57" w:type="dxa"/>
              <w:right w:w="57" w:type="dxa"/>
            </w:tcMar>
            <w:vAlign w:val="center"/>
          </w:tcPr>
          <w:p w14:paraId="07828BF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66,500</w:t>
            </w:r>
          </w:p>
        </w:tc>
        <w:tc>
          <w:tcPr>
            <w:tcW w:w="414" w:type="pct"/>
            <w:tcMar>
              <w:top w:w="57" w:type="dxa"/>
              <w:left w:w="57" w:type="dxa"/>
              <w:bottom w:w="57" w:type="dxa"/>
              <w:right w:w="57" w:type="dxa"/>
            </w:tcMar>
            <w:vAlign w:val="center"/>
          </w:tcPr>
          <w:p w14:paraId="363F7B5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85,600</w:t>
            </w:r>
          </w:p>
        </w:tc>
        <w:tc>
          <w:tcPr>
            <w:tcW w:w="320" w:type="pct"/>
            <w:vAlign w:val="center"/>
          </w:tcPr>
          <w:p w14:paraId="3C6B637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34.5</w:t>
            </w:r>
          </w:p>
        </w:tc>
        <w:tc>
          <w:tcPr>
            <w:tcW w:w="398" w:type="pct"/>
            <w:vAlign w:val="center"/>
          </w:tcPr>
          <w:p w14:paraId="7ED3A22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32.7</w:t>
            </w:r>
          </w:p>
        </w:tc>
      </w:tr>
      <w:tr w:rsidR="00C22852" w:rsidRPr="00617A89" w14:paraId="6346F9DB" w14:textId="77777777" w:rsidTr="00A922A0">
        <w:trPr>
          <w:trHeight w:val="60"/>
        </w:trPr>
        <w:tc>
          <w:tcPr>
            <w:tcW w:w="1058" w:type="pct"/>
            <w:tcMar>
              <w:top w:w="57" w:type="dxa"/>
              <w:left w:w="57" w:type="dxa"/>
              <w:bottom w:w="57" w:type="dxa"/>
              <w:right w:w="0" w:type="dxa"/>
            </w:tcMar>
            <w:vAlign w:val="center"/>
          </w:tcPr>
          <w:p w14:paraId="06BDB8D9"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Social work</w:t>
            </w:r>
          </w:p>
        </w:tc>
        <w:tc>
          <w:tcPr>
            <w:tcW w:w="415" w:type="pct"/>
            <w:vAlign w:val="center"/>
          </w:tcPr>
          <w:p w14:paraId="3768FF2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78.6</w:t>
            </w:r>
          </w:p>
        </w:tc>
        <w:tc>
          <w:tcPr>
            <w:tcW w:w="414" w:type="pct"/>
            <w:vAlign w:val="center"/>
          </w:tcPr>
          <w:p w14:paraId="521135F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89.8</w:t>
            </w:r>
          </w:p>
        </w:tc>
        <w:tc>
          <w:tcPr>
            <w:tcW w:w="369" w:type="pct"/>
            <w:tcMar>
              <w:top w:w="57" w:type="dxa"/>
              <w:left w:w="57" w:type="dxa"/>
              <w:bottom w:w="57" w:type="dxa"/>
              <w:right w:w="57" w:type="dxa"/>
            </w:tcMar>
            <w:vAlign w:val="center"/>
          </w:tcPr>
          <w:p w14:paraId="7950F4F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87.8</w:t>
            </w:r>
          </w:p>
        </w:tc>
        <w:tc>
          <w:tcPr>
            <w:tcW w:w="414" w:type="pct"/>
            <w:tcMar>
              <w:top w:w="57" w:type="dxa"/>
              <w:left w:w="57" w:type="dxa"/>
              <w:bottom w:w="57" w:type="dxa"/>
              <w:right w:w="57" w:type="dxa"/>
            </w:tcMar>
            <w:vAlign w:val="center"/>
          </w:tcPr>
          <w:p w14:paraId="31D186B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94.9</w:t>
            </w:r>
          </w:p>
        </w:tc>
        <w:tc>
          <w:tcPr>
            <w:tcW w:w="369" w:type="pct"/>
            <w:tcMar>
              <w:top w:w="57" w:type="dxa"/>
              <w:left w:w="57" w:type="dxa"/>
              <w:bottom w:w="57" w:type="dxa"/>
              <w:right w:w="57" w:type="dxa"/>
            </w:tcMar>
            <w:vAlign w:val="center"/>
          </w:tcPr>
          <w:p w14:paraId="4E29C0C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93.8</w:t>
            </w:r>
          </w:p>
        </w:tc>
        <w:tc>
          <w:tcPr>
            <w:tcW w:w="414" w:type="pct"/>
            <w:tcMar>
              <w:top w:w="57" w:type="dxa"/>
              <w:left w:w="57" w:type="dxa"/>
              <w:bottom w:w="57" w:type="dxa"/>
              <w:right w:w="57" w:type="dxa"/>
            </w:tcMar>
            <w:vAlign w:val="center"/>
          </w:tcPr>
          <w:p w14:paraId="32D5187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90.9</w:t>
            </w:r>
          </w:p>
        </w:tc>
        <w:tc>
          <w:tcPr>
            <w:tcW w:w="415" w:type="pct"/>
            <w:tcMar>
              <w:top w:w="57" w:type="dxa"/>
              <w:left w:w="57" w:type="dxa"/>
              <w:bottom w:w="57" w:type="dxa"/>
              <w:right w:w="57" w:type="dxa"/>
            </w:tcMar>
            <w:vAlign w:val="center"/>
          </w:tcPr>
          <w:p w14:paraId="3417567B"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75,000</w:t>
            </w:r>
          </w:p>
        </w:tc>
        <w:tc>
          <w:tcPr>
            <w:tcW w:w="414" w:type="pct"/>
            <w:tcMar>
              <w:top w:w="57" w:type="dxa"/>
              <w:left w:w="57" w:type="dxa"/>
              <w:bottom w:w="57" w:type="dxa"/>
              <w:right w:w="57" w:type="dxa"/>
            </w:tcMar>
            <w:vAlign w:val="center"/>
          </w:tcPr>
          <w:p w14:paraId="7E5D85B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95,200</w:t>
            </w:r>
          </w:p>
        </w:tc>
        <w:tc>
          <w:tcPr>
            <w:tcW w:w="320" w:type="pct"/>
            <w:vAlign w:val="center"/>
          </w:tcPr>
          <w:p w14:paraId="64DEF5C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8.5</w:t>
            </w:r>
          </w:p>
        </w:tc>
        <w:tc>
          <w:tcPr>
            <w:tcW w:w="398" w:type="pct"/>
            <w:vAlign w:val="center"/>
          </w:tcPr>
          <w:p w14:paraId="58878D5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3.9</w:t>
            </w:r>
          </w:p>
        </w:tc>
      </w:tr>
      <w:tr w:rsidR="00C22852" w:rsidRPr="00617A89" w14:paraId="6854A6EA" w14:textId="77777777" w:rsidTr="00A922A0">
        <w:trPr>
          <w:trHeight w:val="60"/>
        </w:trPr>
        <w:tc>
          <w:tcPr>
            <w:tcW w:w="1058" w:type="pct"/>
            <w:tcMar>
              <w:top w:w="57" w:type="dxa"/>
              <w:left w:w="57" w:type="dxa"/>
              <w:bottom w:w="57" w:type="dxa"/>
              <w:right w:w="0" w:type="dxa"/>
            </w:tcMar>
            <w:vAlign w:val="center"/>
          </w:tcPr>
          <w:p w14:paraId="34EC34EE" w14:textId="77777777" w:rsidR="00910822" w:rsidRPr="00617A89" w:rsidRDefault="00910822" w:rsidP="00E37470">
            <w:pPr>
              <w:spacing w:before="85" w:line="288" w:lineRule="auto"/>
              <w:rPr>
                <w:rFonts w:eastAsia="Aptos" w:cs="Arial"/>
                <w:b/>
                <w:bCs/>
                <w:color w:val="000000" w:themeColor="text1"/>
                <w:sz w:val="18"/>
              </w:rPr>
            </w:pPr>
            <w:r w:rsidRPr="00617A89">
              <w:rPr>
                <w:rFonts w:cs="Arial"/>
                <w:color w:val="000000" w:themeColor="text1"/>
                <w:sz w:val="18"/>
              </w:rPr>
              <w:t>Teacher education</w:t>
            </w:r>
          </w:p>
        </w:tc>
        <w:tc>
          <w:tcPr>
            <w:tcW w:w="415" w:type="pct"/>
            <w:vAlign w:val="center"/>
          </w:tcPr>
          <w:p w14:paraId="64B7574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88.1</w:t>
            </w:r>
          </w:p>
        </w:tc>
        <w:tc>
          <w:tcPr>
            <w:tcW w:w="414" w:type="pct"/>
            <w:vAlign w:val="center"/>
          </w:tcPr>
          <w:p w14:paraId="689CA10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95.3</w:t>
            </w:r>
          </w:p>
        </w:tc>
        <w:tc>
          <w:tcPr>
            <w:tcW w:w="369" w:type="pct"/>
            <w:tcMar>
              <w:top w:w="57" w:type="dxa"/>
              <w:left w:w="57" w:type="dxa"/>
              <w:bottom w:w="57" w:type="dxa"/>
              <w:right w:w="57" w:type="dxa"/>
            </w:tcMar>
            <w:vAlign w:val="center"/>
          </w:tcPr>
          <w:p w14:paraId="5BD9652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94.6</w:t>
            </w:r>
          </w:p>
        </w:tc>
        <w:tc>
          <w:tcPr>
            <w:tcW w:w="414" w:type="pct"/>
            <w:tcMar>
              <w:top w:w="57" w:type="dxa"/>
              <w:left w:w="57" w:type="dxa"/>
              <w:bottom w:w="57" w:type="dxa"/>
              <w:right w:w="57" w:type="dxa"/>
            </w:tcMar>
            <w:vAlign w:val="center"/>
          </w:tcPr>
          <w:p w14:paraId="3E0A4F14"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97.4</w:t>
            </w:r>
          </w:p>
        </w:tc>
        <w:tc>
          <w:tcPr>
            <w:tcW w:w="369" w:type="pct"/>
            <w:tcMar>
              <w:top w:w="57" w:type="dxa"/>
              <w:left w:w="57" w:type="dxa"/>
              <w:bottom w:w="57" w:type="dxa"/>
              <w:right w:w="57" w:type="dxa"/>
            </w:tcMar>
            <w:vAlign w:val="center"/>
          </w:tcPr>
          <w:p w14:paraId="2C8877C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94.8</w:t>
            </w:r>
          </w:p>
        </w:tc>
        <w:tc>
          <w:tcPr>
            <w:tcW w:w="414" w:type="pct"/>
            <w:tcMar>
              <w:top w:w="57" w:type="dxa"/>
              <w:left w:w="57" w:type="dxa"/>
              <w:bottom w:w="57" w:type="dxa"/>
              <w:right w:w="57" w:type="dxa"/>
            </w:tcMar>
            <w:vAlign w:val="center"/>
          </w:tcPr>
          <w:p w14:paraId="0A68BC88"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91.7</w:t>
            </w:r>
          </w:p>
        </w:tc>
        <w:tc>
          <w:tcPr>
            <w:tcW w:w="415" w:type="pct"/>
            <w:tcMar>
              <w:top w:w="57" w:type="dxa"/>
              <w:left w:w="57" w:type="dxa"/>
              <w:bottom w:w="57" w:type="dxa"/>
              <w:right w:w="57" w:type="dxa"/>
            </w:tcMar>
            <w:vAlign w:val="center"/>
          </w:tcPr>
          <w:p w14:paraId="6F1564B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72,300</w:t>
            </w:r>
          </w:p>
        </w:tc>
        <w:tc>
          <w:tcPr>
            <w:tcW w:w="414" w:type="pct"/>
            <w:tcMar>
              <w:top w:w="57" w:type="dxa"/>
              <w:left w:w="57" w:type="dxa"/>
              <w:bottom w:w="57" w:type="dxa"/>
              <w:right w:w="57" w:type="dxa"/>
            </w:tcMar>
            <w:vAlign w:val="center"/>
          </w:tcPr>
          <w:p w14:paraId="22C5292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92,600</w:t>
            </w:r>
          </w:p>
        </w:tc>
        <w:tc>
          <w:tcPr>
            <w:tcW w:w="320" w:type="pct"/>
            <w:vAlign w:val="center"/>
          </w:tcPr>
          <w:p w14:paraId="00C990D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w:t>
            </w:r>
          </w:p>
        </w:tc>
        <w:tc>
          <w:tcPr>
            <w:tcW w:w="398" w:type="pct"/>
            <w:vAlign w:val="center"/>
          </w:tcPr>
          <w:p w14:paraId="4FC58A3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6.4</w:t>
            </w:r>
          </w:p>
        </w:tc>
      </w:tr>
      <w:tr w:rsidR="00C22852" w:rsidRPr="00617A89" w14:paraId="74E1A32F" w14:textId="77777777" w:rsidTr="00A922A0">
        <w:trPr>
          <w:trHeight w:val="60"/>
        </w:trPr>
        <w:tc>
          <w:tcPr>
            <w:tcW w:w="1058" w:type="pct"/>
            <w:tcMar>
              <w:top w:w="57" w:type="dxa"/>
              <w:left w:w="57" w:type="dxa"/>
              <w:bottom w:w="57" w:type="dxa"/>
              <w:right w:w="0" w:type="dxa"/>
            </w:tcMar>
            <w:vAlign w:val="center"/>
          </w:tcPr>
          <w:p w14:paraId="12944E21" w14:textId="77777777" w:rsidR="00910822" w:rsidRPr="00617A89" w:rsidRDefault="00910822" w:rsidP="00E37470">
            <w:pPr>
              <w:spacing w:before="85" w:line="288" w:lineRule="auto"/>
              <w:rPr>
                <w:rFonts w:eastAsia="Aptos" w:cs="Arial"/>
                <w:b/>
                <w:bCs/>
                <w:color w:val="000000" w:themeColor="text1"/>
                <w:sz w:val="18"/>
              </w:rPr>
            </w:pPr>
            <w:r w:rsidRPr="00617A89">
              <w:rPr>
                <w:rFonts w:cs="Arial"/>
                <w:color w:val="000000" w:themeColor="text1"/>
                <w:sz w:val="18"/>
              </w:rPr>
              <w:t>Tourism, hospitality, personal services, sport and recreation</w:t>
            </w:r>
          </w:p>
        </w:tc>
        <w:tc>
          <w:tcPr>
            <w:tcW w:w="415" w:type="pct"/>
            <w:vAlign w:val="center"/>
          </w:tcPr>
          <w:p w14:paraId="5E8609C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63.0</w:t>
            </w:r>
          </w:p>
        </w:tc>
        <w:tc>
          <w:tcPr>
            <w:tcW w:w="414" w:type="pct"/>
            <w:vAlign w:val="center"/>
          </w:tcPr>
          <w:p w14:paraId="5731DD3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90.3</w:t>
            </w:r>
          </w:p>
        </w:tc>
        <w:tc>
          <w:tcPr>
            <w:tcW w:w="369" w:type="pct"/>
            <w:tcMar>
              <w:top w:w="57" w:type="dxa"/>
              <w:left w:w="57" w:type="dxa"/>
              <w:bottom w:w="57" w:type="dxa"/>
              <w:right w:w="57" w:type="dxa"/>
            </w:tcMar>
            <w:vAlign w:val="center"/>
          </w:tcPr>
          <w:p w14:paraId="2EFFD96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95.0</w:t>
            </w:r>
          </w:p>
        </w:tc>
        <w:tc>
          <w:tcPr>
            <w:tcW w:w="414" w:type="pct"/>
            <w:tcMar>
              <w:top w:w="57" w:type="dxa"/>
              <w:left w:w="57" w:type="dxa"/>
              <w:bottom w:w="57" w:type="dxa"/>
              <w:right w:w="57" w:type="dxa"/>
            </w:tcMar>
            <w:vAlign w:val="center"/>
          </w:tcPr>
          <w:p w14:paraId="2844F3A8"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92.3</w:t>
            </w:r>
          </w:p>
        </w:tc>
        <w:tc>
          <w:tcPr>
            <w:tcW w:w="369" w:type="pct"/>
            <w:tcMar>
              <w:top w:w="57" w:type="dxa"/>
              <w:left w:w="57" w:type="dxa"/>
              <w:bottom w:w="57" w:type="dxa"/>
              <w:right w:w="57" w:type="dxa"/>
            </w:tcMar>
            <w:vAlign w:val="center"/>
          </w:tcPr>
          <w:p w14:paraId="78442B5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93.0</w:t>
            </w:r>
          </w:p>
        </w:tc>
        <w:tc>
          <w:tcPr>
            <w:tcW w:w="414" w:type="pct"/>
            <w:tcMar>
              <w:top w:w="57" w:type="dxa"/>
              <w:left w:w="57" w:type="dxa"/>
              <w:bottom w:w="57" w:type="dxa"/>
              <w:right w:w="57" w:type="dxa"/>
            </w:tcMar>
            <w:vAlign w:val="center"/>
          </w:tcPr>
          <w:p w14:paraId="6A3F114D"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90.7</w:t>
            </w:r>
          </w:p>
        </w:tc>
        <w:tc>
          <w:tcPr>
            <w:tcW w:w="415" w:type="pct"/>
            <w:tcMar>
              <w:top w:w="57" w:type="dxa"/>
              <w:left w:w="57" w:type="dxa"/>
              <w:bottom w:w="57" w:type="dxa"/>
              <w:right w:w="57" w:type="dxa"/>
            </w:tcMar>
            <w:vAlign w:val="center"/>
          </w:tcPr>
          <w:p w14:paraId="1087A47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14" w:type="pct"/>
            <w:tcMar>
              <w:top w:w="57" w:type="dxa"/>
              <w:left w:w="57" w:type="dxa"/>
              <w:bottom w:w="57" w:type="dxa"/>
              <w:right w:w="57" w:type="dxa"/>
            </w:tcMar>
            <w:vAlign w:val="center"/>
          </w:tcPr>
          <w:p w14:paraId="3EBC6B5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320" w:type="pct"/>
            <w:vAlign w:val="center"/>
          </w:tcPr>
          <w:p w14:paraId="5D6F2F8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16.2</w:t>
            </w:r>
          </w:p>
        </w:tc>
        <w:tc>
          <w:tcPr>
            <w:tcW w:w="398" w:type="pct"/>
            <w:vAlign w:val="center"/>
          </w:tcPr>
          <w:p w14:paraId="0D7FA4C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15.2</w:t>
            </w:r>
          </w:p>
        </w:tc>
      </w:tr>
      <w:tr w:rsidR="00C22852" w:rsidRPr="00617A89" w14:paraId="3467D41F" w14:textId="77777777" w:rsidTr="00A922A0">
        <w:trPr>
          <w:trHeight w:val="60"/>
        </w:trPr>
        <w:tc>
          <w:tcPr>
            <w:tcW w:w="1058" w:type="pct"/>
            <w:tcMar>
              <w:top w:w="57" w:type="dxa"/>
              <w:left w:w="57" w:type="dxa"/>
              <w:bottom w:w="57" w:type="dxa"/>
              <w:right w:w="0" w:type="dxa"/>
            </w:tcMar>
            <w:vAlign w:val="center"/>
          </w:tcPr>
          <w:p w14:paraId="0F3E3F0F" w14:textId="77777777" w:rsidR="00910822" w:rsidRPr="00617A89" w:rsidRDefault="00910822" w:rsidP="00E37470">
            <w:pPr>
              <w:spacing w:before="85" w:line="288" w:lineRule="auto"/>
              <w:rPr>
                <w:rFonts w:eastAsia="Aptos" w:cs="Arial"/>
                <w:b/>
                <w:bCs/>
                <w:color w:val="000000" w:themeColor="text1"/>
                <w:sz w:val="18"/>
              </w:rPr>
            </w:pPr>
            <w:r w:rsidRPr="00617A89">
              <w:rPr>
                <w:rFonts w:cs="Arial"/>
                <w:color w:val="000000" w:themeColor="text1"/>
                <w:sz w:val="18"/>
              </w:rPr>
              <w:t>Veterinary science</w:t>
            </w:r>
          </w:p>
        </w:tc>
        <w:tc>
          <w:tcPr>
            <w:tcW w:w="415" w:type="pct"/>
            <w:vAlign w:val="center"/>
          </w:tcPr>
          <w:p w14:paraId="6205D50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93.2</w:t>
            </w:r>
          </w:p>
        </w:tc>
        <w:tc>
          <w:tcPr>
            <w:tcW w:w="414" w:type="pct"/>
            <w:vAlign w:val="center"/>
          </w:tcPr>
          <w:p w14:paraId="14CA385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93.3</w:t>
            </w:r>
          </w:p>
        </w:tc>
        <w:tc>
          <w:tcPr>
            <w:tcW w:w="369" w:type="pct"/>
            <w:tcMar>
              <w:top w:w="57" w:type="dxa"/>
              <w:left w:w="57" w:type="dxa"/>
              <w:bottom w:w="57" w:type="dxa"/>
              <w:right w:w="57" w:type="dxa"/>
            </w:tcMar>
            <w:vAlign w:val="center"/>
          </w:tcPr>
          <w:p w14:paraId="2CDF864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95.9</w:t>
            </w:r>
          </w:p>
        </w:tc>
        <w:tc>
          <w:tcPr>
            <w:tcW w:w="414" w:type="pct"/>
            <w:tcMar>
              <w:top w:w="57" w:type="dxa"/>
              <w:left w:w="57" w:type="dxa"/>
              <w:bottom w:w="57" w:type="dxa"/>
              <w:right w:w="57" w:type="dxa"/>
            </w:tcMar>
            <w:vAlign w:val="center"/>
          </w:tcPr>
          <w:p w14:paraId="162ECEC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96.9</w:t>
            </w:r>
          </w:p>
        </w:tc>
        <w:tc>
          <w:tcPr>
            <w:tcW w:w="369" w:type="pct"/>
            <w:tcMar>
              <w:top w:w="57" w:type="dxa"/>
              <w:left w:w="57" w:type="dxa"/>
              <w:bottom w:w="57" w:type="dxa"/>
              <w:right w:w="57" w:type="dxa"/>
            </w:tcMar>
            <w:vAlign w:val="center"/>
          </w:tcPr>
          <w:p w14:paraId="1CC037C3"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97.0</w:t>
            </w:r>
          </w:p>
        </w:tc>
        <w:tc>
          <w:tcPr>
            <w:tcW w:w="414" w:type="pct"/>
            <w:tcMar>
              <w:top w:w="57" w:type="dxa"/>
              <w:left w:w="57" w:type="dxa"/>
              <w:bottom w:w="57" w:type="dxa"/>
              <w:right w:w="57" w:type="dxa"/>
            </w:tcMar>
            <w:vAlign w:val="center"/>
          </w:tcPr>
          <w:p w14:paraId="1527EA8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95.0</w:t>
            </w:r>
          </w:p>
        </w:tc>
        <w:tc>
          <w:tcPr>
            <w:tcW w:w="415" w:type="pct"/>
            <w:tcMar>
              <w:top w:w="57" w:type="dxa"/>
              <w:left w:w="57" w:type="dxa"/>
              <w:bottom w:w="57" w:type="dxa"/>
              <w:right w:w="57" w:type="dxa"/>
            </w:tcMar>
            <w:vAlign w:val="center"/>
          </w:tcPr>
          <w:p w14:paraId="375D7A8A"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64,200</w:t>
            </w:r>
          </w:p>
        </w:tc>
        <w:tc>
          <w:tcPr>
            <w:tcW w:w="414" w:type="pct"/>
            <w:tcMar>
              <w:top w:w="57" w:type="dxa"/>
              <w:left w:w="57" w:type="dxa"/>
              <w:bottom w:w="57" w:type="dxa"/>
              <w:right w:w="57" w:type="dxa"/>
            </w:tcMar>
            <w:vAlign w:val="center"/>
          </w:tcPr>
          <w:p w14:paraId="1832C1C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90,000</w:t>
            </w:r>
          </w:p>
        </w:tc>
        <w:tc>
          <w:tcPr>
            <w:tcW w:w="320" w:type="pct"/>
            <w:vAlign w:val="center"/>
          </w:tcPr>
          <w:p w14:paraId="6E4080E6"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13.8</w:t>
            </w:r>
          </w:p>
        </w:tc>
        <w:tc>
          <w:tcPr>
            <w:tcW w:w="398" w:type="pct"/>
            <w:vAlign w:val="center"/>
          </w:tcPr>
          <w:p w14:paraId="3B9DEBB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12.4</w:t>
            </w:r>
          </w:p>
        </w:tc>
      </w:tr>
      <w:tr w:rsidR="00C22852" w:rsidRPr="00617A89" w14:paraId="7AAA06EA" w14:textId="77777777" w:rsidTr="00A922A0">
        <w:trPr>
          <w:trHeight w:val="60"/>
        </w:trPr>
        <w:tc>
          <w:tcPr>
            <w:tcW w:w="1058" w:type="pct"/>
            <w:tcMar>
              <w:top w:w="57" w:type="dxa"/>
              <w:left w:w="57" w:type="dxa"/>
              <w:bottom w:w="57" w:type="dxa"/>
              <w:right w:w="0" w:type="dxa"/>
            </w:tcMar>
            <w:vAlign w:val="center"/>
          </w:tcPr>
          <w:p w14:paraId="0E41758B" w14:textId="77777777" w:rsidR="00910822" w:rsidRPr="00617A89" w:rsidRDefault="00910822" w:rsidP="00E37470">
            <w:pPr>
              <w:spacing w:before="85" w:line="288" w:lineRule="auto"/>
              <w:rPr>
                <w:rFonts w:eastAsia="Aptos" w:cs="Arial"/>
                <w:b/>
                <w:bCs/>
                <w:color w:val="000000" w:themeColor="text1"/>
                <w:sz w:val="18"/>
              </w:rPr>
            </w:pPr>
            <w:r w:rsidRPr="00617A89">
              <w:rPr>
                <w:rFonts w:cs="Arial"/>
                <w:b/>
                <w:bCs/>
                <w:color w:val="000000" w:themeColor="text1"/>
                <w:sz w:val="18"/>
              </w:rPr>
              <w:t>Total</w:t>
            </w:r>
          </w:p>
        </w:tc>
        <w:tc>
          <w:tcPr>
            <w:tcW w:w="415" w:type="pct"/>
            <w:vAlign w:val="center"/>
          </w:tcPr>
          <w:p w14:paraId="00470588"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79.5</w:t>
            </w:r>
          </w:p>
        </w:tc>
        <w:tc>
          <w:tcPr>
            <w:tcW w:w="414" w:type="pct"/>
            <w:vAlign w:val="center"/>
          </w:tcPr>
          <w:p w14:paraId="3FABD014"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91.7</w:t>
            </w:r>
          </w:p>
        </w:tc>
        <w:tc>
          <w:tcPr>
            <w:tcW w:w="369" w:type="pct"/>
            <w:tcMar>
              <w:top w:w="57" w:type="dxa"/>
              <w:left w:w="57" w:type="dxa"/>
              <w:bottom w:w="57" w:type="dxa"/>
              <w:right w:w="57" w:type="dxa"/>
            </w:tcMar>
            <w:vAlign w:val="center"/>
          </w:tcPr>
          <w:p w14:paraId="3D5A6669"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89.2</w:t>
            </w:r>
          </w:p>
        </w:tc>
        <w:tc>
          <w:tcPr>
            <w:tcW w:w="414" w:type="pct"/>
            <w:tcMar>
              <w:top w:w="57" w:type="dxa"/>
              <w:left w:w="57" w:type="dxa"/>
              <w:bottom w:w="57" w:type="dxa"/>
              <w:right w:w="57" w:type="dxa"/>
            </w:tcMar>
            <w:vAlign w:val="center"/>
          </w:tcPr>
          <w:p w14:paraId="50179586"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94.6</w:t>
            </w:r>
          </w:p>
        </w:tc>
        <w:tc>
          <w:tcPr>
            <w:tcW w:w="369" w:type="pct"/>
            <w:tcMar>
              <w:top w:w="57" w:type="dxa"/>
              <w:left w:w="57" w:type="dxa"/>
              <w:bottom w:w="57" w:type="dxa"/>
              <w:right w:w="57" w:type="dxa"/>
            </w:tcMar>
            <w:vAlign w:val="center"/>
          </w:tcPr>
          <w:p w14:paraId="33D0052E"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92.7</w:t>
            </w:r>
          </w:p>
        </w:tc>
        <w:tc>
          <w:tcPr>
            <w:tcW w:w="414" w:type="pct"/>
            <w:tcMar>
              <w:top w:w="57" w:type="dxa"/>
              <w:left w:w="57" w:type="dxa"/>
              <w:bottom w:w="57" w:type="dxa"/>
              <w:right w:w="57" w:type="dxa"/>
            </w:tcMar>
            <w:vAlign w:val="center"/>
          </w:tcPr>
          <w:p w14:paraId="4E6384D6"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90.4</w:t>
            </w:r>
          </w:p>
        </w:tc>
        <w:tc>
          <w:tcPr>
            <w:tcW w:w="415" w:type="pct"/>
            <w:tcMar>
              <w:top w:w="57" w:type="dxa"/>
              <w:left w:w="57" w:type="dxa"/>
              <w:bottom w:w="57" w:type="dxa"/>
              <w:right w:w="57" w:type="dxa"/>
            </w:tcMar>
            <w:vAlign w:val="center"/>
          </w:tcPr>
          <w:p w14:paraId="5AEBD863"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69,000</w:t>
            </w:r>
          </w:p>
        </w:tc>
        <w:tc>
          <w:tcPr>
            <w:tcW w:w="414" w:type="pct"/>
            <w:tcMar>
              <w:top w:w="57" w:type="dxa"/>
              <w:left w:w="57" w:type="dxa"/>
              <w:bottom w:w="57" w:type="dxa"/>
              <w:right w:w="57" w:type="dxa"/>
            </w:tcMar>
            <w:vAlign w:val="center"/>
          </w:tcPr>
          <w:p w14:paraId="24D93538"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91,000</w:t>
            </w:r>
          </w:p>
        </w:tc>
        <w:tc>
          <w:tcPr>
            <w:tcW w:w="320" w:type="pct"/>
            <w:vAlign w:val="center"/>
          </w:tcPr>
          <w:p w14:paraId="3BDB645C"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17.5</w:t>
            </w:r>
          </w:p>
        </w:tc>
        <w:tc>
          <w:tcPr>
            <w:tcW w:w="398" w:type="pct"/>
            <w:vAlign w:val="center"/>
          </w:tcPr>
          <w:p w14:paraId="6AA5EE0B" w14:textId="77777777" w:rsidR="00910822" w:rsidRPr="00617A89" w:rsidRDefault="00910822" w:rsidP="00E37470">
            <w:pPr>
              <w:spacing w:before="85" w:line="288" w:lineRule="auto"/>
              <w:jc w:val="center"/>
              <w:rPr>
                <w:rFonts w:eastAsia="Aptos" w:cs="Arial"/>
                <w:b/>
                <w:bCs/>
                <w:color w:val="000000" w:themeColor="text1"/>
                <w:sz w:val="18"/>
              </w:rPr>
            </w:pPr>
            <w:r w:rsidRPr="00617A89">
              <w:rPr>
                <w:rFonts w:cs="Arial"/>
                <w:b/>
                <w:bCs/>
                <w:color w:val="000000" w:themeColor="text1"/>
                <w:sz w:val="18"/>
              </w:rPr>
              <w:t>13.4</w:t>
            </w:r>
          </w:p>
        </w:tc>
      </w:tr>
      <w:tr w:rsidR="00C22852" w:rsidRPr="00617A89" w14:paraId="6197DDA5" w14:textId="77777777" w:rsidTr="00A922A0">
        <w:trPr>
          <w:trHeight w:val="60"/>
        </w:trPr>
        <w:tc>
          <w:tcPr>
            <w:tcW w:w="1058" w:type="pct"/>
            <w:tcMar>
              <w:top w:w="57" w:type="dxa"/>
              <w:left w:w="57" w:type="dxa"/>
              <w:bottom w:w="57" w:type="dxa"/>
              <w:right w:w="0" w:type="dxa"/>
            </w:tcMar>
            <w:vAlign w:val="center"/>
          </w:tcPr>
          <w:p w14:paraId="67D846ED" w14:textId="77777777" w:rsidR="00910822" w:rsidRPr="00617A89" w:rsidRDefault="00910822" w:rsidP="00E37470">
            <w:pPr>
              <w:spacing w:before="85" w:line="288" w:lineRule="auto"/>
              <w:rPr>
                <w:rFonts w:eastAsia="Aptos" w:cs="Arial"/>
                <w:color w:val="000000" w:themeColor="text1"/>
                <w:sz w:val="18"/>
              </w:rPr>
            </w:pPr>
            <w:r w:rsidRPr="00617A89">
              <w:rPr>
                <w:rFonts w:cs="Arial"/>
                <w:color w:val="000000" w:themeColor="text1"/>
                <w:sz w:val="18"/>
              </w:rPr>
              <w:t>Standard deviation</w:t>
            </w:r>
          </w:p>
        </w:tc>
        <w:tc>
          <w:tcPr>
            <w:tcW w:w="415" w:type="pct"/>
            <w:vAlign w:val="center"/>
          </w:tcPr>
          <w:p w14:paraId="6F25DF1E"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10.4</w:t>
            </w:r>
          </w:p>
        </w:tc>
        <w:tc>
          <w:tcPr>
            <w:tcW w:w="414" w:type="pct"/>
            <w:vAlign w:val="center"/>
          </w:tcPr>
          <w:p w14:paraId="1AED66C1"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3.7</w:t>
            </w:r>
          </w:p>
        </w:tc>
        <w:tc>
          <w:tcPr>
            <w:tcW w:w="369" w:type="pct"/>
            <w:tcMar>
              <w:top w:w="57" w:type="dxa"/>
              <w:left w:w="57" w:type="dxa"/>
              <w:bottom w:w="57" w:type="dxa"/>
              <w:right w:w="57" w:type="dxa"/>
            </w:tcMar>
            <w:vAlign w:val="center"/>
          </w:tcPr>
          <w:p w14:paraId="208BC079"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4.1</w:t>
            </w:r>
          </w:p>
        </w:tc>
        <w:tc>
          <w:tcPr>
            <w:tcW w:w="414" w:type="pct"/>
            <w:tcMar>
              <w:top w:w="57" w:type="dxa"/>
              <w:left w:w="57" w:type="dxa"/>
              <w:bottom w:w="57" w:type="dxa"/>
              <w:right w:w="57" w:type="dxa"/>
            </w:tcMar>
            <w:vAlign w:val="center"/>
          </w:tcPr>
          <w:p w14:paraId="2C63AAF0"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2.2</w:t>
            </w:r>
          </w:p>
        </w:tc>
        <w:tc>
          <w:tcPr>
            <w:tcW w:w="369" w:type="pct"/>
            <w:tcMar>
              <w:top w:w="57" w:type="dxa"/>
              <w:left w:w="57" w:type="dxa"/>
              <w:bottom w:w="57" w:type="dxa"/>
              <w:right w:w="57" w:type="dxa"/>
            </w:tcMar>
            <w:vAlign w:val="center"/>
          </w:tcPr>
          <w:p w14:paraId="06A18FE2"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2.8</w:t>
            </w:r>
          </w:p>
        </w:tc>
        <w:tc>
          <w:tcPr>
            <w:tcW w:w="414" w:type="pct"/>
            <w:tcMar>
              <w:top w:w="57" w:type="dxa"/>
              <w:left w:w="57" w:type="dxa"/>
              <w:bottom w:w="57" w:type="dxa"/>
              <w:right w:w="57" w:type="dxa"/>
            </w:tcMar>
            <w:vAlign w:val="center"/>
          </w:tcPr>
          <w:p w14:paraId="7F198AA5"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3.3</w:t>
            </w:r>
          </w:p>
        </w:tc>
        <w:tc>
          <w:tcPr>
            <w:tcW w:w="415" w:type="pct"/>
            <w:tcMar>
              <w:top w:w="57" w:type="dxa"/>
              <w:left w:w="57" w:type="dxa"/>
              <w:bottom w:w="57" w:type="dxa"/>
              <w:right w:w="57" w:type="dxa"/>
            </w:tcMar>
            <w:vAlign w:val="center"/>
          </w:tcPr>
          <w:p w14:paraId="11E8C8F7"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8,500</w:t>
            </w:r>
          </w:p>
        </w:tc>
        <w:tc>
          <w:tcPr>
            <w:tcW w:w="414" w:type="pct"/>
            <w:tcMar>
              <w:top w:w="57" w:type="dxa"/>
              <w:left w:w="57" w:type="dxa"/>
              <w:bottom w:w="57" w:type="dxa"/>
              <w:right w:w="57" w:type="dxa"/>
            </w:tcMar>
            <w:vAlign w:val="center"/>
          </w:tcPr>
          <w:p w14:paraId="2A726A4C" w14:textId="77777777" w:rsidR="00910822" w:rsidRPr="00617A89" w:rsidRDefault="00910822" w:rsidP="00E37470">
            <w:pPr>
              <w:spacing w:before="85" w:line="288" w:lineRule="auto"/>
              <w:jc w:val="center"/>
              <w:rPr>
                <w:rFonts w:eastAsia="Aptos" w:cs="Arial"/>
                <w:color w:val="000000" w:themeColor="text1"/>
                <w:sz w:val="18"/>
              </w:rPr>
            </w:pPr>
            <w:r w:rsidRPr="00617A89">
              <w:rPr>
                <w:rFonts w:cs="Arial"/>
                <w:color w:val="000000" w:themeColor="text1"/>
                <w:sz w:val="18"/>
              </w:rPr>
              <w:t>12,700</w:t>
            </w:r>
          </w:p>
        </w:tc>
        <w:tc>
          <w:tcPr>
            <w:tcW w:w="320" w:type="pct"/>
            <w:vAlign w:val="center"/>
          </w:tcPr>
          <w:p w14:paraId="0264B2CA" w14:textId="77777777" w:rsidR="00910822" w:rsidRPr="00617A89" w:rsidRDefault="00910822" w:rsidP="00E37470">
            <w:pPr>
              <w:spacing w:before="85" w:line="288" w:lineRule="auto"/>
              <w:jc w:val="center"/>
              <w:rPr>
                <w:rFonts w:eastAsia="Aptos" w:cs="Arial"/>
                <w:color w:val="000000" w:themeColor="text1"/>
                <w:sz w:val="18"/>
              </w:rPr>
            </w:pPr>
          </w:p>
        </w:tc>
        <w:tc>
          <w:tcPr>
            <w:tcW w:w="398" w:type="pct"/>
            <w:vAlign w:val="center"/>
          </w:tcPr>
          <w:p w14:paraId="6C2BA64E" w14:textId="77777777" w:rsidR="00910822" w:rsidRPr="00617A89" w:rsidRDefault="00910822" w:rsidP="00E37470">
            <w:pPr>
              <w:spacing w:before="85" w:line="288" w:lineRule="auto"/>
              <w:jc w:val="center"/>
              <w:rPr>
                <w:rFonts w:eastAsia="Aptos" w:cs="Arial"/>
                <w:color w:val="000000" w:themeColor="text1"/>
                <w:sz w:val="18"/>
              </w:rPr>
            </w:pPr>
          </w:p>
        </w:tc>
      </w:tr>
    </w:tbl>
    <w:p w14:paraId="1A1EF5A9" w14:textId="77777777" w:rsidR="00910822" w:rsidRPr="00617A89" w:rsidRDefault="00910822" w:rsidP="00A922A0">
      <w:pPr>
        <w:pStyle w:val="Note"/>
        <w:spacing w:before="120"/>
        <w:rPr>
          <w:color w:val="000000" w:themeColor="text1"/>
          <w:sz w:val="18"/>
          <w:szCs w:val="16"/>
        </w:rPr>
      </w:pPr>
      <w:r w:rsidRPr="00617A89">
        <w:rPr>
          <w:color w:val="000000" w:themeColor="text1"/>
          <w:sz w:val="18"/>
          <w:szCs w:val="16"/>
        </w:rPr>
        <w:t>Note: A blank cell indicates there is no data for that cell and n/a indicates a suppressed value (n&lt;25).</w:t>
      </w:r>
    </w:p>
    <w:p w14:paraId="38EFBD3B" w14:textId="6F273C06" w:rsidR="00741D57" w:rsidRPr="00617A89" w:rsidRDefault="00741D57" w:rsidP="00A922A0">
      <w:pPr>
        <w:pStyle w:val="Note"/>
        <w:spacing w:before="120"/>
        <w:rPr>
          <w:color w:val="000000" w:themeColor="text1"/>
          <w:sz w:val="18"/>
          <w:szCs w:val="16"/>
        </w:rPr>
      </w:pPr>
      <w:r w:rsidRPr="00617A89">
        <w:rPr>
          <w:color w:val="000000" w:themeColor="text1"/>
          <w:sz w:val="18"/>
          <w:szCs w:val="16"/>
        </w:rPr>
        <w:t xml:space="preserve">‡ 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color w:val="000000" w:themeColor="text1"/>
          <w:sz w:val="18"/>
          <w:szCs w:val="16"/>
        </w:rPr>
        <w:t>Appendix 1</w:t>
      </w:r>
      <w:r w:rsidRPr="00617A89">
        <w:rPr>
          <w:color w:val="000000" w:themeColor="text1"/>
          <w:sz w:val="18"/>
          <w:szCs w:val="16"/>
        </w:rPr>
        <w:t xml:space="preserve"> for further information.</w:t>
      </w:r>
    </w:p>
    <w:p w14:paraId="1513CED4" w14:textId="77777777" w:rsidR="00910822" w:rsidRPr="00617A89" w:rsidRDefault="00910822" w:rsidP="00910822">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p>
    <w:p w14:paraId="33F2547D" w14:textId="77777777" w:rsidR="00910822" w:rsidRPr="00617A89" w:rsidRDefault="00910822" w:rsidP="00910822">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sectPr w:rsidR="00910822" w:rsidRPr="00617A89" w:rsidSect="00910822">
          <w:pgSz w:w="16840" w:h="11900" w:orient="landscape"/>
          <w:pgMar w:top="720" w:right="720" w:bottom="720" w:left="720" w:header="397" w:footer="397" w:gutter="0"/>
          <w:cols w:space="708"/>
          <w:docGrid w:linePitch="360"/>
        </w:sectPr>
      </w:pPr>
    </w:p>
    <w:p w14:paraId="6D6FA124" w14:textId="3109FDD0" w:rsidR="00B83377" w:rsidRPr="00617A89" w:rsidRDefault="00B83377" w:rsidP="005A0EDE">
      <w:pPr>
        <w:pStyle w:val="Heading2"/>
        <w:rPr>
          <w:color w:val="000000" w:themeColor="text1"/>
        </w:rPr>
      </w:pPr>
      <w:bookmarkStart w:id="138" w:name="_Gender_pay_gap"/>
      <w:bookmarkStart w:id="139" w:name="_Toc222868447"/>
      <w:bookmarkStart w:id="140" w:name="_Toc192179854"/>
      <w:bookmarkEnd w:id="138"/>
      <w:r w:rsidRPr="00617A89">
        <w:rPr>
          <w:color w:val="000000" w:themeColor="text1"/>
        </w:rPr>
        <w:t>Gender pay gap</w:t>
      </w:r>
      <w:bookmarkEnd w:id="139"/>
    </w:p>
    <w:p w14:paraId="32F9F540" w14:textId="64A84639" w:rsidR="0073253E" w:rsidRPr="00617A89" w:rsidRDefault="004F34F9" w:rsidP="0073253E">
      <w:pPr>
        <w:pStyle w:val="Body"/>
        <w:rPr>
          <w:color w:val="000000" w:themeColor="text1"/>
        </w:rPr>
      </w:pPr>
      <w:r w:rsidRPr="00617A89">
        <w:rPr>
          <w:b/>
          <w:bCs/>
          <w:color w:val="000000" w:themeColor="text1"/>
        </w:rPr>
        <w:fldChar w:fldCharType="begin"/>
      </w:r>
      <w:r w:rsidRPr="00617A89">
        <w:rPr>
          <w:b/>
          <w:bCs/>
          <w:color w:val="000000" w:themeColor="text1"/>
        </w:rPr>
        <w:instrText xml:space="preserve"> REF _Ref207357055 \h  \* MERGEFORMAT </w:instrText>
      </w:r>
      <w:r w:rsidRPr="00617A89">
        <w:rPr>
          <w:b/>
          <w:bCs/>
          <w:color w:val="000000" w:themeColor="text1"/>
        </w:rPr>
      </w:r>
      <w:r w:rsidRPr="00617A89">
        <w:rPr>
          <w:b/>
          <w:bCs/>
          <w:color w:val="000000" w:themeColor="text1"/>
        </w:rPr>
        <w:fldChar w:fldCharType="separate"/>
      </w:r>
      <w:r w:rsidRPr="00617A89">
        <w:rPr>
          <w:b/>
          <w:bCs/>
          <w:color w:val="000000" w:themeColor="text1"/>
        </w:rPr>
        <w:t xml:space="preserve">Figure </w:t>
      </w:r>
      <w:r w:rsidRPr="00617A89">
        <w:rPr>
          <w:b/>
          <w:bCs/>
          <w:noProof/>
          <w:color w:val="000000" w:themeColor="text1"/>
        </w:rPr>
        <w:t>13</w:t>
      </w:r>
      <w:r w:rsidRPr="00617A89">
        <w:rPr>
          <w:b/>
          <w:bCs/>
          <w:color w:val="000000" w:themeColor="text1"/>
        </w:rPr>
        <w:fldChar w:fldCharType="end"/>
      </w:r>
      <w:r w:rsidRPr="00617A89">
        <w:rPr>
          <w:b/>
          <w:bCs/>
          <w:color w:val="000000" w:themeColor="text1"/>
        </w:rPr>
        <w:t xml:space="preserve"> </w:t>
      </w:r>
      <w:r w:rsidR="00B83377" w:rsidRPr="00617A89">
        <w:rPr>
          <w:color w:val="000000" w:themeColor="text1"/>
        </w:rPr>
        <w:t>show</w:t>
      </w:r>
      <w:r w:rsidR="00105759" w:rsidRPr="00617A89">
        <w:rPr>
          <w:color w:val="000000" w:themeColor="text1"/>
        </w:rPr>
        <w:t>s</w:t>
      </w:r>
      <w:r w:rsidR="00B83377" w:rsidRPr="00617A89">
        <w:rPr>
          <w:color w:val="000000" w:themeColor="text1"/>
        </w:rPr>
        <w:t xml:space="preserve"> that undergraduate employment outcomes were higher for females than males, and labour force participation rates were broadly similar. However, on average, female undergraduates </w:t>
      </w:r>
      <w:r w:rsidR="00B83377" w:rsidRPr="00617A89">
        <w:rPr>
          <w:i/>
          <w:iCs/>
          <w:color w:val="000000" w:themeColor="text1"/>
        </w:rPr>
        <w:t>earned</w:t>
      </w:r>
      <w:r w:rsidR="00B83377" w:rsidRPr="00617A89">
        <w:rPr>
          <w:color w:val="000000" w:themeColor="text1"/>
        </w:rPr>
        <w:t xml:space="preserve"> less than their male peers in the short-term and this difference in median salaries increased 3 years later. In 2022, the difference in median salaries for undergraduates was $1,900 (or a gender pay gap of 2.7 per cent</w:t>
      </w:r>
      <w:r w:rsidR="00562A93" w:rsidRPr="00617A89">
        <w:rPr>
          <w:rStyle w:val="FootnoteReference"/>
          <w:color w:val="000000" w:themeColor="text1"/>
        </w:rPr>
        <w:footnoteReference w:id="13"/>
      </w:r>
      <w:r w:rsidR="00B83377" w:rsidRPr="00617A89">
        <w:rPr>
          <w:color w:val="000000" w:themeColor="text1"/>
        </w:rPr>
        <w:t>). By 2025, the difference had grown to $5,200 (or a gender pay gap of 5.5 per cent). This reflects a pattern consistent with previous cohorts of undergraduates.</w:t>
      </w:r>
    </w:p>
    <w:p w14:paraId="1F9A6940" w14:textId="0A589052" w:rsidR="00B83377" w:rsidRPr="00617A89" w:rsidRDefault="00B83377" w:rsidP="0073253E">
      <w:pPr>
        <w:pStyle w:val="Caption"/>
        <w:rPr>
          <w:color w:val="000000" w:themeColor="text1"/>
        </w:rPr>
      </w:pPr>
      <w:bookmarkStart w:id="141" w:name="_Ref207357055"/>
      <w:bookmarkStart w:id="142" w:name="_Toc222868507"/>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13</w:t>
      </w:r>
      <w:r w:rsidR="00DB7C31" w:rsidRPr="00617A89">
        <w:rPr>
          <w:noProof/>
          <w:color w:val="000000" w:themeColor="text1"/>
        </w:rPr>
        <w:fldChar w:fldCharType="end"/>
      </w:r>
      <w:bookmarkEnd w:id="141"/>
      <w:r w:rsidR="00A922A0" w:rsidRPr="00617A89">
        <w:rPr>
          <w:color w:val="000000" w:themeColor="text1"/>
        </w:rPr>
        <w:tab/>
      </w:r>
      <w:r w:rsidR="0000794D" w:rsidRPr="00617A89">
        <w:rPr>
          <w:color w:val="000000" w:themeColor="text1"/>
        </w:rPr>
        <w:t>Undergraduate labour market outcomes</w:t>
      </w:r>
      <w:r w:rsidRPr="00617A89">
        <w:rPr>
          <w:color w:val="000000" w:themeColor="text1"/>
        </w:rPr>
        <w:t xml:space="preserve"> by gender</w:t>
      </w:r>
      <w:bookmarkEnd w:id="142"/>
    </w:p>
    <w:p w14:paraId="01C47D84" w14:textId="2D1A8612" w:rsidR="00B83377" w:rsidRPr="00617A89" w:rsidRDefault="00B83377" w:rsidP="00B83377">
      <w:pPr>
        <w:pStyle w:val="BodyText"/>
        <w:rPr>
          <w:color w:val="000000" w:themeColor="text1"/>
        </w:rPr>
      </w:pPr>
      <w:r w:rsidRPr="00617A89">
        <w:rPr>
          <w:noProof/>
          <w:color w:val="000000" w:themeColor="text1"/>
        </w:rPr>
        <w:drawing>
          <wp:inline distT="0" distB="0" distL="0" distR="0" wp14:anchorId="7F4B3765" wp14:editId="52660872">
            <wp:extent cx="1332000" cy="303789"/>
            <wp:effectExtent l="0" t="0" r="1905" b="1270"/>
            <wp:docPr id="1495903973" name="Picture 5">
              <a:extLst xmlns:a="http://schemas.openxmlformats.org/drawingml/2006/main">
                <a:ext uri="{FF2B5EF4-FFF2-40B4-BE49-F238E27FC236}">
                  <a16:creationId xmlns:a16="http://schemas.microsoft.com/office/drawing/2014/main" id="{D7BC4EB1-6699-B3DF-F9E7-02BBC05BBE3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03973" name="Picture 5">
                      <a:extLst>
                        <a:ext uri="{FF2B5EF4-FFF2-40B4-BE49-F238E27FC236}">
                          <a16:creationId xmlns:a16="http://schemas.microsoft.com/office/drawing/2014/main" id="{D7BC4EB1-6699-B3DF-F9E7-02BBC05BBE35}"/>
                        </a:ext>
                        <a:ext uri="{C183D7F6-B498-43B3-948B-1728B52AA6E4}">
                          <adec:decorative xmlns:adec="http://schemas.microsoft.com/office/drawing/2017/decorative" val="1"/>
                        </a:ext>
                      </a:extLst>
                    </pic:cNvPr>
                    <pic:cNvPicPr>
                      <a:picLocks noChangeAspect="1" noChangeArrowheads="1"/>
                    </pic:cNvPicPr>
                  </pic:nvPicPr>
                  <pic:blipFill rotWithShape="1">
                    <a:blip r:embed="rId94">
                      <a:extLst>
                        <a:ext uri="{28A0092B-C50C-407E-A947-70E740481C1C}">
                          <a14:useLocalDpi xmlns:a14="http://schemas.microsoft.com/office/drawing/2010/main" val="0"/>
                        </a:ext>
                      </a:extLst>
                    </a:blip>
                    <a:srcRect l="28553" t="1196" r="28238" b="83257"/>
                    <a:stretch/>
                  </pic:blipFill>
                  <pic:spPr bwMode="auto">
                    <a:xfrm>
                      <a:off x="0" y="0"/>
                      <a:ext cx="1332000" cy="303789"/>
                    </a:xfrm>
                    <a:prstGeom prst="rect">
                      <a:avLst/>
                    </a:prstGeom>
                    <a:noFill/>
                  </pic:spPr>
                </pic:pic>
              </a:graphicData>
            </a:graphic>
          </wp:inline>
        </w:drawing>
      </w:r>
    </w:p>
    <w:p w14:paraId="49A48666" w14:textId="45BFEFE3" w:rsidR="00EF6479" w:rsidRPr="00617A89" w:rsidRDefault="00EF6479" w:rsidP="00B83377">
      <w:pPr>
        <w:pStyle w:val="BodyText"/>
        <w:rPr>
          <w:color w:val="000000" w:themeColor="text1"/>
        </w:rPr>
      </w:pPr>
      <w:r w:rsidRPr="00617A89">
        <w:rPr>
          <w:noProof/>
          <w:color w:val="000000" w:themeColor="text1"/>
        </w:rPr>
        <w:drawing>
          <wp:inline distT="0" distB="0" distL="0" distR="0" wp14:anchorId="67A52F4C" wp14:editId="6C8DF3A5">
            <wp:extent cx="3237230" cy="2170430"/>
            <wp:effectExtent l="0" t="0" r="1270" b="1270"/>
            <wp:docPr id="10663942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7230" cy="2170430"/>
                    </a:xfrm>
                    <a:prstGeom prst="rect">
                      <a:avLst/>
                    </a:prstGeom>
                    <a:noFill/>
                  </pic:spPr>
                </pic:pic>
              </a:graphicData>
            </a:graphic>
          </wp:inline>
        </w:drawing>
      </w:r>
      <w:r w:rsidRPr="00617A89">
        <w:rPr>
          <w:noProof/>
          <w:color w:val="000000" w:themeColor="text1"/>
        </w:rPr>
        <w:drawing>
          <wp:inline distT="0" distB="0" distL="0" distR="0" wp14:anchorId="4C920070" wp14:editId="4C99DCFF">
            <wp:extent cx="3237230" cy="2170430"/>
            <wp:effectExtent l="0" t="0" r="1270" b="1270"/>
            <wp:docPr id="21237616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37230" cy="2170430"/>
                    </a:xfrm>
                    <a:prstGeom prst="rect">
                      <a:avLst/>
                    </a:prstGeom>
                    <a:noFill/>
                  </pic:spPr>
                </pic:pic>
              </a:graphicData>
            </a:graphic>
          </wp:inline>
        </w:drawing>
      </w:r>
    </w:p>
    <w:p w14:paraId="1BD32431" w14:textId="1DEEDDED" w:rsidR="0073253E" w:rsidRPr="00617A89" w:rsidRDefault="00B83377" w:rsidP="0000794D">
      <w:pPr>
        <w:pStyle w:val="BodyText"/>
        <w:rPr>
          <w:noProof/>
          <w:color w:val="000000" w:themeColor="text1"/>
        </w:rPr>
      </w:pPr>
      <w:r w:rsidRPr="00617A89">
        <w:rPr>
          <w:noProof/>
          <w:color w:val="000000" w:themeColor="text1"/>
        </w:rPr>
        <w:t xml:space="preserve">  </w:t>
      </w:r>
      <w:r w:rsidR="0000794D" w:rsidRPr="00617A89">
        <w:rPr>
          <w:noProof/>
          <w:color w:val="000000" w:themeColor="text1"/>
        </w:rPr>
        <w:t xml:space="preserve">   </w:t>
      </w:r>
      <w:r w:rsidR="00EF6479" w:rsidRPr="00617A89">
        <w:rPr>
          <w:noProof/>
          <w:color w:val="000000" w:themeColor="text1"/>
        </w:rPr>
        <w:drawing>
          <wp:inline distT="0" distB="0" distL="0" distR="0" wp14:anchorId="25C1044A" wp14:editId="7E717526">
            <wp:extent cx="2997200" cy="2009500"/>
            <wp:effectExtent l="0" t="0" r="0" b="0"/>
            <wp:docPr id="1652791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01819" cy="2012597"/>
                    </a:xfrm>
                    <a:prstGeom prst="rect">
                      <a:avLst/>
                    </a:prstGeom>
                    <a:noFill/>
                  </pic:spPr>
                </pic:pic>
              </a:graphicData>
            </a:graphic>
          </wp:inline>
        </w:drawing>
      </w:r>
      <w:r w:rsidR="00EF6479" w:rsidRPr="00617A89">
        <w:rPr>
          <w:noProof/>
          <w:color w:val="000000" w:themeColor="text1"/>
        </w:rPr>
        <w:drawing>
          <wp:inline distT="0" distB="0" distL="0" distR="0" wp14:anchorId="7F55E7FF" wp14:editId="6FC47D80">
            <wp:extent cx="3237230" cy="2170430"/>
            <wp:effectExtent l="0" t="0" r="1270" b="1270"/>
            <wp:docPr id="14071809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7230" cy="2170430"/>
                    </a:xfrm>
                    <a:prstGeom prst="rect">
                      <a:avLst/>
                    </a:prstGeom>
                    <a:noFill/>
                  </pic:spPr>
                </pic:pic>
              </a:graphicData>
            </a:graphic>
          </wp:inline>
        </w:drawing>
      </w:r>
    </w:p>
    <w:p w14:paraId="25F49FD2" w14:textId="551340D0" w:rsidR="001C6A6C" w:rsidRPr="00617A89" w:rsidRDefault="001C6A6C" w:rsidP="0000794D">
      <w:pPr>
        <w:pStyle w:val="BodyText"/>
        <w:rPr>
          <w:noProof/>
          <w:color w:val="000000" w:themeColor="text1"/>
          <w:sz w:val="18"/>
          <w:szCs w:val="16"/>
        </w:rPr>
        <w:sectPr w:rsidR="001C6A6C" w:rsidRPr="00617A89" w:rsidSect="007B0C64">
          <w:headerReference w:type="even" r:id="rId99"/>
          <w:headerReference w:type="default" r:id="rId100"/>
          <w:footerReference w:type="default" r:id="rId101"/>
          <w:headerReference w:type="first" r:id="rId102"/>
          <w:footerReference w:type="first" r:id="rId103"/>
          <w:pgSz w:w="11900" w:h="16840"/>
          <w:pgMar w:top="720" w:right="720" w:bottom="720" w:left="720" w:header="397" w:footer="397" w:gutter="0"/>
          <w:cols w:space="708"/>
          <w:docGrid w:linePitch="360"/>
        </w:sectPr>
      </w:pPr>
      <w:r w:rsidRPr="00617A89">
        <w:rPr>
          <w:noProof/>
          <w:color w:val="000000" w:themeColor="text1"/>
          <w:sz w:val="18"/>
          <w:szCs w:val="16"/>
        </w:rPr>
        <w:t xml:space="preserve">Note: 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noProof/>
          <w:color w:val="000000" w:themeColor="text1"/>
          <w:sz w:val="18"/>
          <w:szCs w:val="16"/>
        </w:rPr>
        <w:t>Appendix 1</w:t>
      </w:r>
      <w:r w:rsidRPr="00617A89">
        <w:rPr>
          <w:noProof/>
          <w:color w:val="000000" w:themeColor="text1"/>
          <w:sz w:val="18"/>
          <w:szCs w:val="16"/>
        </w:rPr>
        <w:t xml:space="preserve"> for further information.</w:t>
      </w:r>
    </w:p>
    <w:p w14:paraId="34A3EF4A" w14:textId="08746F57" w:rsidR="00B83377" w:rsidRPr="00617A89" w:rsidRDefault="00B83377" w:rsidP="005A0EDE">
      <w:pPr>
        <w:pStyle w:val="BodyText"/>
        <w:rPr>
          <w:color w:val="000000" w:themeColor="text1"/>
        </w:rPr>
      </w:pPr>
      <w:r w:rsidRPr="00617A89">
        <w:rPr>
          <w:color w:val="000000" w:themeColor="text1"/>
        </w:rPr>
        <w:t>However, the medium-term gender pay gap of 5.5 per cent in 2025 was comparatively lower than the 7.4 per cent average gender pay gap observed between 2019 and 2024 (</w:t>
      </w:r>
      <w:r w:rsidR="004F34F9" w:rsidRPr="00617A89">
        <w:rPr>
          <w:b/>
          <w:bCs/>
          <w:color w:val="000000" w:themeColor="text1"/>
        </w:rPr>
        <w:fldChar w:fldCharType="begin"/>
      </w:r>
      <w:r w:rsidR="004F34F9" w:rsidRPr="00617A89">
        <w:rPr>
          <w:b/>
          <w:bCs/>
          <w:color w:val="000000" w:themeColor="text1"/>
        </w:rPr>
        <w:instrText xml:space="preserve"> REF _Ref207301623 \h  \* MERGEFORMAT </w:instrText>
      </w:r>
      <w:r w:rsidR="004F34F9" w:rsidRPr="00617A89">
        <w:rPr>
          <w:b/>
          <w:bCs/>
          <w:color w:val="000000" w:themeColor="text1"/>
        </w:rPr>
      </w:r>
      <w:r w:rsidR="004F34F9" w:rsidRPr="00617A89">
        <w:rPr>
          <w:b/>
          <w:bCs/>
          <w:color w:val="000000" w:themeColor="text1"/>
        </w:rPr>
        <w:fldChar w:fldCharType="separate"/>
      </w:r>
      <w:r w:rsidR="004F34F9" w:rsidRPr="00617A89">
        <w:rPr>
          <w:b/>
          <w:bCs/>
          <w:color w:val="000000" w:themeColor="text1"/>
        </w:rPr>
        <w:t xml:space="preserve">Figure </w:t>
      </w:r>
      <w:r w:rsidR="004F34F9" w:rsidRPr="00617A89">
        <w:rPr>
          <w:b/>
          <w:bCs/>
          <w:noProof/>
          <w:color w:val="000000" w:themeColor="text1"/>
        </w:rPr>
        <w:t>14</w:t>
      </w:r>
      <w:r w:rsidR="004F34F9" w:rsidRPr="00617A89">
        <w:rPr>
          <w:b/>
          <w:bCs/>
          <w:color w:val="000000" w:themeColor="text1"/>
        </w:rPr>
        <w:fldChar w:fldCharType="end"/>
      </w:r>
      <w:r w:rsidR="004F34F9" w:rsidRPr="00617A89">
        <w:rPr>
          <w:color w:val="000000" w:themeColor="text1"/>
        </w:rPr>
        <w:t xml:space="preserve">). </w:t>
      </w:r>
      <w:r w:rsidRPr="00617A89">
        <w:rPr>
          <w:color w:val="000000" w:themeColor="text1"/>
        </w:rPr>
        <w:t xml:space="preserve">The strong labour market demand in 2021 and 2022, which led to elevated 3-year salary growth for the 2021-2024 and 2022-2025 graduate cohorts (see </w:t>
      </w:r>
      <w:hyperlink w:anchor="_Median_annual_full-time" w:history="1">
        <w:r w:rsidRPr="00617A89">
          <w:rPr>
            <w:rStyle w:val="Hyperlink"/>
          </w:rPr>
          <w:t>Median annual full-time salary</w:t>
        </w:r>
      </w:hyperlink>
      <w:r w:rsidRPr="00617A89">
        <w:rPr>
          <w:color w:val="000000" w:themeColor="text1"/>
        </w:rPr>
        <w:t>), appears to have influenced the tighter gender pay gap in 2025. Females, like other sub-groups with lower median salaries, had proportionally larger 3-year salary growth as they benefited from strong demand in the labour market, resulting in a narrower gender pay gap in 2025.</w:t>
      </w:r>
    </w:p>
    <w:p w14:paraId="101FC5F9" w14:textId="1D693AA8" w:rsidR="00B83377" w:rsidRPr="00617A89" w:rsidRDefault="00B83377" w:rsidP="00B83377">
      <w:pPr>
        <w:pStyle w:val="Caption"/>
        <w:keepNext/>
        <w:rPr>
          <w:color w:val="000000" w:themeColor="text1"/>
        </w:rPr>
      </w:pPr>
      <w:bookmarkStart w:id="143" w:name="_Ref207301623"/>
      <w:bookmarkStart w:id="144" w:name="_Toc222868508"/>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14</w:t>
      </w:r>
      <w:r w:rsidR="00DB7C31" w:rsidRPr="00617A89">
        <w:rPr>
          <w:noProof/>
          <w:color w:val="000000" w:themeColor="text1"/>
        </w:rPr>
        <w:fldChar w:fldCharType="end"/>
      </w:r>
      <w:bookmarkEnd w:id="143"/>
      <w:r w:rsidR="00A922A0" w:rsidRPr="00617A89">
        <w:rPr>
          <w:noProof/>
          <w:color w:val="000000" w:themeColor="text1"/>
        </w:rPr>
        <w:tab/>
      </w:r>
      <w:r w:rsidRPr="00617A89">
        <w:rPr>
          <w:color w:val="000000" w:themeColor="text1"/>
        </w:rPr>
        <w:t>Undergraduate gender pay gap, medium-term, and 3-year salary growth by gender</w:t>
      </w:r>
      <w:bookmarkEnd w:id="144"/>
    </w:p>
    <w:p w14:paraId="0EA6E47F" w14:textId="2D548AFF" w:rsidR="00EF6479" w:rsidRPr="00617A89" w:rsidRDefault="00EF6479" w:rsidP="00EF6479">
      <w:pPr>
        <w:pStyle w:val="Body"/>
        <w:rPr>
          <w:lang w:eastAsia="en-AU"/>
        </w:rPr>
      </w:pPr>
      <w:r w:rsidRPr="00617A89">
        <w:rPr>
          <w:noProof/>
          <w:lang w:eastAsia="en-AU"/>
        </w:rPr>
        <w:drawing>
          <wp:inline distT="0" distB="0" distL="0" distR="0" wp14:anchorId="4FF2F28D" wp14:editId="77059C92">
            <wp:extent cx="6645275" cy="4188460"/>
            <wp:effectExtent l="0" t="0" r="3175" b="2540"/>
            <wp:docPr id="12869067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45275" cy="4188460"/>
                    </a:xfrm>
                    <a:prstGeom prst="rect">
                      <a:avLst/>
                    </a:prstGeom>
                    <a:noFill/>
                  </pic:spPr>
                </pic:pic>
              </a:graphicData>
            </a:graphic>
          </wp:inline>
        </w:drawing>
      </w:r>
    </w:p>
    <w:p w14:paraId="028C36DA" w14:textId="341034E7" w:rsidR="00B83377" w:rsidRPr="00617A89" w:rsidRDefault="00B83377" w:rsidP="00B83377">
      <w:pPr>
        <w:widowControl w:val="0"/>
        <w:suppressAutoHyphens/>
        <w:autoSpaceDE w:val="0"/>
        <w:autoSpaceDN w:val="0"/>
        <w:adjustRightInd w:val="0"/>
        <w:spacing w:before="142" w:line="290" w:lineRule="atLeast"/>
        <w:textAlignment w:val="center"/>
        <w:rPr>
          <w:rFonts w:cs="Arial"/>
          <w:color w:val="000000" w:themeColor="text1"/>
          <w:lang w:val="en-GB"/>
        </w:rPr>
      </w:pPr>
      <w:r w:rsidRPr="00617A89">
        <w:rPr>
          <w:rFonts w:ascii="ArialMT" w:hAnsi="ArialMT" w:cs="ArialMT"/>
          <w:color w:val="000000" w:themeColor="text1"/>
          <w:lang w:val="en-GB"/>
        </w:rPr>
        <w:t xml:space="preserve">Female graduates often earn less than male graduates even within the same field of education. </w:t>
      </w:r>
      <w:r w:rsidRPr="00617A89">
        <w:rPr>
          <w:rFonts w:cs="Arial"/>
          <w:color w:val="000000" w:themeColor="text1"/>
          <w:lang w:val="en-GB"/>
        </w:rPr>
        <w:t>For example, female undergraduates from the Law and paralegal study areas reported a median salary $7,</w:t>
      </w:r>
      <w:r w:rsidR="001B52D5" w:rsidRPr="00617A89">
        <w:rPr>
          <w:rFonts w:cs="Arial"/>
          <w:color w:val="000000" w:themeColor="text1"/>
          <w:lang w:val="en-GB"/>
        </w:rPr>
        <w:t>1</w:t>
      </w:r>
      <w:r w:rsidRPr="00617A89">
        <w:rPr>
          <w:rFonts w:cs="Arial"/>
          <w:color w:val="000000" w:themeColor="text1"/>
          <w:lang w:val="en-GB"/>
        </w:rPr>
        <w:t xml:space="preserve">00 less than males in 2022, 4 to 6 months after course completion. While this gap did narrow over the 3 years to $3,300, females continued to earn less than males on average. See </w:t>
      </w:r>
      <w:r w:rsidRPr="00617A89">
        <w:rPr>
          <w:rFonts w:cs="Arial"/>
          <w:b/>
          <w:bCs/>
          <w:color w:val="000000" w:themeColor="text1"/>
          <w:lang w:val="en-GB"/>
        </w:rPr>
        <w:t xml:space="preserve">Appendix </w:t>
      </w:r>
      <w:r w:rsidR="009D192F" w:rsidRPr="00617A89">
        <w:rPr>
          <w:rFonts w:cs="Arial"/>
          <w:b/>
          <w:bCs/>
          <w:color w:val="000000" w:themeColor="text1"/>
          <w:lang w:val="en-GB"/>
        </w:rPr>
        <w:t>3</w:t>
      </w:r>
      <w:r w:rsidRPr="00617A89">
        <w:rPr>
          <w:rFonts w:cs="Arial"/>
          <w:b/>
          <w:bCs/>
          <w:color w:val="000000" w:themeColor="text1"/>
          <w:lang w:val="en-GB"/>
        </w:rPr>
        <w:t xml:space="preserve">, </w:t>
      </w:r>
      <w:r w:rsidR="002F7556" w:rsidRPr="00617A89">
        <w:rPr>
          <w:rFonts w:cs="Arial"/>
          <w:b/>
          <w:bCs/>
          <w:color w:val="000000" w:themeColor="text1"/>
          <w:lang w:val="en-GB"/>
        </w:rPr>
        <w:fldChar w:fldCharType="begin"/>
      </w:r>
      <w:r w:rsidR="002F7556" w:rsidRPr="00617A89">
        <w:rPr>
          <w:rFonts w:cs="Arial"/>
          <w:b/>
          <w:bCs/>
          <w:color w:val="000000" w:themeColor="text1"/>
          <w:lang w:val="en-GB"/>
        </w:rPr>
        <w:instrText xml:space="preserve"> REF _Ref71033093 \h  \* MERGEFORMAT </w:instrText>
      </w:r>
      <w:r w:rsidR="002F7556" w:rsidRPr="00617A89">
        <w:rPr>
          <w:rFonts w:cs="Arial"/>
          <w:b/>
          <w:bCs/>
          <w:color w:val="000000" w:themeColor="text1"/>
          <w:lang w:val="en-GB"/>
        </w:rPr>
      </w:r>
      <w:r w:rsidR="002F7556" w:rsidRPr="00617A89">
        <w:rPr>
          <w:rFonts w:cs="Arial"/>
          <w:b/>
          <w:bCs/>
          <w:color w:val="000000" w:themeColor="text1"/>
          <w:lang w:val="en-GB"/>
        </w:rPr>
        <w:fldChar w:fldCharType="separate"/>
      </w:r>
      <w:r w:rsidR="002F7556" w:rsidRPr="00617A89">
        <w:rPr>
          <w:b/>
          <w:bCs/>
          <w:color w:val="000000" w:themeColor="text1"/>
        </w:rPr>
        <w:t xml:space="preserve">Table </w:t>
      </w:r>
      <w:r w:rsidR="002F7556" w:rsidRPr="00617A89">
        <w:rPr>
          <w:b/>
          <w:bCs/>
          <w:noProof/>
          <w:color w:val="000000" w:themeColor="text1"/>
        </w:rPr>
        <w:t>21</w:t>
      </w:r>
      <w:r w:rsidR="002F7556" w:rsidRPr="00617A89">
        <w:rPr>
          <w:rFonts w:cs="Arial"/>
          <w:b/>
          <w:bCs/>
          <w:color w:val="000000" w:themeColor="text1"/>
          <w:lang w:val="en-GB"/>
        </w:rPr>
        <w:fldChar w:fldCharType="end"/>
      </w:r>
      <w:r w:rsidR="002F7556" w:rsidRPr="00617A89">
        <w:rPr>
          <w:rFonts w:cs="Arial"/>
          <w:b/>
          <w:bCs/>
          <w:color w:val="000000" w:themeColor="text1"/>
          <w:lang w:val="en-GB"/>
        </w:rPr>
        <w:t xml:space="preserve"> </w:t>
      </w:r>
      <w:r w:rsidRPr="00617A89">
        <w:rPr>
          <w:rFonts w:cs="Arial"/>
          <w:color w:val="000000" w:themeColor="text1"/>
          <w:lang w:val="en-GB"/>
        </w:rPr>
        <w:t>for a complete breakdown of median salaries by study area and gender in the short- and medium-term.</w:t>
      </w:r>
    </w:p>
    <w:p w14:paraId="5820FC4C" w14:textId="77777777" w:rsidR="00B83377" w:rsidRPr="00617A89" w:rsidRDefault="00B83377" w:rsidP="00B83377">
      <w:pPr>
        <w:widowControl w:val="0"/>
        <w:suppressAutoHyphens/>
        <w:autoSpaceDE w:val="0"/>
        <w:autoSpaceDN w:val="0"/>
        <w:adjustRightInd w:val="0"/>
        <w:spacing w:before="142" w:line="290" w:lineRule="atLeast"/>
        <w:textAlignment w:val="center"/>
        <w:rPr>
          <w:rFonts w:cs="Arial"/>
          <w:color w:val="000000" w:themeColor="text1"/>
          <w:lang w:val="en-GB"/>
        </w:rPr>
      </w:pPr>
      <w:r w:rsidRPr="00617A89">
        <w:rPr>
          <w:rFonts w:cs="Arial"/>
          <w:color w:val="000000" w:themeColor="text1"/>
          <w:lang w:val="en-GB"/>
        </w:rPr>
        <w:t>For other study areas, such as Science and mathematics and Computing and information systems, there was a relatively small gender pay gap between recent male and female undergraduates but this widened markedly over the 3 years – by 2025, male Computing and information systems undergraduates were on a median salary $9,000 more than females, equating to a gender pay gap of 8.7 per cent..</w:t>
      </w:r>
    </w:p>
    <w:p w14:paraId="047BC4CF" w14:textId="77777777" w:rsidR="00B83377" w:rsidRPr="00617A89" w:rsidRDefault="00B83377" w:rsidP="00B83377">
      <w:pPr>
        <w:widowControl w:val="0"/>
        <w:suppressAutoHyphens/>
        <w:autoSpaceDE w:val="0"/>
        <w:autoSpaceDN w:val="0"/>
        <w:adjustRightInd w:val="0"/>
        <w:spacing w:before="142" w:line="290" w:lineRule="atLeast"/>
        <w:textAlignment w:val="center"/>
        <w:rPr>
          <w:rFonts w:cs="Arial"/>
          <w:color w:val="000000" w:themeColor="text1"/>
          <w:lang w:val="en-GB"/>
        </w:rPr>
      </w:pPr>
      <w:r w:rsidRPr="00617A89">
        <w:rPr>
          <w:rFonts w:cs="Arial"/>
          <w:color w:val="000000" w:themeColor="text1"/>
          <w:lang w:val="en-GB"/>
        </w:rPr>
        <w:t>There were several study areas where females reported broadly similar median salaries to males in the short- and medium-term, including Psychology, Social work and Communications.</w:t>
      </w:r>
    </w:p>
    <w:p w14:paraId="18F1723F" w14:textId="5BE9FBB9" w:rsidR="00B83377" w:rsidRPr="00617A89" w:rsidRDefault="00B83377" w:rsidP="00B83377">
      <w:pPr>
        <w:widowControl w:val="0"/>
        <w:suppressAutoHyphens/>
        <w:autoSpaceDE w:val="0"/>
        <w:autoSpaceDN w:val="0"/>
        <w:adjustRightInd w:val="0"/>
        <w:spacing w:before="142" w:line="290" w:lineRule="atLeast"/>
        <w:textAlignment w:val="center"/>
        <w:rPr>
          <w:rFonts w:cs="Arial"/>
          <w:color w:val="000000" w:themeColor="text1"/>
          <w:lang w:val="en-GB"/>
        </w:rPr>
      </w:pPr>
      <w:r w:rsidRPr="00617A89">
        <w:rPr>
          <w:rFonts w:cs="Arial"/>
          <w:color w:val="000000" w:themeColor="text1"/>
          <w:lang w:val="en-GB"/>
        </w:rPr>
        <w:t>The gender pay gap is most pronounced for postgraduate coursework graduates. Shortly after completing their studies, the median salary for male graduates in this cohort was $10,800 higher than for their female counterparts (or a gender pay gap of 10.8 per cent)</w:t>
      </w:r>
      <w:r w:rsidR="00706048" w:rsidRPr="00617A89">
        <w:rPr>
          <w:rFonts w:cs="Arial"/>
          <w:color w:val="000000" w:themeColor="text1"/>
          <w:lang w:val="en-GB"/>
        </w:rPr>
        <w:t xml:space="preserve"> (</w:t>
      </w:r>
      <w:r w:rsidR="00706048" w:rsidRPr="00617A89">
        <w:rPr>
          <w:rFonts w:cs="Arial"/>
          <w:b/>
          <w:bCs/>
          <w:color w:val="000000" w:themeColor="text1"/>
          <w:lang w:val="en-GB"/>
        </w:rPr>
        <w:fldChar w:fldCharType="begin"/>
      </w:r>
      <w:r w:rsidR="00706048" w:rsidRPr="00617A89">
        <w:rPr>
          <w:rFonts w:cs="Arial"/>
          <w:b/>
          <w:bCs/>
          <w:color w:val="000000" w:themeColor="text1"/>
          <w:lang w:val="en-GB"/>
        </w:rPr>
        <w:instrText xml:space="preserve"> REF _Ref207356719 \h  \* MERGEFORMAT </w:instrText>
      </w:r>
      <w:r w:rsidR="00706048" w:rsidRPr="00617A89">
        <w:rPr>
          <w:rFonts w:cs="Arial"/>
          <w:b/>
          <w:bCs/>
          <w:color w:val="000000" w:themeColor="text1"/>
          <w:lang w:val="en-GB"/>
        </w:rPr>
      </w:r>
      <w:r w:rsidR="00706048" w:rsidRPr="00617A89">
        <w:rPr>
          <w:rFonts w:cs="Arial"/>
          <w:b/>
          <w:bCs/>
          <w:color w:val="000000" w:themeColor="text1"/>
          <w:lang w:val="en-GB"/>
        </w:rPr>
        <w:fldChar w:fldCharType="separate"/>
      </w:r>
      <w:r w:rsidR="00DB7C31" w:rsidRPr="00617A89">
        <w:rPr>
          <w:b/>
          <w:bCs/>
          <w:color w:val="000000" w:themeColor="text1"/>
        </w:rPr>
        <w:t xml:space="preserve">Figure </w:t>
      </w:r>
      <w:r w:rsidR="00DB7C31" w:rsidRPr="00617A89">
        <w:rPr>
          <w:b/>
          <w:bCs/>
          <w:noProof/>
          <w:color w:val="000000" w:themeColor="text1"/>
        </w:rPr>
        <w:t>15</w:t>
      </w:r>
      <w:r w:rsidR="00706048" w:rsidRPr="00617A89">
        <w:rPr>
          <w:rFonts w:cs="Arial"/>
          <w:b/>
          <w:bCs/>
          <w:color w:val="000000" w:themeColor="text1"/>
          <w:lang w:val="en-GB"/>
        </w:rPr>
        <w:fldChar w:fldCharType="end"/>
      </w:r>
      <w:r w:rsidR="00706048" w:rsidRPr="00617A89">
        <w:rPr>
          <w:rFonts w:cs="Arial"/>
          <w:color w:val="000000" w:themeColor="text1"/>
          <w:lang w:val="en-GB"/>
        </w:rPr>
        <w:t>)</w:t>
      </w:r>
      <w:r w:rsidRPr="00617A89">
        <w:rPr>
          <w:rFonts w:cs="Arial"/>
          <w:color w:val="000000" w:themeColor="text1"/>
          <w:lang w:val="en-GB"/>
        </w:rPr>
        <w:t>. This difference was larger 3 years later at $18,000 (or a gender pay gap of 14.0 per cent).</w:t>
      </w:r>
    </w:p>
    <w:p w14:paraId="5B9D3EC1" w14:textId="1BC7D572" w:rsidR="00706048" w:rsidRPr="00617A89" w:rsidRDefault="00706048" w:rsidP="005A0EDE">
      <w:pPr>
        <w:pStyle w:val="Caption"/>
        <w:keepNext/>
        <w:rPr>
          <w:color w:val="000000" w:themeColor="text1"/>
        </w:rPr>
      </w:pPr>
      <w:bookmarkStart w:id="145" w:name="_Ref207356719"/>
      <w:bookmarkStart w:id="146" w:name="_Toc222868509"/>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15</w:t>
      </w:r>
      <w:r w:rsidR="00DB7C31" w:rsidRPr="00617A89">
        <w:rPr>
          <w:noProof/>
          <w:color w:val="000000" w:themeColor="text1"/>
        </w:rPr>
        <w:fldChar w:fldCharType="end"/>
      </w:r>
      <w:bookmarkEnd w:id="145"/>
      <w:r w:rsidR="00A922A0" w:rsidRPr="00617A89">
        <w:rPr>
          <w:color w:val="000000" w:themeColor="text1"/>
        </w:rPr>
        <w:tab/>
      </w:r>
      <w:r w:rsidRPr="00617A89">
        <w:rPr>
          <w:color w:val="000000" w:themeColor="text1"/>
        </w:rPr>
        <w:t xml:space="preserve">Postgraduate coursework median annual </w:t>
      </w:r>
      <w:r w:rsidR="002013A6" w:rsidRPr="00617A89">
        <w:rPr>
          <w:color w:val="000000" w:themeColor="text1"/>
        </w:rPr>
        <w:t xml:space="preserve">full-time </w:t>
      </w:r>
      <w:r w:rsidRPr="00617A89">
        <w:rPr>
          <w:color w:val="000000" w:themeColor="text1"/>
        </w:rPr>
        <w:t>salary by gender</w:t>
      </w:r>
      <w:bookmarkEnd w:id="146"/>
    </w:p>
    <w:p w14:paraId="362BED05" w14:textId="7C100B86" w:rsidR="00EF6479" w:rsidRPr="00617A89" w:rsidRDefault="00EF6479" w:rsidP="005A0EDE">
      <w:pPr>
        <w:keepNext/>
        <w:widowControl w:val="0"/>
        <w:suppressAutoHyphens/>
        <w:autoSpaceDE w:val="0"/>
        <w:autoSpaceDN w:val="0"/>
        <w:adjustRightInd w:val="0"/>
        <w:spacing w:before="142" w:line="290" w:lineRule="atLeast"/>
        <w:textAlignment w:val="center"/>
        <w:rPr>
          <w:color w:val="000000" w:themeColor="text1"/>
        </w:rPr>
      </w:pPr>
      <w:r w:rsidRPr="00617A89">
        <w:rPr>
          <w:noProof/>
          <w:color w:val="000000" w:themeColor="text1"/>
        </w:rPr>
        <w:drawing>
          <wp:inline distT="0" distB="0" distL="0" distR="0" wp14:anchorId="3E1A3F01" wp14:editId="17CF056E">
            <wp:extent cx="3602990" cy="2170430"/>
            <wp:effectExtent l="0" t="0" r="0" b="1270"/>
            <wp:docPr id="19544531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02990" cy="2170430"/>
                    </a:xfrm>
                    <a:prstGeom prst="rect">
                      <a:avLst/>
                    </a:prstGeom>
                    <a:noFill/>
                  </pic:spPr>
                </pic:pic>
              </a:graphicData>
            </a:graphic>
          </wp:inline>
        </w:drawing>
      </w:r>
    </w:p>
    <w:p w14:paraId="01B892B6" w14:textId="3D9E6FEB" w:rsidR="00B83377" w:rsidRPr="00617A89" w:rsidRDefault="00B83377" w:rsidP="00B83377">
      <w:pPr>
        <w:widowControl w:val="0"/>
        <w:suppressAutoHyphens/>
        <w:autoSpaceDE w:val="0"/>
        <w:autoSpaceDN w:val="0"/>
        <w:adjustRightInd w:val="0"/>
        <w:spacing w:before="142" w:line="290" w:lineRule="atLeast"/>
        <w:textAlignment w:val="center"/>
        <w:rPr>
          <w:color w:val="000000" w:themeColor="text1"/>
        </w:rPr>
      </w:pPr>
      <w:r w:rsidRPr="00617A89">
        <w:rPr>
          <w:color w:val="000000" w:themeColor="text1"/>
        </w:rPr>
        <w:t>The gender pay gap across study areas at the postgraduate coursework level was biggest for Engineering – male Engineering undergraduates earned $25,200 more than females in the short-term and $24,800 more in the median-term (gender pay gaps of 25.0 per cent and 18.8 per cent respectively). There was a wide disparity in male and female median salaries in the Science and mathematics and Business management study areas in the short- and medium-term, while a large difference in median salaries for Agricultural and environmental studies did not emerge immediately but by 2025, males from this study area had a median salary that was $20,900 more than females (a gender pay gap of 17.6 per cent).</w:t>
      </w:r>
      <w:r w:rsidR="00706048" w:rsidRPr="00617A89">
        <w:rPr>
          <w:color w:val="000000" w:themeColor="text1"/>
        </w:rPr>
        <w:t xml:space="preserve"> </w:t>
      </w:r>
      <w:r w:rsidR="00706048" w:rsidRPr="00617A89">
        <w:rPr>
          <w:rFonts w:cs="Arial"/>
          <w:color w:val="000000" w:themeColor="text1"/>
          <w:lang w:val="en-GB"/>
        </w:rPr>
        <w:t xml:space="preserve">See </w:t>
      </w:r>
      <w:r w:rsidR="00706048" w:rsidRPr="00617A89">
        <w:rPr>
          <w:rFonts w:cs="Arial"/>
          <w:b/>
          <w:bCs/>
          <w:color w:val="000000" w:themeColor="text1"/>
          <w:lang w:val="en-GB"/>
        </w:rPr>
        <w:t xml:space="preserve">Appendix </w:t>
      </w:r>
      <w:r w:rsidR="009D192F" w:rsidRPr="00617A89">
        <w:rPr>
          <w:rFonts w:cs="Arial"/>
          <w:b/>
          <w:bCs/>
          <w:color w:val="000000" w:themeColor="text1"/>
          <w:lang w:val="en-GB"/>
        </w:rPr>
        <w:t>3</w:t>
      </w:r>
      <w:r w:rsidR="00706048" w:rsidRPr="00617A89">
        <w:rPr>
          <w:rFonts w:cs="Arial"/>
          <w:b/>
          <w:bCs/>
          <w:color w:val="000000" w:themeColor="text1"/>
          <w:lang w:val="en-GB"/>
        </w:rPr>
        <w:t xml:space="preserve">, </w:t>
      </w:r>
      <w:r w:rsidR="002F7556" w:rsidRPr="00617A89">
        <w:rPr>
          <w:rFonts w:cs="Arial"/>
          <w:b/>
          <w:bCs/>
          <w:color w:val="000000" w:themeColor="text1"/>
          <w:lang w:val="en-GB"/>
        </w:rPr>
        <w:fldChar w:fldCharType="begin"/>
      </w:r>
      <w:r w:rsidR="002F7556" w:rsidRPr="00617A89">
        <w:rPr>
          <w:rFonts w:cs="Arial"/>
          <w:b/>
          <w:bCs/>
          <w:color w:val="000000" w:themeColor="text1"/>
          <w:lang w:val="en-GB"/>
        </w:rPr>
        <w:instrText xml:space="preserve"> REF _Ref216874098 \h  \* MERGEFORMAT </w:instrText>
      </w:r>
      <w:r w:rsidR="002F7556" w:rsidRPr="00617A89">
        <w:rPr>
          <w:rFonts w:cs="Arial"/>
          <w:b/>
          <w:bCs/>
          <w:color w:val="000000" w:themeColor="text1"/>
          <w:lang w:val="en-GB"/>
        </w:rPr>
      </w:r>
      <w:r w:rsidR="002F7556" w:rsidRPr="00617A89">
        <w:rPr>
          <w:rFonts w:cs="Arial"/>
          <w:b/>
          <w:bCs/>
          <w:color w:val="000000" w:themeColor="text1"/>
          <w:lang w:val="en-GB"/>
        </w:rPr>
        <w:fldChar w:fldCharType="separate"/>
      </w:r>
      <w:r w:rsidR="002F7556" w:rsidRPr="00617A89">
        <w:rPr>
          <w:b/>
          <w:bCs/>
          <w:color w:val="000000" w:themeColor="text1"/>
        </w:rPr>
        <w:t xml:space="preserve">Table </w:t>
      </w:r>
      <w:r w:rsidR="002F7556" w:rsidRPr="00617A89">
        <w:rPr>
          <w:b/>
          <w:bCs/>
          <w:noProof/>
          <w:color w:val="000000" w:themeColor="text1"/>
        </w:rPr>
        <w:t>22</w:t>
      </w:r>
      <w:r w:rsidR="002F7556" w:rsidRPr="00617A89">
        <w:rPr>
          <w:rFonts w:cs="Arial"/>
          <w:b/>
          <w:bCs/>
          <w:color w:val="000000" w:themeColor="text1"/>
          <w:lang w:val="en-GB"/>
        </w:rPr>
        <w:fldChar w:fldCharType="end"/>
      </w:r>
      <w:r w:rsidR="002F7556" w:rsidRPr="00617A89">
        <w:rPr>
          <w:rFonts w:cs="Arial"/>
          <w:b/>
          <w:bCs/>
          <w:color w:val="000000" w:themeColor="text1"/>
          <w:lang w:val="en-GB"/>
        </w:rPr>
        <w:t xml:space="preserve"> </w:t>
      </w:r>
      <w:r w:rsidR="00706048" w:rsidRPr="00617A89">
        <w:rPr>
          <w:rFonts w:cs="Arial"/>
          <w:color w:val="000000" w:themeColor="text1"/>
          <w:lang w:val="en-GB"/>
        </w:rPr>
        <w:t>for a complete breakdown of median salaries by study area and gender in the short- and medium-term.</w:t>
      </w:r>
    </w:p>
    <w:p w14:paraId="70DD9609" w14:textId="08054B2B" w:rsidR="003F644A" w:rsidRPr="00617A89" w:rsidRDefault="003F644A" w:rsidP="003F644A">
      <w:pPr>
        <w:widowControl w:val="0"/>
        <w:suppressAutoHyphens/>
        <w:autoSpaceDE w:val="0"/>
        <w:autoSpaceDN w:val="0"/>
        <w:adjustRightInd w:val="0"/>
        <w:spacing w:before="142" w:line="290" w:lineRule="atLeast"/>
        <w:textAlignment w:val="center"/>
        <w:rPr>
          <w:rFonts w:cs="Arial"/>
          <w:color w:val="000000" w:themeColor="text1"/>
          <w:lang w:val="en-GB"/>
        </w:rPr>
      </w:pPr>
      <w:r w:rsidRPr="00617A89">
        <w:rPr>
          <w:rFonts w:cs="Arial"/>
          <w:color w:val="000000" w:themeColor="text1"/>
          <w:lang w:val="en-GB"/>
        </w:rPr>
        <w:t>The difference in median salaries for postgraduate research graduates was $2,000 (or a gender pay gap of 2.0 per cent) shortly after graduation ($97,900 for males and $95,900 for females)</w:t>
      </w:r>
      <w:r w:rsidR="00706048" w:rsidRPr="00617A89">
        <w:rPr>
          <w:rFonts w:cs="Arial"/>
          <w:color w:val="000000" w:themeColor="text1"/>
          <w:lang w:val="en-GB"/>
        </w:rPr>
        <w:t xml:space="preserve"> (</w:t>
      </w:r>
      <w:r w:rsidR="00706048" w:rsidRPr="00617A89">
        <w:rPr>
          <w:rFonts w:cs="Arial"/>
          <w:b/>
          <w:bCs/>
          <w:color w:val="000000" w:themeColor="text1"/>
          <w:lang w:val="en-GB"/>
        </w:rPr>
        <w:fldChar w:fldCharType="begin"/>
      </w:r>
      <w:r w:rsidR="00706048" w:rsidRPr="00617A89">
        <w:rPr>
          <w:rFonts w:cs="Arial"/>
          <w:b/>
          <w:bCs/>
          <w:color w:val="000000" w:themeColor="text1"/>
          <w:lang w:val="en-GB"/>
        </w:rPr>
        <w:instrText xml:space="preserve"> REF _Ref207357126 \h  \* MERGEFORMAT </w:instrText>
      </w:r>
      <w:r w:rsidR="00706048" w:rsidRPr="00617A89">
        <w:rPr>
          <w:rFonts w:cs="Arial"/>
          <w:b/>
          <w:bCs/>
          <w:color w:val="000000" w:themeColor="text1"/>
          <w:lang w:val="en-GB"/>
        </w:rPr>
      </w:r>
      <w:r w:rsidR="00706048" w:rsidRPr="00617A89">
        <w:rPr>
          <w:rFonts w:cs="Arial"/>
          <w:b/>
          <w:bCs/>
          <w:color w:val="000000" w:themeColor="text1"/>
          <w:lang w:val="en-GB"/>
        </w:rPr>
        <w:fldChar w:fldCharType="separate"/>
      </w:r>
      <w:r w:rsidR="00DB7C31" w:rsidRPr="00617A89">
        <w:rPr>
          <w:b/>
          <w:bCs/>
          <w:color w:val="000000" w:themeColor="text1"/>
        </w:rPr>
        <w:t xml:space="preserve">Figure </w:t>
      </w:r>
      <w:r w:rsidR="00DB7C31" w:rsidRPr="00617A89">
        <w:rPr>
          <w:b/>
          <w:bCs/>
          <w:noProof/>
          <w:color w:val="000000" w:themeColor="text1"/>
        </w:rPr>
        <w:t>16</w:t>
      </w:r>
      <w:r w:rsidR="00706048" w:rsidRPr="00617A89">
        <w:rPr>
          <w:rFonts w:cs="Arial"/>
          <w:b/>
          <w:bCs/>
          <w:color w:val="000000" w:themeColor="text1"/>
          <w:lang w:val="en-GB"/>
        </w:rPr>
        <w:fldChar w:fldCharType="end"/>
      </w:r>
      <w:r w:rsidR="00706048" w:rsidRPr="00617A89">
        <w:rPr>
          <w:rFonts w:cs="Arial"/>
          <w:color w:val="000000" w:themeColor="text1"/>
          <w:lang w:val="en-GB"/>
        </w:rPr>
        <w:t>)</w:t>
      </w:r>
      <w:r w:rsidRPr="00617A89">
        <w:rPr>
          <w:rFonts w:cs="Arial"/>
          <w:color w:val="000000" w:themeColor="text1"/>
          <w:lang w:val="en-GB"/>
        </w:rPr>
        <w:t>. This had increased 3 years later to a difference of $3,000 ($120,000 for males and $117,000 for females), or a gender pay gap of 2.5 per cent.</w:t>
      </w:r>
    </w:p>
    <w:p w14:paraId="3B71FA4E" w14:textId="260B4827" w:rsidR="00706048" w:rsidRPr="00617A89" w:rsidRDefault="00706048" w:rsidP="005A0EDE">
      <w:pPr>
        <w:pStyle w:val="Caption"/>
        <w:keepNext/>
        <w:rPr>
          <w:color w:val="000000" w:themeColor="text1"/>
        </w:rPr>
      </w:pPr>
      <w:bookmarkStart w:id="147" w:name="_Ref207357126"/>
      <w:bookmarkStart w:id="148" w:name="_Toc222868510"/>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16</w:t>
      </w:r>
      <w:r w:rsidR="00DB7C31" w:rsidRPr="00617A89">
        <w:rPr>
          <w:noProof/>
          <w:color w:val="000000" w:themeColor="text1"/>
        </w:rPr>
        <w:fldChar w:fldCharType="end"/>
      </w:r>
      <w:bookmarkEnd w:id="147"/>
      <w:r w:rsidR="00A922A0" w:rsidRPr="00617A89">
        <w:rPr>
          <w:color w:val="000000" w:themeColor="text1"/>
        </w:rPr>
        <w:tab/>
      </w:r>
      <w:r w:rsidRPr="00617A89">
        <w:rPr>
          <w:color w:val="000000" w:themeColor="text1"/>
        </w:rPr>
        <w:t xml:space="preserve">Postgraduate research median annual </w:t>
      </w:r>
      <w:r w:rsidR="002013A6" w:rsidRPr="00617A89">
        <w:rPr>
          <w:color w:val="000000" w:themeColor="text1"/>
        </w:rPr>
        <w:t xml:space="preserve">full-time </w:t>
      </w:r>
      <w:r w:rsidRPr="00617A89">
        <w:rPr>
          <w:color w:val="000000" w:themeColor="text1"/>
        </w:rPr>
        <w:t>salary by gender</w:t>
      </w:r>
      <w:bookmarkEnd w:id="148"/>
    </w:p>
    <w:p w14:paraId="33686EE2" w14:textId="74256A37" w:rsidR="00EF6479" w:rsidRPr="00617A89" w:rsidRDefault="00EF6479" w:rsidP="003F644A">
      <w:pPr>
        <w:widowControl w:val="0"/>
        <w:suppressAutoHyphens/>
        <w:autoSpaceDE w:val="0"/>
        <w:autoSpaceDN w:val="0"/>
        <w:adjustRightInd w:val="0"/>
        <w:spacing w:before="142" w:line="290" w:lineRule="atLeast"/>
        <w:textAlignment w:val="center"/>
        <w:rPr>
          <w:rFonts w:cs="Arial"/>
          <w:color w:val="000000" w:themeColor="text1"/>
          <w:lang w:val="en-GB"/>
        </w:rPr>
      </w:pPr>
      <w:r w:rsidRPr="00617A89">
        <w:rPr>
          <w:rFonts w:cs="Arial"/>
          <w:noProof/>
          <w:color w:val="000000" w:themeColor="text1"/>
          <w:lang w:val="en-GB"/>
        </w:rPr>
        <w:drawing>
          <wp:inline distT="0" distB="0" distL="0" distR="0" wp14:anchorId="73344076" wp14:editId="7FDD9EE3">
            <wp:extent cx="3602990" cy="2170430"/>
            <wp:effectExtent l="0" t="0" r="0" b="1270"/>
            <wp:docPr id="134360952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02990" cy="2170430"/>
                    </a:xfrm>
                    <a:prstGeom prst="rect">
                      <a:avLst/>
                    </a:prstGeom>
                    <a:noFill/>
                  </pic:spPr>
                </pic:pic>
              </a:graphicData>
            </a:graphic>
          </wp:inline>
        </w:drawing>
      </w:r>
    </w:p>
    <w:p w14:paraId="3DE60BDC" w14:textId="7BF83A9A" w:rsidR="00B83377" w:rsidRPr="00617A89" w:rsidRDefault="00B83377" w:rsidP="005A0EDE">
      <w:pPr>
        <w:pStyle w:val="Body"/>
        <w:rPr>
          <w:color w:val="000000" w:themeColor="text1"/>
        </w:rPr>
      </w:pPr>
      <w:r w:rsidRPr="00617A89">
        <w:rPr>
          <w:color w:val="000000" w:themeColor="text1"/>
        </w:rPr>
        <w:t>There may be many factors influencing these results, such as differences in the breadth of graduates’ skillsets, differences in career progression and job switching, life-</w:t>
      </w:r>
      <w:r w:rsidR="00FE105D" w:rsidRPr="00617A89">
        <w:rPr>
          <w:color w:val="000000" w:themeColor="text1"/>
        </w:rPr>
        <w:t xml:space="preserve">stage </w:t>
      </w:r>
      <w:r w:rsidRPr="00617A89">
        <w:rPr>
          <w:color w:val="000000" w:themeColor="text1"/>
        </w:rPr>
        <w:t>impacts (including caring responsibilities), and personal preferences.</w:t>
      </w:r>
    </w:p>
    <w:p w14:paraId="729FFF19" w14:textId="18061F28" w:rsidR="00910822" w:rsidRPr="00617A89" w:rsidRDefault="00910822" w:rsidP="00910822">
      <w:pPr>
        <w:pStyle w:val="Heading2"/>
        <w:rPr>
          <w:color w:val="000000" w:themeColor="text1"/>
        </w:rPr>
      </w:pPr>
      <w:bookmarkStart w:id="149" w:name="_Toc222868448"/>
      <w:r w:rsidRPr="00617A89">
        <w:rPr>
          <w:color w:val="000000" w:themeColor="text1"/>
        </w:rPr>
        <w:t>Institution</w:t>
      </w:r>
      <w:bookmarkEnd w:id="140"/>
      <w:bookmarkEnd w:id="149"/>
    </w:p>
    <w:p w14:paraId="7F0A4B0E" w14:textId="77777777" w:rsidR="00910822" w:rsidRPr="00617A89" w:rsidRDefault="00910822" w:rsidP="00910822">
      <w:pPr>
        <w:pStyle w:val="Heading3"/>
        <w:rPr>
          <w:color w:val="000000" w:themeColor="text1"/>
        </w:rPr>
      </w:pPr>
      <w:bookmarkStart w:id="150" w:name="_Toc222868449"/>
      <w:r w:rsidRPr="00617A89">
        <w:rPr>
          <w:color w:val="000000" w:themeColor="text1"/>
        </w:rPr>
        <w:t>Institution type</w:t>
      </w:r>
      <w:bookmarkEnd w:id="150"/>
    </w:p>
    <w:p w14:paraId="48EE445B" w14:textId="1F559D8A" w:rsidR="00910822" w:rsidRPr="00617A89" w:rsidRDefault="00910822" w:rsidP="00910822">
      <w:pPr>
        <w:pStyle w:val="Sourcenote"/>
        <w:rPr>
          <w:color w:val="000000" w:themeColor="text1"/>
        </w:rPr>
      </w:pPr>
      <w:r w:rsidRPr="00617A89">
        <w:rPr>
          <w:rStyle w:val="BodyChar"/>
          <w:rFonts w:eastAsiaTheme="minorHAnsi"/>
          <w:color w:val="000000" w:themeColor="text1"/>
        </w:rPr>
        <w:t>In 2025, 94.2 per cent of total domestic respondents to the GOS-L completed a qualification at a university, while 5.8 per cent were from a non-university higher education institution (NUHEI).</w:t>
      </w:r>
      <w:bookmarkStart w:id="151" w:name="_Hlk171435446"/>
      <w:r w:rsidRPr="00617A89">
        <w:rPr>
          <w:rStyle w:val="FootnoteReference"/>
          <w:rFonts w:cs="Times New Roman"/>
          <w:color w:val="000000" w:themeColor="text1"/>
          <w:szCs w:val="20"/>
        </w:rPr>
        <w:footnoteReference w:id="14"/>
      </w:r>
    </w:p>
    <w:p w14:paraId="77C14307" w14:textId="77777777" w:rsidR="00910822" w:rsidRPr="00617A89" w:rsidRDefault="00910822" w:rsidP="00910822">
      <w:pPr>
        <w:pStyle w:val="Body"/>
        <w:rPr>
          <w:color w:val="000000" w:themeColor="text1"/>
        </w:rPr>
      </w:pPr>
      <w:r w:rsidRPr="00617A89">
        <w:rPr>
          <w:color w:val="000000" w:themeColor="text1"/>
        </w:rPr>
        <w:t xml:space="preserve">In general, NUHEIs have greater proportions of postgraduates, international graduates and older graduates than universities. Graduates from NUHEIs also tend to cluster in fewer study areas. </w:t>
      </w:r>
    </w:p>
    <w:bookmarkEnd w:id="151"/>
    <w:p w14:paraId="4C3559EE" w14:textId="17F4000D" w:rsidR="00910822" w:rsidRPr="00617A89" w:rsidRDefault="00910822" w:rsidP="00910822">
      <w:pPr>
        <w:pStyle w:val="Body"/>
        <w:rPr>
          <w:color w:val="000000" w:themeColor="text1"/>
        </w:rPr>
      </w:pPr>
      <w:r w:rsidRPr="00617A89">
        <w:rPr>
          <w:color w:val="000000" w:themeColor="text1"/>
        </w:rPr>
        <w:t>Labour market outcomes, particularly rates of full-time employment and median salaries, remained stronger for undergraduates from universities than those from NUHEIs for the 2022</w:t>
      </w:r>
      <w:r w:rsidR="006A26A6" w:rsidRPr="00617A89">
        <w:rPr>
          <w:color w:val="000000" w:themeColor="text1"/>
        </w:rPr>
        <w:t>-2025 cohort</w:t>
      </w:r>
      <w:r w:rsidRPr="00617A89">
        <w:rPr>
          <w:color w:val="000000" w:themeColor="text1"/>
        </w:rPr>
        <w:t>, in both the short- and medium-term (</w:t>
      </w:r>
      <w:r w:rsidR="001335D4" w:rsidRPr="00617A89">
        <w:rPr>
          <w:b/>
          <w:bCs/>
          <w:color w:val="000000" w:themeColor="text1"/>
        </w:rPr>
        <w:fldChar w:fldCharType="begin"/>
      </w:r>
      <w:r w:rsidR="001335D4" w:rsidRPr="00617A89">
        <w:rPr>
          <w:b/>
          <w:bCs/>
          <w:color w:val="000000" w:themeColor="text1"/>
        </w:rPr>
        <w:instrText xml:space="preserve"> REF _Ref207357679 \h  \* MERGEFORMAT </w:instrText>
      </w:r>
      <w:r w:rsidR="001335D4" w:rsidRPr="00617A89">
        <w:rPr>
          <w:b/>
          <w:bCs/>
          <w:color w:val="000000" w:themeColor="text1"/>
        </w:rPr>
      </w:r>
      <w:r w:rsidR="001335D4" w:rsidRPr="00617A89">
        <w:rPr>
          <w:b/>
          <w:bCs/>
          <w:color w:val="000000" w:themeColor="text1"/>
        </w:rPr>
        <w:fldChar w:fldCharType="separate"/>
      </w:r>
      <w:r w:rsidR="00DB7C31" w:rsidRPr="00617A89">
        <w:rPr>
          <w:b/>
          <w:bCs/>
          <w:color w:val="000000" w:themeColor="text1"/>
        </w:rPr>
        <w:t xml:space="preserve">Table </w:t>
      </w:r>
      <w:r w:rsidR="00DB7C31" w:rsidRPr="00617A89">
        <w:rPr>
          <w:b/>
          <w:bCs/>
          <w:noProof/>
          <w:color w:val="000000" w:themeColor="text1"/>
        </w:rPr>
        <w:t>6</w:t>
      </w:r>
      <w:r w:rsidR="001335D4" w:rsidRPr="00617A89">
        <w:rPr>
          <w:b/>
          <w:bCs/>
          <w:color w:val="000000" w:themeColor="text1"/>
        </w:rPr>
        <w:fldChar w:fldCharType="end"/>
      </w:r>
      <w:r w:rsidRPr="00617A89">
        <w:rPr>
          <w:color w:val="000000" w:themeColor="text1"/>
        </w:rPr>
        <w:t>). Rates of labour force participation between institution types were comparable in the short- and medium-term, while the overall employment rate was the only key labour market indicator to narrow over time to similar rates.</w:t>
      </w:r>
    </w:p>
    <w:p w14:paraId="343D5D59" w14:textId="53B75FC6" w:rsidR="002F3BDC" w:rsidRPr="00617A89" w:rsidRDefault="002F3BDC" w:rsidP="00034502">
      <w:pPr>
        <w:pStyle w:val="Caption"/>
        <w:rPr>
          <w:color w:val="000000" w:themeColor="text1"/>
        </w:rPr>
      </w:pPr>
      <w:bookmarkStart w:id="152" w:name="_Ref207357679"/>
      <w:bookmarkStart w:id="153" w:name="_Toc222868476"/>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6</w:t>
      </w:r>
      <w:r w:rsidR="00DB7C31" w:rsidRPr="00617A89">
        <w:rPr>
          <w:noProof/>
          <w:color w:val="000000" w:themeColor="text1"/>
        </w:rPr>
        <w:fldChar w:fldCharType="end"/>
      </w:r>
      <w:bookmarkEnd w:id="152"/>
      <w:r w:rsidRPr="00617A89">
        <w:rPr>
          <w:color w:val="000000" w:themeColor="text1"/>
        </w:rPr>
        <w:t xml:space="preserve"> </w:t>
      </w:r>
      <w:r w:rsidR="00034502" w:rsidRPr="00617A89">
        <w:rPr>
          <w:color w:val="000000" w:themeColor="text1"/>
        </w:rPr>
        <w:tab/>
      </w:r>
      <w:r w:rsidRPr="00617A89">
        <w:rPr>
          <w:color w:val="000000" w:themeColor="text1"/>
        </w:rPr>
        <w:t>Short- and medium-term domestic graduate employment and study outcomes by level of study and institution type</w:t>
      </w:r>
      <w:bookmarkEnd w:id="153"/>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316"/>
        <w:gridCol w:w="1316"/>
        <w:gridCol w:w="1316"/>
        <w:gridCol w:w="1317"/>
      </w:tblGrid>
      <w:tr w:rsidR="00C22852" w:rsidRPr="00617A89" w14:paraId="66740C33" w14:textId="77777777" w:rsidTr="00034502">
        <w:trPr>
          <w:trHeight w:val="410"/>
          <w:tblHeader/>
        </w:trPr>
        <w:tc>
          <w:tcPr>
            <w:tcW w:w="4815" w:type="dxa"/>
            <w:vAlign w:val="center"/>
            <w:hideMark/>
          </w:tcPr>
          <w:p w14:paraId="41D051F0" w14:textId="77777777" w:rsidR="002F3BDC" w:rsidRPr="00617A89" w:rsidRDefault="002F3BDC" w:rsidP="002F3BDC">
            <w:pPr>
              <w:keepNext/>
              <w:jc w:val="center"/>
              <w:rPr>
                <w:rFonts w:eastAsia="Times New Roman" w:cs="Arial"/>
                <w:b/>
                <w:bCs/>
                <w:color w:val="000000" w:themeColor="text1"/>
                <w:sz w:val="18"/>
                <w:lang w:eastAsia="en-AU"/>
              </w:rPr>
            </w:pPr>
          </w:p>
        </w:tc>
        <w:tc>
          <w:tcPr>
            <w:tcW w:w="1316" w:type="dxa"/>
            <w:noWrap/>
            <w:vAlign w:val="center"/>
            <w:hideMark/>
          </w:tcPr>
          <w:p w14:paraId="6FE43748" w14:textId="58963E1A" w:rsidR="002F3BDC" w:rsidRPr="00617A89" w:rsidRDefault="00034502" w:rsidP="002F3BDC">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r w:rsidR="002F3BDC" w:rsidRPr="00617A89">
              <w:rPr>
                <w:rFonts w:eastAsia="Times New Roman" w:cs="Arial"/>
                <w:b/>
                <w:bCs/>
                <w:color w:val="000000" w:themeColor="text1"/>
                <w:sz w:val="18"/>
                <w:lang w:eastAsia="en-AU"/>
              </w:rPr>
              <w:t>Universities</w:t>
            </w:r>
          </w:p>
        </w:tc>
        <w:tc>
          <w:tcPr>
            <w:tcW w:w="1316" w:type="dxa"/>
            <w:noWrap/>
            <w:vAlign w:val="center"/>
            <w:hideMark/>
          </w:tcPr>
          <w:p w14:paraId="2129AFDB" w14:textId="30556F29" w:rsidR="002F3BDC" w:rsidRPr="00617A89" w:rsidRDefault="00034502" w:rsidP="002F3BDC">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r w:rsidR="002F3BDC" w:rsidRPr="00617A89">
              <w:rPr>
                <w:rFonts w:eastAsia="Times New Roman" w:cs="Arial"/>
                <w:b/>
                <w:bCs/>
                <w:color w:val="000000" w:themeColor="text1"/>
                <w:sz w:val="18"/>
                <w:lang w:eastAsia="en-AU"/>
              </w:rPr>
              <w:t>NUHEIs</w:t>
            </w:r>
          </w:p>
        </w:tc>
        <w:tc>
          <w:tcPr>
            <w:tcW w:w="1316" w:type="dxa"/>
            <w:noWrap/>
            <w:vAlign w:val="center"/>
            <w:hideMark/>
          </w:tcPr>
          <w:p w14:paraId="574C3136" w14:textId="48BFF5C4" w:rsidR="002F3BDC" w:rsidRPr="00617A89" w:rsidRDefault="00034502" w:rsidP="002F3BDC">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r w:rsidR="002F3BDC" w:rsidRPr="00617A89">
              <w:rPr>
                <w:rFonts w:eastAsia="Times New Roman" w:cs="Arial"/>
                <w:b/>
                <w:bCs/>
                <w:color w:val="000000" w:themeColor="text1"/>
                <w:sz w:val="18"/>
                <w:lang w:eastAsia="en-AU"/>
              </w:rPr>
              <w:t>Universities</w:t>
            </w:r>
          </w:p>
        </w:tc>
        <w:tc>
          <w:tcPr>
            <w:tcW w:w="1317" w:type="dxa"/>
            <w:noWrap/>
            <w:vAlign w:val="center"/>
            <w:hideMark/>
          </w:tcPr>
          <w:p w14:paraId="2108B77D" w14:textId="527E8571" w:rsidR="002F3BDC" w:rsidRPr="00617A89" w:rsidRDefault="00034502" w:rsidP="002F3BDC">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r w:rsidR="002F3BDC" w:rsidRPr="00617A89">
              <w:rPr>
                <w:rFonts w:eastAsia="Times New Roman" w:cs="Arial"/>
                <w:b/>
                <w:bCs/>
                <w:color w:val="000000" w:themeColor="text1"/>
                <w:sz w:val="18"/>
                <w:lang w:eastAsia="en-AU"/>
              </w:rPr>
              <w:t>NUHEIs</w:t>
            </w:r>
          </w:p>
        </w:tc>
      </w:tr>
      <w:tr w:rsidR="00C22852" w:rsidRPr="00617A89" w14:paraId="0D69638A" w14:textId="77777777" w:rsidTr="002F3BDC">
        <w:trPr>
          <w:trHeight w:val="300"/>
        </w:trPr>
        <w:tc>
          <w:tcPr>
            <w:tcW w:w="4815" w:type="dxa"/>
            <w:vAlign w:val="center"/>
            <w:hideMark/>
          </w:tcPr>
          <w:p w14:paraId="35CAA1E7" w14:textId="677EBAE5"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val="en-GB" w:eastAsia="en-AU"/>
              </w:rPr>
              <w:t xml:space="preserve">Full-time employment rate (%)*: </w:t>
            </w:r>
            <w:r w:rsidR="002F3BDC" w:rsidRPr="00617A89">
              <w:rPr>
                <w:rFonts w:eastAsia="Times New Roman" w:cs="Arial"/>
                <w:color w:val="000000" w:themeColor="text1"/>
                <w:sz w:val="18"/>
                <w:lang w:eastAsia="en-AU"/>
              </w:rPr>
              <w:t>Undergraduate</w:t>
            </w:r>
          </w:p>
        </w:tc>
        <w:tc>
          <w:tcPr>
            <w:tcW w:w="1316" w:type="dxa"/>
            <w:noWrap/>
            <w:vAlign w:val="center"/>
          </w:tcPr>
          <w:p w14:paraId="39B1E506"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79.8</w:t>
            </w:r>
          </w:p>
        </w:tc>
        <w:tc>
          <w:tcPr>
            <w:tcW w:w="1316" w:type="dxa"/>
            <w:noWrap/>
            <w:vAlign w:val="center"/>
          </w:tcPr>
          <w:p w14:paraId="78ABE34E"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68.8</w:t>
            </w:r>
          </w:p>
        </w:tc>
        <w:tc>
          <w:tcPr>
            <w:tcW w:w="1316" w:type="dxa"/>
            <w:noWrap/>
            <w:vAlign w:val="center"/>
          </w:tcPr>
          <w:p w14:paraId="753C1627"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91.9</w:t>
            </w:r>
          </w:p>
        </w:tc>
        <w:tc>
          <w:tcPr>
            <w:tcW w:w="1317" w:type="dxa"/>
            <w:noWrap/>
            <w:vAlign w:val="center"/>
          </w:tcPr>
          <w:p w14:paraId="1D2AC8E3"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86.1</w:t>
            </w:r>
          </w:p>
        </w:tc>
      </w:tr>
      <w:tr w:rsidR="00C22852" w:rsidRPr="00617A89" w14:paraId="112A3E33" w14:textId="77777777" w:rsidTr="002F3BDC">
        <w:trPr>
          <w:trHeight w:val="300"/>
        </w:trPr>
        <w:tc>
          <w:tcPr>
            <w:tcW w:w="4815" w:type="dxa"/>
            <w:vAlign w:val="center"/>
            <w:hideMark/>
          </w:tcPr>
          <w:p w14:paraId="1F1C6C04" w14:textId="2B25CDB3"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val="en-GB" w:eastAsia="en-AU"/>
              </w:rPr>
              <w:t xml:space="preserve">Full-time employment rate (%)*: </w:t>
            </w:r>
            <w:r w:rsidR="002F3BDC" w:rsidRPr="00617A89">
              <w:rPr>
                <w:rFonts w:eastAsia="Times New Roman" w:cs="Arial"/>
                <w:color w:val="000000" w:themeColor="text1"/>
                <w:sz w:val="18"/>
                <w:lang w:eastAsia="en-AU"/>
              </w:rPr>
              <w:t>Postgraduate coursework</w:t>
            </w:r>
          </w:p>
        </w:tc>
        <w:tc>
          <w:tcPr>
            <w:tcW w:w="1316" w:type="dxa"/>
            <w:noWrap/>
            <w:vAlign w:val="center"/>
          </w:tcPr>
          <w:p w14:paraId="2068A8DA"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89.3</w:t>
            </w:r>
          </w:p>
        </w:tc>
        <w:tc>
          <w:tcPr>
            <w:tcW w:w="1316" w:type="dxa"/>
            <w:noWrap/>
            <w:vAlign w:val="center"/>
          </w:tcPr>
          <w:p w14:paraId="6A226D0A"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91.3</w:t>
            </w:r>
          </w:p>
        </w:tc>
        <w:tc>
          <w:tcPr>
            <w:tcW w:w="1316" w:type="dxa"/>
            <w:noWrap/>
            <w:vAlign w:val="center"/>
          </w:tcPr>
          <w:p w14:paraId="45BDFB2A"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95.3</w:t>
            </w:r>
          </w:p>
        </w:tc>
        <w:tc>
          <w:tcPr>
            <w:tcW w:w="1317" w:type="dxa"/>
            <w:noWrap/>
            <w:vAlign w:val="center"/>
          </w:tcPr>
          <w:p w14:paraId="24594EA1"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96.0</w:t>
            </w:r>
          </w:p>
        </w:tc>
      </w:tr>
      <w:tr w:rsidR="00C22852" w:rsidRPr="00617A89" w14:paraId="7ED0EE2D" w14:textId="77777777" w:rsidTr="002F3BDC">
        <w:trPr>
          <w:trHeight w:val="300"/>
        </w:trPr>
        <w:tc>
          <w:tcPr>
            <w:tcW w:w="4815" w:type="dxa"/>
            <w:vAlign w:val="center"/>
            <w:hideMark/>
          </w:tcPr>
          <w:p w14:paraId="41DA9C2C" w14:textId="72B9E3D6"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val="en-GB" w:eastAsia="en-AU"/>
              </w:rPr>
              <w:t xml:space="preserve">Overall employment rate (%)*: </w:t>
            </w:r>
            <w:r w:rsidR="002F3BDC" w:rsidRPr="00617A89">
              <w:rPr>
                <w:rFonts w:eastAsia="Times New Roman" w:cs="Arial"/>
                <w:color w:val="000000" w:themeColor="text1"/>
                <w:sz w:val="18"/>
                <w:lang w:eastAsia="en-AU"/>
              </w:rPr>
              <w:t>Undergraduate</w:t>
            </w:r>
          </w:p>
        </w:tc>
        <w:tc>
          <w:tcPr>
            <w:tcW w:w="1316" w:type="dxa"/>
            <w:noWrap/>
            <w:vAlign w:val="center"/>
          </w:tcPr>
          <w:p w14:paraId="7AA617FA"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89.4</w:t>
            </w:r>
          </w:p>
        </w:tc>
        <w:tc>
          <w:tcPr>
            <w:tcW w:w="1316" w:type="dxa"/>
            <w:noWrap/>
            <w:vAlign w:val="center"/>
          </w:tcPr>
          <w:p w14:paraId="50F2C369"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84.6</w:t>
            </w:r>
          </w:p>
        </w:tc>
        <w:tc>
          <w:tcPr>
            <w:tcW w:w="1316" w:type="dxa"/>
            <w:noWrap/>
            <w:vAlign w:val="center"/>
          </w:tcPr>
          <w:p w14:paraId="0C3F7B13"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94.6</w:t>
            </w:r>
          </w:p>
        </w:tc>
        <w:tc>
          <w:tcPr>
            <w:tcW w:w="1317" w:type="dxa"/>
            <w:noWrap/>
            <w:vAlign w:val="center"/>
          </w:tcPr>
          <w:p w14:paraId="7A6138E7"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93.0</w:t>
            </w:r>
          </w:p>
        </w:tc>
      </w:tr>
      <w:tr w:rsidR="00C22852" w:rsidRPr="00617A89" w14:paraId="40C1AB0C" w14:textId="77777777" w:rsidTr="002F3BDC">
        <w:trPr>
          <w:trHeight w:val="300"/>
        </w:trPr>
        <w:tc>
          <w:tcPr>
            <w:tcW w:w="4815" w:type="dxa"/>
            <w:vAlign w:val="center"/>
            <w:hideMark/>
          </w:tcPr>
          <w:p w14:paraId="304E22B8" w14:textId="576FCB5E"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val="en-GB" w:eastAsia="en-AU"/>
              </w:rPr>
              <w:t xml:space="preserve">Overall employment rate (%)*: </w:t>
            </w:r>
            <w:r w:rsidR="002F3BDC" w:rsidRPr="00617A89">
              <w:rPr>
                <w:rFonts w:eastAsia="Times New Roman" w:cs="Arial"/>
                <w:color w:val="000000" w:themeColor="text1"/>
                <w:sz w:val="18"/>
                <w:lang w:eastAsia="en-AU"/>
              </w:rPr>
              <w:t>Postgraduate coursework</w:t>
            </w:r>
          </w:p>
        </w:tc>
        <w:tc>
          <w:tcPr>
            <w:tcW w:w="1316" w:type="dxa"/>
            <w:noWrap/>
            <w:vAlign w:val="center"/>
          </w:tcPr>
          <w:p w14:paraId="4096B5C0"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93.8</w:t>
            </w:r>
          </w:p>
        </w:tc>
        <w:tc>
          <w:tcPr>
            <w:tcW w:w="1316" w:type="dxa"/>
            <w:noWrap/>
            <w:vAlign w:val="center"/>
          </w:tcPr>
          <w:p w14:paraId="70C75679"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93.6</w:t>
            </w:r>
          </w:p>
        </w:tc>
        <w:tc>
          <w:tcPr>
            <w:tcW w:w="1316" w:type="dxa"/>
            <w:noWrap/>
            <w:vAlign w:val="center"/>
          </w:tcPr>
          <w:p w14:paraId="2A4D43FD"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97.0</w:t>
            </w:r>
          </w:p>
        </w:tc>
        <w:tc>
          <w:tcPr>
            <w:tcW w:w="1317" w:type="dxa"/>
            <w:noWrap/>
            <w:vAlign w:val="center"/>
          </w:tcPr>
          <w:p w14:paraId="71360744"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96.8</w:t>
            </w:r>
          </w:p>
        </w:tc>
      </w:tr>
      <w:tr w:rsidR="00C22852" w:rsidRPr="00617A89" w14:paraId="368F12AB" w14:textId="77777777" w:rsidTr="002F3BDC">
        <w:trPr>
          <w:trHeight w:val="300"/>
        </w:trPr>
        <w:tc>
          <w:tcPr>
            <w:tcW w:w="4815" w:type="dxa"/>
            <w:vAlign w:val="center"/>
            <w:hideMark/>
          </w:tcPr>
          <w:p w14:paraId="2B757D4B" w14:textId="197260C9"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 xml:space="preserve">Labour force participation rate (%)*: </w:t>
            </w:r>
            <w:r w:rsidR="002F3BDC" w:rsidRPr="00617A89">
              <w:rPr>
                <w:rFonts w:eastAsia="Times New Roman" w:cs="Arial"/>
                <w:color w:val="000000" w:themeColor="text1"/>
                <w:sz w:val="18"/>
                <w:lang w:eastAsia="en-AU"/>
              </w:rPr>
              <w:t>Undergraduate</w:t>
            </w:r>
          </w:p>
        </w:tc>
        <w:tc>
          <w:tcPr>
            <w:tcW w:w="1316" w:type="dxa"/>
            <w:noWrap/>
            <w:vAlign w:val="center"/>
          </w:tcPr>
          <w:p w14:paraId="5554657C"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92.7</w:t>
            </w:r>
          </w:p>
        </w:tc>
        <w:tc>
          <w:tcPr>
            <w:tcW w:w="1316" w:type="dxa"/>
            <w:noWrap/>
            <w:vAlign w:val="center"/>
          </w:tcPr>
          <w:p w14:paraId="21C62B94"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91.5</w:t>
            </w:r>
          </w:p>
        </w:tc>
        <w:tc>
          <w:tcPr>
            <w:tcW w:w="1316" w:type="dxa"/>
            <w:noWrap/>
            <w:vAlign w:val="center"/>
          </w:tcPr>
          <w:p w14:paraId="4A8284F6"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90.4</w:t>
            </w:r>
          </w:p>
        </w:tc>
        <w:tc>
          <w:tcPr>
            <w:tcW w:w="1317" w:type="dxa"/>
            <w:noWrap/>
            <w:vAlign w:val="center"/>
          </w:tcPr>
          <w:p w14:paraId="0C33B40D"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89.4</w:t>
            </w:r>
          </w:p>
        </w:tc>
      </w:tr>
      <w:tr w:rsidR="00C22852" w:rsidRPr="00617A89" w14:paraId="7CBC48AD" w14:textId="77777777" w:rsidTr="002F3BDC">
        <w:trPr>
          <w:trHeight w:val="300"/>
        </w:trPr>
        <w:tc>
          <w:tcPr>
            <w:tcW w:w="4815" w:type="dxa"/>
            <w:vAlign w:val="center"/>
            <w:hideMark/>
          </w:tcPr>
          <w:p w14:paraId="29CBE996" w14:textId="625EEE99"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 xml:space="preserve">Labour force participation rate (%)*: </w:t>
            </w:r>
            <w:r w:rsidR="002F3BDC" w:rsidRPr="00617A89">
              <w:rPr>
                <w:rFonts w:eastAsia="Times New Roman" w:cs="Arial"/>
                <w:color w:val="000000" w:themeColor="text1"/>
                <w:sz w:val="18"/>
                <w:lang w:eastAsia="en-AU"/>
              </w:rPr>
              <w:t>Postgraduate coursework</w:t>
            </w:r>
          </w:p>
        </w:tc>
        <w:tc>
          <w:tcPr>
            <w:tcW w:w="1316" w:type="dxa"/>
            <w:noWrap/>
            <w:vAlign w:val="center"/>
          </w:tcPr>
          <w:p w14:paraId="0ECCF391"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96.3</w:t>
            </w:r>
          </w:p>
        </w:tc>
        <w:tc>
          <w:tcPr>
            <w:tcW w:w="1316" w:type="dxa"/>
            <w:noWrap/>
            <w:vAlign w:val="center"/>
          </w:tcPr>
          <w:p w14:paraId="67A8AD82"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95.2</w:t>
            </w:r>
          </w:p>
        </w:tc>
        <w:tc>
          <w:tcPr>
            <w:tcW w:w="1316" w:type="dxa"/>
            <w:noWrap/>
            <w:vAlign w:val="center"/>
          </w:tcPr>
          <w:p w14:paraId="4D153808"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93.9</w:t>
            </w:r>
          </w:p>
        </w:tc>
        <w:tc>
          <w:tcPr>
            <w:tcW w:w="1317" w:type="dxa"/>
            <w:noWrap/>
            <w:vAlign w:val="center"/>
          </w:tcPr>
          <w:p w14:paraId="421362A6"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94.3</w:t>
            </w:r>
          </w:p>
        </w:tc>
      </w:tr>
      <w:tr w:rsidR="00C22852" w:rsidRPr="00617A89" w14:paraId="6EEA30A6" w14:textId="77777777" w:rsidTr="002F3BDC">
        <w:trPr>
          <w:trHeight w:val="300"/>
        </w:trPr>
        <w:tc>
          <w:tcPr>
            <w:tcW w:w="4815" w:type="dxa"/>
            <w:vAlign w:val="center"/>
            <w:hideMark/>
          </w:tcPr>
          <w:p w14:paraId="057DB92D" w14:textId="6950BFFA"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val="en-GB" w:eastAsia="en-AU"/>
              </w:rPr>
              <w:t xml:space="preserve">Median annual full-time salary ($): </w:t>
            </w:r>
            <w:r w:rsidR="002F3BDC" w:rsidRPr="00617A89">
              <w:rPr>
                <w:rFonts w:eastAsia="Times New Roman" w:cs="Arial"/>
                <w:color w:val="000000" w:themeColor="text1"/>
                <w:sz w:val="18"/>
                <w:lang w:eastAsia="en-AU"/>
              </w:rPr>
              <w:t>Undergraduate</w:t>
            </w:r>
          </w:p>
        </w:tc>
        <w:tc>
          <w:tcPr>
            <w:tcW w:w="1316" w:type="dxa"/>
            <w:noWrap/>
            <w:vAlign w:val="center"/>
          </w:tcPr>
          <w:p w14:paraId="43359657"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69,000</w:t>
            </w:r>
          </w:p>
        </w:tc>
        <w:tc>
          <w:tcPr>
            <w:tcW w:w="1316" w:type="dxa"/>
            <w:noWrap/>
            <w:vAlign w:val="center"/>
          </w:tcPr>
          <w:p w14:paraId="79D55AC6"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62,600</w:t>
            </w:r>
          </w:p>
        </w:tc>
        <w:tc>
          <w:tcPr>
            <w:tcW w:w="1316" w:type="dxa"/>
            <w:noWrap/>
            <w:vAlign w:val="center"/>
          </w:tcPr>
          <w:p w14:paraId="09084F99"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91,200</w:t>
            </w:r>
          </w:p>
        </w:tc>
        <w:tc>
          <w:tcPr>
            <w:tcW w:w="1317" w:type="dxa"/>
            <w:noWrap/>
            <w:vAlign w:val="center"/>
          </w:tcPr>
          <w:p w14:paraId="1EE26931"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85,000</w:t>
            </w:r>
          </w:p>
        </w:tc>
      </w:tr>
      <w:tr w:rsidR="00C22852" w:rsidRPr="00617A89" w14:paraId="5ED70752" w14:textId="77777777" w:rsidTr="002F3BDC">
        <w:trPr>
          <w:trHeight w:val="300"/>
        </w:trPr>
        <w:tc>
          <w:tcPr>
            <w:tcW w:w="4815" w:type="dxa"/>
            <w:vAlign w:val="center"/>
            <w:hideMark/>
          </w:tcPr>
          <w:p w14:paraId="295944D2" w14:textId="461A4503"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val="en-GB" w:eastAsia="en-AU"/>
              </w:rPr>
              <w:t xml:space="preserve">Median annual full-time salary ($): </w:t>
            </w:r>
            <w:r w:rsidR="002F3BDC" w:rsidRPr="00617A89">
              <w:rPr>
                <w:rFonts w:eastAsia="Times New Roman" w:cs="Arial"/>
                <w:color w:val="000000" w:themeColor="text1"/>
                <w:sz w:val="18"/>
                <w:lang w:eastAsia="en-AU"/>
              </w:rPr>
              <w:t>Postgraduate coursework</w:t>
            </w:r>
          </w:p>
        </w:tc>
        <w:tc>
          <w:tcPr>
            <w:tcW w:w="1316" w:type="dxa"/>
            <w:noWrap/>
            <w:vAlign w:val="center"/>
          </w:tcPr>
          <w:p w14:paraId="60B1F126"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91,800</w:t>
            </w:r>
          </w:p>
        </w:tc>
        <w:tc>
          <w:tcPr>
            <w:tcW w:w="1316" w:type="dxa"/>
            <w:noWrap/>
            <w:vAlign w:val="center"/>
          </w:tcPr>
          <w:p w14:paraId="257D15E0"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90,000</w:t>
            </w:r>
          </w:p>
        </w:tc>
        <w:tc>
          <w:tcPr>
            <w:tcW w:w="1316" w:type="dxa"/>
            <w:noWrap/>
            <w:vAlign w:val="center"/>
          </w:tcPr>
          <w:p w14:paraId="4ABCE866"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115,000</w:t>
            </w:r>
          </w:p>
        </w:tc>
        <w:tc>
          <w:tcPr>
            <w:tcW w:w="1317" w:type="dxa"/>
            <w:noWrap/>
            <w:vAlign w:val="center"/>
          </w:tcPr>
          <w:p w14:paraId="4C2C6978"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122,000</w:t>
            </w:r>
          </w:p>
        </w:tc>
      </w:tr>
      <w:tr w:rsidR="00C22852" w:rsidRPr="00617A89" w14:paraId="0D39FE43" w14:textId="77777777" w:rsidTr="002F3BDC">
        <w:trPr>
          <w:trHeight w:val="300"/>
        </w:trPr>
        <w:tc>
          <w:tcPr>
            <w:tcW w:w="4815" w:type="dxa"/>
            <w:vAlign w:val="center"/>
            <w:hideMark/>
          </w:tcPr>
          <w:p w14:paraId="78C9BAB7" w14:textId="0A1E9266"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 xml:space="preserve">In further full-time study (%): </w:t>
            </w:r>
            <w:r w:rsidR="002F3BDC" w:rsidRPr="00617A89">
              <w:rPr>
                <w:rFonts w:eastAsia="Times New Roman" w:cs="Arial"/>
                <w:color w:val="000000" w:themeColor="text1"/>
                <w:sz w:val="18"/>
                <w:lang w:eastAsia="en-AU"/>
              </w:rPr>
              <w:t>Undergraduate</w:t>
            </w:r>
          </w:p>
        </w:tc>
        <w:tc>
          <w:tcPr>
            <w:tcW w:w="1316" w:type="dxa"/>
            <w:noWrap/>
            <w:vAlign w:val="center"/>
          </w:tcPr>
          <w:p w14:paraId="6E0CFFA8"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17.7</w:t>
            </w:r>
          </w:p>
        </w:tc>
        <w:tc>
          <w:tcPr>
            <w:tcW w:w="1316" w:type="dxa"/>
            <w:noWrap/>
            <w:vAlign w:val="center"/>
          </w:tcPr>
          <w:p w14:paraId="03B8AF92"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12.4</w:t>
            </w:r>
          </w:p>
        </w:tc>
        <w:tc>
          <w:tcPr>
            <w:tcW w:w="1316" w:type="dxa"/>
            <w:noWrap/>
            <w:vAlign w:val="center"/>
          </w:tcPr>
          <w:p w14:paraId="5F3417EE"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13.6</w:t>
            </w:r>
          </w:p>
        </w:tc>
        <w:tc>
          <w:tcPr>
            <w:tcW w:w="1317" w:type="dxa"/>
            <w:noWrap/>
            <w:vAlign w:val="center"/>
          </w:tcPr>
          <w:p w14:paraId="6C86DF86" w14:textId="77777777" w:rsidR="002F3BDC" w:rsidRPr="00617A89" w:rsidRDefault="002F3BDC" w:rsidP="002F3BDC">
            <w:pPr>
              <w:keepNext/>
              <w:jc w:val="center"/>
              <w:rPr>
                <w:rFonts w:eastAsia="Times New Roman" w:cs="Arial"/>
                <w:color w:val="000000" w:themeColor="text1"/>
                <w:sz w:val="18"/>
                <w:lang w:eastAsia="en-AU"/>
              </w:rPr>
            </w:pPr>
            <w:r w:rsidRPr="00617A89">
              <w:rPr>
                <w:rFonts w:cs="Arial"/>
                <w:color w:val="000000" w:themeColor="text1"/>
                <w:sz w:val="18"/>
              </w:rPr>
              <w:t>6.8</w:t>
            </w:r>
          </w:p>
        </w:tc>
      </w:tr>
      <w:tr w:rsidR="00C22852" w:rsidRPr="00617A89" w14:paraId="04FE8B67" w14:textId="77777777" w:rsidTr="002F3BDC">
        <w:trPr>
          <w:trHeight w:val="300"/>
        </w:trPr>
        <w:tc>
          <w:tcPr>
            <w:tcW w:w="4815" w:type="dxa"/>
            <w:vAlign w:val="center"/>
          </w:tcPr>
          <w:p w14:paraId="04DBF715" w14:textId="0EEB70A8" w:rsidR="002F3BDC" w:rsidRPr="00617A89" w:rsidRDefault="00C22852" w:rsidP="002F3BDC">
            <w:pPr>
              <w:keepNext/>
              <w:rPr>
                <w:rFonts w:eastAsia="Times New Roman" w:cs="Arial"/>
                <w:color w:val="000000" w:themeColor="text1"/>
                <w:sz w:val="18"/>
                <w:lang w:eastAsia="en-AU"/>
              </w:rPr>
            </w:pPr>
            <w:r w:rsidRPr="00617A89">
              <w:rPr>
                <w:rFonts w:eastAsia="Times New Roman" w:cs="Arial"/>
                <w:b/>
                <w:bCs/>
                <w:color w:val="000000" w:themeColor="text1"/>
                <w:sz w:val="18"/>
                <w:lang w:eastAsia="en-AU"/>
              </w:rPr>
              <w:t xml:space="preserve">In further full-time study (%): </w:t>
            </w:r>
            <w:r w:rsidR="002F3BDC" w:rsidRPr="00617A89">
              <w:rPr>
                <w:rFonts w:eastAsia="Times New Roman" w:cs="Arial"/>
                <w:color w:val="000000" w:themeColor="text1"/>
                <w:sz w:val="18"/>
                <w:lang w:eastAsia="en-AU"/>
              </w:rPr>
              <w:t>Postgraduate coursework</w:t>
            </w:r>
          </w:p>
        </w:tc>
        <w:tc>
          <w:tcPr>
            <w:tcW w:w="1316" w:type="dxa"/>
            <w:noWrap/>
            <w:vAlign w:val="center"/>
          </w:tcPr>
          <w:p w14:paraId="05A29096" w14:textId="77777777" w:rsidR="002F3BDC" w:rsidRPr="00617A89" w:rsidRDefault="002F3BDC" w:rsidP="002F3BDC">
            <w:pPr>
              <w:keepNext/>
              <w:jc w:val="center"/>
              <w:rPr>
                <w:rFonts w:cs="Arial"/>
                <w:color w:val="000000" w:themeColor="text1"/>
                <w:sz w:val="18"/>
              </w:rPr>
            </w:pPr>
            <w:r w:rsidRPr="00617A89">
              <w:rPr>
                <w:rFonts w:cs="Arial"/>
                <w:color w:val="000000" w:themeColor="text1"/>
                <w:sz w:val="18"/>
              </w:rPr>
              <w:t>6.8</w:t>
            </w:r>
          </w:p>
        </w:tc>
        <w:tc>
          <w:tcPr>
            <w:tcW w:w="1316" w:type="dxa"/>
            <w:noWrap/>
            <w:vAlign w:val="center"/>
          </w:tcPr>
          <w:p w14:paraId="4891878F" w14:textId="77777777" w:rsidR="002F3BDC" w:rsidRPr="00617A89" w:rsidRDefault="002F3BDC" w:rsidP="002F3BDC">
            <w:pPr>
              <w:keepNext/>
              <w:jc w:val="center"/>
              <w:rPr>
                <w:rFonts w:cs="Arial"/>
                <w:color w:val="000000" w:themeColor="text1"/>
                <w:sz w:val="18"/>
              </w:rPr>
            </w:pPr>
            <w:r w:rsidRPr="00617A89">
              <w:rPr>
                <w:rFonts w:cs="Arial"/>
                <w:color w:val="000000" w:themeColor="text1"/>
                <w:sz w:val="18"/>
              </w:rPr>
              <w:t>7.1</w:t>
            </w:r>
          </w:p>
        </w:tc>
        <w:tc>
          <w:tcPr>
            <w:tcW w:w="1316" w:type="dxa"/>
            <w:noWrap/>
            <w:vAlign w:val="center"/>
          </w:tcPr>
          <w:p w14:paraId="120A5437" w14:textId="77777777" w:rsidR="002F3BDC" w:rsidRPr="00617A89" w:rsidRDefault="002F3BDC" w:rsidP="002F3BDC">
            <w:pPr>
              <w:keepNext/>
              <w:jc w:val="center"/>
              <w:rPr>
                <w:rFonts w:cs="Arial"/>
                <w:color w:val="000000" w:themeColor="text1"/>
                <w:sz w:val="18"/>
              </w:rPr>
            </w:pPr>
            <w:r w:rsidRPr="00617A89">
              <w:rPr>
                <w:rFonts w:cs="Arial"/>
                <w:color w:val="000000" w:themeColor="text1"/>
                <w:sz w:val="18"/>
              </w:rPr>
              <w:t>5.1</w:t>
            </w:r>
          </w:p>
        </w:tc>
        <w:tc>
          <w:tcPr>
            <w:tcW w:w="1317" w:type="dxa"/>
            <w:noWrap/>
            <w:vAlign w:val="center"/>
          </w:tcPr>
          <w:p w14:paraId="314D7E99" w14:textId="77777777" w:rsidR="002F3BDC" w:rsidRPr="00617A89" w:rsidRDefault="002F3BDC" w:rsidP="002F3BDC">
            <w:pPr>
              <w:keepNext/>
              <w:jc w:val="center"/>
              <w:rPr>
                <w:rFonts w:cs="Arial"/>
                <w:color w:val="000000" w:themeColor="text1"/>
                <w:sz w:val="18"/>
              </w:rPr>
            </w:pPr>
            <w:r w:rsidRPr="00617A89">
              <w:rPr>
                <w:rFonts w:cs="Arial"/>
                <w:color w:val="000000" w:themeColor="text1"/>
                <w:sz w:val="18"/>
              </w:rPr>
              <w:t>3.3</w:t>
            </w:r>
          </w:p>
        </w:tc>
      </w:tr>
    </w:tbl>
    <w:p w14:paraId="586F4887" w14:textId="15B6FC26" w:rsidR="002F3BDC" w:rsidRPr="00617A89" w:rsidRDefault="002F3BDC" w:rsidP="00AB4EA3">
      <w:pPr>
        <w:pStyle w:val="FigureNote"/>
        <w:rPr>
          <w:color w:val="000000" w:themeColor="text1"/>
          <w:sz w:val="18"/>
          <w:szCs w:val="24"/>
        </w:rPr>
      </w:pPr>
      <w:r w:rsidRPr="00617A89">
        <w:rPr>
          <w:color w:val="000000" w:themeColor="text1"/>
          <w:sz w:val="18"/>
          <w:szCs w:val="24"/>
        </w:rPr>
        <w:t xml:space="preserve">* </w:t>
      </w:r>
      <w:r w:rsidR="002F7556" w:rsidRPr="00617A89">
        <w:rPr>
          <w:color w:val="000000" w:themeColor="text1"/>
          <w:sz w:val="18"/>
          <w:szCs w:val="24"/>
        </w:rPr>
        <w:t>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w:t>
      </w:r>
      <w:r w:rsidRPr="00617A89">
        <w:rPr>
          <w:color w:val="000000" w:themeColor="text1"/>
          <w:sz w:val="18"/>
          <w:szCs w:val="24"/>
        </w:rPr>
        <w:t xml:space="preserve"> See </w:t>
      </w:r>
      <w:r w:rsidRPr="00617A89">
        <w:rPr>
          <w:b/>
          <w:bCs/>
          <w:color w:val="000000" w:themeColor="text1"/>
          <w:sz w:val="18"/>
          <w:szCs w:val="24"/>
        </w:rPr>
        <w:t>Appendix 1</w:t>
      </w:r>
      <w:r w:rsidRPr="00617A89">
        <w:rPr>
          <w:color w:val="000000" w:themeColor="text1"/>
          <w:sz w:val="18"/>
          <w:szCs w:val="24"/>
        </w:rPr>
        <w:t xml:space="preserve"> for further information.</w:t>
      </w:r>
    </w:p>
    <w:p w14:paraId="35C7D900" w14:textId="079D665C" w:rsidR="00910822" w:rsidRPr="00617A89" w:rsidRDefault="00910822" w:rsidP="002F3BDC">
      <w:pPr>
        <w:pStyle w:val="Body"/>
        <w:rPr>
          <w:color w:val="000000" w:themeColor="text1"/>
        </w:rPr>
      </w:pPr>
      <w:r w:rsidRPr="00617A89">
        <w:rPr>
          <w:color w:val="000000" w:themeColor="text1"/>
        </w:rPr>
        <w:t xml:space="preserve">A key point of difference between undergraduates studying at universities compared to NUHEIs was age – 62.1 per cent of undergraduates from NUHEIs were aged over 30 compared to only 32.6 per cent of university undergraduates. </w:t>
      </w:r>
      <w:r w:rsidR="00402972" w:rsidRPr="00617A89">
        <w:rPr>
          <w:color w:val="000000" w:themeColor="text1"/>
        </w:rPr>
        <w:t xml:space="preserve">This points to </w:t>
      </w:r>
      <w:r w:rsidR="00AA3ADF" w:rsidRPr="00617A89">
        <w:rPr>
          <w:color w:val="000000" w:themeColor="text1"/>
        </w:rPr>
        <w:t>a preference older graduates</w:t>
      </w:r>
      <w:r w:rsidR="00505C0E" w:rsidRPr="00617A89">
        <w:rPr>
          <w:color w:val="000000" w:themeColor="text1"/>
        </w:rPr>
        <w:t xml:space="preserve"> –</w:t>
      </w:r>
      <w:r w:rsidR="0096764E" w:rsidRPr="00617A89">
        <w:rPr>
          <w:color w:val="000000" w:themeColor="text1"/>
        </w:rPr>
        <w:t xml:space="preserve"> who are likely to be at a different life stage with other</w:t>
      </w:r>
      <w:r w:rsidR="00D43397" w:rsidRPr="00617A89">
        <w:rPr>
          <w:color w:val="000000" w:themeColor="text1"/>
        </w:rPr>
        <w:t xml:space="preserve"> interests and</w:t>
      </w:r>
      <w:r w:rsidR="0096764E" w:rsidRPr="00617A89">
        <w:rPr>
          <w:color w:val="000000" w:themeColor="text1"/>
        </w:rPr>
        <w:t xml:space="preserve"> responsibilities beyond their careers</w:t>
      </w:r>
      <w:r w:rsidR="00585A2C" w:rsidRPr="00617A89">
        <w:rPr>
          <w:color w:val="000000" w:themeColor="text1"/>
        </w:rPr>
        <w:t xml:space="preserve"> – </w:t>
      </w:r>
      <w:r w:rsidR="00AA3ADF" w:rsidRPr="00617A89">
        <w:rPr>
          <w:color w:val="000000" w:themeColor="text1"/>
        </w:rPr>
        <w:t>may have for studying at a NUHEI</w:t>
      </w:r>
      <w:r w:rsidR="003974DE" w:rsidRPr="00617A89">
        <w:rPr>
          <w:color w:val="000000" w:themeColor="text1"/>
        </w:rPr>
        <w:t>.</w:t>
      </w:r>
      <w:r w:rsidRPr="00617A89">
        <w:rPr>
          <w:color w:val="000000" w:themeColor="text1"/>
        </w:rPr>
        <w:t xml:space="preserve"> </w:t>
      </w:r>
      <w:r w:rsidR="00736436" w:rsidRPr="00617A89">
        <w:rPr>
          <w:color w:val="000000" w:themeColor="text1"/>
        </w:rPr>
        <w:t>This difference in</w:t>
      </w:r>
      <w:r w:rsidR="00F04FFB" w:rsidRPr="00617A89">
        <w:rPr>
          <w:color w:val="000000" w:themeColor="text1"/>
        </w:rPr>
        <w:t xml:space="preserve"> the</w:t>
      </w:r>
      <w:r w:rsidR="00736436" w:rsidRPr="00617A89">
        <w:rPr>
          <w:color w:val="000000" w:themeColor="text1"/>
        </w:rPr>
        <w:t xml:space="preserve"> age profile of </w:t>
      </w:r>
      <w:r w:rsidR="00DE54C6" w:rsidRPr="00617A89">
        <w:rPr>
          <w:color w:val="000000" w:themeColor="text1"/>
        </w:rPr>
        <w:t xml:space="preserve">undergraduates from </w:t>
      </w:r>
      <w:r w:rsidR="00736436" w:rsidRPr="00617A89">
        <w:rPr>
          <w:color w:val="000000" w:themeColor="text1"/>
        </w:rPr>
        <w:t>NUHEIs</w:t>
      </w:r>
      <w:r w:rsidR="00850786" w:rsidRPr="00617A89">
        <w:rPr>
          <w:color w:val="000000" w:themeColor="text1"/>
        </w:rPr>
        <w:t xml:space="preserve"> may </w:t>
      </w:r>
      <w:r w:rsidR="0065782D" w:rsidRPr="00617A89">
        <w:rPr>
          <w:color w:val="000000" w:themeColor="text1"/>
        </w:rPr>
        <w:t xml:space="preserve">also </w:t>
      </w:r>
      <w:r w:rsidR="00F02D5A" w:rsidRPr="00617A89">
        <w:rPr>
          <w:color w:val="000000" w:themeColor="text1"/>
        </w:rPr>
        <w:t>explain</w:t>
      </w:r>
      <w:r w:rsidR="00850786" w:rsidRPr="00617A89">
        <w:rPr>
          <w:color w:val="000000" w:themeColor="text1"/>
        </w:rPr>
        <w:t xml:space="preserve"> the lower full-time employment rates but closer overall employment rates to undergraduates from universities</w:t>
      </w:r>
      <w:r w:rsidR="00BA40C3" w:rsidRPr="00617A89">
        <w:rPr>
          <w:color w:val="000000" w:themeColor="text1"/>
        </w:rPr>
        <w:t>.</w:t>
      </w:r>
    </w:p>
    <w:p w14:paraId="4EDCB129" w14:textId="58E5B306" w:rsidR="00910822" w:rsidRPr="00617A89" w:rsidRDefault="00910822" w:rsidP="00910822">
      <w:pPr>
        <w:pStyle w:val="Body"/>
        <w:rPr>
          <w:color w:val="000000" w:themeColor="text1"/>
        </w:rPr>
      </w:pPr>
      <w:r w:rsidRPr="00617A89">
        <w:rPr>
          <w:color w:val="000000" w:themeColor="text1"/>
        </w:rPr>
        <w:t>Another key factor likely impacting outcomes at the undergraduate level is the study area profile of graduates from universities compared to NUHEIs. For instance, approximately 60 per cent of NUEHI undergraduates completed courses in the areas of Creative arts, Health services and support, Social work, and Humanities, culture and social sciences – study areas with relatively low to average full-time employment rates at the undergraduate level (</w:t>
      </w:r>
      <w:r w:rsidR="00C4620F" w:rsidRPr="00617A89">
        <w:rPr>
          <w:b/>
          <w:bCs/>
          <w:color w:val="000000" w:themeColor="text1"/>
        </w:rPr>
        <w:fldChar w:fldCharType="begin"/>
      </w:r>
      <w:r w:rsidR="00C4620F" w:rsidRPr="00617A89">
        <w:rPr>
          <w:b/>
          <w:bCs/>
          <w:color w:val="000000" w:themeColor="text1"/>
        </w:rPr>
        <w:instrText xml:space="preserve"> REF _Ref202262609 \h </w:instrText>
      </w:r>
      <w:r w:rsidR="00337959" w:rsidRPr="00617A89">
        <w:rPr>
          <w:b/>
          <w:bCs/>
          <w:color w:val="000000" w:themeColor="text1"/>
        </w:rPr>
        <w:instrText xml:space="preserve"> \* MERGEFORMAT</w:instrText>
      </w:r>
      <w:r w:rsidR="00337959" w:rsidRPr="00617A89">
        <w:rPr>
          <w:b/>
          <w:color w:val="000000" w:themeColor="text1"/>
        </w:rPr>
        <w:instrText xml:space="preserve"> </w:instrText>
      </w:r>
      <w:r w:rsidR="00C4620F" w:rsidRPr="00617A89">
        <w:rPr>
          <w:b/>
          <w:bCs/>
          <w:color w:val="000000" w:themeColor="text1"/>
        </w:rPr>
      </w:r>
      <w:r w:rsidR="00C4620F" w:rsidRPr="00617A89">
        <w:rPr>
          <w:b/>
          <w:bCs/>
          <w:color w:val="000000" w:themeColor="text1"/>
        </w:rPr>
        <w:fldChar w:fldCharType="separate"/>
      </w:r>
      <w:r w:rsidR="00DB7C31" w:rsidRPr="00617A89">
        <w:rPr>
          <w:b/>
          <w:bCs/>
          <w:color w:val="000000" w:themeColor="text1"/>
        </w:rPr>
        <w:t xml:space="preserve">Table </w:t>
      </w:r>
      <w:r w:rsidR="00DB7C31" w:rsidRPr="00617A89">
        <w:rPr>
          <w:b/>
          <w:bCs/>
          <w:noProof/>
          <w:color w:val="000000" w:themeColor="text1"/>
        </w:rPr>
        <w:t>5</w:t>
      </w:r>
      <w:r w:rsidR="00C4620F" w:rsidRPr="00617A89">
        <w:rPr>
          <w:b/>
          <w:bCs/>
          <w:color w:val="000000" w:themeColor="text1"/>
        </w:rPr>
        <w:fldChar w:fldCharType="end"/>
      </w:r>
      <w:r w:rsidRPr="00617A89">
        <w:rPr>
          <w:color w:val="000000" w:themeColor="text1"/>
        </w:rPr>
        <w:t>).</w:t>
      </w:r>
    </w:p>
    <w:p w14:paraId="03855BC6" w14:textId="1D2BF8C6" w:rsidR="00910822" w:rsidRPr="00617A89" w:rsidRDefault="00910822" w:rsidP="00910822">
      <w:pPr>
        <w:pStyle w:val="Body"/>
        <w:rPr>
          <w:color w:val="000000" w:themeColor="text1"/>
        </w:rPr>
      </w:pPr>
      <w:r w:rsidRPr="00617A89">
        <w:rPr>
          <w:color w:val="000000" w:themeColor="text1"/>
        </w:rPr>
        <w:t xml:space="preserve">In contrast, undergraduates from universities completed qualifications from a more diverse range of study areas. These differences in study area profiles are also likely to explain differences in further full-time study rates between institution types at the undergraduate level. In the short-term, undergraduates from the Science and mathematics and Psychology study areas reported the highest further full-time study rates – 34.5 per cent and 30.8 per cent respectively – and in the medium-term, the highest rates reported were from Science and mathematics and Medicine – 32.7 per cent and 21.1 per cent respectively. Only 5.2 per cent of </w:t>
      </w:r>
      <w:r w:rsidR="00D174D1" w:rsidRPr="00617A89">
        <w:rPr>
          <w:color w:val="000000" w:themeColor="text1"/>
        </w:rPr>
        <w:t xml:space="preserve">NUHEI </w:t>
      </w:r>
      <w:r w:rsidRPr="00617A89">
        <w:rPr>
          <w:color w:val="000000" w:themeColor="text1"/>
        </w:rPr>
        <w:t>undergraduates completed courses in these 3 study areas, compared to 20.2 per cent of university undergraduates.</w:t>
      </w:r>
    </w:p>
    <w:p w14:paraId="2E1E614B" w14:textId="62421B38" w:rsidR="00910822" w:rsidRPr="00617A89" w:rsidRDefault="00910822" w:rsidP="00910822">
      <w:pPr>
        <w:pStyle w:val="Body"/>
        <w:rPr>
          <w:color w:val="000000" w:themeColor="text1"/>
        </w:rPr>
      </w:pPr>
      <w:r w:rsidRPr="00617A89">
        <w:rPr>
          <w:color w:val="000000" w:themeColor="text1"/>
        </w:rPr>
        <w:t>There was very little difference in outcomes at the postgraduate level between institution types (</w:t>
      </w:r>
      <w:r w:rsidR="00D861B9" w:rsidRPr="00617A89">
        <w:rPr>
          <w:b/>
          <w:bCs/>
          <w:color w:val="000000" w:themeColor="text1"/>
        </w:rPr>
        <w:fldChar w:fldCharType="begin"/>
      </w:r>
      <w:r w:rsidR="00D861B9" w:rsidRPr="00617A89">
        <w:rPr>
          <w:b/>
          <w:bCs/>
          <w:color w:val="000000" w:themeColor="text1"/>
        </w:rPr>
        <w:instrText xml:space="preserve"> REF _Ref207357679 \h  \* MERGEFORMAT </w:instrText>
      </w:r>
      <w:r w:rsidR="00D861B9" w:rsidRPr="00617A89">
        <w:rPr>
          <w:b/>
          <w:bCs/>
          <w:color w:val="000000" w:themeColor="text1"/>
        </w:rPr>
      </w:r>
      <w:r w:rsidR="00D861B9" w:rsidRPr="00617A89">
        <w:rPr>
          <w:b/>
          <w:bCs/>
          <w:color w:val="000000" w:themeColor="text1"/>
        </w:rPr>
        <w:fldChar w:fldCharType="separate"/>
      </w:r>
      <w:r w:rsidR="00DB7C31" w:rsidRPr="00617A89">
        <w:rPr>
          <w:b/>
          <w:bCs/>
          <w:color w:val="000000" w:themeColor="text1"/>
        </w:rPr>
        <w:t xml:space="preserve">Table </w:t>
      </w:r>
      <w:r w:rsidR="00DB7C31" w:rsidRPr="00617A89">
        <w:rPr>
          <w:b/>
          <w:bCs/>
          <w:noProof/>
          <w:color w:val="000000" w:themeColor="text1"/>
        </w:rPr>
        <w:t>6</w:t>
      </w:r>
      <w:r w:rsidR="00D861B9" w:rsidRPr="00617A89">
        <w:rPr>
          <w:b/>
          <w:bCs/>
          <w:color w:val="000000" w:themeColor="text1"/>
        </w:rPr>
        <w:fldChar w:fldCharType="end"/>
      </w:r>
      <w:r w:rsidRPr="00617A89">
        <w:rPr>
          <w:color w:val="000000" w:themeColor="text1"/>
        </w:rPr>
        <w:t xml:space="preserve">). Postgraduate coursework graduates from NUHEIs reported slightly higher full-time employment rates in the short-term compared to university graduates, 91.3 per cent and 89.3 per cent respectively. Notably, the median salaries of postgraduate coursework graduates were broadly similar in the short-term, but </w:t>
      </w:r>
      <w:r w:rsidR="008306BA" w:rsidRPr="00617A89">
        <w:rPr>
          <w:color w:val="000000" w:themeColor="text1"/>
        </w:rPr>
        <w:t>were</w:t>
      </w:r>
      <w:r w:rsidRPr="00617A89">
        <w:rPr>
          <w:color w:val="000000" w:themeColor="text1"/>
        </w:rPr>
        <w:t xml:space="preserve"> markedly higher for NUHEI graduates 3 years later - $122,000 compared to $115,000 for university graduates.</w:t>
      </w:r>
    </w:p>
    <w:p w14:paraId="5E875415" w14:textId="6B9716C2" w:rsidR="00910822" w:rsidRPr="00617A89" w:rsidRDefault="00910822" w:rsidP="00910822">
      <w:pPr>
        <w:pStyle w:val="Body"/>
        <w:rPr>
          <w:color w:val="000000" w:themeColor="text1"/>
        </w:rPr>
      </w:pPr>
      <w:r w:rsidRPr="00617A89">
        <w:rPr>
          <w:color w:val="000000" w:themeColor="text1"/>
        </w:rPr>
        <w:t>Postgraduate coursework graduates from NUHEIs were even more concentrated in a small number of study areas than undergraduates, and this profile differed greatly to the equivalent university cohort, which may explain the higher medium-term median salary. More than half of NUHEI postgraduate coursework graduates completed qualifications in the areas of Business and management and Law and paralegal studies</w:t>
      </w:r>
      <w:r w:rsidR="0048144D" w:rsidRPr="00617A89">
        <w:rPr>
          <w:color w:val="000000" w:themeColor="text1"/>
        </w:rPr>
        <w:t xml:space="preserve"> – </w:t>
      </w:r>
      <w:r w:rsidRPr="00617A89">
        <w:rPr>
          <w:color w:val="000000" w:themeColor="text1"/>
        </w:rPr>
        <w:t>study areas with some of the highest median salaries reported in the medium-term at the postgraduate coursework level (</w:t>
      </w:r>
      <w:r w:rsidR="00D861B9" w:rsidRPr="00617A89">
        <w:rPr>
          <w:b/>
          <w:bCs/>
          <w:color w:val="000000" w:themeColor="text1"/>
        </w:rPr>
        <w:t xml:space="preserve">Appendix </w:t>
      </w:r>
      <w:r w:rsidR="009D192F" w:rsidRPr="00617A89">
        <w:rPr>
          <w:b/>
          <w:bCs/>
          <w:color w:val="000000" w:themeColor="text1"/>
        </w:rPr>
        <w:t>3</w:t>
      </w:r>
      <w:r w:rsidR="00D861B9" w:rsidRPr="00617A89">
        <w:rPr>
          <w:b/>
          <w:bCs/>
          <w:color w:val="000000" w:themeColor="text1"/>
        </w:rPr>
        <w:t>,</w:t>
      </w:r>
      <w:r w:rsidR="00AE502E" w:rsidRPr="00617A89">
        <w:rPr>
          <w:b/>
          <w:bCs/>
          <w:color w:val="000000" w:themeColor="text1"/>
        </w:rPr>
        <w:t xml:space="preserve"> </w:t>
      </w:r>
      <w:r w:rsidR="00AE502E" w:rsidRPr="00617A89">
        <w:rPr>
          <w:b/>
          <w:bCs/>
          <w:color w:val="000000" w:themeColor="text1"/>
        </w:rPr>
        <w:fldChar w:fldCharType="begin"/>
      </w:r>
      <w:r w:rsidR="00AE502E" w:rsidRPr="00617A89">
        <w:rPr>
          <w:b/>
          <w:bCs/>
          <w:color w:val="000000" w:themeColor="text1"/>
        </w:rPr>
        <w:instrText xml:space="preserve"> REF _Ref207356837 \h  \* MERGEFORMAT </w:instrText>
      </w:r>
      <w:r w:rsidR="00AE502E" w:rsidRPr="00617A89">
        <w:rPr>
          <w:b/>
          <w:bCs/>
          <w:color w:val="000000" w:themeColor="text1"/>
        </w:rPr>
      </w:r>
      <w:r w:rsidR="00AE502E"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19</w:t>
      </w:r>
      <w:r w:rsidR="00AE502E" w:rsidRPr="00617A89">
        <w:rPr>
          <w:b/>
          <w:bCs/>
          <w:color w:val="000000" w:themeColor="text1"/>
        </w:rPr>
        <w:fldChar w:fldCharType="end"/>
      </w:r>
      <w:r w:rsidRPr="00617A89">
        <w:rPr>
          <w:color w:val="000000" w:themeColor="text1"/>
        </w:rPr>
        <w:t>).</w:t>
      </w:r>
    </w:p>
    <w:p w14:paraId="08B1A1AB" w14:textId="57C5AC6A" w:rsidR="00910822" w:rsidRPr="00617A89" w:rsidRDefault="00910822" w:rsidP="00910822">
      <w:pPr>
        <w:pStyle w:val="Body"/>
        <w:rPr>
          <w:color w:val="000000" w:themeColor="text1"/>
        </w:rPr>
      </w:pPr>
      <w:r w:rsidRPr="00617A89">
        <w:rPr>
          <w:color w:val="000000" w:themeColor="text1"/>
        </w:rPr>
        <w:t>Like undergraduates from universities, postgraduate coursework graduates were from a more diverse range of study areas than their equivalent NUHEI counterparts. The largest study area, Teacher education, accounted for 18.6 per cent of university graduates at the postgraduate coursework level and Teacher education graduates reported below average median salaries in the short- and medium-term nationally (</w:t>
      </w:r>
      <w:r w:rsidR="00D861B9" w:rsidRPr="00617A89">
        <w:rPr>
          <w:b/>
          <w:bCs/>
          <w:color w:val="000000" w:themeColor="text1"/>
        </w:rPr>
        <w:t xml:space="preserve">Appendix </w:t>
      </w:r>
      <w:r w:rsidR="009D192F" w:rsidRPr="00617A89">
        <w:rPr>
          <w:b/>
          <w:bCs/>
          <w:color w:val="000000" w:themeColor="text1"/>
        </w:rPr>
        <w:t>3</w:t>
      </w:r>
      <w:r w:rsidR="00D861B9" w:rsidRPr="00617A89">
        <w:rPr>
          <w:b/>
          <w:bCs/>
          <w:color w:val="000000" w:themeColor="text1"/>
        </w:rPr>
        <w:t>,</w:t>
      </w:r>
      <w:r w:rsidR="00AE502E" w:rsidRPr="00617A89">
        <w:rPr>
          <w:b/>
          <w:bCs/>
          <w:color w:val="000000" w:themeColor="text1"/>
        </w:rPr>
        <w:t xml:space="preserve"> </w:t>
      </w:r>
      <w:r w:rsidR="00AE502E" w:rsidRPr="00617A89">
        <w:rPr>
          <w:b/>
          <w:bCs/>
          <w:color w:val="000000" w:themeColor="text1"/>
        </w:rPr>
        <w:fldChar w:fldCharType="begin"/>
      </w:r>
      <w:r w:rsidR="00AE502E" w:rsidRPr="00617A89">
        <w:rPr>
          <w:b/>
          <w:bCs/>
          <w:color w:val="000000" w:themeColor="text1"/>
        </w:rPr>
        <w:instrText xml:space="preserve"> REF _Ref207356837 \h  \* MERGEFORMAT </w:instrText>
      </w:r>
      <w:r w:rsidR="00AE502E" w:rsidRPr="00617A89">
        <w:rPr>
          <w:b/>
          <w:bCs/>
          <w:color w:val="000000" w:themeColor="text1"/>
        </w:rPr>
      </w:r>
      <w:r w:rsidR="00AE502E"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19</w:t>
      </w:r>
      <w:r w:rsidR="00AE502E" w:rsidRPr="00617A89">
        <w:rPr>
          <w:b/>
          <w:bCs/>
          <w:color w:val="000000" w:themeColor="text1"/>
        </w:rPr>
        <w:fldChar w:fldCharType="end"/>
      </w:r>
      <w:r w:rsidRPr="00617A89">
        <w:rPr>
          <w:color w:val="000000" w:themeColor="text1"/>
        </w:rPr>
        <w:t>).</w:t>
      </w:r>
    </w:p>
    <w:p w14:paraId="2544A381" w14:textId="4C287CA1" w:rsidR="00910822" w:rsidRPr="00617A89" w:rsidRDefault="00910822" w:rsidP="00910822">
      <w:pPr>
        <w:pStyle w:val="Heading3"/>
        <w:rPr>
          <w:color w:val="000000" w:themeColor="text1"/>
        </w:rPr>
      </w:pPr>
      <w:bookmarkStart w:id="154" w:name="_Toc222868450"/>
      <w:r w:rsidRPr="00617A89">
        <w:rPr>
          <w:color w:val="000000" w:themeColor="text1"/>
        </w:rPr>
        <w:t>Comparative university outcomes</w:t>
      </w:r>
      <w:bookmarkEnd w:id="154"/>
      <w:r w:rsidRPr="00617A89">
        <w:rPr>
          <w:color w:val="000000" w:themeColor="text1"/>
        </w:rPr>
        <w:t xml:space="preserve"> </w:t>
      </w:r>
    </w:p>
    <w:p w14:paraId="2497848C" w14:textId="77777777" w:rsidR="00C22852" w:rsidRPr="00617A89" w:rsidRDefault="00C22852" w:rsidP="00C22852">
      <w:pPr>
        <w:rPr>
          <w:b/>
          <w:bCs/>
        </w:rPr>
      </w:pPr>
      <w:bookmarkStart w:id="155" w:name="_Hlk149647409"/>
      <w:r w:rsidRPr="00617A89">
        <w:rPr>
          <w:b/>
          <w:bCs/>
        </w:rPr>
        <w:t>Notwithstanding differences in course offerings, student populations and local labour markets, some universities achieve higher rates of full-time employment than others over the medium-term.</w:t>
      </w:r>
    </w:p>
    <w:p w14:paraId="554158D0" w14:textId="5655D1FF" w:rsidR="00910822" w:rsidRPr="00617A89" w:rsidRDefault="00910822" w:rsidP="00910822">
      <w:pPr>
        <w:pStyle w:val="Body"/>
        <w:rPr>
          <w:color w:val="000000" w:themeColor="text1"/>
        </w:rPr>
      </w:pPr>
      <w:r w:rsidRPr="00617A89">
        <w:rPr>
          <w:color w:val="000000" w:themeColor="text1"/>
        </w:rPr>
        <w:t xml:space="preserve">Employment and salary outcomes vary across institutions. Note that factors beyond the quality of teaching, careers advice and other internal influences can affect results for institutions. These include study area </w:t>
      </w:r>
      <w:r w:rsidR="0067510C" w:rsidRPr="00617A89">
        <w:rPr>
          <w:color w:val="000000" w:themeColor="text1"/>
        </w:rPr>
        <w:t xml:space="preserve">and study mode </w:t>
      </w:r>
      <w:r w:rsidRPr="00617A89">
        <w:rPr>
          <w:color w:val="000000" w:themeColor="text1"/>
        </w:rPr>
        <w:t>offerings, the composition of the student population</w:t>
      </w:r>
      <w:r w:rsidR="00F8335F" w:rsidRPr="00617A89">
        <w:rPr>
          <w:color w:val="000000" w:themeColor="text1"/>
        </w:rPr>
        <w:t>,</w:t>
      </w:r>
      <w:r w:rsidRPr="00617A89">
        <w:rPr>
          <w:color w:val="000000" w:themeColor="text1"/>
        </w:rPr>
        <w:t xml:space="preserve"> and variations in state/territory and regional labour markets. </w:t>
      </w:r>
    </w:p>
    <w:p w14:paraId="46F9124E" w14:textId="756088E9" w:rsidR="00910822" w:rsidRPr="00617A89" w:rsidRDefault="00910822" w:rsidP="00910822">
      <w:pPr>
        <w:widowControl w:val="0"/>
        <w:suppressAutoHyphens/>
        <w:autoSpaceDE w:val="0"/>
        <w:autoSpaceDN w:val="0"/>
        <w:adjustRightInd w:val="0"/>
        <w:spacing w:before="120" w:line="280" w:lineRule="atLeast"/>
        <w:textAlignment w:val="center"/>
        <w:rPr>
          <w:rFonts w:ascii="ArialMT" w:hAnsi="ArialMT"/>
          <w:color w:val="000000" w:themeColor="text1"/>
        </w:rPr>
      </w:pPr>
      <w:r w:rsidRPr="00617A89">
        <w:rPr>
          <w:color w:val="000000" w:themeColor="text1"/>
        </w:rPr>
        <w:t xml:space="preserve">To assist interpretation of results, 90 per cent confidence intervals are included in the figures and tables that follow, which indicate the confidence intervals for the survey estimates. </w:t>
      </w:r>
      <w:r w:rsidRPr="00617A89">
        <w:rPr>
          <w:rFonts w:ascii="ArialMT" w:hAnsi="ArialMT"/>
          <w:color w:val="000000" w:themeColor="text1"/>
        </w:rPr>
        <w:t xml:space="preserve">Note that where </w:t>
      </w:r>
      <w:r w:rsidRPr="00617A89">
        <w:rPr>
          <w:color w:val="000000" w:themeColor="text1"/>
        </w:rPr>
        <w:t xml:space="preserve">confidence intervals for institution estimates overlap, as seen in </w:t>
      </w:r>
      <w:r w:rsidRPr="00617A89">
        <w:rPr>
          <w:b/>
          <w:bCs/>
          <w:color w:val="000000" w:themeColor="text1"/>
        </w:rPr>
        <w:fldChar w:fldCharType="begin"/>
      </w:r>
      <w:r w:rsidRPr="00617A89">
        <w:rPr>
          <w:b/>
          <w:bCs/>
          <w:color w:val="000000" w:themeColor="text1"/>
        </w:rPr>
        <w:instrText xml:space="preserve"> REF _Ref140659573 \h  \* MERGEFORMAT </w:instrText>
      </w:r>
      <w:r w:rsidRPr="00617A89">
        <w:rPr>
          <w:b/>
          <w:bCs/>
          <w:color w:val="000000" w:themeColor="text1"/>
        </w:rPr>
      </w:r>
      <w:r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17</w:t>
      </w:r>
      <w:r w:rsidRPr="00617A89">
        <w:rPr>
          <w:b/>
          <w:bCs/>
          <w:color w:val="000000" w:themeColor="text1"/>
        </w:rPr>
        <w:fldChar w:fldCharType="end"/>
      </w:r>
      <w:r w:rsidRPr="00617A89">
        <w:rPr>
          <w:color w:val="000000" w:themeColor="text1"/>
        </w:rPr>
        <w:t xml:space="preserve"> and </w:t>
      </w:r>
      <w:r w:rsidRPr="00617A89">
        <w:rPr>
          <w:b/>
          <w:bCs/>
          <w:color w:val="000000" w:themeColor="text1"/>
        </w:rPr>
        <w:fldChar w:fldCharType="begin"/>
      </w:r>
      <w:r w:rsidRPr="00617A89">
        <w:rPr>
          <w:b/>
          <w:bCs/>
          <w:color w:val="000000" w:themeColor="text1"/>
        </w:rPr>
        <w:instrText xml:space="preserve"> REF _Ref140659565 \h  \* MERGEFORMAT </w:instrText>
      </w:r>
      <w:r w:rsidRPr="00617A89">
        <w:rPr>
          <w:b/>
          <w:bCs/>
          <w:color w:val="000000" w:themeColor="text1"/>
        </w:rPr>
      </w:r>
      <w:r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18</w:t>
      </w:r>
      <w:r w:rsidRPr="00617A89">
        <w:rPr>
          <w:b/>
          <w:bCs/>
          <w:color w:val="000000" w:themeColor="text1"/>
        </w:rPr>
        <w:fldChar w:fldCharType="end"/>
      </w:r>
      <w:r w:rsidRPr="00617A89">
        <w:rPr>
          <w:color w:val="000000" w:themeColor="text1"/>
        </w:rPr>
        <w:t>, it cannot be inferred that there is or is not a significant difference in full-time employment outcomes in a statistical sense.</w:t>
      </w:r>
      <w:r w:rsidRPr="00617A89">
        <w:rPr>
          <w:rStyle w:val="FootnoteReference"/>
          <w:rFonts w:ascii="ArialMT" w:hAnsi="ArialMT"/>
          <w:b/>
          <w:bCs/>
          <w:color w:val="000000" w:themeColor="text1"/>
        </w:rPr>
        <w:footnoteReference w:id="15"/>
      </w:r>
    </w:p>
    <w:p w14:paraId="5C402602" w14:textId="77777777" w:rsidR="00910822" w:rsidRPr="00617A89" w:rsidRDefault="00910822" w:rsidP="00910822">
      <w:pPr>
        <w:widowControl w:val="0"/>
        <w:suppressAutoHyphens/>
        <w:autoSpaceDE w:val="0"/>
        <w:autoSpaceDN w:val="0"/>
        <w:adjustRightInd w:val="0"/>
        <w:spacing w:before="120" w:line="280" w:lineRule="atLeast"/>
        <w:textAlignment w:val="center"/>
        <w:rPr>
          <w:rFonts w:ascii="ArialMT" w:hAnsi="ArialMT"/>
          <w:color w:val="000000" w:themeColor="text1"/>
        </w:rPr>
      </w:pPr>
      <w:r w:rsidRPr="00617A89">
        <w:rPr>
          <w:rFonts w:ascii="ArialMT" w:hAnsi="ArialMT"/>
          <w:color w:val="000000" w:themeColor="text1"/>
        </w:rPr>
        <w:t>Notwithstanding differences in course offerings, student populations and local labour markets, it appears there is differentiation among universities, with some achieving higher rates of full-time employment and median salaries than others.</w:t>
      </w:r>
    </w:p>
    <w:p w14:paraId="23FEF53E" w14:textId="27EF44D6" w:rsidR="00910822" w:rsidRPr="00617A89" w:rsidRDefault="00910822" w:rsidP="00910822">
      <w:pPr>
        <w:widowControl w:val="0"/>
        <w:suppressAutoHyphens/>
        <w:autoSpaceDE w:val="0"/>
        <w:autoSpaceDN w:val="0"/>
        <w:adjustRightInd w:val="0"/>
        <w:spacing w:before="120" w:line="280" w:lineRule="atLeast"/>
        <w:textAlignment w:val="center"/>
        <w:rPr>
          <w:rFonts w:ascii="ArialMT" w:hAnsi="ArialMT"/>
          <w:color w:val="000000" w:themeColor="text1"/>
        </w:rPr>
      </w:pPr>
      <w:r w:rsidRPr="00617A89">
        <w:rPr>
          <w:rFonts w:ascii="ArialMT" w:hAnsi="ArialMT"/>
          <w:color w:val="000000" w:themeColor="text1"/>
        </w:rPr>
        <w:t>There were greater variations in outcomes for domestic undergraduates in the short-term compared to the medium-term</w:t>
      </w:r>
      <w:r w:rsidR="009D192F" w:rsidRPr="00617A89">
        <w:rPr>
          <w:rFonts w:ascii="ArialMT" w:hAnsi="ArialMT"/>
          <w:color w:val="000000" w:themeColor="text1"/>
        </w:rPr>
        <w:t xml:space="preserve"> (</w:t>
      </w:r>
      <w:r w:rsidR="009D192F" w:rsidRPr="00617A89">
        <w:rPr>
          <w:rFonts w:ascii="ArialMT" w:hAnsi="ArialMT"/>
          <w:b/>
          <w:bCs/>
          <w:color w:val="000000" w:themeColor="text1"/>
        </w:rPr>
        <w:t>Appendix 3,</w:t>
      </w:r>
      <w:r w:rsidR="005F7F77" w:rsidRPr="00617A89">
        <w:rPr>
          <w:rFonts w:ascii="ArialMT" w:hAnsi="ArialMT"/>
          <w:b/>
          <w:bCs/>
          <w:color w:val="000000" w:themeColor="text1"/>
        </w:rPr>
        <w:t xml:space="preserve"> </w:t>
      </w:r>
      <w:r w:rsidR="005F7F77" w:rsidRPr="00617A89">
        <w:rPr>
          <w:rFonts w:ascii="ArialMT" w:hAnsi="ArialMT"/>
          <w:b/>
          <w:bCs/>
          <w:color w:val="000000" w:themeColor="text1"/>
        </w:rPr>
        <w:fldChar w:fldCharType="begin"/>
      </w:r>
      <w:r w:rsidR="005F7F77" w:rsidRPr="00617A89">
        <w:rPr>
          <w:rFonts w:ascii="ArialMT" w:hAnsi="ArialMT"/>
          <w:b/>
          <w:bCs/>
          <w:color w:val="000000" w:themeColor="text1"/>
        </w:rPr>
        <w:instrText xml:space="preserve"> REF _Ref71033093 \h  \* MERGEFORMAT </w:instrText>
      </w:r>
      <w:r w:rsidR="005F7F77" w:rsidRPr="00617A89">
        <w:rPr>
          <w:rFonts w:ascii="ArialMT" w:hAnsi="ArialMT"/>
          <w:b/>
          <w:bCs/>
          <w:color w:val="000000" w:themeColor="text1"/>
        </w:rPr>
      </w:r>
      <w:r w:rsidR="005F7F77" w:rsidRPr="00617A89">
        <w:rPr>
          <w:rFonts w:ascii="ArialMT" w:hAnsi="ArialMT"/>
          <w:b/>
          <w:bCs/>
          <w:color w:val="000000" w:themeColor="text1"/>
        </w:rPr>
        <w:fldChar w:fldCharType="separate"/>
      </w:r>
      <w:r w:rsidR="005F7F77" w:rsidRPr="00617A89">
        <w:rPr>
          <w:b/>
          <w:bCs/>
          <w:color w:val="000000" w:themeColor="text1"/>
        </w:rPr>
        <w:t xml:space="preserve">Table </w:t>
      </w:r>
      <w:r w:rsidR="005F7F77" w:rsidRPr="00617A89">
        <w:rPr>
          <w:b/>
          <w:bCs/>
          <w:noProof/>
          <w:color w:val="000000" w:themeColor="text1"/>
        </w:rPr>
        <w:t>23</w:t>
      </w:r>
      <w:r w:rsidR="005F7F77" w:rsidRPr="00617A89">
        <w:rPr>
          <w:rFonts w:ascii="ArialMT" w:hAnsi="ArialMT"/>
          <w:b/>
          <w:bCs/>
          <w:color w:val="000000" w:themeColor="text1"/>
        </w:rPr>
        <w:fldChar w:fldCharType="end"/>
      </w:r>
      <w:r w:rsidR="009D192F" w:rsidRPr="00617A89">
        <w:rPr>
          <w:rFonts w:ascii="ArialMT" w:hAnsi="ArialMT"/>
          <w:color w:val="000000" w:themeColor="text1"/>
        </w:rPr>
        <w:t>)</w:t>
      </w:r>
      <w:r w:rsidRPr="00617A89">
        <w:rPr>
          <w:rFonts w:ascii="ArialMT" w:hAnsi="ArialMT"/>
          <w:color w:val="000000" w:themeColor="text1"/>
        </w:rPr>
        <w:t xml:space="preserve">. Full-time employment rates for recent undergraduates ranged from a low of 68.0 per cent at Bond University to a high of 89.9 per cent at Charles Sturt University, a difference of 21.9 percentage points. Three years after graduation, full-time employment rates ranged from 80.7 per cent at Bond University to 96.4 per cent at the Australian National University, a difference of 15.8 percentage points. </w:t>
      </w:r>
    </w:p>
    <w:p w14:paraId="5008344F" w14:textId="35F375CB" w:rsidR="003D481A" w:rsidRPr="00617A89" w:rsidRDefault="005F2B1F" w:rsidP="00910822">
      <w:pPr>
        <w:widowControl w:val="0"/>
        <w:suppressAutoHyphens/>
        <w:autoSpaceDE w:val="0"/>
        <w:autoSpaceDN w:val="0"/>
        <w:adjustRightInd w:val="0"/>
        <w:spacing w:before="120" w:line="280" w:lineRule="atLeast"/>
        <w:textAlignment w:val="center"/>
        <w:rPr>
          <w:rFonts w:ascii="ArialMT" w:hAnsi="ArialMT"/>
          <w:color w:val="000000" w:themeColor="text1"/>
        </w:rPr>
      </w:pPr>
      <w:r w:rsidRPr="00617A89">
        <w:rPr>
          <w:rFonts w:ascii="ArialMT" w:hAnsi="ArialMT"/>
          <w:color w:val="000000" w:themeColor="text1"/>
        </w:rPr>
        <w:t xml:space="preserve">Despite the varying rates of full-time employment </w:t>
      </w:r>
      <w:r w:rsidR="002B622F" w:rsidRPr="00617A89">
        <w:rPr>
          <w:rFonts w:ascii="ArialMT" w:hAnsi="ArialMT"/>
          <w:color w:val="000000" w:themeColor="text1"/>
        </w:rPr>
        <w:t xml:space="preserve">between universities </w:t>
      </w:r>
      <w:r w:rsidR="008306BA" w:rsidRPr="00617A89">
        <w:rPr>
          <w:rFonts w:ascii="ArialMT" w:hAnsi="ArialMT"/>
          <w:color w:val="000000" w:themeColor="text1"/>
        </w:rPr>
        <w:t>i</w:t>
      </w:r>
      <w:r w:rsidR="002B622F" w:rsidRPr="00617A89">
        <w:rPr>
          <w:rFonts w:ascii="ArialMT" w:hAnsi="ArialMT"/>
          <w:color w:val="000000" w:themeColor="text1"/>
        </w:rPr>
        <w:t>n the short-term,</w:t>
      </w:r>
      <w:r w:rsidR="00D178EA" w:rsidRPr="00617A89">
        <w:rPr>
          <w:rFonts w:ascii="ArialMT" w:hAnsi="ArialMT"/>
          <w:color w:val="000000" w:themeColor="text1"/>
        </w:rPr>
        <w:t xml:space="preserve"> </w:t>
      </w:r>
      <w:r w:rsidR="00AF6E03" w:rsidRPr="00617A89">
        <w:rPr>
          <w:rFonts w:ascii="ArialMT" w:hAnsi="ArialMT"/>
          <w:color w:val="000000" w:themeColor="text1"/>
        </w:rPr>
        <w:t>full-time employment</w:t>
      </w:r>
      <w:r w:rsidR="00D178EA" w:rsidRPr="00617A89">
        <w:rPr>
          <w:rFonts w:ascii="ArialMT" w:hAnsi="ArialMT"/>
          <w:color w:val="000000" w:themeColor="text1"/>
        </w:rPr>
        <w:t xml:space="preserve"> rates were broadly consistent</w:t>
      </w:r>
      <w:r w:rsidR="00357ADA" w:rsidRPr="00617A89">
        <w:rPr>
          <w:rFonts w:ascii="ArialMT" w:hAnsi="ArialMT"/>
          <w:color w:val="000000" w:themeColor="text1"/>
        </w:rPr>
        <w:t xml:space="preserve"> for most universities</w:t>
      </w:r>
      <w:r w:rsidR="00D178EA" w:rsidRPr="00617A89">
        <w:rPr>
          <w:rFonts w:ascii="ArialMT" w:hAnsi="ArialMT"/>
          <w:color w:val="000000" w:themeColor="text1"/>
        </w:rPr>
        <w:t xml:space="preserve"> </w:t>
      </w:r>
      <w:r w:rsidR="00C52FBD" w:rsidRPr="00617A89">
        <w:rPr>
          <w:rFonts w:ascii="ArialMT" w:hAnsi="ArialMT"/>
          <w:color w:val="000000" w:themeColor="text1"/>
        </w:rPr>
        <w:t>in</w:t>
      </w:r>
      <w:r w:rsidR="00D178EA" w:rsidRPr="00617A89">
        <w:rPr>
          <w:rFonts w:ascii="ArialMT" w:hAnsi="ArialMT"/>
          <w:color w:val="000000" w:themeColor="text1"/>
        </w:rPr>
        <w:t xml:space="preserve"> the medium-term</w:t>
      </w:r>
      <w:r w:rsidR="008306BA" w:rsidRPr="00617A89">
        <w:rPr>
          <w:rFonts w:ascii="ArialMT" w:hAnsi="ArialMT"/>
          <w:color w:val="000000" w:themeColor="text1"/>
        </w:rPr>
        <w:t>, as shown by</w:t>
      </w:r>
      <w:r w:rsidR="008658FA" w:rsidRPr="00617A89">
        <w:rPr>
          <w:rFonts w:ascii="ArialMT" w:hAnsi="ArialMT"/>
          <w:color w:val="000000" w:themeColor="text1"/>
        </w:rPr>
        <w:t xml:space="preserve"> </w:t>
      </w:r>
      <w:r w:rsidR="00C52FBD" w:rsidRPr="00617A89">
        <w:rPr>
          <w:rFonts w:ascii="ArialMT" w:hAnsi="ArialMT"/>
          <w:b/>
          <w:bCs/>
          <w:color w:val="000000" w:themeColor="text1"/>
        </w:rPr>
        <w:fldChar w:fldCharType="begin"/>
      </w:r>
      <w:r w:rsidR="00C52FBD" w:rsidRPr="00617A89">
        <w:rPr>
          <w:rFonts w:ascii="ArialMT" w:hAnsi="ArialMT"/>
          <w:b/>
          <w:bCs/>
          <w:color w:val="000000" w:themeColor="text1"/>
        </w:rPr>
        <w:instrText xml:space="preserve"> REF _Ref140659573 \h  \* MERGEFORMAT</w:instrText>
      </w:r>
      <w:r w:rsidR="00C52FBD" w:rsidRPr="00617A89">
        <w:rPr>
          <w:rFonts w:ascii="ArialMT" w:hAnsi="ArialMT"/>
          <w:b/>
          <w:color w:val="000000" w:themeColor="text1"/>
        </w:rPr>
        <w:instrText xml:space="preserve"> </w:instrText>
      </w:r>
      <w:r w:rsidR="00C52FBD" w:rsidRPr="00617A89">
        <w:rPr>
          <w:rFonts w:ascii="ArialMT" w:hAnsi="ArialMT"/>
          <w:b/>
          <w:bCs/>
          <w:color w:val="000000" w:themeColor="text1"/>
        </w:rPr>
      </w:r>
      <w:r w:rsidR="00C52FBD" w:rsidRPr="00617A89">
        <w:rPr>
          <w:rFonts w:ascii="ArialMT" w:hAnsi="ArialMT"/>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17</w:t>
      </w:r>
      <w:r w:rsidR="00C52FBD" w:rsidRPr="00617A89">
        <w:rPr>
          <w:rFonts w:ascii="ArialMT" w:hAnsi="ArialMT"/>
          <w:b/>
          <w:bCs/>
          <w:color w:val="000000" w:themeColor="text1"/>
        </w:rPr>
        <w:fldChar w:fldCharType="end"/>
      </w:r>
      <w:r w:rsidR="00C52FBD" w:rsidRPr="00617A89">
        <w:rPr>
          <w:rFonts w:ascii="ArialMT" w:hAnsi="ArialMT"/>
          <w:color w:val="000000" w:themeColor="text1"/>
        </w:rPr>
        <w:t>.</w:t>
      </w:r>
    </w:p>
    <w:p w14:paraId="07130F30" w14:textId="77777777" w:rsidR="00910822" w:rsidRPr="00617A89" w:rsidRDefault="00910822" w:rsidP="00910822">
      <w:pPr>
        <w:widowControl w:val="0"/>
        <w:suppressAutoHyphens/>
        <w:autoSpaceDE w:val="0"/>
        <w:autoSpaceDN w:val="0"/>
        <w:adjustRightInd w:val="0"/>
        <w:spacing w:before="120" w:line="280" w:lineRule="atLeast"/>
        <w:textAlignment w:val="center"/>
        <w:rPr>
          <w:rFonts w:ascii="ArialMT" w:hAnsi="ArialMT"/>
          <w:color w:val="000000" w:themeColor="text1"/>
        </w:rPr>
      </w:pPr>
      <w:r w:rsidRPr="00617A89">
        <w:rPr>
          <w:rFonts w:ascii="ArialMT" w:hAnsi="ArialMT"/>
          <w:color w:val="000000" w:themeColor="text1"/>
        </w:rPr>
        <w:t>A similar pattern was observed for median salaries across universities, however, unlike differences in full-time employment rates which narrowed over the 3 years, differences in short-term median salaries persisted into the medium-term.</w:t>
      </w:r>
    </w:p>
    <w:p w14:paraId="013A58BE" w14:textId="6FC38150" w:rsidR="00910822" w:rsidRPr="00617A89" w:rsidRDefault="00910822" w:rsidP="00910822">
      <w:pPr>
        <w:widowControl w:val="0"/>
        <w:suppressAutoHyphens/>
        <w:autoSpaceDE w:val="0"/>
        <w:autoSpaceDN w:val="0"/>
        <w:adjustRightInd w:val="0"/>
        <w:spacing w:before="120" w:line="280" w:lineRule="atLeast"/>
        <w:textAlignment w:val="center"/>
        <w:rPr>
          <w:rFonts w:ascii="ArialMT" w:hAnsi="ArialMT"/>
          <w:color w:val="000000" w:themeColor="text1"/>
        </w:rPr>
      </w:pPr>
      <w:r w:rsidRPr="00617A89">
        <w:rPr>
          <w:rFonts w:ascii="ArialMT" w:hAnsi="ArialMT"/>
          <w:color w:val="000000" w:themeColor="text1"/>
        </w:rPr>
        <w:t>Similar variations in full-time employment rates across universities existed at the postgraduate coursework level, albeit less pronounced – there was a 16.1 percentage point difference in short-term full-time employment rates and this gap narrowed to 9.1 percentage points 3 years later. In 2025, the full-time employment rates of postgraduate coursework graduates across all universities, except for Torrens University, were above 90 per cent 3 years post-course completion</w:t>
      </w:r>
      <w:r w:rsidR="009D192F" w:rsidRPr="00617A89">
        <w:rPr>
          <w:rFonts w:ascii="ArialMT" w:hAnsi="ArialMT"/>
          <w:color w:val="000000" w:themeColor="text1"/>
        </w:rPr>
        <w:t xml:space="preserve"> (</w:t>
      </w:r>
      <w:r w:rsidR="009D192F" w:rsidRPr="00617A89">
        <w:rPr>
          <w:rFonts w:ascii="ArialMT" w:hAnsi="ArialMT"/>
          <w:b/>
          <w:bCs/>
          <w:color w:val="000000" w:themeColor="text1"/>
        </w:rPr>
        <w:t>Appendix 3,</w:t>
      </w:r>
      <w:r w:rsidR="005F7F77" w:rsidRPr="00617A89">
        <w:rPr>
          <w:rFonts w:ascii="ArialMT" w:hAnsi="ArialMT"/>
          <w:b/>
          <w:bCs/>
          <w:color w:val="000000" w:themeColor="text1"/>
        </w:rPr>
        <w:t xml:space="preserve"> </w:t>
      </w:r>
      <w:r w:rsidR="005F7F77" w:rsidRPr="00617A89">
        <w:rPr>
          <w:rFonts w:ascii="ArialMT" w:hAnsi="ArialMT"/>
          <w:b/>
          <w:bCs/>
          <w:color w:val="000000" w:themeColor="text1"/>
        </w:rPr>
        <w:fldChar w:fldCharType="begin"/>
      </w:r>
      <w:r w:rsidR="005F7F77" w:rsidRPr="00617A89">
        <w:rPr>
          <w:rFonts w:ascii="ArialMT" w:hAnsi="ArialMT"/>
          <w:b/>
          <w:bCs/>
          <w:color w:val="000000" w:themeColor="text1"/>
        </w:rPr>
        <w:instrText xml:space="preserve"> REF _Ref216874098 \h  \* MERGEFORMAT </w:instrText>
      </w:r>
      <w:r w:rsidR="005F7F77" w:rsidRPr="00617A89">
        <w:rPr>
          <w:rFonts w:ascii="ArialMT" w:hAnsi="ArialMT"/>
          <w:b/>
          <w:bCs/>
          <w:color w:val="000000" w:themeColor="text1"/>
        </w:rPr>
      </w:r>
      <w:r w:rsidR="005F7F77" w:rsidRPr="00617A89">
        <w:rPr>
          <w:rFonts w:ascii="ArialMT" w:hAnsi="ArialMT"/>
          <w:b/>
          <w:bCs/>
          <w:color w:val="000000" w:themeColor="text1"/>
        </w:rPr>
        <w:fldChar w:fldCharType="separate"/>
      </w:r>
      <w:r w:rsidR="005F7F77" w:rsidRPr="00617A89">
        <w:rPr>
          <w:b/>
          <w:bCs/>
          <w:color w:val="000000" w:themeColor="text1"/>
        </w:rPr>
        <w:t xml:space="preserve">Table </w:t>
      </w:r>
      <w:r w:rsidR="005F7F77" w:rsidRPr="00617A89">
        <w:rPr>
          <w:b/>
          <w:bCs/>
          <w:noProof/>
          <w:color w:val="000000" w:themeColor="text1"/>
        </w:rPr>
        <w:t>24</w:t>
      </w:r>
      <w:r w:rsidR="005F7F77" w:rsidRPr="00617A89">
        <w:rPr>
          <w:rFonts w:ascii="ArialMT" w:hAnsi="ArialMT"/>
          <w:b/>
          <w:bCs/>
          <w:color w:val="000000" w:themeColor="text1"/>
        </w:rPr>
        <w:fldChar w:fldCharType="end"/>
      </w:r>
      <w:r w:rsidR="009D192F" w:rsidRPr="00617A89">
        <w:rPr>
          <w:rFonts w:ascii="ArialMT" w:hAnsi="ArialMT"/>
          <w:color w:val="000000" w:themeColor="text1"/>
        </w:rPr>
        <w:t>)</w:t>
      </w:r>
      <w:r w:rsidRPr="00617A89">
        <w:rPr>
          <w:rFonts w:ascii="ArialMT" w:hAnsi="ArialMT"/>
          <w:color w:val="000000" w:themeColor="text1"/>
        </w:rPr>
        <w:t>.</w:t>
      </w:r>
    </w:p>
    <w:bookmarkEnd w:id="155"/>
    <w:p w14:paraId="366B1C42" w14:textId="77777777" w:rsidR="00910822" w:rsidRPr="00617A89" w:rsidRDefault="00910822" w:rsidP="00910822">
      <w:pPr>
        <w:widowControl w:val="0"/>
        <w:suppressAutoHyphens/>
        <w:autoSpaceDE w:val="0"/>
        <w:autoSpaceDN w:val="0"/>
        <w:adjustRightInd w:val="0"/>
        <w:spacing w:before="120" w:line="280" w:lineRule="atLeast"/>
        <w:textAlignment w:val="center"/>
        <w:rPr>
          <w:rFonts w:ascii="ArialMT" w:hAnsi="ArialMT"/>
          <w:color w:val="000000" w:themeColor="text1"/>
        </w:rPr>
        <w:sectPr w:rsidR="00910822" w:rsidRPr="00617A89" w:rsidSect="00910822">
          <w:pgSz w:w="11900" w:h="16840"/>
          <w:pgMar w:top="720" w:right="720" w:bottom="720" w:left="720" w:header="397" w:footer="397" w:gutter="0"/>
          <w:cols w:space="708"/>
          <w:docGrid w:linePitch="360"/>
        </w:sectPr>
      </w:pPr>
      <w:r w:rsidRPr="00617A89">
        <w:rPr>
          <w:rFonts w:ascii="ArialMT" w:hAnsi="ArialMT"/>
          <w:color w:val="000000" w:themeColor="text1"/>
        </w:rPr>
        <w:t>Comparative institutional results are not available at postgraduate research graduate level, as there are too few survey responses. Also, d</w:t>
      </w:r>
      <w:r w:rsidRPr="00617A89">
        <w:rPr>
          <w:color w:val="000000" w:themeColor="text1"/>
        </w:rPr>
        <w:t>ue to the smaller sample sizes of NUHEIs, there is insufficient data at the NUHEI institution level to do the same level of analysis.</w:t>
      </w:r>
    </w:p>
    <w:p w14:paraId="4627E266" w14:textId="3618E33A" w:rsidR="00910822" w:rsidRPr="00617A89" w:rsidRDefault="00910822" w:rsidP="00910822">
      <w:pPr>
        <w:pStyle w:val="Caption"/>
        <w:rPr>
          <w:color w:val="000000" w:themeColor="text1"/>
        </w:rPr>
      </w:pPr>
      <w:bookmarkStart w:id="157" w:name="_Ref140659573"/>
      <w:bookmarkStart w:id="158" w:name="_Toc222868511"/>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17</w:t>
      </w:r>
      <w:r w:rsidR="00DB7C31" w:rsidRPr="00617A89">
        <w:rPr>
          <w:noProof/>
          <w:color w:val="000000" w:themeColor="text1"/>
        </w:rPr>
        <w:fldChar w:fldCharType="end"/>
      </w:r>
      <w:bookmarkEnd w:id="157"/>
      <w:r w:rsidR="00C22852" w:rsidRPr="00617A89">
        <w:rPr>
          <w:color w:val="000000" w:themeColor="text1"/>
        </w:rPr>
        <w:tab/>
      </w:r>
      <w:r w:rsidRPr="00617A89">
        <w:rPr>
          <w:color w:val="000000" w:themeColor="text1"/>
        </w:rPr>
        <w:t xml:space="preserve">Domestic undergraduate </w:t>
      </w:r>
      <w:r w:rsidR="00C42522" w:rsidRPr="00617A89">
        <w:rPr>
          <w:color w:val="000000" w:themeColor="text1"/>
        </w:rPr>
        <w:t>short- and medium-term</w:t>
      </w:r>
      <w:r w:rsidRPr="00617A89">
        <w:rPr>
          <w:color w:val="000000" w:themeColor="text1"/>
        </w:rPr>
        <w:t xml:space="preserve"> full-time employment rate by university (% with 90% confidence intervals)</w:t>
      </w:r>
      <w:bookmarkEnd w:id="158"/>
    </w:p>
    <w:p w14:paraId="628D1213" w14:textId="3DECFF8A" w:rsidR="00EF6479" w:rsidRPr="00617A89" w:rsidRDefault="00EF6479" w:rsidP="00EF6479">
      <w:pPr>
        <w:pStyle w:val="Body"/>
        <w:rPr>
          <w:lang w:eastAsia="en-AU"/>
        </w:rPr>
      </w:pPr>
      <w:r w:rsidRPr="00617A89">
        <w:rPr>
          <w:noProof/>
          <w:lang w:eastAsia="en-AU"/>
        </w:rPr>
        <w:drawing>
          <wp:inline distT="0" distB="0" distL="0" distR="0" wp14:anchorId="3C6113A6" wp14:editId="7B927DB2">
            <wp:extent cx="9022715" cy="4761230"/>
            <wp:effectExtent l="0" t="0" r="6985" b="1270"/>
            <wp:docPr id="12342490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022715" cy="4761230"/>
                    </a:xfrm>
                    <a:prstGeom prst="rect">
                      <a:avLst/>
                    </a:prstGeom>
                    <a:noFill/>
                  </pic:spPr>
                </pic:pic>
              </a:graphicData>
            </a:graphic>
          </wp:inline>
        </w:drawing>
      </w:r>
    </w:p>
    <w:p w14:paraId="4D9E4B14" w14:textId="6138797F" w:rsidR="00E804EC" w:rsidRPr="00617A89" w:rsidRDefault="00E804EC" w:rsidP="00E804EC">
      <w:pPr>
        <w:pStyle w:val="FigureNote"/>
        <w:rPr>
          <w:color w:val="000000" w:themeColor="text1"/>
          <w:sz w:val="18"/>
          <w:szCs w:val="24"/>
        </w:rPr>
      </w:pPr>
      <w:r w:rsidRPr="00617A89">
        <w:rPr>
          <w:color w:val="000000" w:themeColor="text1"/>
          <w:sz w:val="18"/>
          <w:szCs w:val="24"/>
        </w:rPr>
        <w:t xml:space="preserve">Note: </w:t>
      </w:r>
      <w:r w:rsidR="00AE502E" w:rsidRPr="00617A89">
        <w:rPr>
          <w:color w:val="000000" w:themeColor="text1"/>
          <w:sz w:val="18"/>
          <w:szCs w:val="24"/>
        </w:rPr>
        <w:t>Medium-term full-time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w:t>
      </w:r>
      <w:r w:rsidRPr="00617A89">
        <w:rPr>
          <w:color w:val="000000" w:themeColor="text1"/>
          <w:sz w:val="18"/>
          <w:szCs w:val="24"/>
        </w:rPr>
        <w:t xml:space="preserve">. See </w:t>
      </w:r>
      <w:r w:rsidRPr="00617A89">
        <w:rPr>
          <w:b/>
          <w:bCs/>
          <w:color w:val="000000" w:themeColor="text1"/>
          <w:sz w:val="18"/>
          <w:szCs w:val="24"/>
        </w:rPr>
        <w:t>Appendix 1</w:t>
      </w:r>
      <w:r w:rsidRPr="00617A89">
        <w:rPr>
          <w:color w:val="000000" w:themeColor="text1"/>
          <w:sz w:val="18"/>
          <w:szCs w:val="24"/>
        </w:rPr>
        <w:t xml:space="preserve"> for further information.</w:t>
      </w:r>
    </w:p>
    <w:p w14:paraId="6ECE61EB" w14:textId="2A7EAED5" w:rsidR="00357EA6" w:rsidRPr="00617A89" w:rsidRDefault="00357EA6" w:rsidP="006F7428">
      <w:pPr>
        <w:pStyle w:val="FigureNote"/>
        <w:rPr>
          <w:color w:val="000000" w:themeColor="text1"/>
          <w:sz w:val="18"/>
          <w:szCs w:val="24"/>
        </w:rPr>
      </w:pPr>
      <w:r w:rsidRPr="00617A89">
        <w:rPr>
          <w:color w:val="000000" w:themeColor="text1"/>
          <w:sz w:val="18"/>
          <w:szCs w:val="24"/>
        </w:rPr>
        <w:t xml:space="preserve">* </w:t>
      </w:r>
      <w:r w:rsidR="00C07D92" w:rsidRPr="00617A89">
        <w:rPr>
          <w:color w:val="000000" w:themeColor="text1"/>
          <w:sz w:val="18"/>
          <w:szCs w:val="24"/>
        </w:rPr>
        <w:t>In December 2024, t</w:t>
      </w:r>
      <w:r w:rsidR="00154BAE" w:rsidRPr="00617A89">
        <w:rPr>
          <w:color w:val="000000" w:themeColor="text1"/>
          <w:sz w:val="18"/>
          <w:szCs w:val="24"/>
        </w:rPr>
        <w:t xml:space="preserve">he </w:t>
      </w:r>
      <w:r w:rsidR="00C07D92" w:rsidRPr="00617A89">
        <w:rPr>
          <w:color w:val="000000" w:themeColor="text1"/>
          <w:sz w:val="18"/>
          <w:szCs w:val="24"/>
        </w:rPr>
        <w:t xml:space="preserve">Tertiary Education Quality Standards Agency </w:t>
      </w:r>
      <w:r w:rsidR="00525B0B" w:rsidRPr="00617A89">
        <w:rPr>
          <w:color w:val="000000" w:themeColor="text1"/>
          <w:sz w:val="18"/>
          <w:szCs w:val="24"/>
        </w:rPr>
        <w:t xml:space="preserve">(TEQSA) </w:t>
      </w:r>
      <w:r w:rsidR="00C07D92" w:rsidRPr="00617A89">
        <w:rPr>
          <w:color w:val="000000" w:themeColor="text1"/>
          <w:sz w:val="18"/>
          <w:szCs w:val="24"/>
        </w:rPr>
        <w:t xml:space="preserve">changed the provider category in which the </w:t>
      </w:r>
      <w:r w:rsidR="00154BAE" w:rsidRPr="00617A89">
        <w:rPr>
          <w:color w:val="000000" w:themeColor="text1"/>
          <w:sz w:val="18"/>
          <w:szCs w:val="24"/>
        </w:rPr>
        <w:t xml:space="preserve">Australian University of Theology was </w:t>
      </w:r>
      <w:r w:rsidR="00C07D92" w:rsidRPr="00617A89">
        <w:rPr>
          <w:color w:val="000000" w:themeColor="text1"/>
          <w:sz w:val="18"/>
          <w:szCs w:val="24"/>
        </w:rPr>
        <w:t>registered to Australian University</w:t>
      </w:r>
      <w:r w:rsidR="00154BAE" w:rsidRPr="00617A89">
        <w:rPr>
          <w:color w:val="000000" w:themeColor="text1"/>
          <w:sz w:val="18"/>
          <w:szCs w:val="24"/>
        </w:rPr>
        <w:t>. Prio</w:t>
      </w:r>
      <w:r w:rsidR="00E70980" w:rsidRPr="00617A89">
        <w:rPr>
          <w:color w:val="000000" w:themeColor="text1"/>
          <w:sz w:val="18"/>
          <w:szCs w:val="24"/>
        </w:rPr>
        <w:t xml:space="preserve">r to this, the institution </w:t>
      </w:r>
      <w:r w:rsidR="0098365E" w:rsidRPr="00617A89">
        <w:rPr>
          <w:color w:val="000000" w:themeColor="text1"/>
          <w:sz w:val="18"/>
          <w:szCs w:val="24"/>
        </w:rPr>
        <w:t xml:space="preserve">was </w:t>
      </w:r>
      <w:r w:rsidR="0022560F" w:rsidRPr="00617A89">
        <w:rPr>
          <w:color w:val="000000" w:themeColor="text1"/>
          <w:sz w:val="18"/>
          <w:szCs w:val="24"/>
        </w:rPr>
        <w:t xml:space="preserve">known as the </w:t>
      </w:r>
      <w:r w:rsidR="0022560F" w:rsidRPr="00617A89">
        <w:rPr>
          <w:color w:val="000000" w:themeColor="text1"/>
          <w:sz w:val="18"/>
          <w:szCs w:val="24"/>
          <w:lang w:val="en-AU"/>
        </w:rPr>
        <w:t>Australian College of Theology</w:t>
      </w:r>
      <w:r w:rsidR="003046FB" w:rsidRPr="00617A89">
        <w:rPr>
          <w:color w:val="000000" w:themeColor="text1"/>
          <w:sz w:val="18"/>
          <w:szCs w:val="24"/>
          <w:lang w:val="en-AU"/>
        </w:rPr>
        <w:t xml:space="preserve"> and was </w:t>
      </w:r>
      <w:r w:rsidR="0098365E" w:rsidRPr="00617A89">
        <w:rPr>
          <w:color w:val="000000" w:themeColor="text1"/>
          <w:sz w:val="18"/>
          <w:szCs w:val="24"/>
        </w:rPr>
        <w:t>classified as a NUHEI</w:t>
      </w:r>
      <w:r w:rsidR="003046FB" w:rsidRPr="00617A89">
        <w:rPr>
          <w:color w:val="000000" w:themeColor="text1"/>
          <w:sz w:val="18"/>
          <w:szCs w:val="24"/>
        </w:rPr>
        <w:t xml:space="preserve">. </w:t>
      </w:r>
      <w:r w:rsidR="00DC42E7" w:rsidRPr="00617A89">
        <w:rPr>
          <w:color w:val="000000" w:themeColor="text1"/>
          <w:sz w:val="18"/>
          <w:szCs w:val="24"/>
        </w:rPr>
        <w:t>The m</w:t>
      </w:r>
      <w:r w:rsidR="009D1B81" w:rsidRPr="00617A89">
        <w:rPr>
          <w:color w:val="000000" w:themeColor="text1"/>
          <w:sz w:val="18"/>
          <w:szCs w:val="24"/>
        </w:rPr>
        <w:t xml:space="preserve">edium-term </w:t>
      </w:r>
      <w:r w:rsidR="00DC42E7" w:rsidRPr="00617A89">
        <w:rPr>
          <w:color w:val="000000" w:themeColor="text1"/>
          <w:sz w:val="18"/>
          <w:szCs w:val="24"/>
        </w:rPr>
        <w:t>outcome</w:t>
      </w:r>
      <w:r w:rsidR="009D1B81" w:rsidRPr="00617A89">
        <w:rPr>
          <w:color w:val="000000" w:themeColor="text1"/>
          <w:sz w:val="18"/>
          <w:szCs w:val="24"/>
        </w:rPr>
        <w:t xml:space="preserve"> presented in this figure </w:t>
      </w:r>
      <w:r w:rsidR="00525B0B" w:rsidRPr="00617A89">
        <w:rPr>
          <w:color w:val="000000" w:themeColor="text1"/>
          <w:sz w:val="18"/>
          <w:szCs w:val="24"/>
        </w:rPr>
        <w:t>relates to</w:t>
      </w:r>
      <w:r w:rsidR="009D1B81" w:rsidRPr="00617A89">
        <w:rPr>
          <w:color w:val="000000" w:themeColor="text1"/>
          <w:sz w:val="18"/>
          <w:szCs w:val="24"/>
        </w:rPr>
        <w:t xml:space="preserve"> graduates who completed their studies</w:t>
      </w:r>
      <w:r w:rsidR="00DF7E3C" w:rsidRPr="00617A89">
        <w:rPr>
          <w:color w:val="000000" w:themeColor="text1"/>
          <w:sz w:val="18"/>
          <w:szCs w:val="24"/>
        </w:rPr>
        <w:t xml:space="preserve"> when the institution was </w:t>
      </w:r>
      <w:r w:rsidR="00525B0B" w:rsidRPr="00617A89">
        <w:rPr>
          <w:color w:val="000000" w:themeColor="text1"/>
          <w:sz w:val="18"/>
          <w:szCs w:val="24"/>
        </w:rPr>
        <w:t xml:space="preserve">classified as </w:t>
      </w:r>
      <w:r w:rsidR="00DF7E3C" w:rsidRPr="00617A89">
        <w:rPr>
          <w:color w:val="000000" w:themeColor="text1"/>
          <w:sz w:val="18"/>
          <w:szCs w:val="24"/>
        </w:rPr>
        <w:t xml:space="preserve">a NUHEI. </w:t>
      </w:r>
      <w:r w:rsidR="005F6265" w:rsidRPr="00617A89">
        <w:rPr>
          <w:color w:val="000000" w:themeColor="text1"/>
          <w:sz w:val="18"/>
          <w:szCs w:val="24"/>
        </w:rPr>
        <w:t xml:space="preserve">The </w:t>
      </w:r>
      <w:r w:rsidR="00A70203" w:rsidRPr="00617A89">
        <w:rPr>
          <w:color w:val="000000" w:themeColor="text1"/>
          <w:sz w:val="18"/>
          <w:szCs w:val="24"/>
        </w:rPr>
        <w:t>short-term outcome</w:t>
      </w:r>
      <w:r w:rsidR="008719C7" w:rsidRPr="00617A89">
        <w:rPr>
          <w:color w:val="000000" w:themeColor="text1"/>
          <w:sz w:val="18"/>
          <w:szCs w:val="24"/>
        </w:rPr>
        <w:t xml:space="preserve"> has been suppressed due to an insufficient number of responses (n&lt;25).</w:t>
      </w:r>
    </w:p>
    <w:p w14:paraId="63D0577B" w14:textId="0E411642" w:rsidR="00E804EC" w:rsidRPr="00617A89" w:rsidRDefault="00E804EC" w:rsidP="006F7428">
      <w:pPr>
        <w:pStyle w:val="FigureNote"/>
        <w:rPr>
          <w:color w:val="000000" w:themeColor="text1"/>
          <w:lang w:eastAsia="en-AU"/>
        </w:rPr>
        <w:sectPr w:rsidR="00E804EC" w:rsidRPr="00617A89" w:rsidSect="00910822">
          <w:pgSz w:w="16840" w:h="11900" w:orient="landscape"/>
          <w:pgMar w:top="720" w:right="720" w:bottom="720" w:left="720" w:header="397" w:footer="397" w:gutter="0"/>
          <w:cols w:space="708"/>
          <w:docGrid w:linePitch="360"/>
        </w:sectPr>
      </w:pPr>
    </w:p>
    <w:p w14:paraId="0848DFA7" w14:textId="41FF773A" w:rsidR="00910822" w:rsidRPr="00617A89" w:rsidRDefault="00910822" w:rsidP="00034502">
      <w:pPr>
        <w:pStyle w:val="Caption"/>
        <w:rPr>
          <w:color w:val="000000" w:themeColor="text1"/>
        </w:rPr>
      </w:pPr>
      <w:bookmarkStart w:id="159" w:name="_Ref140659565"/>
      <w:bookmarkStart w:id="160" w:name="_Toc222868512"/>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18</w:t>
      </w:r>
      <w:r w:rsidR="00DB7C31" w:rsidRPr="00617A89">
        <w:rPr>
          <w:noProof/>
          <w:color w:val="000000" w:themeColor="text1"/>
        </w:rPr>
        <w:fldChar w:fldCharType="end"/>
      </w:r>
      <w:bookmarkEnd w:id="159"/>
      <w:r w:rsidR="00C22852" w:rsidRPr="00617A89">
        <w:rPr>
          <w:color w:val="000000" w:themeColor="text1"/>
        </w:rPr>
        <w:tab/>
      </w:r>
      <w:r w:rsidRPr="00617A89">
        <w:rPr>
          <w:color w:val="000000" w:themeColor="text1"/>
        </w:rPr>
        <w:t xml:space="preserve">Domestic postgraduate coursework </w:t>
      </w:r>
      <w:r w:rsidR="00C42522" w:rsidRPr="00617A89">
        <w:rPr>
          <w:color w:val="000000" w:themeColor="text1"/>
        </w:rPr>
        <w:t>short- and medium-term</w:t>
      </w:r>
      <w:r w:rsidRPr="00617A89">
        <w:rPr>
          <w:color w:val="000000" w:themeColor="text1"/>
        </w:rPr>
        <w:t xml:space="preserve"> full-time employment rate by university, 2025 (% with 90% confidence intervals)</w:t>
      </w:r>
      <w:bookmarkEnd w:id="160"/>
    </w:p>
    <w:p w14:paraId="4612496C" w14:textId="5A40B279" w:rsidR="00EF6479" w:rsidRPr="00617A89" w:rsidRDefault="00EF6479" w:rsidP="00EF6479">
      <w:pPr>
        <w:pStyle w:val="Body"/>
        <w:rPr>
          <w:lang w:eastAsia="en-AU"/>
        </w:rPr>
      </w:pPr>
      <w:r w:rsidRPr="00617A89">
        <w:rPr>
          <w:noProof/>
          <w:lang w:eastAsia="en-AU"/>
        </w:rPr>
        <w:drawing>
          <wp:inline distT="0" distB="0" distL="0" distR="0" wp14:anchorId="3EDC0474" wp14:editId="57F12C63">
            <wp:extent cx="8956040" cy="4974590"/>
            <wp:effectExtent l="0" t="0" r="0" b="0"/>
            <wp:docPr id="13648650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956040" cy="4974590"/>
                    </a:xfrm>
                    <a:prstGeom prst="rect">
                      <a:avLst/>
                    </a:prstGeom>
                    <a:noFill/>
                  </pic:spPr>
                </pic:pic>
              </a:graphicData>
            </a:graphic>
          </wp:inline>
        </w:drawing>
      </w:r>
    </w:p>
    <w:p w14:paraId="3D20BB1D" w14:textId="26BE42B7" w:rsidR="00DC42E7" w:rsidRPr="00617A89" w:rsidRDefault="00DC42E7" w:rsidP="00DC42E7">
      <w:pPr>
        <w:pStyle w:val="FigureNote"/>
        <w:rPr>
          <w:color w:val="000000" w:themeColor="text1"/>
          <w:sz w:val="18"/>
          <w:szCs w:val="24"/>
        </w:rPr>
      </w:pPr>
      <w:r w:rsidRPr="00617A89">
        <w:rPr>
          <w:color w:val="000000" w:themeColor="text1"/>
          <w:sz w:val="18"/>
          <w:szCs w:val="24"/>
        </w:rPr>
        <w:t xml:space="preserve">Note: </w:t>
      </w:r>
      <w:r w:rsidR="00AE502E" w:rsidRPr="00617A89">
        <w:rPr>
          <w:color w:val="000000" w:themeColor="text1"/>
          <w:sz w:val="18"/>
          <w:szCs w:val="24"/>
        </w:rPr>
        <w:t>Medium-term full-time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w:t>
      </w:r>
      <w:r w:rsidRPr="00617A89">
        <w:rPr>
          <w:color w:val="000000" w:themeColor="text1"/>
          <w:sz w:val="18"/>
          <w:szCs w:val="24"/>
        </w:rPr>
        <w:t xml:space="preserve">. See </w:t>
      </w:r>
      <w:r w:rsidRPr="00617A89">
        <w:rPr>
          <w:b/>
          <w:bCs/>
          <w:color w:val="000000" w:themeColor="text1"/>
          <w:sz w:val="18"/>
          <w:szCs w:val="24"/>
        </w:rPr>
        <w:t>Appendix 1</w:t>
      </w:r>
      <w:r w:rsidRPr="00617A89">
        <w:rPr>
          <w:color w:val="000000" w:themeColor="text1"/>
          <w:sz w:val="18"/>
          <w:szCs w:val="24"/>
        </w:rPr>
        <w:t xml:space="preserve"> for further information.</w:t>
      </w:r>
    </w:p>
    <w:p w14:paraId="6EB8C30F" w14:textId="5163EE74" w:rsidR="00910822" w:rsidRPr="00617A89" w:rsidRDefault="00DC42E7" w:rsidP="001A5F10">
      <w:pPr>
        <w:pStyle w:val="FigureNote"/>
        <w:rPr>
          <w:b/>
          <w:color w:val="000000" w:themeColor="text1"/>
          <w:sz w:val="18"/>
          <w:szCs w:val="24"/>
        </w:rPr>
        <w:sectPr w:rsidR="00910822" w:rsidRPr="00617A89" w:rsidSect="00910822">
          <w:pgSz w:w="16840" w:h="11900" w:orient="landscape"/>
          <w:pgMar w:top="720" w:right="720" w:bottom="720" w:left="720" w:header="397" w:footer="397" w:gutter="0"/>
          <w:cols w:space="708"/>
          <w:docGrid w:linePitch="360"/>
        </w:sectPr>
      </w:pPr>
      <w:r w:rsidRPr="00617A89">
        <w:rPr>
          <w:color w:val="000000" w:themeColor="text1"/>
          <w:sz w:val="18"/>
          <w:szCs w:val="24"/>
        </w:rPr>
        <w:t xml:space="preserve">* </w:t>
      </w:r>
      <w:r w:rsidR="00525B0B" w:rsidRPr="00617A89">
        <w:rPr>
          <w:color w:val="000000" w:themeColor="text1"/>
          <w:sz w:val="18"/>
          <w:szCs w:val="24"/>
        </w:rPr>
        <w:t>In December 2024, TEQSA changed the provider category in which the Australian University of Theology was registered to Australian University</w:t>
      </w:r>
      <w:r w:rsidRPr="00617A89">
        <w:rPr>
          <w:color w:val="000000" w:themeColor="text1"/>
          <w:sz w:val="18"/>
          <w:szCs w:val="24"/>
        </w:rPr>
        <w:t xml:space="preserve">. Prior to this, the institution was known as the </w:t>
      </w:r>
      <w:r w:rsidRPr="00617A89">
        <w:rPr>
          <w:color w:val="000000" w:themeColor="text1"/>
          <w:sz w:val="18"/>
          <w:szCs w:val="24"/>
          <w:lang w:val="en-AU"/>
        </w:rPr>
        <w:t xml:space="preserve">Australian College of Theology and was </w:t>
      </w:r>
      <w:r w:rsidRPr="00617A89">
        <w:rPr>
          <w:color w:val="000000" w:themeColor="text1"/>
          <w:sz w:val="18"/>
          <w:szCs w:val="24"/>
        </w:rPr>
        <w:t>classified as a NUHEI. The outcome</w:t>
      </w:r>
      <w:r w:rsidR="00F740A2" w:rsidRPr="00617A89">
        <w:rPr>
          <w:color w:val="000000" w:themeColor="text1"/>
          <w:sz w:val="18"/>
          <w:szCs w:val="24"/>
        </w:rPr>
        <w:t>s</w:t>
      </w:r>
      <w:r w:rsidRPr="00617A89">
        <w:rPr>
          <w:color w:val="000000" w:themeColor="text1"/>
          <w:sz w:val="18"/>
          <w:szCs w:val="24"/>
        </w:rPr>
        <w:t xml:space="preserve"> presented in this figure </w:t>
      </w:r>
      <w:r w:rsidR="00525B0B" w:rsidRPr="00617A89">
        <w:rPr>
          <w:color w:val="000000" w:themeColor="text1"/>
          <w:sz w:val="18"/>
          <w:szCs w:val="24"/>
        </w:rPr>
        <w:t xml:space="preserve">relate to </w:t>
      </w:r>
      <w:r w:rsidRPr="00617A89">
        <w:rPr>
          <w:color w:val="000000" w:themeColor="text1"/>
          <w:sz w:val="18"/>
          <w:szCs w:val="24"/>
        </w:rPr>
        <w:t xml:space="preserve">graduates who completed their studies when the institution was </w:t>
      </w:r>
      <w:r w:rsidR="00F31940" w:rsidRPr="00617A89">
        <w:rPr>
          <w:color w:val="000000" w:themeColor="text1"/>
          <w:sz w:val="18"/>
          <w:szCs w:val="24"/>
        </w:rPr>
        <w:t xml:space="preserve">classified as </w:t>
      </w:r>
      <w:r w:rsidRPr="00617A89">
        <w:rPr>
          <w:color w:val="000000" w:themeColor="text1"/>
          <w:sz w:val="18"/>
          <w:szCs w:val="24"/>
        </w:rPr>
        <w:t>a NUHEI.</w:t>
      </w:r>
    </w:p>
    <w:p w14:paraId="19F1F3D2" w14:textId="71CAACBF" w:rsidR="00244416" w:rsidRPr="00617A89" w:rsidRDefault="00244416" w:rsidP="00A01394">
      <w:pPr>
        <w:pStyle w:val="Heading1"/>
        <w:rPr>
          <w:color w:val="000000" w:themeColor="text1"/>
        </w:rPr>
      </w:pPr>
      <w:bookmarkStart w:id="161" w:name="_International_graduate_results"/>
      <w:bookmarkStart w:id="162" w:name="_Toc192179857"/>
      <w:bookmarkStart w:id="163" w:name="_Toc222868451"/>
      <w:bookmarkEnd w:id="161"/>
      <w:r w:rsidRPr="00617A89">
        <w:rPr>
          <w:color w:val="000000" w:themeColor="text1"/>
        </w:rPr>
        <w:t>International graduate results</w:t>
      </w:r>
      <w:bookmarkEnd w:id="162"/>
      <w:bookmarkEnd w:id="163"/>
    </w:p>
    <w:p w14:paraId="7C7B6A92" w14:textId="4056634E" w:rsidR="00177A30" w:rsidRPr="00617A89" w:rsidRDefault="00177A30"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Detailed short-term employment outcomes for international graduates of Australian higher education providers are published annually in the Graduate Outcomes Survey International Report</w:t>
      </w:r>
      <w:r w:rsidR="00622569" w:rsidRPr="00617A89">
        <w:rPr>
          <w:rFonts w:eastAsia="Times New Roman" w:cs="Times New Roman"/>
          <w:color w:val="000000" w:themeColor="text1"/>
          <w:szCs w:val="20"/>
        </w:rPr>
        <w:t xml:space="preserve"> (See </w:t>
      </w:r>
      <w:hyperlink r:id="rId109" w:history="1">
        <w:r w:rsidR="00622569" w:rsidRPr="00617A89">
          <w:rPr>
            <w:rStyle w:val="Hyperlink"/>
            <w:rFonts w:eastAsia="Times New Roman" w:cs="Times New Roman"/>
            <w:szCs w:val="20"/>
          </w:rPr>
          <w:t>Graduate Outcomes Survey</w:t>
        </w:r>
      </w:hyperlink>
      <w:r w:rsidR="00622569" w:rsidRPr="00617A89">
        <w:rPr>
          <w:rFonts w:eastAsia="Times New Roman" w:cs="Times New Roman"/>
          <w:color w:val="000000" w:themeColor="text1"/>
          <w:szCs w:val="20"/>
        </w:rPr>
        <w:t>)</w:t>
      </w:r>
      <w:r w:rsidR="00366574" w:rsidRPr="00617A89">
        <w:rPr>
          <w:rFonts w:eastAsia="Times New Roman" w:cs="Times New Roman"/>
          <w:color w:val="000000" w:themeColor="text1"/>
          <w:szCs w:val="20"/>
        </w:rPr>
        <w:t>.</w:t>
      </w:r>
    </w:p>
    <w:p w14:paraId="25B46B69" w14:textId="77777777" w:rsidR="00177A30" w:rsidRPr="00617A89" w:rsidRDefault="00177A30"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The GOS-L collects sufficient survey responses to enable high-level reporting of medium-term employment outcomes for international graduates, providing further context regarding the employment pathways of this graduate cohort.</w:t>
      </w:r>
    </w:p>
    <w:p w14:paraId="1589651A" w14:textId="47751DB3" w:rsidR="00177A30" w:rsidRPr="00617A89" w:rsidRDefault="00177A30"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 xml:space="preserve">It should be noted that differences in employment </w:t>
      </w:r>
      <w:r w:rsidR="007917D8" w:rsidRPr="00617A89">
        <w:rPr>
          <w:rFonts w:eastAsia="Times New Roman" w:cs="Times New Roman"/>
          <w:color w:val="000000" w:themeColor="text1"/>
          <w:szCs w:val="20"/>
        </w:rPr>
        <w:t xml:space="preserve">and </w:t>
      </w:r>
      <w:r w:rsidR="007D2FB3" w:rsidRPr="00617A89">
        <w:rPr>
          <w:rFonts w:eastAsia="Times New Roman" w:cs="Times New Roman"/>
          <w:color w:val="000000" w:themeColor="text1"/>
          <w:szCs w:val="20"/>
        </w:rPr>
        <w:t xml:space="preserve">further study </w:t>
      </w:r>
      <w:r w:rsidRPr="00617A89">
        <w:rPr>
          <w:rFonts w:eastAsia="Times New Roman" w:cs="Times New Roman"/>
          <w:color w:val="000000" w:themeColor="text1"/>
          <w:szCs w:val="20"/>
        </w:rPr>
        <w:t>outcomes between international and domestic graduates are affected by a range of factors</w:t>
      </w:r>
      <w:bookmarkStart w:id="164" w:name="_Hlk153360374"/>
      <w:r w:rsidR="003C0193" w:rsidRPr="00617A89">
        <w:rPr>
          <w:rFonts w:eastAsia="Times New Roman" w:cs="Times New Roman"/>
          <w:color w:val="000000" w:themeColor="text1"/>
          <w:szCs w:val="20"/>
        </w:rPr>
        <w:t>, such as demographic and study area differences</w:t>
      </w:r>
      <w:r w:rsidR="00CB57AF" w:rsidRPr="00617A89">
        <w:rPr>
          <w:rFonts w:eastAsia="Times New Roman" w:cs="Times New Roman"/>
          <w:color w:val="000000" w:themeColor="text1"/>
          <w:szCs w:val="20"/>
        </w:rPr>
        <w:t>.</w:t>
      </w:r>
    </w:p>
    <w:p w14:paraId="52F854A3" w14:textId="730147B2" w:rsidR="00177A30" w:rsidRPr="00617A89" w:rsidRDefault="00177A30"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 xml:space="preserve">Note, too, that international graduate median salaries are reported for international graduates working in Australia only. Meanwhile, </w:t>
      </w:r>
      <w:r w:rsidR="00DF1BC0" w:rsidRPr="00617A89">
        <w:rPr>
          <w:rFonts w:eastAsia="Times New Roman" w:cs="Times New Roman"/>
          <w:color w:val="000000" w:themeColor="text1"/>
          <w:szCs w:val="20"/>
        </w:rPr>
        <w:t xml:space="preserve">all other </w:t>
      </w:r>
      <w:r w:rsidRPr="00617A89">
        <w:rPr>
          <w:rFonts w:eastAsia="Times New Roman" w:cs="Times New Roman"/>
          <w:color w:val="000000" w:themeColor="text1"/>
          <w:szCs w:val="20"/>
        </w:rPr>
        <w:t xml:space="preserve">rates related to </w:t>
      </w:r>
      <w:r w:rsidR="001A370C" w:rsidRPr="00617A89">
        <w:rPr>
          <w:rFonts w:eastAsia="Times New Roman" w:cs="Times New Roman"/>
          <w:color w:val="000000" w:themeColor="text1"/>
          <w:szCs w:val="20"/>
        </w:rPr>
        <w:t xml:space="preserve">employment and further study outcomes, as well as skills utilisation, </w:t>
      </w:r>
      <w:r w:rsidRPr="00617A89">
        <w:rPr>
          <w:rFonts w:eastAsia="Times New Roman" w:cs="Times New Roman"/>
          <w:color w:val="000000" w:themeColor="text1"/>
          <w:szCs w:val="20"/>
        </w:rPr>
        <w:t xml:space="preserve">are for </w:t>
      </w:r>
      <w:r w:rsidRPr="00617A89">
        <w:rPr>
          <w:rFonts w:eastAsia="Times New Roman" w:cs="Times New Roman"/>
          <w:i/>
          <w:iCs/>
          <w:color w:val="000000" w:themeColor="text1"/>
          <w:szCs w:val="20"/>
        </w:rPr>
        <w:t>all</w:t>
      </w:r>
      <w:r w:rsidRPr="00617A89">
        <w:rPr>
          <w:rFonts w:eastAsia="Times New Roman" w:cs="Times New Roman"/>
          <w:color w:val="000000" w:themeColor="text1"/>
          <w:szCs w:val="20"/>
        </w:rPr>
        <w:t xml:space="preserve"> international graduates</w:t>
      </w:r>
      <w:r w:rsidR="001C5AC9" w:rsidRPr="00617A89">
        <w:rPr>
          <w:rFonts w:eastAsia="Times New Roman" w:cs="Times New Roman"/>
          <w:color w:val="000000" w:themeColor="text1"/>
          <w:szCs w:val="20"/>
        </w:rPr>
        <w:t>, regardless of their location at the time of the survey</w:t>
      </w:r>
      <w:r w:rsidRPr="00617A89">
        <w:rPr>
          <w:rFonts w:eastAsia="Times New Roman" w:cs="Times New Roman"/>
          <w:color w:val="000000" w:themeColor="text1"/>
          <w:szCs w:val="20"/>
        </w:rPr>
        <w:t>.</w:t>
      </w:r>
    </w:p>
    <w:p w14:paraId="74EB7CF6" w14:textId="0F8AEA8B" w:rsidR="00F0544F" w:rsidRPr="00617A89" w:rsidRDefault="00F0544F" w:rsidP="00E17E16">
      <w:pPr>
        <w:pStyle w:val="Heading2"/>
        <w:rPr>
          <w:color w:val="000000" w:themeColor="text1"/>
          <w:sz w:val="24"/>
          <w:szCs w:val="24"/>
        </w:rPr>
      </w:pPr>
      <w:bookmarkStart w:id="165" w:name="_Toc222868452"/>
      <w:r w:rsidRPr="00617A89">
        <w:rPr>
          <w:color w:val="000000" w:themeColor="text1"/>
        </w:rPr>
        <w:t>International graduate profile</w:t>
      </w:r>
      <w:r w:rsidR="00F36D62" w:rsidRPr="00617A89">
        <w:rPr>
          <w:color w:val="000000" w:themeColor="text1"/>
        </w:rPr>
        <w:t xml:space="preserve"> </w:t>
      </w:r>
      <w:r w:rsidR="00F36D62" w:rsidRPr="00617A89">
        <w:rPr>
          <w:color w:val="000000" w:themeColor="text1"/>
          <w:sz w:val="24"/>
          <w:szCs w:val="24"/>
        </w:rPr>
        <w:t>(based on responses to th</w:t>
      </w:r>
      <w:r w:rsidR="00FE75CE" w:rsidRPr="00617A89">
        <w:rPr>
          <w:color w:val="000000" w:themeColor="text1"/>
          <w:sz w:val="24"/>
          <w:szCs w:val="24"/>
        </w:rPr>
        <w:t xml:space="preserve">e </w:t>
      </w:r>
      <w:r w:rsidR="00F36D62" w:rsidRPr="00617A89">
        <w:rPr>
          <w:color w:val="000000" w:themeColor="text1"/>
          <w:sz w:val="24"/>
          <w:szCs w:val="24"/>
        </w:rPr>
        <w:t>2025 GOS-L</w:t>
      </w:r>
      <w:r w:rsidR="00F36D62" w:rsidRPr="00617A89">
        <w:rPr>
          <w:color w:val="000000" w:themeColor="text1"/>
          <w:sz w:val="24"/>
          <w:szCs w:val="24"/>
          <w:vertAlign w:val="superscript"/>
        </w:rPr>
        <w:footnoteReference w:id="16"/>
      </w:r>
      <w:r w:rsidR="00F36D62" w:rsidRPr="00617A89">
        <w:rPr>
          <w:color w:val="000000" w:themeColor="text1"/>
          <w:sz w:val="24"/>
          <w:szCs w:val="24"/>
        </w:rPr>
        <w:t>)</w:t>
      </w:r>
      <w:bookmarkEnd w:id="165"/>
    </w:p>
    <w:p w14:paraId="31ED237A" w14:textId="3547CD6E" w:rsidR="009B2826" w:rsidRPr="00617A89" w:rsidRDefault="00FE75CE" w:rsidP="00FE75CE">
      <w:pPr>
        <w:pStyle w:val="Body"/>
        <w:rPr>
          <w:color w:val="000000" w:themeColor="text1"/>
        </w:rPr>
      </w:pPr>
      <w:r w:rsidRPr="00617A89">
        <w:rPr>
          <w:color w:val="000000" w:themeColor="text1"/>
        </w:rPr>
        <w:t>The profile of international graduates across study levels differ</w:t>
      </w:r>
      <w:r w:rsidR="00436D75" w:rsidRPr="00617A89">
        <w:rPr>
          <w:color w:val="000000" w:themeColor="text1"/>
        </w:rPr>
        <w:t>ed</w:t>
      </w:r>
      <w:r w:rsidRPr="00617A89">
        <w:rPr>
          <w:color w:val="000000" w:themeColor="text1"/>
        </w:rPr>
        <w:t xml:space="preserve"> to the domestic graduate profile. </w:t>
      </w:r>
    </w:p>
    <w:p w14:paraId="22A8CAC8" w14:textId="77777777" w:rsidR="00EF6479" w:rsidRPr="00617A89" w:rsidRDefault="00FE75CE" w:rsidP="002F2F86">
      <w:pPr>
        <w:pStyle w:val="Body"/>
        <w:rPr>
          <w:color w:val="000000" w:themeColor="text1"/>
        </w:rPr>
      </w:pPr>
      <w:r w:rsidRPr="00617A89">
        <w:rPr>
          <w:color w:val="000000" w:themeColor="text1"/>
        </w:rPr>
        <w:t xml:space="preserve">The international graduate population had higher proportions of graduates across postgraduate levels compared to the domestic graduate population which had a larger proportion of undergraduates. </w:t>
      </w:r>
      <w:r w:rsidR="00EF6479" w:rsidRPr="00617A89">
        <w:rPr>
          <w:noProof/>
          <w:color w:val="000000" w:themeColor="text1"/>
        </w:rPr>
        <w:drawing>
          <wp:inline distT="0" distB="0" distL="0" distR="0" wp14:anchorId="591FCAE1" wp14:editId="236B21B9">
            <wp:extent cx="6468110" cy="3200400"/>
            <wp:effectExtent l="0" t="0" r="8890" b="0"/>
            <wp:docPr id="19150056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68110" cy="3200400"/>
                    </a:xfrm>
                    <a:prstGeom prst="rect">
                      <a:avLst/>
                    </a:prstGeom>
                    <a:noFill/>
                  </pic:spPr>
                </pic:pic>
              </a:graphicData>
            </a:graphic>
          </wp:inline>
        </w:drawing>
      </w:r>
    </w:p>
    <w:p w14:paraId="3AB01BAB" w14:textId="77777777" w:rsidR="00EF6479" w:rsidRPr="00617A89" w:rsidRDefault="00FE75CE" w:rsidP="002F2F86">
      <w:pPr>
        <w:pStyle w:val="Body"/>
        <w:rPr>
          <w:color w:val="000000" w:themeColor="text1"/>
        </w:rPr>
      </w:pPr>
      <w:r w:rsidRPr="00617A89">
        <w:rPr>
          <w:color w:val="000000" w:themeColor="text1"/>
        </w:rPr>
        <w:t xml:space="preserve">The proportions of international respondents aged 30 and under were higher than domestic respondents at the undergraduate and postgraduate coursework level. This difference was most notable at the postgraduate coursework level where the size of the international population aged 30 and under was more than double that of the domestic population (51.8 per cent compared to 21.1 per cent). This age differential between international and domestic graduates is a key factor in understanding differences in labour market outcomes, occupation types and further study outcomes presented in this </w:t>
      </w:r>
      <w:r w:rsidR="00296168" w:rsidRPr="00617A89">
        <w:rPr>
          <w:color w:val="000000" w:themeColor="text1"/>
        </w:rPr>
        <w:t>chapter</w:t>
      </w:r>
      <w:r w:rsidRPr="00617A89">
        <w:rPr>
          <w:color w:val="000000" w:themeColor="text1"/>
        </w:rPr>
        <w:t>.</w:t>
      </w:r>
    </w:p>
    <w:p w14:paraId="79F8D262" w14:textId="33A421C4" w:rsidR="00296168" w:rsidRPr="00617A89" w:rsidRDefault="00EF6479" w:rsidP="002F2F86">
      <w:pPr>
        <w:pStyle w:val="Body"/>
        <w:rPr>
          <w:color w:val="000000" w:themeColor="text1"/>
        </w:rPr>
      </w:pPr>
      <w:r w:rsidRPr="00617A89">
        <w:rPr>
          <w:noProof/>
          <w:color w:val="000000" w:themeColor="text1"/>
        </w:rPr>
        <w:drawing>
          <wp:inline distT="0" distB="0" distL="0" distR="0" wp14:anchorId="3B7B01E4" wp14:editId="4AEBB3C7">
            <wp:extent cx="6565900" cy="2920365"/>
            <wp:effectExtent l="0" t="0" r="6350" b="0"/>
            <wp:docPr id="19411399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65900" cy="2920365"/>
                    </a:xfrm>
                    <a:prstGeom prst="rect">
                      <a:avLst/>
                    </a:prstGeom>
                    <a:noFill/>
                  </pic:spPr>
                </pic:pic>
              </a:graphicData>
            </a:graphic>
          </wp:inline>
        </w:drawing>
      </w:r>
    </w:p>
    <w:p w14:paraId="6F5C1966" w14:textId="77777777" w:rsidR="00296168" w:rsidRPr="00617A89" w:rsidRDefault="00296168" w:rsidP="00296168">
      <w:pPr>
        <w:pStyle w:val="Body"/>
        <w:rPr>
          <w:color w:val="000000" w:themeColor="text1"/>
          <w:sz w:val="16"/>
          <w:szCs w:val="16"/>
        </w:rPr>
      </w:pPr>
      <w:r w:rsidRPr="00617A89">
        <w:rPr>
          <w:color w:val="000000" w:themeColor="text1"/>
        </w:rPr>
        <w:t>Overall, the top source countries for international students, in terms of the relative size of these populations, were China (excludes SARs and Taiwan), India and Nepal. However, the mix of source countries varied across study levels</w:t>
      </w:r>
      <w:r w:rsidRPr="00617A89">
        <w:rPr>
          <w:color w:val="000000" w:themeColor="text1"/>
          <w:sz w:val="16"/>
          <w:szCs w:val="16"/>
        </w:rPr>
        <w:t xml:space="preserve">. </w:t>
      </w:r>
    </w:p>
    <w:p w14:paraId="7EC3163A" w14:textId="2F853CBA" w:rsidR="00EF6479" w:rsidRPr="00617A89" w:rsidRDefault="00EF6479" w:rsidP="00296168">
      <w:pPr>
        <w:pStyle w:val="Body"/>
        <w:rPr>
          <w:color w:val="000000" w:themeColor="text1"/>
          <w:sz w:val="16"/>
          <w:szCs w:val="16"/>
        </w:rPr>
      </w:pPr>
      <w:r w:rsidRPr="00617A89">
        <w:rPr>
          <w:noProof/>
          <w:color w:val="000000" w:themeColor="text1"/>
          <w:sz w:val="16"/>
          <w:szCs w:val="16"/>
        </w:rPr>
        <w:drawing>
          <wp:inline distT="0" distB="0" distL="0" distR="0" wp14:anchorId="23105D86" wp14:editId="40950247">
            <wp:extent cx="6645275" cy="3542030"/>
            <wp:effectExtent l="0" t="0" r="3175" b="1270"/>
            <wp:docPr id="5309874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45275" cy="3542030"/>
                    </a:xfrm>
                    <a:prstGeom prst="rect">
                      <a:avLst/>
                    </a:prstGeom>
                    <a:noFill/>
                  </pic:spPr>
                </pic:pic>
              </a:graphicData>
            </a:graphic>
          </wp:inline>
        </w:drawing>
      </w:r>
    </w:p>
    <w:p w14:paraId="1BD3C1EA" w14:textId="4C93A0B8" w:rsidR="00177A30" w:rsidRPr="00617A89" w:rsidRDefault="006C042D" w:rsidP="00D61F66">
      <w:pPr>
        <w:pStyle w:val="Heading2"/>
        <w:rPr>
          <w:color w:val="000000" w:themeColor="text1"/>
          <w:lang w:val="en-GB"/>
        </w:rPr>
      </w:pPr>
      <w:bookmarkStart w:id="166" w:name="_Toc222868453"/>
      <w:bookmarkEnd w:id="164"/>
      <w:r w:rsidRPr="00617A89">
        <w:rPr>
          <w:color w:val="000000" w:themeColor="text1"/>
          <w:lang w:val="en-GB"/>
        </w:rPr>
        <w:t>Comparative outcomes: international and domestic graduates</w:t>
      </w:r>
      <w:bookmarkEnd w:id="166"/>
    </w:p>
    <w:p w14:paraId="6DD32936" w14:textId="2DAFCF12" w:rsidR="00B40E8D" w:rsidRPr="00617A89" w:rsidRDefault="00381A91" w:rsidP="00B40E8D">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 xml:space="preserve">In general, </w:t>
      </w:r>
      <w:r w:rsidR="00FF44AB" w:rsidRPr="00617A89">
        <w:rPr>
          <w:rFonts w:eastAsia="Times New Roman" w:cs="Times New Roman"/>
          <w:color w:val="000000" w:themeColor="text1"/>
          <w:szCs w:val="20"/>
        </w:rPr>
        <w:t>short-term</w:t>
      </w:r>
      <w:r w:rsidR="00B40E8D" w:rsidRPr="00617A89">
        <w:rPr>
          <w:rFonts w:eastAsia="Times New Roman" w:cs="Times New Roman"/>
          <w:color w:val="000000" w:themeColor="text1"/>
          <w:szCs w:val="20"/>
        </w:rPr>
        <w:t xml:space="preserve"> employment outcomes for international graduates are much lower than for domestic graduates</w:t>
      </w:r>
      <w:r w:rsidR="00F5274C" w:rsidRPr="00617A89">
        <w:rPr>
          <w:rFonts w:eastAsia="Times New Roman" w:cs="Times New Roman"/>
          <w:color w:val="000000" w:themeColor="text1"/>
          <w:szCs w:val="20"/>
        </w:rPr>
        <w:t xml:space="preserve"> and these trends continued for the 2022-2025 cohort</w:t>
      </w:r>
      <w:r w:rsidR="00B40E8D" w:rsidRPr="00617A89">
        <w:rPr>
          <w:rFonts w:eastAsia="Times New Roman" w:cs="Times New Roman"/>
          <w:color w:val="000000" w:themeColor="text1"/>
          <w:szCs w:val="20"/>
        </w:rPr>
        <w:t xml:space="preserve">. </w:t>
      </w:r>
      <w:r w:rsidR="002D59D4" w:rsidRPr="00617A89">
        <w:rPr>
          <w:rFonts w:eastAsia="Times New Roman" w:cs="Times New Roman"/>
          <w:color w:val="000000" w:themeColor="text1"/>
          <w:szCs w:val="20"/>
        </w:rPr>
        <w:t>I</w:t>
      </w:r>
      <w:r w:rsidR="00B40E8D" w:rsidRPr="00617A89">
        <w:rPr>
          <w:rFonts w:eastAsia="Times New Roman" w:cs="Times New Roman"/>
          <w:color w:val="000000" w:themeColor="text1"/>
          <w:szCs w:val="20"/>
        </w:rPr>
        <w:t xml:space="preserve">nternational graduates are more likely to be undertaking further full-time study than domestic graduates, which may partly explain the lower labour force participation rate. </w:t>
      </w:r>
      <w:r w:rsidR="001103F8" w:rsidRPr="00617A89">
        <w:rPr>
          <w:rFonts w:eastAsia="Times New Roman" w:cs="Times New Roman"/>
          <w:color w:val="000000" w:themeColor="text1"/>
          <w:szCs w:val="20"/>
        </w:rPr>
        <w:t>While</w:t>
      </w:r>
      <w:r w:rsidR="00B40E8D" w:rsidRPr="00617A89">
        <w:rPr>
          <w:rFonts w:eastAsia="Times New Roman" w:cs="Times New Roman"/>
          <w:color w:val="000000" w:themeColor="text1"/>
          <w:szCs w:val="20"/>
        </w:rPr>
        <w:t xml:space="preserve"> employment rates for international graduates increase considerably 3 years</w:t>
      </w:r>
      <w:r w:rsidR="00DA4636" w:rsidRPr="00617A89">
        <w:rPr>
          <w:rFonts w:eastAsia="Times New Roman" w:cs="Times New Roman"/>
          <w:color w:val="000000" w:themeColor="text1"/>
          <w:szCs w:val="20"/>
        </w:rPr>
        <w:t xml:space="preserve"> later</w:t>
      </w:r>
      <w:r w:rsidR="00B40E8D" w:rsidRPr="00617A89">
        <w:rPr>
          <w:rFonts w:eastAsia="Times New Roman" w:cs="Times New Roman"/>
          <w:color w:val="000000" w:themeColor="text1"/>
          <w:szCs w:val="20"/>
        </w:rPr>
        <w:t>, narrowing the difference with domestic graduates</w:t>
      </w:r>
      <w:r w:rsidR="001C3952" w:rsidRPr="00617A89">
        <w:rPr>
          <w:rFonts w:eastAsia="Times New Roman" w:cs="Times New Roman"/>
          <w:color w:val="000000" w:themeColor="text1"/>
          <w:szCs w:val="20"/>
        </w:rPr>
        <w:t xml:space="preserve">, </w:t>
      </w:r>
      <w:r w:rsidR="00C61F65" w:rsidRPr="00617A89">
        <w:rPr>
          <w:rFonts w:eastAsia="Times New Roman" w:cs="Times New Roman"/>
          <w:color w:val="000000" w:themeColor="text1"/>
          <w:szCs w:val="20"/>
        </w:rPr>
        <w:t>the gap</w:t>
      </w:r>
      <w:r w:rsidR="001C3952" w:rsidRPr="00617A89">
        <w:rPr>
          <w:rFonts w:eastAsia="Times New Roman" w:cs="Times New Roman"/>
          <w:color w:val="000000" w:themeColor="text1"/>
          <w:szCs w:val="20"/>
        </w:rPr>
        <w:t xml:space="preserve"> in median salaries</w:t>
      </w:r>
      <w:r w:rsidR="00E6385C" w:rsidRPr="00617A89">
        <w:rPr>
          <w:rFonts w:eastAsia="Times New Roman" w:cs="Times New Roman"/>
          <w:color w:val="000000" w:themeColor="text1"/>
          <w:szCs w:val="20"/>
        </w:rPr>
        <w:t xml:space="preserve"> remain</w:t>
      </w:r>
      <w:r w:rsidR="00640E32" w:rsidRPr="00617A89">
        <w:rPr>
          <w:rFonts w:eastAsia="Times New Roman" w:cs="Times New Roman"/>
          <w:color w:val="000000" w:themeColor="text1"/>
          <w:szCs w:val="20"/>
        </w:rPr>
        <w:t>s</w:t>
      </w:r>
      <w:r w:rsidR="00B40E8D" w:rsidRPr="00617A89">
        <w:rPr>
          <w:rFonts w:eastAsia="Times New Roman" w:cs="Times New Roman"/>
          <w:color w:val="000000" w:themeColor="text1"/>
          <w:szCs w:val="20"/>
        </w:rPr>
        <w:t>.</w:t>
      </w:r>
    </w:p>
    <w:p w14:paraId="3E1785CC" w14:textId="4F369996" w:rsidR="00E6385C" w:rsidRPr="00617A89" w:rsidRDefault="00640E32" w:rsidP="00B40E8D">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Differences</w:t>
      </w:r>
      <w:r w:rsidR="00AD0662" w:rsidRPr="00617A89">
        <w:rPr>
          <w:rFonts w:eastAsia="Times New Roman" w:cs="Times New Roman"/>
          <w:color w:val="000000" w:themeColor="text1"/>
          <w:szCs w:val="20"/>
        </w:rPr>
        <w:t xml:space="preserve"> in employment rates</w:t>
      </w:r>
      <w:r w:rsidR="00031832" w:rsidRPr="00617A89">
        <w:rPr>
          <w:rFonts w:eastAsia="Times New Roman" w:cs="Times New Roman"/>
          <w:color w:val="000000" w:themeColor="text1"/>
          <w:szCs w:val="20"/>
        </w:rPr>
        <w:t xml:space="preserve"> and median salaries </w:t>
      </w:r>
      <w:r w:rsidR="00AE502E" w:rsidRPr="00617A89">
        <w:rPr>
          <w:rFonts w:eastAsia="Times New Roman" w:cs="Times New Roman"/>
          <w:color w:val="000000" w:themeColor="text1"/>
          <w:szCs w:val="20"/>
        </w:rPr>
        <w:t>are</w:t>
      </w:r>
      <w:r w:rsidR="00083F69" w:rsidRPr="00617A89">
        <w:rPr>
          <w:rFonts w:eastAsia="Times New Roman" w:cs="Times New Roman"/>
          <w:color w:val="000000" w:themeColor="text1"/>
          <w:szCs w:val="20"/>
        </w:rPr>
        <w:t xml:space="preserve"> most pronounced at the postgraduate coursework level</w:t>
      </w:r>
      <w:r w:rsidR="0065574A" w:rsidRPr="00617A89">
        <w:rPr>
          <w:rFonts w:eastAsia="Times New Roman" w:cs="Times New Roman"/>
          <w:color w:val="000000" w:themeColor="text1"/>
          <w:szCs w:val="20"/>
        </w:rPr>
        <w:t xml:space="preserve">. </w:t>
      </w:r>
      <w:r w:rsidR="00701F67" w:rsidRPr="00617A89">
        <w:rPr>
          <w:rFonts w:eastAsia="Times New Roman" w:cs="Times New Roman"/>
          <w:color w:val="000000" w:themeColor="text1"/>
          <w:szCs w:val="20"/>
        </w:rPr>
        <w:t>E</w:t>
      </w:r>
      <w:r w:rsidR="00783C46" w:rsidRPr="00617A89">
        <w:rPr>
          <w:rFonts w:eastAsia="Times New Roman" w:cs="Times New Roman"/>
          <w:color w:val="000000" w:themeColor="text1"/>
          <w:szCs w:val="20"/>
        </w:rPr>
        <w:t>xamining demographic, study area and undergraduate further study rates</w:t>
      </w:r>
      <w:r w:rsidR="00231419" w:rsidRPr="00617A89">
        <w:rPr>
          <w:rFonts w:eastAsia="Times New Roman" w:cs="Times New Roman"/>
          <w:color w:val="000000" w:themeColor="text1"/>
          <w:szCs w:val="20"/>
        </w:rPr>
        <w:t xml:space="preserve"> provides important context </w:t>
      </w:r>
      <w:r w:rsidR="00896242" w:rsidRPr="00617A89">
        <w:rPr>
          <w:rFonts w:eastAsia="Times New Roman" w:cs="Times New Roman"/>
          <w:color w:val="000000" w:themeColor="text1"/>
          <w:szCs w:val="20"/>
        </w:rPr>
        <w:t>in understanding</w:t>
      </w:r>
      <w:r w:rsidR="00231419" w:rsidRPr="00617A89">
        <w:rPr>
          <w:rFonts w:eastAsia="Times New Roman" w:cs="Times New Roman"/>
          <w:color w:val="000000" w:themeColor="text1"/>
          <w:szCs w:val="20"/>
        </w:rPr>
        <w:t xml:space="preserve"> this</w:t>
      </w:r>
      <w:r w:rsidR="00D276C3" w:rsidRPr="00617A89">
        <w:rPr>
          <w:rFonts w:eastAsia="Times New Roman" w:cs="Times New Roman"/>
          <w:color w:val="000000" w:themeColor="text1"/>
          <w:szCs w:val="20"/>
        </w:rPr>
        <w:t xml:space="preserve"> gap. </w:t>
      </w:r>
      <w:r w:rsidR="00756E09" w:rsidRPr="00617A89">
        <w:rPr>
          <w:rFonts w:eastAsia="Times New Roman" w:cs="Times New Roman"/>
          <w:color w:val="000000" w:themeColor="text1"/>
          <w:szCs w:val="20"/>
        </w:rPr>
        <w:t xml:space="preserve">These themes are discussed </w:t>
      </w:r>
      <w:r w:rsidR="006D134D" w:rsidRPr="00617A89">
        <w:rPr>
          <w:rFonts w:eastAsia="Times New Roman" w:cs="Times New Roman"/>
          <w:color w:val="000000" w:themeColor="text1"/>
          <w:szCs w:val="20"/>
        </w:rPr>
        <w:t>in the following sections.</w:t>
      </w:r>
    </w:p>
    <w:p w14:paraId="1CF7CF80" w14:textId="2A5F95C1" w:rsidR="00AE502E" w:rsidRPr="00617A89" w:rsidRDefault="00AE502E" w:rsidP="00B40E8D">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Changes to how the labour force is defined in 2025 affected the labour force participation rates, and full time and overall employment rates presented in this report. Differences between 2025 medium-term results, and the short</w:t>
      </w:r>
      <w:r w:rsidR="0018058F" w:rsidRPr="00617A89">
        <w:rPr>
          <w:rFonts w:eastAsia="Times New Roman" w:cs="Times New Roman"/>
          <w:color w:val="000000" w:themeColor="text1"/>
          <w:szCs w:val="20"/>
        </w:rPr>
        <w:t>-</w:t>
      </w:r>
      <w:r w:rsidRPr="00617A89">
        <w:rPr>
          <w:rFonts w:eastAsia="Times New Roman" w:cs="Times New Roman"/>
          <w:color w:val="000000" w:themeColor="text1"/>
          <w:szCs w:val="20"/>
        </w:rPr>
        <w:t xml:space="preserve">term results and other medium-term results should be interpreted with caution as they partly reflect the change in methodology. Department of Education analysis indicates this change resulted in downward pressure on labour force participation rates, and upward pressure on both full-time and overall employment rates. </w:t>
      </w:r>
      <w:r w:rsidRPr="00617A89">
        <w:rPr>
          <w:rFonts w:eastAsia="Times New Roman" w:cs="Times New Roman"/>
          <w:b/>
          <w:bCs/>
          <w:color w:val="000000" w:themeColor="text1"/>
          <w:szCs w:val="20"/>
        </w:rPr>
        <w:fldChar w:fldCharType="begin"/>
      </w:r>
      <w:r w:rsidRPr="00617A89">
        <w:rPr>
          <w:rFonts w:eastAsia="Times New Roman" w:cs="Times New Roman"/>
          <w:b/>
          <w:bCs/>
          <w:color w:val="000000" w:themeColor="text1"/>
          <w:szCs w:val="20"/>
        </w:rPr>
        <w:instrText xml:space="preserve"> REF _Ref222867815 \h  \* MERGEFORMAT </w:instrText>
      </w:r>
      <w:r w:rsidRPr="00617A89">
        <w:rPr>
          <w:rFonts w:eastAsia="Times New Roman" w:cs="Times New Roman"/>
          <w:b/>
          <w:bCs/>
          <w:color w:val="000000" w:themeColor="text1"/>
          <w:szCs w:val="20"/>
        </w:rPr>
      </w:r>
      <w:r w:rsidRPr="00617A89">
        <w:rPr>
          <w:rFonts w:eastAsia="Times New Roman" w:cs="Times New Roman"/>
          <w:b/>
          <w:bCs/>
          <w:color w:val="000000" w:themeColor="text1"/>
          <w:szCs w:val="20"/>
        </w:rPr>
        <w:fldChar w:fldCharType="separate"/>
      </w:r>
      <w:r w:rsidRPr="00617A89">
        <w:rPr>
          <w:b/>
          <w:bCs/>
        </w:rPr>
        <w:t xml:space="preserve">Table </w:t>
      </w:r>
      <w:r w:rsidRPr="00617A89">
        <w:rPr>
          <w:b/>
          <w:bCs/>
          <w:noProof/>
        </w:rPr>
        <w:t>7</w:t>
      </w:r>
      <w:r w:rsidRPr="00617A89">
        <w:rPr>
          <w:rFonts w:eastAsia="Times New Roman" w:cs="Times New Roman"/>
          <w:b/>
          <w:bCs/>
          <w:color w:val="000000" w:themeColor="text1"/>
          <w:szCs w:val="20"/>
        </w:rPr>
        <w:fldChar w:fldCharType="end"/>
      </w:r>
      <w:r w:rsidRPr="00617A89">
        <w:rPr>
          <w:rFonts w:eastAsia="Times New Roman" w:cs="Times New Roman"/>
          <w:color w:val="000000" w:themeColor="text1"/>
          <w:szCs w:val="20"/>
        </w:rPr>
        <w:t xml:space="preserve"> provides the estimated impacts on each indicator for international graduates, by study level. See </w:t>
      </w:r>
      <w:r w:rsidRPr="00617A89">
        <w:rPr>
          <w:rFonts w:eastAsia="Times New Roman" w:cs="Times New Roman"/>
          <w:b/>
          <w:bCs/>
          <w:color w:val="000000" w:themeColor="text1"/>
          <w:szCs w:val="20"/>
        </w:rPr>
        <w:t>Appendix 1</w:t>
      </w:r>
      <w:r w:rsidRPr="00617A89">
        <w:rPr>
          <w:rFonts w:eastAsia="Times New Roman" w:cs="Times New Roman"/>
          <w:color w:val="000000" w:themeColor="text1"/>
          <w:szCs w:val="20"/>
        </w:rPr>
        <w:t xml:space="preserve"> for more information about this change.</w:t>
      </w:r>
    </w:p>
    <w:p w14:paraId="3B61B79D" w14:textId="59B31B9D" w:rsidR="00AE502E" w:rsidRPr="00617A89" w:rsidRDefault="00AE502E" w:rsidP="00AE502E">
      <w:pPr>
        <w:pStyle w:val="Caption"/>
        <w:rPr>
          <w:color w:val="auto"/>
        </w:rPr>
      </w:pPr>
      <w:bookmarkStart w:id="167" w:name="_Ref222867815"/>
      <w:bookmarkStart w:id="168" w:name="_Toc222868477"/>
      <w:r w:rsidRPr="00617A89">
        <w:rPr>
          <w:color w:val="auto"/>
        </w:rPr>
        <w:t xml:space="preserve">Table </w:t>
      </w:r>
      <w:r w:rsidRPr="00617A89">
        <w:rPr>
          <w:color w:val="auto"/>
        </w:rPr>
        <w:fldChar w:fldCharType="begin"/>
      </w:r>
      <w:r w:rsidRPr="00617A89">
        <w:rPr>
          <w:color w:val="auto"/>
        </w:rPr>
        <w:instrText xml:space="preserve"> SEQ Table \* ARABIC </w:instrText>
      </w:r>
      <w:r w:rsidRPr="00617A89">
        <w:rPr>
          <w:color w:val="auto"/>
        </w:rPr>
        <w:fldChar w:fldCharType="separate"/>
      </w:r>
      <w:r w:rsidR="000539F2" w:rsidRPr="00617A89">
        <w:rPr>
          <w:noProof/>
          <w:color w:val="auto"/>
        </w:rPr>
        <w:t>7</w:t>
      </w:r>
      <w:r w:rsidRPr="00617A89">
        <w:rPr>
          <w:color w:val="auto"/>
        </w:rPr>
        <w:fldChar w:fldCharType="end"/>
      </w:r>
      <w:bookmarkEnd w:id="167"/>
      <w:r w:rsidRPr="00617A89">
        <w:rPr>
          <w:color w:val="auto"/>
        </w:rPr>
        <w:tab/>
        <w:t>Estimated impact of methodology change in the 2025 GOS-L</w:t>
      </w:r>
      <w:bookmarkEnd w:id="168"/>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678"/>
        <w:gridCol w:w="1678"/>
        <w:gridCol w:w="1678"/>
      </w:tblGrid>
      <w:tr w:rsidR="00AE502E" w:rsidRPr="00617A89" w14:paraId="4407C51D" w14:textId="77777777" w:rsidTr="00AE502E">
        <w:trPr>
          <w:trHeight w:val="598"/>
        </w:trPr>
        <w:tc>
          <w:tcPr>
            <w:tcW w:w="4957" w:type="dxa"/>
            <w:vAlign w:val="center"/>
            <w:hideMark/>
          </w:tcPr>
          <w:p w14:paraId="60354656" w14:textId="71406EFB" w:rsidR="00AE502E" w:rsidRPr="00617A89" w:rsidRDefault="00AE502E" w:rsidP="00AE502E">
            <w:pPr>
              <w:rPr>
                <w:rFonts w:eastAsia="Times New Roman" w:cs="Arial"/>
                <w:b/>
                <w:bCs/>
                <w:color w:val="000000"/>
                <w:sz w:val="18"/>
                <w:lang w:eastAsia="en-AU"/>
              </w:rPr>
            </w:pPr>
            <w:r w:rsidRPr="00617A89">
              <w:rPr>
                <w:rFonts w:eastAsia="Times New Roman" w:cs="Arial"/>
                <w:b/>
                <w:bCs/>
                <w:color w:val="000000"/>
                <w:sz w:val="18"/>
                <w:lang w:eastAsia="en-AU"/>
              </w:rPr>
              <w:t>Study level: Indicator</w:t>
            </w:r>
          </w:p>
        </w:tc>
        <w:tc>
          <w:tcPr>
            <w:tcW w:w="1678" w:type="dxa"/>
            <w:vAlign w:val="center"/>
            <w:hideMark/>
          </w:tcPr>
          <w:p w14:paraId="76D84C6C" w14:textId="77777777" w:rsidR="00AE502E" w:rsidRPr="00617A89" w:rsidRDefault="00AE502E" w:rsidP="00AE502E">
            <w:pPr>
              <w:jc w:val="center"/>
              <w:rPr>
                <w:rFonts w:eastAsia="Times New Roman" w:cs="Arial"/>
                <w:b/>
                <w:bCs/>
                <w:color w:val="000000"/>
                <w:sz w:val="18"/>
                <w:lang w:eastAsia="en-AU"/>
              </w:rPr>
            </w:pPr>
            <w:r w:rsidRPr="00617A89">
              <w:rPr>
                <w:rFonts w:eastAsia="Times New Roman" w:cs="Arial"/>
                <w:b/>
                <w:bCs/>
                <w:color w:val="000000"/>
                <w:sz w:val="18"/>
                <w:lang w:eastAsia="en-AU"/>
              </w:rPr>
              <w:t>Direction of change</w:t>
            </w:r>
          </w:p>
        </w:tc>
        <w:tc>
          <w:tcPr>
            <w:tcW w:w="1678" w:type="dxa"/>
            <w:vAlign w:val="center"/>
            <w:hideMark/>
          </w:tcPr>
          <w:p w14:paraId="62F8BCC0" w14:textId="77777777" w:rsidR="00AE502E" w:rsidRPr="00617A89" w:rsidRDefault="00AE502E" w:rsidP="00AE502E">
            <w:pPr>
              <w:jc w:val="center"/>
              <w:rPr>
                <w:rFonts w:eastAsia="Times New Roman" w:cs="Arial"/>
                <w:b/>
                <w:bCs/>
                <w:color w:val="000000"/>
                <w:sz w:val="18"/>
                <w:lang w:eastAsia="en-AU"/>
              </w:rPr>
            </w:pPr>
            <w:r w:rsidRPr="00617A89">
              <w:rPr>
                <w:rFonts w:eastAsia="Times New Roman" w:cs="Arial"/>
                <w:b/>
                <w:bCs/>
                <w:color w:val="000000"/>
                <w:sz w:val="18"/>
                <w:lang w:eastAsia="en-AU"/>
              </w:rPr>
              <w:t>Domestic</w:t>
            </w:r>
          </w:p>
        </w:tc>
        <w:tc>
          <w:tcPr>
            <w:tcW w:w="1678" w:type="dxa"/>
            <w:vAlign w:val="center"/>
            <w:hideMark/>
          </w:tcPr>
          <w:p w14:paraId="7B6DF2C7" w14:textId="77777777" w:rsidR="00AE502E" w:rsidRPr="00617A89" w:rsidRDefault="00AE502E" w:rsidP="00AE502E">
            <w:pPr>
              <w:jc w:val="center"/>
              <w:rPr>
                <w:rFonts w:eastAsia="Times New Roman" w:cs="Arial"/>
                <w:b/>
                <w:bCs/>
                <w:color w:val="000000"/>
                <w:sz w:val="18"/>
                <w:lang w:eastAsia="en-AU"/>
              </w:rPr>
            </w:pPr>
            <w:r w:rsidRPr="00617A89">
              <w:rPr>
                <w:rFonts w:eastAsia="Times New Roman" w:cs="Arial"/>
                <w:b/>
                <w:bCs/>
                <w:color w:val="000000"/>
                <w:sz w:val="18"/>
                <w:lang w:eastAsia="en-AU"/>
              </w:rPr>
              <w:t>International</w:t>
            </w:r>
          </w:p>
        </w:tc>
      </w:tr>
      <w:tr w:rsidR="00AE502E" w:rsidRPr="00617A89" w14:paraId="1D6E18B5" w14:textId="77777777" w:rsidTr="00AE502E">
        <w:trPr>
          <w:trHeight w:val="340"/>
        </w:trPr>
        <w:tc>
          <w:tcPr>
            <w:tcW w:w="4957" w:type="dxa"/>
            <w:noWrap/>
            <w:vAlign w:val="center"/>
            <w:hideMark/>
          </w:tcPr>
          <w:p w14:paraId="1D79A0C2" w14:textId="54486D77" w:rsidR="00AE502E" w:rsidRPr="00617A89" w:rsidRDefault="00AE502E" w:rsidP="00AE502E">
            <w:pPr>
              <w:rPr>
                <w:rFonts w:eastAsia="Times New Roman" w:cs="Arial"/>
                <w:color w:val="000000"/>
                <w:sz w:val="18"/>
                <w:lang w:eastAsia="en-AU"/>
              </w:rPr>
            </w:pPr>
            <w:r w:rsidRPr="00617A89">
              <w:rPr>
                <w:rFonts w:eastAsia="Times New Roman" w:cs="Arial"/>
                <w:color w:val="000000"/>
                <w:sz w:val="18"/>
                <w:lang w:eastAsia="en-AU"/>
              </w:rPr>
              <w:t>Undergraduate: Labour force participation rate</w:t>
            </w:r>
          </w:p>
        </w:tc>
        <w:tc>
          <w:tcPr>
            <w:tcW w:w="1678" w:type="dxa"/>
            <w:noWrap/>
            <w:vAlign w:val="center"/>
            <w:hideMark/>
          </w:tcPr>
          <w:p w14:paraId="5E18FD54" w14:textId="4621665F"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Down</w:t>
            </w:r>
          </w:p>
        </w:tc>
        <w:tc>
          <w:tcPr>
            <w:tcW w:w="1678" w:type="dxa"/>
            <w:noWrap/>
            <w:vAlign w:val="center"/>
            <w:hideMark/>
          </w:tcPr>
          <w:p w14:paraId="7FBB6AF6"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678" w:type="dxa"/>
            <w:noWrap/>
            <w:vAlign w:val="center"/>
            <w:hideMark/>
          </w:tcPr>
          <w:p w14:paraId="54034B57"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1.5-2.5 ppts</w:t>
            </w:r>
          </w:p>
        </w:tc>
      </w:tr>
      <w:tr w:rsidR="00AE502E" w:rsidRPr="00617A89" w14:paraId="4441714D" w14:textId="77777777" w:rsidTr="00AE502E">
        <w:trPr>
          <w:trHeight w:val="340"/>
        </w:trPr>
        <w:tc>
          <w:tcPr>
            <w:tcW w:w="4957" w:type="dxa"/>
            <w:noWrap/>
            <w:vAlign w:val="center"/>
            <w:hideMark/>
          </w:tcPr>
          <w:p w14:paraId="2E07FC99" w14:textId="361696FB" w:rsidR="00AE502E" w:rsidRPr="00617A89" w:rsidRDefault="00AE502E" w:rsidP="00AE502E">
            <w:pPr>
              <w:rPr>
                <w:rFonts w:eastAsia="Times New Roman" w:cs="Arial"/>
                <w:color w:val="000000"/>
                <w:sz w:val="18"/>
                <w:lang w:eastAsia="en-AU"/>
              </w:rPr>
            </w:pPr>
            <w:r w:rsidRPr="00617A89">
              <w:rPr>
                <w:rFonts w:eastAsia="Times New Roman" w:cs="Arial"/>
                <w:color w:val="000000"/>
                <w:sz w:val="18"/>
                <w:lang w:eastAsia="en-AU"/>
              </w:rPr>
              <w:t>Undergraduate: Full-time employment rate</w:t>
            </w:r>
          </w:p>
        </w:tc>
        <w:tc>
          <w:tcPr>
            <w:tcW w:w="1678" w:type="dxa"/>
            <w:noWrap/>
            <w:vAlign w:val="center"/>
            <w:hideMark/>
          </w:tcPr>
          <w:p w14:paraId="03723D79"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678" w:type="dxa"/>
            <w:noWrap/>
            <w:vAlign w:val="center"/>
            <w:hideMark/>
          </w:tcPr>
          <w:p w14:paraId="50ACEDCC"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&lt;1.5 ppts</w:t>
            </w:r>
          </w:p>
        </w:tc>
        <w:tc>
          <w:tcPr>
            <w:tcW w:w="1678" w:type="dxa"/>
            <w:noWrap/>
            <w:vAlign w:val="center"/>
            <w:hideMark/>
          </w:tcPr>
          <w:p w14:paraId="152B96B6"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1-2 ppts</w:t>
            </w:r>
          </w:p>
        </w:tc>
      </w:tr>
      <w:tr w:rsidR="00AE502E" w:rsidRPr="00617A89" w14:paraId="668F08FC" w14:textId="77777777" w:rsidTr="00AE502E">
        <w:trPr>
          <w:trHeight w:val="340"/>
        </w:trPr>
        <w:tc>
          <w:tcPr>
            <w:tcW w:w="4957" w:type="dxa"/>
            <w:noWrap/>
            <w:vAlign w:val="center"/>
            <w:hideMark/>
          </w:tcPr>
          <w:p w14:paraId="45D3EC67" w14:textId="1BAAEBBC" w:rsidR="00AE502E" w:rsidRPr="00617A89" w:rsidRDefault="00AE502E" w:rsidP="00AE502E">
            <w:pPr>
              <w:rPr>
                <w:rFonts w:eastAsia="Times New Roman" w:cs="Arial"/>
                <w:color w:val="000000"/>
                <w:sz w:val="18"/>
                <w:lang w:eastAsia="en-AU"/>
              </w:rPr>
            </w:pPr>
            <w:r w:rsidRPr="00617A89">
              <w:rPr>
                <w:rFonts w:eastAsia="Times New Roman" w:cs="Arial"/>
                <w:color w:val="000000"/>
                <w:sz w:val="18"/>
                <w:lang w:eastAsia="en-AU"/>
              </w:rPr>
              <w:t>Undergraduate: Overall employment rate</w:t>
            </w:r>
          </w:p>
        </w:tc>
        <w:tc>
          <w:tcPr>
            <w:tcW w:w="1678" w:type="dxa"/>
            <w:noWrap/>
            <w:vAlign w:val="center"/>
            <w:hideMark/>
          </w:tcPr>
          <w:p w14:paraId="6E210089"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678" w:type="dxa"/>
            <w:noWrap/>
            <w:vAlign w:val="center"/>
            <w:hideMark/>
          </w:tcPr>
          <w:p w14:paraId="031E6ECD"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678" w:type="dxa"/>
            <w:noWrap/>
            <w:vAlign w:val="center"/>
            <w:hideMark/>
          </w:tcPr>
          <w:p w14:paraId="418D58A8"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1.5-2.5 ppts</w:t>
            </w:r>
          </w:p>
        </w:tc>
      </w:tr>
      <w:tr w:rsidR="00AE502E" w:rsidRPr="00617A89" w14:paraId="374DAD27" w14:textId="77777777" w:rsidTr="00AE502E">
        <w:trPr>
          <w:trHeight w:val="340"/>
        </w:trPr>
        <w:tc>
          <w:tcPr>
            <w:tcW w:w="4957" w:type="dxa"/>
            <w:noWrap/>
            <w:vAlign w:val="center"/>
            <w:hideMark/>
          </w:tcPr>
          <w:p w14:paraId="1C3A9C81" w14:textId="7E011E2C" w:rsidR="00AE502E" w:rsidRPr="00617A89" w:rsidRDefault="00AE502E" w:rsidP="00AE502E">
            <w:pPr>
              <w:rPr>
                <w:rFonts w:eastAsia="Times New Roman" w:cs="Arial"/>
                <w:color w:val="000000"/>
                <w:sz w:val="18"/>
                <w:lang w:eastAsia="en-AU"/>
              </w:rPr>
            </w:pPr>
            <w:r w:rsidRPr="00617A89">
              <w:rPr>
                <w:rFonts w:eastAsia="Times New Roman" w:cs="Arial"/>
                <w:color w:val="000000"/>
                <w:sz w:val="18"/>
                <w:lang w:eastAsia="en-AU"/>
              </w:rPr>
              <w:t>Postgraduate coursework: Labour force participation rate</w:t>
            </w:r>
          </w:p>
        </w:tc>
        <w:tc>
          <w:tcPr>
            <w:tcW w:w="1678" w:type="dxa"/>
            <w:noWrap/>
            <w:vAlign w:val="center"/>
            <w:hideMark/>
          </w:tcPr>
          <w:p w14:paraId="0F92B5C4" w14:textId="0A6130F1"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Down</w:t>
            </w:r>
          </w:p>
        </w:tc>
        <w:tc>
          <w:tcPr>
            <w:tcW w:w="1678" w:type="dxa"/>
            <w:noWrap/>
            <w:vAlign w:val="center"/>
            <w:hideMark/>
          </w:tcPr>
          <w:p w14:paraId="0A53DCD3"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678" w:type="dxa"/>
            <w:noWrap/>
            <w:vAlign w:val="center"/>
            <w:hideMark/>
          </w:tcPr>
          <w:p w14:paraId="4E4B3C1B"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&lt;1.5 ppts</w:t>
            </w:r>
          </w:p>
        </w:tc>
      </w:tr>
      <w:tr w:rsidR="00AE502E" w:rsidRPr="00617A89" w14:paraId="6D213830" w14:textId="77777777" w:rsidTr="00AE502E">
        <w:trPr>
          <w:trHeight w:val="340"/>
        </w:trPr>
        <w:tc>
          <w:tcPr>
            <w:tcW w:w="4957" w:type="dxa"/>
            <w:noWrap/>
            <w:vAlign w:val="center"/>
            <w:hideMark/>
          </w:tcPr>
          <w:p w14:paraId="0E55C4C6" w14:textId="524BEE25" w:rsidR="00AE502E" w:rsidRPr="00617A89" w:rsidRDefault="00AE502E" w:rsidP="00AE502E">
            <w:pPr>
              <w:rPr>
                <w:rFonts w:eastAsia="Times New Roman" w:cs="Arial"/>
                <w:color w:val="000000"/>
                <w:sz w:val="18"/>
                <w:lang w:eastAsia="en-AU"/>
              </w:rPr>
            </w:pPr>
            <w:r w:rsidRPr="00617A89">
              <w:rPr>
                <w:rFonts w:eastAsia="Times New Roman" w:cs="Arial"/>
                <w:color w:val="000000"/>
                <w:sz w:val="18"/>
                <w:lang w:eastAsia="en-AU"/>
              </w:rPr>
              <w:t>Postgraduate coursework: Full-time employment rate</w:t>
            </w:r>
          </w:p>
        </w:tc>
        <w:tc>
          <w:tcPr>
            <w:tcW w:w="1678" w:type="dxa"/>
            <w:noWrap/>
            <w:vAlign w:val="center"/>
            <w:hideMark/>
          </w:tcPr>
          <w:p w14:paraId="0B6A97AE"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678" w:type="dxa"/>
            <w:noWrap/>
            <w:vAlign w:val="center"/>
            <w:hideMark/>
          </w:tcPr>
          <w:p w14:paraId="1349A716"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678" w:type="dxa"/>
            <w:noWrap/>
            <w:vAlign w:val="center"/>
            <w:hideMark/>
          </w:tcPr>
          <w:p w14:paraId="0B9BA54D"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1-2 ppts</w:t>
            </w:r>
          </w:p>
        </w:tc>
      </w:tr>
      <w:tr w:rsidR="00AE502E" w:rsidRPr="00617A89" w14:paraId="1016958F" w14:textId="77777777" w:rsidTr="00AE502E">
        <w:trPr>
          <w:trHeight w:val="340"/>
        </w:trPr>
        <w:tc>
          <w:tcPr>
            <w:tcW w:w="4957" w:type="dxa"/>
            <w:noWrap/>
            <w:vAlign w:val="center"/>
            <w:hideMark/>
          </w:tcPr>
          <w:p w14:paraId="6ABBB1F3" w14:textId="45FBDB95" w:rsidR="00AE502E" w:rsidRPr="00617A89" w:rsidRDefault="00AE502E" w:rsidP="00AE502E">
            <w:pPr>
              <w:rPr>
                <w:rFonts w:eastAsia="Times New Roman" w:cs="Arial"/>
                <w:color w:val="000000"/>
                <w:sz w:val="18"/>
                <w:lang w:eastAsia="en-AU"/>
              </w:rPr>
            </w:pPr>
            <w:r w:rsidRPr="00617A89">
              <w:rPr>
                <w:rFonts w:eastAsia="Times New Roman" w:cs="Arial"/>
                <w:color w:val="000000"/>
                <w:sz w:val="18"/>
                <w:lang w:eastAsia="en-AU"/>
              </w:rPr>
              <w:t>Postgraduate coursework: Overall employment rate</w:t>
            </w:r>
          </w:p>
        </w:tc>
        <w:tc>
          <w:tcPr>
            <w:tcW w:w="1678" w:type="dxa"/>
            <w:noWrap/>
            <w:vAlign w:val="center"/>
            <w:hideMark/>
          </w:tcPr>
          <w:p w14:paraId="3DA6B635"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678" w:type="dxa"/>
            <w:noWrap/>
            <w:vAlign w:val="center"/>
            <w:hideMark/>
          </w:tcPr>
          <w:p w14:paraId="3FA8DD8E"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678" w:type="dxa"/>
            <w:noWrap/>
            <w:vAlign w:val="center"/>
            <w:hideMark/>
          </w:tcPr>
          <w:p w14:paraId="4C48634E"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&lt;1.5 ppts</w:t>
            </w:r>
          </w:p>
        </w:tc>
      </w:tr>
      <w:tr w:rsidR="00AE502E" w:rsidRPr="00617A89" w14:paraId="471F2BDE" w14:textId="77777777" w:rsidTr="00AE502E">
        <w:trPr>
          <w:trHeight w:val="340"/>
        </w:trPr>
        <w:tc>
          <w:tcPr>
            <w:tcW w:w="4957" w:type="dxa"/>
            <w:noWrap/>
            <w:vAlign w:val="center"/>
            <w:hideMark/>
          </w:tcPr>
          <w:p w14:paraId="0141B478" w14:textId="2888D5BF" w:rsidR="00AE502E" w:rsidRPr="00617A89" w:rsidRDefault="00AE502E" w:rsidP="00AE502E">
            <w:pPr>
              <w:rPr>
                <w:rFonts w:eastAsia="Times New Roman" w:cs="Arial"/>
                <w:color w:val="000000"/>
                <w:sz w:val="18"/>
                <w:lang w:eastAsia="en-AU"/>
              </w:rPr>
            </w:pPr>
            <w:r w:rsidRPr="00617A89">
              <w:rPr>
                <w:rFonts w:eastAsia="Times New Roman" w:cs="Arial"/>
                <w:color w:val="000000"/>
                <w:sz w:val="18"/>
                <w:lang w:eastAsia="en-AU"/>
              </w:rPr>
              <w:t>Postgraduate research: Labour force participation rate</w:t>
            </w:r>
          </w:p>
        </w:tc>
        <w:tc>
          <w:tcPr>
            <w:tcW w:w="1678" w:type="dxa"/>
            <w:noWrap/>
            <w:vAlign w:val="center"/>
            <w:hideMark/>
          </w:tcPr>
          <w:p w14:paraId="50B520A1" w14:textId="4D9F4CA4"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Down</w:t>
            </w:r>
          </w:p>
        </w:tc>
        <w:tc>
          <w:tcPr>
            <w:tcW w:w="1678" w:type="dxa"/>
            <w:noWrap/>
            <w:vAlign w:val="center"/>
            <w:hideMark/>
          </w:tcPr>
          <w:p w14:paraId="4FB1B3CE"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1.5-2.5 ppts</w:t>
            </w:r>
          </w:p>
        </w:tc>
        <w:tc>
          <w:tcPr>
            <w:tcW w:w="1678" w:type="dxa"/>
            <w:noWrap/>
            <w:vAlign w:val="center"/>
            <w:hideMark/>
          </w:tcPr>
          <w:p w14:paraId="6F4BB9AE"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&lt;1.5 ppts</w:t>
            </w:r>
          </w:p>
        </w:tc>
      </w:tr>
      <w:tr w:rsidR="00AE502E" w:rsidRPr="00617A89" w14:paraId="02B3C591" w14:textId="77777777" w:rsidTr="00AE502E">
        <w:trPr>
          <w:trHeight w:val="340"/>
        </w:trPr>
        <w:tc>
          <w:tcPr>
            <w:tcW w:w="4957" w:type="dxa"/>
            <w:noWrap/>
            <w:vAlign w:val="center"/>
            <w:hideMark/>
          </w:tcPr>
          <w:p w14:paraId="402AD180" w14:textId="76E4A621" w:rsidR="00AE502E" w:rsidRPr="00617A89" w:rsidRDefault="00AE502E" w:rsidP="00AE502E">
            <w:pPr>
              <w:rPr>
                <w:rFonts w:eastAsia="Times New Roman" w:cs="Arial"/>
                <w:color w:val="000000"/>
                <w:sz w:val="18"/>
                <w:lang w:eastAsia="en-AU"/>
              </w:rPr>
            </w:pPr>
            <w:r w:rsidRPr="00617A89">
              <w:rPr>
                <w:rFonts w:eastAsia="Times New Roman" w:cs="Arial"/>
                <w:color w:val="000000"/>
                <w:sz w:val="18"/>
                <w:lang w:eastAsia="en-AU"/>
              </w:rPr>
              <w:t>Postgraduate research: Full-time employment rate</w:t>
            </w:r>
          </w:p>
        </w:tc>
        <w:tc>
          <w:tcPr>
            <w:tcW w:w="1678" w:type="dxa"/>
            <w:noWrap/>
            <w:vAlign w:val="center"/>
            <w:hideMark/>
          </w:tcPr>
          <w:p w14:paraId="45B3EC33"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678" w:type="dxa"/>
            <w:noWrap/>
            <w:vAlign w:val="center"/>
            <w:hideMark/>
          </w:tcPr>
          <w:p w14:paraId="22792C0F"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1.5-2.5 ppts</w:t>
            </w:r>
          </w:p>
        </w:tc>
        <w:tc>
          <w:tcPr>
            <w:tcW w:w="1678" w:type="dxa"/>
            <w:noWrap/>
            <w:vAlign w:val="center"/>
            <w:hideMark/>
          </w:tcPr>
          <w:p w14:paraId="1D9BF286"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 ppt</w:t>
            </w:r>
          </w:p>
        </w:tc>
      </w:tr>
      <w:tr w:rsidR="00AE502E" w:rsidRPr="00617A89" w14:paraId="596A8467" w14:textId="77777777" w:rsidTr="00AE502E">
        <w:trPr>
          <w:trHeight w:val="340"/>
        </w:trPr>
        <w:tc>
          <w:tcPr>
            <w:tcW w:w="4957" w:type="dxa"/>
            <w:noWrap/>
            <w:vAlign w:val="center"/>
            <w:hideMark/>
          </w:tcPr>
          <w:p w14:paraId="648817F6" w14:textId="3CC627D7" w:rsidR="00AE502E" w:rsidRPr="00617A89" w:rsidRDefault="00AE502E" w:rsidP="00AE502E">
            <w:pPr>
              <w:rPr>
                <w:rFonts w:eastAsia="Times New Roman" w:cs="Arial"/>
                <w:color w:val="000000"/>
                <w:sz w:val="18"/>
                <w:lang w:eastAsia="en-AU"/>
              </w:rPr>
            </w:pPr>
            <w:r w:rsidRPr="00617A89">
              <w:rPr>
                <w:rFonts w:eastAsia="Times New Roman" w:cs="Arial"/>
                <w:color w:val="000000"/>
                <w:sz w:val="18"/>
                <w:lang w:eastAsia="en-AU"/>
              </w:rPr>
              <w:t>Postgraduate research: Overall employment rate</w:t>
            </w:r>
          </w:p>
        </w:tc>
        <w:tc>
          <w:tcPr>
            <w:tcW w:w="1678" w:type="dxa"/>
            <w:noWrap/>
            <w:vAlign w:val="center"/>
            <w:hideMark/>
          </w:tcPr>
          <w:p w14:paraId="540C31E6"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678" w:type="dxa"/>
            <w:noWrap/>
            <w:vAlign w:val="center"/>
            <w:hideMark/>
          </w:tcPr>
          <w:p w14:paraId="72E33638"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1.5-2.5 ppts</w:t>
            </w:r>
          </w:p>
        </w:tc>
        <w:tc>
          <w:tcPr>
            <w:tcW w:w="1678" w:type="dxa"/>
            <w:noWrap/>
            <w:vAlign w:val="center"/>
            <w:hideMark/>
          </w:tcPr>
          <w:p w14:paraId="11A3F13E" w14:textId="77777777" w:rsidR="00AE502E" w:rsidRPr="00617A89" w:rsidRDefault="00AE502E" w:rsidP="00AE502E">
            <w:pPr>
              <w:jc w:val="center"/>
              <w:rPr>
                <w:rFonts w:eastAsia="Times New Roman" w:cs="Arial"/>
                <w:color w:val="000000"/>
                <w:sz w:val="18"/>
                <w:lang w:eastAsia="en-AU"/>
              </w:rPr>
            </w:pPr>
            <w:r w:rsidRPr="00617A89">
              <w:rPr>
                <w:rFonts w:eastAsia="Times New Roman" w:cs="Arial"/>
                <w:color w:val="000000"/>
                <w:sz w:val="18"/>
                <w:lang w:eastAsia="en-AU"/>
              </w:rPr>
              <w:t>&lt;1.5 ppts</w:t>
            </w:r>
          </w:p>
        </w:tc>
      </w:tr>
    </w:tbl>
    <w:p w14:paraId="2B783F49" w14:textId="0920BDBB" w:rsidR="00AE502E" w:rsidRPr="00617A89" w:rsidRDefault="00AE502E" w:rsidP="00AE502E">
      <w:pPr>
        <w:pStyle w:val="Body"/>
        <w:rPr>
          <w:sz w:val="18"/>
          <w:szCs w:val="18"/>
          <w:lang w:eastAsia="en-AU"/>
        </w:rPr>
      </w:pPr>
      <w:r w:rsidRPr="00617A89">
        <w:rPr>
          <w:sz w:val="18"/>
          <w:szCs w:val="18"/>
          <w:lang w:eastAsia="en-AU"/>
        </w:rPr>
        <w:t xml:space="preserve">Note: An overview of the analysis used to estimate these impacts is available in </w:t>
      </w:r>
      <w:r w:rsidRPr="00617A89">
        <w:rPr>
          <w:b/>
          <w:bCs/>
          <w:sz w:val="18"/>
          <w:szCs w:val="18"/>
          <w:lang w:eastAsia="en-AU"/>
        </w:rPr>
        <w:t>Appendix 1</w:t>
      </w:r>
      <w:r w:rsidRPr="00617A89">
        <w:rPr>
          <w:sz w:val="18"/>
          <w:szCs w:val="18"/>
          <w:lang w:eastAsia="en-AU"/>
        </w:rPr>
        <w:t>.</w:t>
      </w:r>
      <w:r w:rsidR="00A434E8" w:rsidRPr="00617A89">
        <w:t xml:space="preserve"> </w:t>
      </w:r>
      <w:r w:rsidR="00A434E8" w:rsidRPr="00617A89">
        <w:rPr>
          <w:sz w:val="18"/>
          <w:szCs w:val="18"/>
          <w:lang w:eastAsia="en-AU"/>
        </w:rPr>
        <w:t>‘ppts’ refers to percentage points, indicating the absolute change between two percentage values.</w:t>
      </w:r>
    </w:p>
    <w:p w14:paraId="6E79401F" w14:textId="64558993" w:rsidR="00D351B7" w:rsidRPr="00617A89" w:rsidRDefault="003C06A3" w:rsidP="003C06A3">
      <w:pPr>
        <w:pStyle w:val="Heading3"/>
        <w:rPr>
          <w:color w:val="000000" w:themeColor="text1"/>
        </w:rPr>
      </w:pPr>
      <w:bookmarkStart w:id="169" w:name="_Toc222868454"/>
      <w:r w:rsidRPr="00617A89">
        <w:rPr>
          <w:color w:val="000000" w:themeColor="text1"/>
        </w:rPr>
        <w:t>Undergraduate comparisons</w:t>
      </w:r>
      <w:bookmarkEnd w:id="169"/>
    </w:p>
    <w:p w14:paraId="6AC387A2" w14:textId="074FD1AB" w:rsidR="003C06A3" w:rsidRPr="00617A89" w:rsidRDefault="00BB5D9D" w:rsidP="003C06A3">
      <w:pPr>
        <w:pStyle w:val="Body"/>
        <w:rPr>
          <w:color w:val="000000" w:themeColor="text1"/>
        </w:rPr>
      </w:pPr>
      <w:r w:rsidRPr="00617A89">
        <w:rPr>
          <w:color w:val="000000" w:themeColor="text1"/>
        </w:rPr>
        <w:t>International undergraduates</w:t>
      </w:r>
      <w:r w:rsidR="007A6BCF" w:rsidRPr="00617A89">
        <w:rPr>
          <w:color w:val="000000" w:themeColor="text1"/>
        </w:rPr>
        <w:t xml:space="preserve"> reported lower employment rates than domestic undergraduates </w:t>
      </w:r>
      <w:r w:rsidR="008855B0" w:rsidRPr="00617A89">
        <w:rPr>
          <w:color w:val="000000" w:themeColor="text1"/>
        </w:rPr>
        <w:t>in the short- and medium-term, but the gap did narrow over the 3-year period as international graduate</w:t>
      </w:r>
      <w:r w:rsidR="00DE0043" w:rsidRPr="00617A89">
        <w:rPr>
          <w:color w:val="000000" w:themeColor="text1"/>
        </w:rPr>
        <w:t xml:space="preserve"> rates</w:t>
      </w:r>
      <w:r w:rsidR="00D21FEF" w:rsidRPr="00617A89">
        <w:rPr>
          <w:color w:val="000000" w:themeColor="text1"/>
        </w:rPr>
        <w:t xml:space="preserve"> increased at a higher rate than for domestic undergraduates</w:t>
      </w:r>
      <w:r w:rsidR="00B15115" w:rsidRPr="00617A89">
        <w:rPr>
          <w:color w:val="000000" w:themeColor="text1"/>
        </w:rPr>
        <w:t xml:space="preserve"> (</w:t>
      </w:r>
      <w:r w:rsidR="000E1098" w:rsidRPr="00617A89">
        <w:rPr>
          <w:b/>
          <w:bCs/>
          <w:color w:val="000000" w:themeColor="text1"/>
        </w:rPr>
        <w:fldChar w:fldCharType="begin"/>
      </w:r>
      <w:r w:rsidR="000E1098" w:rsidRPr="00617A89">
        <w:rPr>
          <w:b/>
          <w:bCs/>
          <w:color w:val="000000" w:themeColor="text1"/>
        </w:rPr>
        <w:instrText xml:space="preserve"> REF _Ref204593973 \h  \* MERGEFORMAT</w:instrText>
      </w:r>
      <w:r w:rsidR="000E1098" w:rsidRPr="00617A89">
        <w:rPr>
          <w:b/>
          <w:color w:val="000000" w:themeColor="text1"/>
        </w:rPr>
        <w:instrText xml:space="preserve"> </w:instrText>
      </w:r>
      <w:r w:rsidR="000E1098" w:rsidRPr="00617A89">
        <w:rPr>
          <w:b/>
          <w:bCs/>
          <w:color w:val="000000" w:themeColor="text1"/>
        </w:rPr>
      </w:r>
      <w:r w:rsidR="000E1098" w:rsidRPr="00617A89">
        <w:rPr>
          <w:b/>
          <w:bCs/>
          <w:color w:val="000000" w:themeColor="text1"/>
        </w:rPr>
        <w:fldChar w:fldCharType="separate"/>
      </w:r>
      <w:r w:rsidR="00AE502E" w:rsidRPr="00617A89">
        <w:rPr>
          <w:b/>
          <w:color w:val="000000" w:themeColor="text1"/>
        </w:rPr>
        <w:t>Table 8</w:t>
      </w:r>
      <w:r w:rsidR="000E1098" w:rsidRPr="00617A89">
        <w:rPr>
          <w:b/>
          <w:bCs/>
          <w:color w:val="000000" w:themeColor="text1"/>
        </w:rPr>
        <w:fldChar w:fldCharType="end"/>
      </w:r>
      <w:r w:rsidR="000E1098" w:rsidRPr="00617A89">
        <w:rPr>
          <w:color w:val="000000" w:themeColor="text1"/>
        </w:rPr>
        <w:t>)</w:t>
      </w:r>
      <w:r w:rsidR="00D21FEF" w:rsidRPr="00617A89">
        <w:rPr>
          <w:color w:val="000000" w:themeColor="text1"/>
        </w:rPr>
        <w:t xml:space="preserve">. </w:t>
      </w:r>
    </w:p>
    <w:p w14:paraId="184A1E61" w14:textId="3319AB53" w:rsidR="00BE045B" w:rsidRPr="00617A89" w:rsidRDefault="007147E4" w:rsidP="003C06A3">
      <w:pPr>
        <w:pStyle w:val="Body"/>
        <w:rPr>
          <w:color w:val="000000" w:themeColor="text1"/>
        </w:rPr>
      </w:pPr>
      <w:r w:rsidRPr="00617A89">
        <w:rPr>
          <w:color w:val="000000" w:themeColor="text1"/>
        </w:rPr>
        <w:t xml:space="preserve">As seen in prior cohorts, </w:t>
      </w:r>
      <w:r w:rsidR="003D1338" w:rsidRPr="00617A89">
        <w:rPr>
          <w:color w:val="000000" w:themeColor="text1"/>
        </w:rPr>
        <w:t>the 2022-2025 i</w:t>
      </w:r>
      <w:r w:rsidR="00F67C2A" w:rsidRPr="00617A89">
        <w:rPr>
          <w:color w:val="000000" w:themeColor="text1"/>
        </w:rPr>
        <w:t>nternational undergraduate</w:t>
      </w:r>
      <w:r w:rsidR="003D1338" w:rsidRPr="00617A89">
        <w:rPr>
          <w:color w:val="000000" w:themeColor="text1"/>
        </w:rPr>
        <w:t xml:space="preserve"> cohort continued to report lower median salaries</w:t>
      </w:r>
      <w:r w:rsidR="005B47DD" w:rsidRPr="00617A89">
        <w:rPr>
          <w:color w:val="000000" w:themeColor="text1"/>
        </w:rPr>
        <w:t xml:space="preserve"> than their domestic counterparts in the short-term</w:t>
      </w:r>
      <w:r w:rsidR="00CE0E23" w:rsidRPr="00617A89">
        <w:rPr>
          <w:color w:val="000000" w:themeColor="text1"/>
        </w:rPr>
        <w:t>.</w:t>
      </w:r>
      <w:r w:rsidR="005B47DD" w:rsidRPr="00617A89">
        <w:rPr>
          <w:color w:val="000000" w:themeColor="text1"/>
        </w:rPr>
        <w:t xml:space="preserve"> </w:t>
      </w:r>
      <w:r w:rsidR="00CE0E23" w:rsidRPr="00617A89">
        <w:rPr>
          <w:color w:val="000000" w:themeColor="text1"/>
        </w:rPr>
        <w:t>T</w:t>
      </w:r>
      <w:r w:rsidR="005B47DD" w:rsidRPr="00617A89">
        <w:rPr>
          <w:color w:val="000000" w:themeColor="text1"/>
        </w:rPr>
        <w:t xml:space="preserve">his </w:t>
      </w:r>
      <w:r w:rsidR="00921343" w:rsidRPr="00617A89">
        <w:rPr>
          <w:color w:val="000000" w:themeColor="text1"/>
        </w:rPr>
        <w:t>pay differential did not diminish over the 3-year period</w:t>
      </w:r>
      <w:r w:rsidR="004F5A46" w:rsidRPr="00617A89">
        <w:rPr>
          <w:color w:val="000000" w:themeColor="text1"/>
        </w:rPr>
        <w:t>, despite the proportions of international undergraduates working in managerial or professional occupations</w:t>
      </w:r>
      <w:r w:rsidR="00BE0D25" w:rsidRPr="00617A89">
        <w:rPr>
          <w:color w:val="000000" w:themeColor="text1"/>
        </w:rPr>
        <w:t xml:space="preserve"> being comparable to domestic undergraduates in the medium-term. </w:t>
      </w:r>
      <w:r w:rsidR="00AB0898" w:rsidRPr="00617A89">
        <w:rPr>
          <w:color w:val="000000" w:themeColor="text1"/>
        </w:rPr>
        <w:t>Salary growth</w:t>
      </w:r>
      <w:r w:rsidR="008A7114" w:rsidRPr="00617A89">
        <w:rPr>
          <w:color w:val="000000" w:themeColor="text1"/>
        </w:rPr>
        <w:t xml:space="preserve"> was higher for domestic undergraduates than it was for international undergraduates</w:t>
      </w:r>
      <w:r w:rsidR="00A2448C" w:rsidRPr="00617A89">
        <w:rPr>
          <w:color w:val="000000" w:themeColor="text1"/>
        </w:rPr>
        <w:t xml:space="preserve"> over the 3-year period</w:t>
      </w:r>
      <w:r w:rsidR="00BE045B" w:rsidRPr="00617A89">
        <w:rPr>
          <w:color w:val="000000" w:themeColor="text1"/>
        </w:rPr>
        <w:t xml:space="preserve">, at 31.9 per cent and 29.8 per cent respectively. </w:t>
      </w:r>
    </w:p>
    <w:p w14:paraId="6EC66BBF" w14:textId="63F0FF46" w:rsidR="00B463DC" w:rsidRPr="00617A89" w:rsidRDefault="006D357D" w:rsidP="003C06A3">
      <w:pPr>
        <w:pStyle w:val="Body"/>
        <w:rPr>
          <w:color w:val="000000" w:themeColor="text1"/>
        </w:rPr>
      </w:pPr>
      <w:r w:rsidRPr="00617A89">
        <w:rPr>
          <w:color w:val="000000" w:themeColor="text1"/>
        </w:rPr>
        <w:t xml:space="preserve">Approximately 1 in 4 international undergraduates </w:t>
      </w:r>
      <w:r w:rsidR="001110D5" w:rsidRPr="00617A89">
        <w:rPr>
          <w:color w:val="000000" w:themeColor="text1"/>
        </w:rPr>
        <w:t>were underemployed in 2022</w:t>
      </w:r>
      <w:r w:rsidR="00145A05" w:rsidRPr="00617A89">
        <w:rPr>
          <w:color w:val="000000" w:themeColor="text1"/>
        </w:rPr>
        <w:t>, much higher than</w:t>
      </w:r>
      <w:r w:rsidR="00202B78" w:rsidRPr="00617A89">
        <w:rPr>
          <w:color w:val="000000" w:themeColor="text1"/>
        </w:rPr>
        <w:t xml:space="preserve"> that of domestic undergraduates (13.7 per cent). </w:t>
      </w:r>
      <w:r w:rsidR="007B59BE" w:rsidRPr="00617A89">
        <w:rPr>
          <w:color w:val="000000" w:themeColor="text1"/>
        </w:rPr>
        <w:t>Th</w:t>
      </w:r>
      <w:r w:rsidR="00C37C88" w:rsidRPr="00617A89">
        <w:rPr>
          <w:color w:val="000000" w:themeColor="text1"/>
        </w:rPr>
        <w:t>e high</w:t>
      </w:r>
      <w:r w:rsidR="007B59BE" w:rsidRPr="00617A89">
        <w:rPr>
          <w:color w:val="000000" w:themeColor="text1"/>
        </w:rPr>
        <w:t xml:space="preserve"> </w:t>
      </w:r>
      <w:r w:rsidR="00EA67DB" w:rsidRPr="00617A89">
        <w:rPr>
          <w:color w:val="000000" w:themeColor="text1"/>
        </w:rPr>
        <w:t xml:space="preserve">underemployment </w:t>
      </w:r>
      <w:r w:rsidR="00943E4E" w:rsidRPr="00617A89">
        <w:rPr>
          <w:color w:val="000000" w:themeColor="text1"/>
        </w:rPr>
        <w:t xml:space="preserve">rate </w:t>
      </w:r>
      <w:r w:rsidR="00EA67DB" w:rsidRPr="00617A89">
        <w:rPr>
          <w:color w:val="000000" w:themeColor="text1"/>
        </w:rPr>
        <w:t xml:space="preserve">corresponds to </w:t>
      </w:r>
      <w:r w:rsidR="00943E4E" w:rsidRPr="00617A89">
        <w:rPr>
          <w:color w:val="000000" w:themeColor="text1"/>
        </w:rPr>
        <w:t>the low</w:t>
      </w:r>
      <w:r w:rsidR="00EA67DB" w:rsidRPr="00617A89">
        <w:rPr>
          <w:color w:val="000000" w:themeColor="text1"/>
        </w:rPr>
        <w:t xml:space="preserve"> </w:t>
      </w:r>
      <w:r w:rsidR="00F1238C" w:rsidRPr="00617A89">
        <w:rPr>
          <w:color w:val="000000" w:themeColor="text1"/>
        </w:rPr>
        <w:t xml:space="preserve">full-time employment rate in the short-term. </w:t>
      </w:r>
      <w:r w:rsidR="00390E46" w:rsidRPr="00617A89">
        <w:rPr>
          <w:color w:val="000000" w:themeColor="text1"/>
        </w:rPr>
        <w:t>Three years later</w:t>
      </w:r>
      <w:r w:rsidR="00250907" w:rsidRPr="00617A89">
        <w:rPr>
          <w:color w:val="000000" w:themeColor="text1"/>
        </w:rPr>
        <w:t xml:space="preserve">, </w:t>
      </w:r>
      <w:r w:rsidR="00372CDA" w:rsidRPr="00617A89">
        <w:rPr>
          <w:color w:val="000000" w:themeColor="text1"/>
        </w:rPr>
        <w:t xml:space="preserve">the </w:t>
      </w:r>
      <w:r w:rsidR="006F61F0" w:rsidRPr="00617A89">
        <w:rPr>
          <w:color w:val="000000" w:themeColor="text1"/>
        </w:rPr>
        <w:t>international undergraduate full-time employment</w:t>
      </w:r>
      <w:r w:rsidR="00372CDA" w:rsidRPr="00617A89">
        <w:rPr>
          <w:color w:val="000000" w:themeColor="text1"/>
        </w:rPr>
        <w:t xml:space="preserve"> rate increased by 24.2 percentage points</w:t>
      </w:r>
      <w:r w:rsidR="005A3141" w:rsidRPr="00617A89">
        <w:rPr>
          <w:color w:val="000000" w:themeColor="text1"/>
        </w:rPr>
        <w:t xml:space="preserve"> compared to an increase of 12.2 percentage points for domestic graduates. </w:t>
      </w:r>
      <w:r w:rsidR="008A722E" w:rsidRPr="00617A89">
        <w:rPr>
          <w:color w:val="000000" w:themeColor="text1"/>
        </w:rPr>
        <w:t>At the same time</w:t>
      </w:r>
      <w:r w:rsidR="00FD6C41" w:rsidRPr="00617A89">
        <w:rPr>
          <w:color w:val="000000" w:themeColor="text1"/>
        </w:rPr>
        <w:t>, the underemployment rate for international graduates</w:t>
      </w:r>
      <w:r w:rsidR="00D14D9B" w:rsidRPr="00617A89">
        <w:rPr>
          <w:color w:val="000000" w:themeColor="text1"/>
        </w:rPr>
        <w:t xml:space="preserve"> fell by </w:t>
      </w:r>
      <w:r w:rsidR="00E307EC" w:rsidRPr="00617A89">
        <w:rPr>
          <w:color w:val="000000" w:themeColor="text1"/>
        </w:rPr>
        <w:t xml:space="preserve">15.4 percentage points compared to 6.5 percentage points for domestic graduates. These findings indicate that </w:t>
      </w:r>
      <w:r w:rsidR="00857C75" w:rsidRPr="00617A89">
        <w:rPr>
          <w:color w:val="000000" w:themeColor="text1"/>
        </w:rPr>
        <w:t>it takes longer for international graduates to obtain full-time hours</w:t>
      </w:r>
      <w:r w:rsidR="00256A9D" w:rsidRPr="00617A89">
        <w:rPr>
          <w:color w:val="000000" w:themeColor="text1"/>
        </w:rPr>
        <w:t>, despite their preference to do so.</w:t>
      </w:r>
      <w:r w:rsidR="001E136A" w:rsidRPr="00617A89">
        <w:rPr>
          <w:color w:val="000000" w:themeColor="text1"/>
        </w:rPr>
        <w:t xml:space="preserve"> </w:t>
      </w:r>
    </w:p>
    <w:p w14:paraId="6A9FE4F1" w14:textId="4CBA8478" w:rsidR="00A539CB" w:rsidRPr="00617A89" w:rsidRDefault="00A539CB" w:rsidP="003C06A3">
      <w:pPr>
        <w:pStyle w:val="Body"/>
        <w:rPr>
          <w:color w:val="000000" w:themeColor="text1"/>
        </w:rPr>
      </w:pPr>
      <w:r w:rsidRPr="00617A89">
        <w:rPr>
          <w:color w:val="000000" w:themeColor="text1"/>
        </w:rPr>
        <w:t>Lastly, further full-time study rates are higher for international undergraduates</w:t>
      </w:r>
      <w:r w:rsidR="00734210" w:rsidRPr="00617A89">
        <w:rPr>
          <w:color w:val="000000" w:themeColor="text1"/>
        </w:rPr>
        <w:t xml:space="preserve"> in the short- and medium-term.</w:t>
      </w:r>
      <w:r w:rsidR="007B6705" w:rsidRPr="00617A89">
        <w:rPr>
          <w:color w:val="000000" w:themeColor="text1"/>
        </w:rPr>
        <w:t xml:space="preserve"> This, in part, explains the lower labour force participation rate, as</w:t>
      </w:r>
      <w:r w:rsidR="006C349B" w:rsidRPr="00617A89">
        <w:rPr>
          <w:color w:val="000000" w:themeColor="text1"/>
        </w:rPr>
        <w:t xml:space="preserve"> some students at least, </w:t>
      </w:r>
      <w:r w:rsidR="00DB4C8C" w:rsidRPr="00617A89">
        <w:rPr>
          <w:color w:val="000000" w:themeColor="text1"/>
        </w:rPr>
        <w:t>will be focusing solely on their studies</w:t>
      </w:r>
      <w:r w:rsidR="003168F2" w:rsidRPr="00617A89">
        <w:rPr>
          <w:color w:val="000000" w:themeColor="text1"/>
        </w:rPr>
        <w:t xml:space="preserve">. The higher </w:t>
      </w:r>
      <w:r w:rsidR="0056484C" w:rsidRPr="00617A89">
        <w:rPr>
          <w:color w:val="000000" w:themeColor="text1"/>
        </w:rPr>
        <w:t xml:space="preserve">further </w:t>
      </w:r>
      <w:r w:rsidR="003168F2" w:rsidRPr="00617A89">
        <w:rPr>
          <w:color w:val="000000" w:themeColor="text1"/>
        </w:rPr>
        <w:t>full-time study rates of international undergraduates</w:t>
      </w:r>
      <w:r w:rsidR="00C702A1" w:rsidRPr="00617A89">
        <w:rPr>
          <w:color w:val="000000" w:themeColor="text1"/>
        </w:rPr>
        <w:t xml:space="preserve"> is also important context in understanding differences in postgraduate coursework level outcomes</w:t>
      </w:r>
      <w:r w:rsidR="00C86366" w:rsidRPr="00617A89">
        <w:rPr>
          <w:color w:val="000000" w:themeColor="text1"/>
        </w:rPr>
        <w:t xml:space="preserve"> discussed in the following section</w:t>
      </w:r>
      <w:r w:rsidR="008809A7" w:rsidRPr="00617A89">
        <w:rPr>
          <w:color w:val="000000" w:themeColor="text1"/>
        </w:rPr>
        <w:t>.</w:t>
      </w:r>
    </w:p>
    <w:p w14:paraId="476A397B" w14:textId="205C37F4" w:rsidR="00290AB6" w:rsidRPr="00617A89" w:rsidRDefault="00290AB6" w:rsidP="002F2F86">
      <w:pPr>
        <w:pStyle w:val="Caption"/>
        <w:keepNext/>
        <w:rPr>
          <w:color w:val="000000" w:themeColor="text1"/>
        </w:rPr>
      </w:pPr>
      <w:bookmarkStart w:id="170" w:name="_Ref204598934"/>
      <w:bookmarkStart w:id="171" w:name="_Ref204593973"/>
      <w:bookmarkStart w:id="172" w:name="_Toc222868478"/>
      <w:r w:rsidRPr="00617A89">
        <w:rPr>
          <w:color w:val="000000" w:themeColor="text1"/>
        </w:rPr>
        <w:t>Table</w:t>
      </w:r>
      <w:bookmarkEnd w:id="170"/>
      <w:r w:rsidRPr="00617A89">
        <w:rPr>
          <w:color w:val="000000" w:themeColor="text1"/>
        </w:rPr>
        <w:t xml:space="preserv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8</w:t>
      </w:r>
      <w:r w:rsidR="00DB7C31" w:rsidRPr="00617A89">
        <w:rPr>
          <w:noProof/>
          <w:color w:val="000000" w:themeColor="text1"/>
        </w:rPr>
        <w:fldChar w:fldCharType="end"/>
      </w:r>
      <w:bookmarkEnd w:id="171"/>
      <w:r w:rsidR="0062339E" w:rsidRPr="00617A89">
        <w:rPr>
          <w:color w:val="000000" w:themeColor="text1"/>
        </w:rPr>
        <w:tab/>
      </w:r>
      <w:r w:rsidRPr="00617A89">
        <w:rPr>
          <w:color w:val="000000" w:themeColor="text1"/>
        </w:rPr>
        <w:t>Undergraduate short- and medium-term outcome</w:t>
      </w:r>
      <w:r w:rsidR="005E4F5F" w:rsidRPr="00617A89">
        <w:rPr>
          <w:color w:val="000000" w:themeColor="text1"/>
        </w:rPr>
        <w:t>s</w:t>
      </w:r>
      <w:r w:rsidR="00414FE3" w:rsidRPr="00617A89">
        <w:rPr>
          <w:color w:val="000000" w:themeColor="text1"/>
        </w:rPr>
        <w:t xml:space="preserve"> comparison:</w:t>
      </w:r>
      <w:r w:rsidRPr="00617A89">
        <w:rPr>
          <w:color w:val="000000" w:themeColor="text1"/>
        </w:rPr>
        <w:t xml:space="preserve"> international and domestic graduates</w:t>
      </w:r>
      <w:bookmarkEnd w:id="172"/>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637"/>
        <w:gridCol w:w="1637"/>
        <w:gridCol w:w="1637"/>
        <w:gridCol w:w="1637"/>
      </w:tblGrid>
      <w:tr w:rsidR="00C22852" w:rsidRPr="00617A89" w14:paraId="03569194" w14:textId="77777777" w:rsidTr="0062339E">
        <w:trPr>
          <w:trHeight w:val="464"/>
          <w:tblHeader/>
        </w:trPr>
        <w:tc>
          <w:tcPr>
            <w:tcW w:w="3681" w:type="dxa"/>
            <w:vAlign w:val="bottom"/>
            <w:hideMark/>
          </w:tcPr>
          <w:p w14:paraId="354ED61F" w14:textId="77777777" w:rsidR="00547D84" w:rsidRPr="00617A89" w:rsidRDefault="00547D84" w:rsidP="00E37470">
            <w:pPr>
              <w:keepNext/>
              <w:jc w:val="center"/>
              <w:rPr>
                <w:rFonts w:eastAsia="Times New Roman" w:cs="Arial"/>
                <w:b/>
                <w:bCs/>
                <w:color w:val="000000" w:themeColor="text1"/>
                <w:sz w:val="18"/>
                <w:lang w:eastAsia="en-AU"/>
              </w:rPr>
            </w:pPr>
          </w:p>
        </w:tc>
        <w:tc>
          <w:tcPr>
            <w:tcW w:w="1637" w:type="dxa"/>
            <w:noWrap/>
            <w:vAlign w:val="center"/>
            <w:hideMark/>
          </w:tcPr>
          <w:p w14:paraId="7480A542" w14:textId="77777777" w:rsidR="0062339E"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 Short-term (2022)</w:t>
            </w:r>
          </w:p>
          <w:p w14:paraId="2C7927E6" w14:textId="45695221" w:rsidR="00547D84" w:rsidRPr="00617A89" w:rsidRDefault="00547D84"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7" w:type="dxa"/>
            <w:noWrap/>
            <w:vAlign w:val="center"/>
            <w:hideMark/>
          </w:tcPr>
          <w:p w14:paraId="3EFC64B7" w14:textId="2B12EB3F" w:rsidR="00547D84"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r w:rsidR="00547D84" w:rsidRPr="00617A89">
              <w:rPr>
                <w:rFonts w:eastAsia="Times New Roman" w:cs="Arial"/>
                <w:b/>
                <w:bCs/>
                <w:color w:val="000000" w:themeColor="text1"/>
                <w:sz w:val="18"/>
                <w:lang w:eastAsia="en-AU"/>
              </w:rPr>
              <w:t>International</w:t>
            </w:r>
          </w:p>
        </w:tc>
        <w:tc>
          <w:tcPr>
            <w:tcW w:w="1637" w:type="dxa"/>
            <w:noWrap/>
            <w:vAlign w:val="center"/>
            <w:hideMark/>
          </w:tcPr>
          <w:p w14:paraId="673CE9CD" w14:textId="77777777" w:rsidR="0062339E"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p>
          <w:p w14:paraId="73B0A93A" w14:textId="0650DD0D" w:rsidR="00547D84" w:rsidRPr="00617A89" w:rsidRDefault="00547D84"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7" w:type="dxa"/>
            <w:noWrap/>
            <w:vAlign w:val="center"/>
            <w:hideMark/>
          </w:tcPr>
          <w:p w14:paraId="5B5913B9" w14:textId="59FC76E0" w:rsidR="00547D84"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r w:rsidR="00547D84" w:rsidRPr="00617A89">
              <w:rPr>
                <w:rFonts w:eastAsia="Times New Roman" w:cs="Arial"/>
                <w:b/>
                <w:bCs/>
                <w:color w:val="000000" w:themeColor="text1"/>
                <w:sz w:val="18"/>
                <w:lang w:eastAsia="en-AU"/>
              </w:rPr>
              <w:t>International</w:t>
            </w:r>
          </w:p>
        </w:tc>
      </w:tr>
      <w:tr w:rsidR="00C22852" w:rsidRPr="00617A89" w14:paraId="4285827D" w14:textId="77777777" w:rsidTr="0062339E">
        <w:trPr>
          <w:trHeight w:val="340"/>
        </w:trPr>
        <w:tc>
          <w:tcPr>
            <w:tcW w:w="3681" w:type="dxa"/>
            <w:vAlign w:val="center"/>
            <w:hideMark/>
          </w:tcPr>
          <w:p w14:paraId="29B55D81" w14:textId="1B2EA96E" w:rsidR="00547D84" w:rsidRPr="00617A89" w:rsidRDefault="00547D84" w:rsidP="00E37470">
            <w:pPr>
              <w:keepNext/>
              <w:rPr>
                <w:rFonts w:eastAsia="Times New Roman" w:cs="Arial"/>
                <w:color w:val="000000" w:themeColor="text1"/>
                <w:sz w:val="18"/>
                <w:lang w:eastAsia="en-AU"/>
              </w:rPr>
            </w:pPr>
            <w:r w:rsidRPr="00617A89">
              <w:rPr>
                <w:rFonts w:eastAsia="Times New Roman" w:cs="Arial"/>
                <w:color w:val="000000" w:themeColor="text1"/>
                <w:sz w:val="18"/>
                <w:lang w:val="en-GB" w:eastAsia="en-AU"/>
              </w:rPr>
              <w:t>Full-time employment rate (%)</w:t>
            </w:r>
            <w:r w:rsidR="00AE502E" w:rsidRPr="00617A89">
              <w:rPr>
                <w:rFonts w:cs="Arial"/>
                <w:b/>
                <w:sz w:val="18"/>
                <w:vertAlign w:val="superscript"/>
              </w:rPr>
              <w:t>‡</w:t>
            </w:r>
          </w:p>
        </w:tc>
        <w:tc>
          <w:tcPr>
            <w:tcW w:w="1637" w:type="dxa"/>
            <w:noWrap/>
            <w:vAlign w:val="center"/>
            <w:hideMark/>
          </w:tcPr>
          <w:p w14:paraId="2DD0F05C" w14:textId="77777777" w:rsidR="00547D84" w:rsidRPr="00617A89" w:rsidRDefault="00547D84" w:rsidP="00414FE3">
            <w:pPr>
              <w:keepNext/>
              <w:jc w:val="center"/>
              <w:rPr>
                <w:rFonts w:eastAsia="Times New Roman" w:cs="Arial"/>
                <w:color w:val="000000" w:themeColor="text1"/>
                <w:sz w:val="18"/>
                <w:lang w:eastAsia="en-AU"/>
              </w:rPr>
            </w:pPr>
            <w:r w:rsidRPr="00617A89">
              <w:rPr>
                <w:rFonts w:cs="Arial"/>
                <w:color w:val="000000" w:themeColor="text1"/>
                <w:sz w:val="18"/>
              </w:rPr>
              <w:t>79.5</w:t>
            </w:r>
          </w:p>
        </w:tc>
        <w:tc>
          <w:tcPr>
            <w:tcW w:w="1637" w:type="dxa"/>
            <w:noWrap/>
            <w:vAlign w:val="center"/>
            <w:hideMark/>
          </w:tcPr>
          <w:p w14:paraId="43A1D2BD" w14:textId="77777777" w:rsidR="00547D84" w:rsidRPr="00617A89" w:rsidRDefault="00547D84" w:rsidP="00414FE3">
            <w:pPr>
              <w:keepNext/>
              <w:jc w:val="center"/>
              <w:rPr>
                <w:rFonts w:eastAsia="Times New Roman" w:cs="Arial"/>
                <w:color w:val="000000" w:themeColor="text1"/>
                <w:sz w:val="18"/>
                <w:lang w:eastAsia="en-AU"/>
              </w:rPr>
            </w:pPr>
            <w:r w:rsidRPr="00617A89">
              <w:rPr>
                <w:rFonts w:cs="Arial"/>
                <w:color w:val="000000" w:themeColor="text1"/>
                <w:sz w:val="18"/>
              </w:rPr>
              <w:t>60.5</w:t>
            </w:r>
          </w:p>
        </w:tc>
        <w:tc>
          <w:tcPr>
            <w:tcW w:w="1637" w:type="dxa"/>
            <w:noWrap/>
            <w:vAlign w:val="center"/>
            <w:hideMark/>
          </w:tcPr>
          <w:p w14:paraId="321E63EB" w14:textId="77777777" w:rsidR="00547D84" w:rsidRPr="00617A89" w:rsidRDefault="00547D84" w:rsidP="00414FE3">
            <w:pPr>
              <w:keepNext/>
              <w:jc w:val="center"/>
              <w:rPr>
                <w:rFonts w:eastAsia="Times New Roman" w:cs="Arial"/>
                <w:color w:val="000000" w:themeColor="text1"/>
                <w:sz w:val="18"/>
                <w:lang w:eastAsia="en-AU"/>
              </w:rPr>
            </w:pPr>
            <w:r w:rsidRPr="00617A89">
              <w:rPr>
                <w:rFonts w:cs="Arial"/>
                <w:color w:val="000000" w:themeColor="text1"/>
                <w:sz w:val="18"/>
              </w:rPr>
              <w:t>91.7</w:t>
            </w:r>
          </w:p>
        </w:tc>
        <w:tc>
          <w:tcPr>
            <w:tcW w:w="1637" w:type="dxa"/>
            <w:noWrap/>
            <w:vAlign w:val="center"/>
            <w:hideMark/>
          </w:tcPr>
          <w:p w14:paraId="52EBFE3E" w14:textId="77777777" w:rsidR="00547D84" w:rsidRPr="00617A89" w:rsidRDefault="00547D84" w:rsidP="00414FE3">
            <w:pPr>
              <w:keepNext/>
              <w:jc w:val="center"/>
              <w:rPr>
                <w:rFonts w:eastAsia="Times New Roman" w:cs="Arial"/>
                <w:color w:val="000000" w:themeColor="text1"/>
                <w:sz w:val="18"/>
                <w:lang w:eastAsia="en-AU"/>
              </w:rPr>
            </w:pPr>
            <w:r w:rsidRPr="00617A89">
              <w:rPr>
                <w:rFonts w:cs="Arial"/>
                <w:color w:val="000000" w:themeColor="text1"/>
                <w:sz w:val="18"/>
              </w:rPr>
              <w:t>84.7</w:t>
            </w:r>
          </w:p>
        </w:tc>
      </w:tr>
      <w:tr w:rsidR="00C22852" w:rsidRPr="00617A89" w14:paraId="58806E5A" w14:textId="77777777" w:rsidTr="0062339E">
        <w:trPr>
          <w:trHeight w:val="340"/>
        </w:trPr>
        <w:tc>
          <w:tcPr>
            <w:tcW w:w="3681" w:type="dxa"/>
            <w:vAlign w:val="center"/>
            <w:hideMark/>
          </w:tcPr>
          <w:p w14:paraId="66579773" w14:textId="2EA46DE4" w:rsidR="00997187" w:rsidRPr="00617A89" w:rsidRDefault="00997187" w:rsidP="00997187">
            <w:pPr>
              <w:keepNext/>
              <w:rPr>
                <w:rFonts w:eastAsia="Times New Roman" w:cs="Arial"/>
                <w:color w:val="000000" w:themeColor="text1"/>
                <w:sz w:val="18"/>
                <w:lang w:eastAsia="en-AU"/>
              </w:rPr>
            </w:pPr>
            <w:r w:rsidRPr="00617A89">
              <w:rPr>
                <w:rFonts w:eastAsia="Times New Roman" w:cs="Arial"/>
                <w:color w:val="000000" w:themeColor="text1"/>
                <w:sz w:val="18"/>
                <w:lang w:val="en-GB" w:eastAsia="en-AU"/>
              </w:rPr>
              <w:t>Overall employment rate (%)</w:t>
            </w:r>
            <w:r w:rsidR="00AE502E" w:rsidRPr="00617A89">
              <w:rPr>
                <w:rFonts w:cs="Arial"/>
                <w:b/>
                <w:sz w:val="18"/>
                <w:vertAlign w:val="superscript"/>
              </w:rPr>
              <w:t>‡</w:t>
            </w:r>
          </w:p>
        </w:tc>
        <w:tc>
          <w:tcPr>
            <w:tcW w:w="1637" w:type="dxa"/>
            <w:noWrap/>
            <w:vAlign w:val="center"/>
            <w:hideMark/>
          </w:tcPr>
          <w:p w14:paraId="4959F4D0"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89.2</w:t>
            </w:r>
          </w:p>
        </w:tc>
        <w:tc>
          <w:tcPr>
            <w:tcW w:w="1637" w:type="dxa"/>
            <w:noWrap/>
            <w:vAlign w:val="center"/>
            <w:hideMark/>
          </w:tcPr>
          <w:p w14:paraId="1B11A7D5"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74.8</w:t>
            </w:r>
          </w:p>
        </w:tc>
        <w:tc>
          <w:tcPr>
            <w:tcW w:w="1637" w:type="dxa"/>
            <w:noWrap/>
            <w:vAlign w:val="center"/>
            <w:hideMark/>
          </w:tcPr>
          <w:p w14:paraId="0F6048CF"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94.6</w:t>
            </w:r>
          </w:p>
        </w:tc>
        <w:tc>
          <w:tcPr>
            <w:tcW w:w="1637" w:type="dxa"/>
            <w:noWrap/>
            <w:vAlign w:val="center"/>
            <w:hideMark/>
          </w:tcPr>
          <w:p w14:paraId="7BD5EA0A"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89.5</w:t>
            </w:r>
          </w:p>
        </w:tc>
      </w:tr>
      <w:tr w:rsidR="00C22852" w:rsidRPr="00617A89" w14:paraId="7A4E7C6F" w14:textId="77777777" w:rsidTr="0062339E">
        <w:trPr>
          <w:trHeight w:val="340"/>
        </w:trPr>
        <w:tc>
          <w:tcPr>
            <w:tcW w:w="3681" w:type="dxa"/>
            <w:vAlign w:val="center"/>
            <w:hideMark/>
          </w:tcPr>
          <w:p w14:paraId="59779ABB" w14:textId="751881F1" w:rsidR="00997187" w:rsidRPr="00617A89" w:rsidRDefault="00997187" w:rsidP="00997187">
            <w:pPr>
              <w:keepNext/>
              <w:rPr>
                <w:rFonts w:eastAsia="Times New Roman" w:cs="Arial"/>
                <w:color w:val="000000" w:themeColor="text1"/>
                <w:sz w:val="18"/>
                <w:lang w:eastAsia="en-AU"/>
              </w:rPr>
            </w:pPr>
            <w:r w:rsidRPr="00617A89">
              <w:rPr>
                <w:rFonts w:eastAsia="Times New Roman" w:cs="Arial"/>
                <w:color w:val="000000" w:themeColor="text1"/>
                <w:sz w:val="18"/>
                <w:lang w:val="en-GB" w:eastAsia="en-AU"/>
              </w:rPr>
              <w:t>Labour force participation rate (%)</w:t>
            </w:r>
            <w:r w:rsidR="00AE502E" w:rsidRPr="00617A89">
              <w:rPr>
                <w:rFonts w:cs="Arial"/>
                <w:b/>
                <w:sz w:val="18"/>
                <w:vertAlign w:val="superscript"/>
              </w:rPr>
              <w:t>‡</w:t>
            </w:r>
          </w:p>
        </w:tc>
        <w:tc>
          <w:tcPr>
            <w:tcW w:w="1637" w:type="dxa"/>
            <w:noWrap/>
            <w:vAlign w:val="center"/>
            <w:hideMark/>
          </w:tcPr>
          <w:p w14:paraId="5C77CBED"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92.7</w:t>
            </w:r>
          </w:p>
        </w:tc>
        <w:tc>
          <w:tcPr>
            <w:tcW w:w="1637" w:type="dxa"/>
            <w:noWrap/>
            <w:vAlign w:val="center"/>
            <w:hideMark/>
          </w:tcPr>
          <w:p w14:paraId="7AD734B0"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87.4</w:t>
            </w:r>
          </w:p>
        </w:tc>
        <w:tc>
          <w:tcPr>
            <w:tcW w:w="1637" w:type="dxa"/>
            <w:noWrap/>
            <w:vAlign w:val="center"/>
            <w:hideMark/>
          </w:tcPr>
          <w:p w14:paraId="2D0D2BDD"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90.4</w:t>
            </w:r>
          </w:p>
        </w:tc>
        <w:tc>
          <w:tcPr>
            <w:tcW w:w="1637" w:type="dxa"/>
            <w:noWrap/>
            <w:vAlign w:val="center"/>
            <w:hideMark/>
          </w:tcPr>
          <w:p w14:paraId="6D5894B9"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87.1</w:t>
            </w:r>
          </w:p>
        </w:tc>
      </w:tr>
      <w:tr w:rsidR="00C22852" w:rsidRPr="00617A89" w14:paraId="65BF32B6" w14:textId="77777777" w:rsidTr="0062339E">
        <w:trPr>
          <w:trHeight w:val="340"/>
        </w:trPr>
        <w:tc>
          <w:tcPr>
            <w:tcW w:w="3681" w:type="dxa"/>
            <w:vAlign w:val="center"/>
            <w:hideMark/>
          </w:tcPr>
          <w:p w14:paraId="04F5D3F8" w14:textId="44A05FF1" w:rsidR="00997187" w:rsidRPr="00617A89" w:rsidRDefault="00997187" w:rsidP="00997187">
            <w:pPr>
              <w:keepNext/>
              <w:rPr>
                <w:rFonts w:eastAsia="Times New Roman" w:cs="Arial"/>
                <w:color w:val="000000" w:themeColor="text1"/>
                <w:sz w:val="18"/>
                <w:lang w:eastAsia="en-AU"/>
              </w:rPr>
            </w:pPr>
            <w:r w:rsidRPr="00617A89">
              <w:rPr>
                <w:rFonts w:eastAsia="Times New Roman" w:cs="Arial"/>
                <w:color w:val="000000" w:themeColor="text1"/>
                <w:sz w:val="18"/>
                <w:lang w:eastAsia="en-AU"/>
              </w:rPr>
              <w:t>Median annual full-time salary ($)</w:t>
            </w:r>
          </w:p>
        </w:tc>
        <w:tc>
          <w:tcPr>
            <w:tcW w:w="1637" w:type="dxa"/>
            <w:noWrap/>
            <w:vAlign w:val="center"/>
            <w:hideMark/>
          </w:tcPr>
          <w:p w14:paraId="65D17415"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69,000</w:t>
            </w:r>
          </w:p>
        </w:tc>
        <w:tc>
          <w:tcPr>
            <w:tcW w:w="1637" w:type="dxa"/>
            <w:noWrap/>
            <w:vAlign w:val="center"/>
            <w:hideMark/>
          </w:tcPr>
          <w:p w14:paraId="2F5F432A"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62,000</w:t>
            </w:r>
          </w:p>
        </w:tc>
        <w:tc>
          <w:tcPr>
            <w:tcW w:w="1637" w:type="dxa"/>
            <w:noWrap/>
            <w:vAlign w:val="center"/>
            <w:hideMark/>
          </w:tcPr>
          <w:p w14:paraId="74A06D8F"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91,000</w:t>
            </w:r>
          </w:p>
        </w:tc>
        <w:tc>
          <w:tcPr>
            <w:tcW w:w="1637" w:type="dxa"/>
            <w:noWrap/>
            <w:vAlign w:val="center"/>
            <w:hideMark/>
          </w:tcPr>
          <w:p w14:paraId="4997F5D8"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80,500</w:t>
            </w:r>
          </w:p>
        </w:tc>
      </w:tr>
      <w:tr w:rsidR="00C22852" w:rsidRPr="00617A89" w14:paraId="286FAEA3" w14:textId="77777777" w:rsidTr="0062339E">
        <w:trPr>
          <w:trHeight w:val="340"/>
        </w:trPr>
        <w:tc>
          <w:tcPr>
            <w:tcW w:w="3681" w:type="dxa"/>
            <w:vAlign w:val="center"/>
          </w:tcPr>
          <w:p w14:paraId="734F28A2" w14:textId="68B12A9F" w:rsidR="00997187" w:rsidRPr="00617A89" w:rsidRDefault="00997187" w:rsidP="00997187">
            <w:pPr>
              <w:keepNext/>
              <w:rPr>
                <w:rFonts w:eastAsia="Times New Roman" w:cs="Arial"/>
                <w:color w:val="000000" w:themeColor="text1"/>
                <w:sz w:val="18"/>
                <w:lang w:eastAsia="en-AU"/>
              </w:rPr>
            </w:pPr>
            <w:r w:rsidRPr="00617A89">
              <w:rPr>
                <w:rFonts w:eastAsia="Times New Roman" w:cs="Arial"/>
                <w:color w:val="000000" w:themeColor="text1"/>
                <w:sz w:val="18"/>
                <w:lang w:eastAsia="en-AU"/>
              </w:rPr>
              <w:t>Underemployment rate (%)</w:t>
            </w:r>
          </w:p>
        </w:tc>
        <w:tc>
          <w:tcPr>
            <w:tcW w:w="1637" w:type="dxa"/>
            <w:noWrap/>
            <w:vAlign w:val="center"/>
          </w:tcPr>
          <w:p w14:paraId="3ED6B2BB" w14:textId="77777777" w:rsidR="00997187" w:rsidRPr="00617A89" w:rsidRDefault="00997187" w:rsidP="00414FE3">
            <w:pPr>
              <w:keepNext/>
              <w:jc w:val="center"/>
              <w:rPr>
                <w:rFonts w:cs="Arial"/>
                <w:color w:val="000000" w:themeColor="text1"/>
                <w:sz w:val="18"/>
              </w:rPr>
            </w:pPr>
            <w:r w:rsidRPr="00617A89">
              <w:rPr>
                <w:rFonts w:cs="Arial"/>
                <w:color w:val="000000" w:themeColor="text1"/>
                <w:sz w:val="18"/>
              </w:rPr>
              <w:t>13.7</w:t>
            </w:r>
          </w:p>
        </w:tc>
        <w:tc>
          <w:tcPr>
            <w:tcW w:w="1637" w:type="dxa"/>
            <w:noWrap/>
            <w:vAlign w:val="center"/>
          </w:tcPr>
          <w:p w14:paraId="4D938EB8" w14:textId="77777777" w:rsidR="00997187" w:rsidRPr="00617A89" w:rsidRDefault="00997187" w:rsidP="00414FE3">
            <w:pPr>
              <w:keepNext/>
              <w:jc w:val="center"/>
              <w:rPr>
                <w:rFonts w:cs="Arial"/>
                <w:color w:val="000000" w:themeColor="text1"/>
                <w:sz w:val="18"/>
              </w:rPr>
            </w:pPr>
            <w:r w:rsidRPr="00617A89">
              <w:rPr>
                <w:rFonts w:cs="Arial"/>
                <w:color w:val="000000" w:themeColor="text1"/>
                <w:sz w:val="18"/>
              </w:rPr>
              <w:t>24.7</w:t>
            </w:r>
          </w:p>
        </w:tc>
        <w:tc>
          <w:tcPr>
            <w:tcW w:w="1637" w:type="dxa"/>
            <w:noWrap/>
            <w:vAlign w:val="center"/>
          </w:tcPr>
          <w:p w14:paraId="30D6FA11" w14:textId="77777777" w:rsidR="00997187" w:rsidRPr="00617A89" w:rsidRDefault="00997187" w:rsidP="00414FE3">
            <w:pPr>
              <w:keepNext/>
              <w:jc w:val="center"/>
              <w:rPr>
                <w:rFonts w:cs="Arial"/>
                <w:color w:val="000000" w:themeColor="text1"/>
                <w:sz w:val="18"/>
              </w:rPr>
            </w:pPr>
            <w:r w:rsidRPr="00617A89">
              <w:rPr>
                <w:rFonts w:cs="Arial"/>
                <w:color w:val="000000" w:themeColor="text1"/>
                <w:sz w:val="18"/>
              </w:rPr>
              <w:t>7.2</w:t>
            </w:r>
          </w:p>
        </w:tc>
        <w:tc>
          <w:tcPr>
            <w:tcW w:w="1637" w:type="dxa"/>
            <w:noWrap/>
            <w:vAlign w:val="center"/>
          </w:tcPr>
          <w:p w14:paraId="4244341E" w14:textId="77777777" w:rsidR="00997187" w:rsidRPr="00617A89" w:rsidRDefault="00997187" w:rsidP="00414FE3">
            <w:pPr>
              <w:keepNext/>
              <w:jc w:val="center"/>
              <w:rPr>
                <w:rFonts w:cs="Arial"/>
                <w:color w:val="000000" w:themeColor="text1"/>
                <w:sz w:val="18"/>
              </w:rPr>
            </w:pPr>
            <w:r w:rsidRPr="00617A89">
              <w:rPr>
                <w:rFonts w:cs="Arial"/>
                <w:color w:val="000000" w:themeColor="text1"/>
                <w:sz w:val="18"/>
              </w:rPr>
              <w:t>9.3</w:t>
            </w:r>
          </w:p>
        </w:tc>
      </w:tr>
      <w:tr w:rsidR="00C22852" w:rsidRPr="00617A89" w14:paraId="3FB7DEE2" w14:textId="77777777" w:rsidTr="0062339E">
        <w:trPr>
          <w:trHeight w:val="340"/>
        </w:trPr>
        <w:tc>
          <w:tcPr>
            <w:tcW w:w="3681" w:type="dxa"/>
            <w:vAlign w:val="center"/>
          </w:tcPr>
          <w:p w14:paraId="1F3900EF" w14:textId="76093239" w:rsidR="00997187" w:rsidRPr="00617A89" w:rsidRDefault="00997187" w:rsidP="00997187">
            <w:pPr>
              <w:keepNext/>
              <w:rPr>
                <w:rFonts w:eastAsia="Times New Roman" w:cs="Arial"/>
                <w:color w:val="000000" w:themeColor="text1"/>
                <w:sz w:val="18"/>
                <w:lang w:eastAsia="en-AU"/>
              </w:rPr>
            </w:pPr>
            <w:r w:rsidRPr="00617A89">
              <w:rPr>
                <w:rFonts w:eastAsia="Times New Roman" w:cs="Arial"/>
                <w:color w:val="000000" w:themeColor="text1"/>
                <w:sz w:val="18"/>
                <w:lang w:eastAsia="en-AU"/>
              </w:rPr>
              <w:t>In further full-time study (%)</w:t>
            </w:r>
          </w:p>
        </w:tc>
        <w:tc>
          <w:tcPr>
            <w:tcW w:w="1637" w:type="dxa"/>
            <w:noWrap/>
            <w:vAlign w:val="center"/>
          </w:tcPr>
          <w:p w14:paraId="68E584F9"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17.5</w:t>
            </w:r>
          </w:p>
        </w:tc>
        <w:tc>
          <w:tcPr>
            <w:tcW w:w="1637" w:type="dxa"/>
            <w:noWrap/>
            <w:vAlign w:val="center"/>
          </w:tcPr>
          <w:p w14:paraId="482B2E7B"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25.4</w:t>
            </w:r>
          </w:p>
        </w:tc>
        <w:tc>
          <w:tcPr>
            <w:tcW w:w="1637" w:type="dxa"/>
            <w:noWrap/>
            <w:vAlign w:val="center"/>
          </w:tcPr>
          <w:p w14:paraId="3BA2FF59"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13.4</w:t>
            </w:r>
          </w:p>
        </w:tc>
        <w:tc>
          <w:tcPr>
            <w:tcW w:w="1637" w:type="dxa"/>
            <w:noWrap/>
            <w:vAlign w:val="center"/>
          </w:tcPr>
          <w:p w14:paraId="772ACAED" w14:textId="77777777" w:rsidR="00997187" w:rsidRPr="00617A89" w:rsidRDefault="00997187" w:rsidP="00414FE3">
            <w:pPr>
              <w:keepNext/>
              <w:jc w:val="center"/>
              <w:rPr>
                <w:rFonts w:eastAsia="Times New Roman" w:cs="Arial"/>
                <w:color w:val="000000" w:themeColor="text1"/>
                <w:sz w:val="18"/>
                <w:lang w:eastAsia="en-AU"/>
              </w:rPr>
            </w:pPr>
            <w:r w:rsidRPr="00617A89">
              <w:rPr>
                <w:rFonts w:cs="Arial"/>
                <w:color w:val="000000" w:themeColor="text1"/>
                <w:sz w:val="18"/>
              </w:rPr>
              <w:t>17.8</w:t>
            </w:r>
          </w:p>
        </w:tc>
      </w:tr>
      <w:tr w:rsidR="00C22852" w:rsidRPr="00617A89" w14:paraId="33ADC82D" w14:textId="77777777" w:rsidTr="0062339E">
        <w:trPr>
          <w:trHeight w:val="500"/>
        </w:trPr>
        <w:tc>
          <w:tcPr>
            <w:tcW w:w="3681" w:type="dxa"/>
            <w:vAlign w:val="center"/>
          </w:tcPr>
          <w:p w14:paraId="0D50F630" w14:textId="2152490A" w:rsidR="00997187" w:rsidRPr="00617A89" w:rsidRDefault="00997187" w:rsidP="00997187">
            <w:pPr>
              <w:keepNext/>
              <w:rPr>
                <w:rFonts w:eastAsia="Times New Roman" w:cs="Arial"/>
                <w:color w:val="000000" w:themeColor="text1"/>
                <w:sz w:val="18"/>
                <w:lang w:eastAsia="en-AU"/>
              </w:rPr>
            </w:pPr>
            <w:r w:rsidRPr="00617A89">
              <w:rPr>
                <w:rFonts w:eastAsia="Times New Roman" w:cs="Arial"/>
                <w:color w:val="000000" w:themeColor="text1"/>
                <w:sz w:val="18"/>
                <w:lang w:eastAsia="en-AU"/>
              </w:rPr>
              <w:t>Employed in managerial or professional occupation (% of those employed full-time)</w:t>
            </w:r>
          </w:p>
        </w:tc>
        <w:tc>
          <w:tcPr>
            <w:tcW w:w="1637" w:type="dxa"/>
            <w:noWrap/>
            <w:vAlign w:val="center"/>
          </w:tcPr>
          <w:p w14:paraId="76013772" w14:textId="2C760E19" w:rsidR="00997187" w:rsidRPr="00617A89" w:rsidRDefault="00997187" w:rsidP="00414FE3">
            <w:pPr>
              <w:keepNext/>
              <w:jc w:val="center"/>
              <w:rPr>
                <w:rFonts w:cs="Arial"/>
                <w:color w:val="000000" w:themeColor="text1"/>
                <w:sz w:val="18"/>
              </w:rPr>
            </w:pPr>
            <w:r w:rsidRPr="00617A89">
              <w:rPr>
                <w:rFonts w:cs="Arial"/>
                <w:color w:val="000000" w:themeColor="text1"/>
                <w:sz w:val="18"/>
              </w:rPr>
              <w:t>70.</w:t>
            </w:r>
            <w:r w:rsidR="00E24C5C" w:rsidRPr="00617A89">
              <w:rPr>
                <w:rFonts w:cs="Arial"/>
                <w:color w:val="000000" w:themeColor="text1"/>
                <w:sz w:val="18"/>
              </w:rPr>
              <w:t>7</w:t>
            </w:r>
          </w:p>
        </w:tc>
        <w:tc>
          <w:tcPr>
            <w:tcW w:w="1637" w:type="dxa"/>
            <w:noWrap/>
            <w:vAlign w:val="center"/>
          </w:tcPr>
          <w:p w14:paraId="27B91078" w14:textId="77777777" w:rsidR="00997187" w:rsidRPr="00617A89" w:rsidRDefault="00997187" w:rsidP="00414FE3">
            <w:pPr>
              <w:keepNext/>
              <w:jc w:val="center"/>
              <w:rPr>
                <w:rFonts w:cs="Arial"/>
                <w:color w:val="000000" w:themeColor="text1"/>
                <w:sz w:val="18"/>
              </w:rPr>
            </w:pPr>
            <w:r w:rsidRPr="00617A89">
              <w:rPr>
                <w:rFonts w:cs="Arial"/>
                <w:color w:val="000000" w:themeColor="text1"/>
                <w:sz w:val="18"/>
              </w:rPr>
              <w:t>62.7</w:t>
            </w:r>
          </w:p>
        </w:tc>
        <w:tc>
          <w:tcPr>
            <w:tcW w:w="1637" w:type="dxa"/>
            <w:noWrap/>
            <w:vAlign w:val="center"/>
          </w:tcPr>
          <w:p w14:paraId="01B98F68" w14:textId="77777777" w:rsidR="00997187" w:rsidRPr="00617A89" w:rsidRDefault="00997187" w:rsidP="00414FE3">
            <w:pPr>
              <w:keepNext/>
              <w:jc w:val="center"/>
              <w:rPr>
                <w:rFonts w:cs="Arial"/>
                <w:color w:val="000000" w:themeColor="text1"/>
                <w:sz w:val="18"/>
              </w:rPr>
            </w:pPr>
            <w:r w:rsidRPr="00617A89">
              <w:rPr>
                <w:rFonts w:cs="Arial"/>
                <w:color w:val="000000" w:themeColor="text1"/>
                <w:sz w:val="18"/>
              </w:rPr>
              <w:t>78.9</w:t>
            </w:r>
          </w:p>
        </w:tc>
        <w:tc>
          <w:tcPr>
            <w:tcW w:w="1637" w:type="dxa"/>
            <w:noWrap/>
            <w:vAlign w:val="center"/>
          </w:tcPr>
          <w:p w14:paraId="46BF4B05" w14:textId="77777777" w:rsidR="00997187" w:rsidRPr="00617A89" w:rsidRDefault="00997187" w:rsidP="00414FE3">
            <w:pPr>
              <w:keepNext/>
              <w:jc w:val="center"/>
              <w:rPr>
                <w:rFonts w:cs="Arial"/>
                <w:color w:val="000000" w:themeColor="text1"/>
                <w:sz w:val="18"/>
              </w:rPr>
            </w:pPr>
            <w:r w:rsidRPr="00617A89">
              <w:rPr>
                <w:rFonts w:cs="Arial"/>
                <w:color w:val="000000" w:themeColor="text1"/>
                <w:sz w:val="18"/>
              </w:rPr>
              <w:t>77.6</w:t>
            </w:r>
          </w:p>
        </w:tc>
      </w:tr>
    </w:tbl>
    <w:p w14:paraId="5A2CC92E" w14:textId="473107F7" w:rsidR="00C86366" w:rsidRPr="00617A89" w:rsidRDefault="002013A6" w:rsidP="00C86366">
      <w:pPr>
        <w:pStyle w:val="Body"/>
        <w:rPr>
          <w:rFonts w:eastAsia="Calibri" w:cs="Arial"/>
          <w:color w:val="000000" w:themeColor="text1"/>
          <w:sz w:val="18"/>
          <w:szCs w:val="18"/>
          <w:lang w:val="en-GB"/>
        </w:rPr>
      </w:pPr>
      <w:r w:rsidRPr="00617A89">
        <w:rPr>
          <w:color w:val="000000" w:themeColor="text1"/>
          <w:sz w:val="18"/>
          <w:szCs w:val="21"/>
          <w:lang w:val="en-GB"/>
        </w:rPr>
        <w:t xml:space="preserve">Note: International graduates’ median </w:t>
      </w:r>
      <w:r w:rsidR="00C86366" w:rsidRPr="00617A89">
        <w:rPr>
          <w:rFonts w:eastAsia="Calibri" w:cs="Arial"/>
          <w:color w:val="000000" w:themeColor="text1"/>
          <w:sz w:val="18"/>
          <w:szCs w:val="18"/>
          <w:lang w:val="en-GB"/>
        </w:rPr>
        <w:t>salary figures only include data for international graduates working in Australia.</w:t>
      </w:r>
    </w:p>
    <w:p w14:paraId="4A5CCCEE" w14:textId="77777777" w:rsidR="00AE502E" w:rsidRPr="00617A89" w:rsidRDefault="00AE502E" w:rsidP="00AE502E">
      <w:pPr>
        <w:pStyle w:val="FigureNote"/>
        <w:rPr>
          <w:sz w:val="18"/>
          <w:szCs w:val="24"/>
        </w:rPr>
      </w:pPr>
      <w:r w:rsidRPr="00617A89">
        <w:rPr>
          <w:sz w:val="18"/>
          <w:szCs w:val="24"/>
        </w:rPr>
        <w:t xml:space="preserve">‡ 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sz w:val="18"/>
          <w:szCs w:val="24"/>
        </w:rPr>
        <w:t>Appendix 1</w:t>
      </w:r>
      <w:r w:rsidRPr="00617A89">
        <w:rPr>
          <w:sz w:val="18"/>
          <w:szCs w:val="24"/>
        </w:rPr>
        <w:t xml:space="preserve"> for further information.</w:t>
      </w:r>
    </w:p>
    <w:p w14:paraId="1454CA25" w14:textId="05C8CD76" w:rsidR="00FA626F" w:rsidRPr="00617A89" w:rsidRDefault="00196639" w:rsidP="003911AC">
      <w:pPr>
        <w:pStyle w:val="Heading3"/>
        <w:rPr>
          <w:color w:val="000000" w:themeColor="text1"/>
        </w:rPr>
      </w:pPr>
      <w:bookmarkStart w:id="173" w:name="_Toc222868455"/>
      <w:r w:rsidRPr="00617A89">
        <w:rPr>
          <w:color w:val="000000" w:themeColor="text1"/>
        </w:rPr>
        <w:t>Postgraduate coursework comparisons</w:t>
      </w:r>
      <w:bookmarkEnd w:id="173"/>
    </w:p>
    <w:p w14:paraId="0806D356" w14:textId="102AFF72" w:rsidR="004C3F33" w:rsidRPr="00617A89" w:rsidRDefault="00196639" w:rsidP="004C3F33">
      <w:pPr>
        <w:spacing w:before="120" w:after="120" w:line="300" w:lineRule="auto"/>
        <w:rPr>
          <w:rFonts w:eastAsia="Times New Roman" w:cs="Times New Roman"/>
          <w:color w:val="000000" w:themeColor="text1"/>
          <w:szCs w:val="20"/>
        </w:rPr>
      </w:pPr>
      <w:r w:rsidRPr="00617A89">
        <w:rPr>
          <w:color w:val="000000" w:themeColor="text1"/>
        </w:rPr>
        <w:t xml:space="preserve">Differences in employment and salary outcomes are most pronounced at the postgraduate coursework level. </w:t>
      </w:r>
      <w:r w:rsidR="004C3F33" w:rsidRPr="00617A89">
        <w:rPr>
          <w:rFonts w:eastAsia="Times New Roman" w:cs="Times New Roman"/>
          <w:color w:val="000000" w:themeColor="text1"/>
          <w:szCs w:val="20"/>
        </w:rPr>
        <w:t>However, it should be noted that at the postgraduate coursework level in particular, the domestic cohort of graduates is more likely to be older and have established themselves in the workforce before or during their studies.</w:t>
      </w:r>
      <w:r w:rsidR="00587D4A" w:rsidRPr="00617A89">
        <w:rPr>
          <w:rFonts w:eastAsia="Times New Roman" w:cs="Times New Roman"/>
          <w:color w:val="000000" w:themeColor="text1"/>
          <w:szCs w:val="20"/>
        </w:rPr>
        <w:t xml:space="preserve"> This is evidenced by the high</w:t>
      </w:r>
      <w:r w:rsidR="00C524A2" w:rsidRPr="00617A89">
        <w:rPr>
          <w:rFonts w:eastAsia="Times New Roman" w:cs="Times New Roman"/>
          <w:color w:val="000000" w:themeColor="text1"/>
          <w:szCs w:val="20"/>
        </w:rPr>
        <w:t xml:space="preserve"> employment and median salary outcomes of domestic graduates</w:t>
      </w:r>
      <w:r w:rsidR="005A43DF" w:rsidRPr="00617A89">
        <w:rPr>
          <w:rFonts w:eastAsia="Times New Roman" w:cs="Times New Roman"/>
          <w:color w:val="000000" w:themeColor="text1"/>
          <w:szCs w:val="20"/>
        </w:rPr>
        <w:t xml:space="preserve"> 4 to 6 months after course completion</w:t>
      </w:r>
      <w:r w:rsidR="007F26E6" w:rsidRPr="00617A89">
        <w:rPr>
          <w:rFonts w:eastAsia="Times New Roman" w:cs="Times New Roman"/>
          <w:color w:val="000000" w:themeColor="text1"/>
          <w:szCs w:val="20"/>
        </w:rPr>
        <w:t xml:space="preserve"> (</w:t>
      </w:r>
      <w:r w:rsidR="007F26E6" w:rsidRPr="00617A89">
        <w:rPr>
          <w:rFonts w:eastAsia="Times New Roman" w:cs="Times New Roman"/>
          <w:b/>
          <w:bCs/>
          <w:color w:val="000000" w:themeColor="text1"/>
          <w:szCs w:val="20"/>
        </w:rPr>
        <w:fldChar w:fldCharType="begin"/>
      </w:r>
      <w:r w:rsidR="007F26E6" w:rsidRPr="00617A89">
        <w:rPr>
          <w:rFonts w:eastAsia="Times New Roman" w:cs="Times New Roman"/>
          <w:b/>
          <w:bCs/>
          <w:color w:val="000000" w:themeColor="text1"/>
          <w:szCs w:val="20"/>
        </w:rPr>
        <w:instrText xml:space="preserve"> REF _Ref204597475 \h  \* MERGEFORMAT </w:instrText>
      </w:r>
      <w:r w:rsidR="007F26E6" w:rsidRPr="00617A89">
        <w:rPr>
          <w:rFonts w:eastAsia="Times New Roman" w:cs="Times New Roman"/>
          <w:b/>
          <w:bCs/>
          <w:color w:val="000000" w:themeColor="text1"/>
          <w:szCs w:val="20"/>
        </w:rPr>
      </w:r>
      <w:r w:rsidR="007F26E6" w:rsidRPr="00617A89">
        <w:rPr>
          <w:rFonts w:eastAsia="Times New Roman" w:cs="Times New Roman"/>
          <w:b/>
          <w:bCs/>
          <w:color w:val="000000" w:themeColor="text1"/>
          <w:szCs w:val="20"/>
        </w:rPr>
        <w:fldChar w:fldCharType="separate"/>
      </w:r>
      <w:r w:rsidR="00AE502E" w:rsidRPr="00617A89">
        <w:rPr>
          <w:b/>
          <w:bCs/>
          <w:color w:val="000000" w:themeColor="text1"/>
        </w:rPr>
        <w:t xml:space="preserve">Table </w:t>
      </w:r>
      <w:r w:rsidR="00AE502E" w:rsidRPr="00617A89">
        <w:rPr>
          <w:b/>
          <w:bCs/>
          <w:noProof/>
          <w:color w:val="000000" w:themeColor="text1"/>
        </w:rPr>
        <w:t>9</w:t>
      </w:r>
      <w:r w:rsidR="007F26E6" w:rsidRPr="00617A89">
        <w:rPr>
          <w:rFonts w:eastAsia="Times New Roman" w:cs="Times New Roman"/>
          <w:b/>
          <w:bCs/>
          <w:color w:val="000000" w:themeColor="text1"/>
          <w:szCs w:val="20"/>
        </w:rPr>
        <w:fldChar w:fldCharType="end"/>
      </w:r>
      <w:r w:rsidR="007F26E6" w:rsidRPr="00617A89">
        <w:rPr>
          <w:rFonts w:eastAsia="Times New Roman" w:cs="Times New Roman"/>
          <w:color w:val="000000" w:themeColor="text1"/>
          <w:szCs w:val="20"/>
        </w:rPr>
        <w:t>).</w:t>
      </w:r>
    </w:p>
    <w:p w14:paraId="2E001CA5" w14:textId="1211229E" w:rsidR="00196639" w:rsidRPr="00617A89" w:rsidRDefault="008351BE" w:rsidP="00196639">
      <w:pPr>
        <w:pStyle w:val="Body"/>
        <w:rPr>
          <w:color w:val="000000" w:themeColor="text1"/>
        </w:rPr>
      </w:pPr>
      <w:r w:rsidRPr="00617A89">
        <w:rPr>
          <w:color w:val="000000" w:themeColor="text1"/>
        </w:rPr>
        <w:t xml:space="preserve">In </w:t>
      </w:r>
      <w:r w:rsidR="00E067BA" w:rsidRPr="00617A89">
        <w:rPr>
          <w:color w:val="000000" w:themeColor="text1"/>
        </w:rPr>
        <w:t xml:space="preserve">contrast, international postgraduate coursework graduates reported much lower rates of employment </w:t>
      </w:r>
      <w:r w:rsidR="00704884" w:rsidRPr="00617A89">
        <w:rPr>
          <w:color w:val="000000" w:themeColor="text1"/>
        </w:rPr>
        <w:t>in the short-term</w:t>
      </w:r>
      <w:r w:rsidR="00F43E07" w:rsidRPr="00617A89">
        <w:rPr>
          <w:color w:val="000000" w:themeColor="text1"/>
        </w:rPr>
        <w:t>, despite having similar levels of participation in the labour force</w:t>
      </w:r>
      <w:r w:rsidR="002A1830" w:rsidRPr="00617A89">
        <w:rPr>
          <w:color w:val="000000" w:themeColor="text1"/>
        </w:rPr>
        <w:t xml:space="preserve">, indicating that they are </w:t>
      </w:r>
      <w:r w:rsidR="002A1830" w:rsidRPr="00617A89">
        <w:rPr>
          <w:i/>
          <w:iCs/>
          <w:color w:val="000000" w:themeColor="text1"/>
        </w:rPr>
        <w:t>available</w:t>
      </w:r>
      <w:r w:rsidR="002A1830" w:rsidRPr="00617A89">
        <w:rPr>
          <w:color w:val="000000" w:themeColor="text1"/>
        </w:rPr>
        <w:t xml:space="preserve"> for employment.</w:t>
      </w:r>
      <w:r w:rsidR="009C27F2" w:rsidRPr="00617A89">
        <w:rPr>
          <w:color w:val="000000" w:themeColor="text1"/>
        </w:rPr>
        <w:t xml:space="preserve"> Further to this, international postgraduate coursework graduates were 3 times more likely to be underemploy</w:t>
      </w:r>
      <w:r w:rsidR="009C147C" w:rsidRPr="00617A89">
        <w:rPr>
          <w:color w:val="000000" w:themeColor="text1"/>
        </w:rPr>
        <w:t>ed – that is, employed part-time but would prefer to work more hours</w:t>
      </w:r>
      <w:r w:rsidR="0068252C" w:rsidRPr="00617A89">
        <w:rPr>
          <w:color w:val="000000" w:themeColor="text1"/>
        </w:rPr>
        <w:t xml:space="preserve"> – suggesting that the lower full-time employment rate is not </w:t>
      </w:r>
      <w:r w:rsidR="000654E0" w:rsidRPr="00617A89">
        <w:rPr>
          <w:color w:val="000000" w:themeColor="text1"/>
        </w:rPr>
        <w:t xml:space="preserve">always </w:t>
      </w:r>
      <w:r w:rsidR="0068252C" w:rsidRPr="00617A89">
        <w:rPr>
          <w:color w:val="000000" w:themeColor="text1"/>
        </w:rPr>
        <w:t>by choice.</w:t>
      </w:r>
    </w:p>
    <w:p w14:paraId="31B0B88D" w14:textId="2879D034" w:rsidR="00336CC4" w:rsidRPr="00617A89" w:rsidRDefault="00CD51D6" w:rsidP="00336CC4">
      <w:pPr>
        <w:pStyle w:val="Body"/>
        <w:rPr>
          <w:color w:val="000000" w:themeColor="text1"/>
        </w:rPr>
      </w:pPr>
      <w:r w:rsidRPr="00617A89">
        <w:rPr>
          <w:color w:val="000000" w:themeColor="text1"/>
        </w:rPr>
        <w:t>The underemployment rate for international graduates dropped markedly over the 3-year period</w:t>
      </w:r>
      <w:r w:rsidR="00C42F0A" w:rsidRPr="00617A89">
        <w:rPr>
          <w:color w:val="000000" w:themeColor="text1"/>
        </w:rPr>
        <w:t xml:space="preserve">, as </w:t>
      </w:r>
      <w:r w:rsidR="0088643C" w:rsidRPr="00617A89">
        <w:rPr>
          <w:color w:val="000000" w:themeColor="text1"/>
        </w:rPr>
        <w:t>the full-time employment rate rose sharply</w:t>
      </w:r>
      <w:r w:rsidR="00CC7FB4" w:rsidRPr="00617A89">
        <w:rPr>
          <w:color w:val="000000" w:themeColor="text1"/>
        </w:rPr>
        <w:t>, bringing it much closer to the domestic rate</w:t>
      </w:r>
      <w:r w:rsidR="00DE57D6" w:rsidRPr="00617A89">
        <w:rPr>
          <w:color w:val="000000" w:themeColor="text1"/>
        </w:rPr>
        <w:t>.</w:t>
      </w:r>
      <w:r w:rsidR="00EF78FD" w:rsidRPr="00617A89">
        <w:rPr>
          <w:color w:val="000000" w:themeColor="text1"/>
        </w:rPr>
        <w:t xml:space="preserve"> These findings indicate that it takes longer for international postgraduate coursework graduates</w:t>
      </w:r>
      <w:r w:rsidR="00296DA0" w:rsidRPr="00617A89">
        <w:rPr>
          <w:color w:val="000000" w:themeColor="text1"/>
        </w:rPr>
        <w:t xml:space="preserve"> to obtain full-time hours</w:t>
      </w:r>
      <w:r w:rsidR="006C2877" w:rsidRPr="00617A89">
        <w:rPr>
          <w:color w:val="000000" w:themeColor="text1"/>
        </w:rPr>
        <w:t>.</w:t>
      </w:r>
    </w:p>
    <w:p w14:paraId="67AE6377" w14:textId="0A57998C" w:rsidR="005C4C7A" w:rsidRPr="00617A89" w:rsidRDefault="005C4C7A" w:rsidP="00336CC4">
      <w:pPr>
        <w:pStyle w:val="Body"/>
        <w:rPr>
          <w:color w:val="000000" w:themeColor="text1"/>
        </w:rPr>
      </w:pPr>
      <w:r w:rsidRPr="00617A89">
        <w:rPr>
          <w:color w:val="000000" w:themeColor="text1"/>
        </w:rPr>
        <w:t xml:space="preserve">In dollar terms, </w:t>
      </w:r>
      <w:r w:rsidR="00B03152" w:rsidRPr="00617A89">
        <w:rPr>
          <w:color w:val="000000" w:themeColor="text1"/>
        </w:rPr>
        <w:t xml:space="preserve">differences in </w:t>
      </w:r>
      <w:r w:rsidRPr="00617A89">
        <w:rPr>
          <w:color w:val="000000" w:themeColor="text1"/>
        </w:rPr>
        <w:t>median salaries</w:t>
      </w:r>
      <w:r w:rsidR="00B03152" w:rsidRPr="00617A89">
        <w:rPr>
          <w:color w:val="000000" w:themeColor="text1"/>
        </w:rPr>
        <w:t xml:space="preserve"> were widest at the postgraduate coursework level, with domestic graduates</w:t>
      </w:r>
      <w:r w:rsidR="00E25616" w:rsidRPr="00617A89">
        <w:rPr>
          <w:color w:val="000000" w:themeColor="text1"/>
        </w:rPr>
        <w:t xml:space="preserve"> earning </w:t>
      </w:r>
      <w:r w:rsidR="00337AB3" w:rsidRPr="00617A89">
        <w:rPr>
          <w:color w:val="000000" w:themeColor="text1"/>
        </w:rPr>
        <w:t xml:space="preserve">on average </w:t>
      </w:r>
      <w:r w:rsidR="00E25616" w:rsidRPr="00617A89">
        <w:rPr>
          <w:color w:val="000000" w:themeColor="text1"/>
        </w:rPr>
        <w:t>$28,700 more than international graduates in the short-term and $31,000</w:t>
      </w:r>
      <w:r w:rsidR="003C0B4C" w:rsidRPr="00617A89">
        <w:rPr>
          <w:color w:val="000000" w:themeColor="text1"/>
        </w:rPr>
        <w:t xml:space="preserve"> more in the medium-term. </w:t>
      </w:r>
      <w:r w:rsidR="0099388E" w:rsidRPr="00617A89">
        <w:rPr>
          <w:color w:val="000000" w:themeColor="text1"/>
        </w:rPr>
        <w:t xml:space="preserve">However, in terms of 3-year salary growth, </w:t>
      </w:r>
      <w:r w:rsidR="006E33D4" w:rsidRPr="00617A89">
        <w:rPr>
          <w:color w:val="000000" w:themeColor="text1"/>
        </w:rPr>
        <w:t xml:space="preserve">the median salary for </w:t>
      </w:r>
      <w:r w:rsidR="0099388E" w:rsidRPr="00617A89">
        <w:rPr>
          <w:color w:val="000000" w:themeColor="text1"/>
        </w:rPr>
        <w:t>international postgraduate coursework graduates</w:t>
      </w:r>
      <w:r w:rsidR="006E33D4" w:rsidRPr="00617A89">
        <w:rPr>
          <w:color w:val="000000" w:themeColor="text1"/>
        </w:rPr>
        <w:t xml:space="preserve"> did increase at a higher rate</w:t>
      </w:r>
      <w:r w:rsidR="00406563" w:rsidRPr="00617A89">
        <w:rPr>
          <w:color w:val="000000" w:themeColor="text1"/>
        </w:rPr>
        <w:t xml:space="preserve"> than for domestic graduates, at 35.8 per cent and 27.1 per cent respectively.</w:t>
      </w:r>
    </w:p>
    <w:p w14:paraId="2A08D713" w14:textId="44EC7858" w:rsidR="00031F86" w:rsidRPr="00617A89" w:rsidRDefault="00031F86" w:rsidP="00E26148">
      <w:pPr>
        <w:pStyle w:val="Body"/>
        <w:rPr>
          <w:color w:val="000000" w:themeColor="text1"/>
        </w:rPr>
      </w:pPr>
      <w:r w:rsidRPr="00617A89">
        <w:rPr>
          <w:color w:val="000000" w:themeColor="text1"/>
        </w:rPr>
        <w:t>An important distinction between</w:t>
      </w:r>
      <w:r w:rsidR="00F437A2" w:rsidRPr="00617A89">
        <w:rPr>
          <w:color w:val="000000" w:themeColor="text1"/>
        </w:rPr>
        <w:t xml:space="preserve"> international and domestic graduate outcomes at the postgraduate coursework level</w:t>
      </w:r>
      <w:r w:rsidR="0085537F" w:rsidRPr="00617A89">
        <w:rPr>
          <w:color w:val="000000" w:themeColor="text1"/>
        </w:rPr>
        <w:t xml:space="preserve"> is how they compare relative to </w:t>
      </w:r>
      <w:r w:rsidR="00813B15" w:rsidRPr="00617A89">
        <w:rPr>
          <w:color w:val="000000" w:themeColor="text1"/>
        </w:rPr>
        <w:t xml:space="preserve">equivalent undergraduate outcomes. Typically, </w:t>
      </w:r>
      <w:r w:rsidR="0005339B" w:rsidRPr="00617A89">
        <w:rPr>
          <w:color w:val="000000" w:themeColor="text1"/>
        </w:rPr>
        <w:t xml:space="preserve">domestic graduates </w:t>
      </w:r>
      <w:r w:rsidR="001369CD" w:rsidRPr="00617A89">
        <w:rPr>
          <w:color w:val="000000" w:themeColor="text1"/>
        </w:rPr>
        <w:t xml:space="preserve">with postgraduate coursework qualifications </w:t>
      </w:r>
      <w:r w:rsidR="0005339B" w:rsidRPr="00617A89">
        <w:rPr>
          <w:color w:val="000000" w:themeColor="text1"/>
        </w:rPr>
        <w:t>have higher employment and salary outcomes</w:t>
      </w:r>
      <w:r w:rsidR="00B32C6A" w:rsidRPr="00617A89">
        <w:rPr>
          <w:color w:val="000000" w:themeColor="text1"/>
        </w:rPr>
        <w:t>, lower underemployment rates</w:t>
      </w:r>
      <w:r w:rsidR="00AC68DC" w:rsidRPr="00617A89">
        <w:rPr>
          <w:color w:val="000000" w:themeColor="text1"/>
        </w:rPr>
        <w:t xml:space="preserve"> and are more likely to be employed in managerial or professional occupations than</w:t>
      </w:r>
      <w:r w:rsidR="00717C55" w:rsidRPr="00617A89">
        <w:rPr>
          <w:color w:val="000000" w:themeColor="text1"/>
        </w:rPr>
        <w:t xml:space="preserve"> domestic undergraduates. </w:t>
      </w:r>
    </w:p>
    <w:p w14:paraId="24F6A38F" w14:textId="74F361AE" w:rsidR="00717C55" w:rsidRPr="00617A89" w:rsidRDefault="009C36C5" w:rsidP="00E26148">
      <w:pPr>
        <w:pStyle w:val="Body"/>
        <w:rPr>
          <w:color w:val="000000" w:themeColor="text1"/>
        </w:rPr>
      </w:pPr>
      <w:r w:rsidRPr="00617A89">
        <w:rPr>
          <w:color w:val="000000" w:themeColor="text1"/>
        </w:rPr>
        <w:t>In contrast, international graduates with postgraduate coursework qualifications</w:t>
      </w:r>
      <w:r w:rsidR="00E26148" w:rsidRPr="00617A89">
        <w:rPr>
          <w:color w:val="000000" w:themeColor="text1"/>
        </w:rPr>
        <w:t xml:space="preserve"> </w:t>
      </w:r>
      <w:r w:rsidR="00662026" w:rsidRPr="00617A89">
        <w:rPr>
          <w:color w:val="000000" w:themeColor="text1"/>
        </w:rPr>
        <w:t>have comparable outcomes to international undergraduates</w:t>
      </w:r>
      <w:r w:rsidR="00B7166A" w:rsidRPr="00617A89">
        <w:rPr>
          <w:color w:val="000000" w:themeColor="text1"/>
        </w:rPr>
        <w:t xml:space="preserve">. For instance, </w:t>
      </w:r>
      <w:r w:rsidR="009C2A4B" w:rsidRPr="00617A89">
        <w:rPr>
          <w:color w:val="000000" w:themeColor="text1"/>
        </w:rPr>
        <w:t>the full-time employment rate for international</w:t>
      </w:r>
      <w:r w:rsidR="00D94CCE" w:rsidRPr="00617A89">
        <w:rPr>
          <w:color w:val="000000" w:themeColor="text1"/>
        </w:rPr>
        <w:t xml:space="preserve"> undergraduates in 2022 was 60.5 per cent, compared to 61.4 per cent for </w:t>
      </w:r>
      <w:r w:rsidR="002029C1" w:rsidRPr="00617A89">
        <w:rPr>
          <w:color w:val="000000" w:themeColor="text1"/>
        </w:rPr>
        <w:t xml:space="preserve">international postgraduate coursework graduates (see </w:t>
      </w:r>
      <w:r w:rsidR="00425212" w:rsidRPr="00617A89">
        <w:rPr>
          <w:b/>
          <w:bCs/>
          <w:color w:val="000000" w:themeColor="text1"/>
        </w:rPr>
        <w:fldChar w:fldCharType="begin"/>
      </w:r>
      <w:r w:rsidR="00425212" w:rsidRPr="00617A89">
        <w:rPr>
          <w:b/>
          <w:bCs/>
          <w:color w:val="000000" w:themeColor="text1"/>
        </w:rPr>
        <w:instrText xml:space="preserve"> REF _Ref204593973 \h </w:instrText>
      </w:r>
      <w:r w:rsidR="002029C1" w:rsidRPr="00617A89">
        <w:rPr>
          <w:b/>
          <w:bCs/>
          <w:color w:val="000000" w:themeColor="text1"/>
        </w:rPr>
        <w:instrText xml:space="preserve"> \* MERGEFORMAT </w:instrText>
      </w:r>
      <w:r w:rsidR="00425212" w:rsidRPr="00617A89">
        <w:rPr>
          <w:b/>
          <w:bCs/>
          <w:color w:val="000000" w:themeColor="text1"/>
        </w:rPr>
      </w:r>
      <w:r w:rsidR="00425212"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8</w:t>
      </w:r>
      <w:r w:rsidR="00425212" w:rsidRPr="00617A89">
        <w:rPr>
          <w:b/>
          <w:bCs/>
          <w:color w:val="000000" w:themeColor="text1"/>
        </w:rPr>
        <w:fldChar w:fldCharType="end"/>
      </w:r>
      <w:r w:rsidR="002029C1" w:rsidRPr="00617A89">
        <w:rPr>
          <w:color w:val="000000" w:themeColor="text1"/>
        </w:rPr>
        <w:t xml:space="preserve"> and </w:t>
      </w:r>
      <w:r w:rsidR="00425212" w:rsidRPr="00617A89">
        <w:rPr>
          <w:b/>
          <w:bCs/>
          <w:color w:val="000000" w:themeColor="text1"/>
        </w:rPr>
        <w:fldChar w:fldCharType="begin"/>
      </w:r>
      <w:r w:rsidR="00425212" w:rsidRPr="00617A89">
        <w:rPr>
          <w:b/>
          <w:bCs/>
          <w:color w:val="000000" w:themeColor="text1"/>
        </w:rPr>
        <w:instrText xml:space="preserve"> REF _Ref204597475 \h </w:instrText>
      </w:r>
      <w:r w:rsidR="002029C1" w:rsidRPr="00617A89">
        <w:rPr>
          <w:b/>
          <w:bCs/>
          <w:color w:val="000000" w:themeColor="text1"/>
        </w:rPr>
        <w:instrText xml:space="preserve"> \* MERGEFORMAT </w:instrText>
      </w:r>
      <w:r w:rsidR="00425212" w:rsidRPr="00617A89">
        <w:rPr>
          <w:b/>
          <w:bCs/>
          <w:color w:val="000000" w:themeColor="text1"/>
        </w:rPr>
      </w:r>
      <w:r w:rsidR="00425212"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9</w:t>
      </w:r>
      <w:r w:rsidR="00425212" w:rsidRPr="00617A89">
        <w:rPr>
          <w:b/>
          <w:bCs/>
          <w:color w:val="000000" w:themeColor="text1"/>
        </w:rPr>
        <w:fldChar w:fldCharType="end"/>
      </w:r>
      <w:r w:rsidR="002029C1" w:rsidRPr="00617A89">
        <w:rPr>
          <w:color w:val="000000" w:themeColor="text1"/>
        </w:rPr>
        <w:t>). Similarly,</w:t>
      </w:r>
      <w:r w:rsidR="0062155E" w:rsidRPr="00617A89">
        <w:rPr>
          <w:color w:val="000000" w:themeColor="text1"/>
        </w:rPr>
        <w:t xml:space="preserve"> the median salary for international undergraduates in 2022 was $62,000 compared to $62,600 for international postgraduate coursework graduates.</w:t>
      </w:r>
      <w:r w:rsidR="003E2D8F" w:rsidRPr="00617A89">
        <w:rPr>
          <w:color w:val="000000" w:themeColor="text1"/>
        </w:rPr>
        <w:t xml:space="preserve"> International postgraduate coursework graduates </w:t>
      </w:r>
      <w:r w:rsidR="005830FD" w:rsidRPr="00617A89">
        <w:rPr>
          <w:color w:val="000000" w:themeColor="text1"/>
        </w:rPr>
        <w:t>were less likely to be working in managerial or professional occupations</w:t>
      </w:r>
      <w:r w:rsidR="003A343A" w:rsidRPr="00617A89">
        <w:rPr>
          <w:color w:val="000000" w:themeColor="text1"/>
        </w:rPr>
        <w:t xml:space="preserve"> in both the short- and medium-term.</w:t>
      </w:r>
    </w:p>
    <w:p w14:paraId="34E81091" w14:textId="4D2875DC" w:rsidR="00FA626F" w:rsidRPr="00617A89" w:rsidRDefault="00FA626F" w:rsidP="00FA626F">
      <w:pPr>
        <w:pStyle w:val="Caption"/>
        <w:keepNext/>
        <w:rPr>
          <w:color w:val="000000" w:themeColor="text1"/>
        </w:rPr>
      </w:pPr>
      <w:bookmarkStart w:id="174" w:name="_Ref204597475"/>
      <w:bookmarkStart w:id="175" w:name="_Toc222868479"/>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9</w:t>
      </w:r>
      <w:r w:rsidR="00DB7C31" w:rsidRPr="00617A89">
        <w:rPr>
          <w:noProof/>
          <w:color w:val="000000" w:themeColor="text1"/>
        </w:rPr>
        <w:fldChar w:fldCharType="end"/>
      </w:r>
      <w:bookmarkEnd w:id="174"/>
      <w:r w:rsidR="0062339E" w:rsidRPr="00617A89">
        <w:rPr>
          <w:color w:val="000000" w:themeColor="text1"/>
        </w:rPr>
        <w:tab/>
      </w:r>
      <w:r w:rsidRPr="00617A89">
        <w:rPr>
          <w:color w:val="000000" w:themeColor="text1"/>
        </w:rPr>
        <w:t>Postgraduate coursework short- and medium-term outcomes comparison: international and domestic graduates</w:t>
      </w:r>
      <w:bookmarkEnd w:id="175"/>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637"/>
        <w:gridCol w:w="1637"/>
        <w:gridCol w:w="1637"/>
        <w:gridCol w:w="1637"/>
      </w:tblGrid>
      <w:tr w:rsidR="00C22852" w:rsidRPr="00617A89" w14:paraId="6CF555E3" w14:textId="77777777" w:rsidTr="0062339E">
        <w:trPr>
          <w:trHeight w:val="464"/>
          <w:tblHeader/>
        </w:trPr>
        <w:tc>
          <w:tcPr>
            <w:tcW w:w="3681" w:type="dxa"/>
            <w:vAlign w:val="bottom"/>
            <w:hideMark/>
          </w:tcPr>
          <w:p w14:paraId="35BB6397" w14:textId="77777777" w:rsidR="00FA626F" w:rsidRPr="00617A89" w:rsidRDefault="00FA626F" w:rsidP="00E37470">
            <w:pPr>
              <w:keepNext/>
              <w:jc w:val="center"/>
              <w:rPr>
                <w:rFonts w:eastAsia="Times New Roman" w:cs="Arial"/>
                <w:b/>
                <w:bCs/>
                <w:color w:val="000000" w:themeColor="text1"/>
                <w:sz w:val="18"/>
                <w:lang w:eastAsia="en-AU"/>
              </w:rPr>
            </w:pPr>
          </w:p>
        </w:tc>
        <w:tc>
          <w:tcPr>
            <w:tcW w:w="1637" w:type="dxa"/>
            <w:noWrap/>
            <w:vAlign w:val="center"/>
            <w:hideMark/>
          </w:tcPr>
          <w:p w14:paraId="1D4A95F7" w14:textId="77777777" w:rsidR="0062339E"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p>
          <w:p w14:paraId="70E85F69" w14:textId="10A822C5" w:rsidR="00FA626F" w:rsidRPr="00617A89" w:rsidRDefault="00FA626F"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7" w:type="dxa"/>
            <w:noWrap/>
            <w:vAlign w:val="center"/>
            <w:hideMark/>
          </w:tcPr>
          <w:p w14:paraId="1DA12AE5" w14:textId="2E5AD2EE" w:rsidR="00FA626F"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r w:rsidR="00FA626F" w:rsidRPr="00617A89">
              <w:rPr>
                <w:rFonts w:eastAsia="Times New Roman" w:cs="Arial"/>
                <w:b/>
                <w:bCs/>
                <w:color w:val="000000" w:themeColor="text1"/>
                <w:sz w:val="18"/>
                <w:lang w:eastAsia="en-AU"/>
              </w:rPr>
              <w:t>International</w:t>
            </w:r>
          </w:p>
        </w:tc>
        <w:tc>
          <w:tcPr>
            <w:tcW w:w="1637" w:type="dxa"/>
            <w:noWrap/>
            <w:vAlign w:val="center"/>
            <w:hideMark/>
          </w:tcPr>
          <w:p w14:paraId="5F1DADF9" w14:textId="77777777" w:rsidR="0062339E"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p>
          <w:p w14:paraId="4AF74E76" w14:textId="4CC93C5E" w:rsidR="00FA626F" w:rsidRPr="00617A89" w:rsidRDefault="00FA626F"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37" w:type="dxa"/>
            <w:noWrap/>
            <w:vAlign w:val="center"/>
            <w:hideMark/>
          </w:tcPr>
          <w:p w14:paraId="0C89D259" w14:textId="61386D62" w:rsidR="00FA626F"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r w:rsidR="00FA626F" w:rsidRPr="00617A89">
              <w:rPr>
                <w:rFonts w:eastAsia="Times New Roman" w:cs="Arial"/>
                <w:b/>
                <w:bCs/>
                <w:color w:val="000000" w:themeColor="text1"/>
                <w:sz w:val="18"/>
                <w:lang w:eastAsia="en-AU"/>
              </w:rPr>
              <w:t>International</w:t>
            </w:r>
          </w:p>
        </w:tc>
      </w:tr>
      <w:tr w:rsidR="00C22852" w:rsidRPr="00617A89" w14:paraId="635ED8F1" w14:textId="77777777" w:rsidTr="0062339E">
        <w:trPr>
          <w:trHeight w:val="340"/>
        </w:trPr>
        <w:tc>
          <w:tcPr>
            <w:tcW w:w="3681" w:type="dxa"/>
            <w:vAlign w:val="center"/>
            <w:hideMark/>
          </w:tcPr>
          <w:p w14:paraId="1628CA08" w14:textId="7BEA5A19"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val="en-GB" w:eastAsia="en-AU"/>
              </w:rPr>
              <w:t>Full-time employment rate (%)</w:t>
            </w:r>
            <w:r w:rsidR="00AE502E" w:rsidRPr="00617A89">
              <w:rPr>
                <w:rFonts w:cs="Arial"/>
                <w:b/>
                <w:sz w:val="18"/>
                <w:vertAlign w:val="superscript"/>
              </w:rPr>
              <w:t>‡</w:t>
            </w:r>
          </w:p>
        </w:tc>
        <w:tc>
          <w:tcPr>
            <w:tcW w:w="1637" w:type="dxa"/>
            <w:noWrap/>
            <w:vAlign w:val="center"/>
            <w:hideMark/>
          </w:tcPr>
          <w:p w14:paraId="35DB4BAE" w14:textId="189258C6"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89.5</w:t>
            </w:r>
          </w:p>
        </w:tc>
        <w:tc>
          <w:tcPr>
            <w:tcW w:w="1637" w:type="dxa"/>
            <w:noWrap/>
            <w:vAlign w:val="center"/>
            <w:hideMark/>
          </w:tcPr>
          <w:p w14:paraId="38F32395" w14:textId="43264F2F"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61.4</w:t>
            </w:r>
          </w:p>
        </w:tc>
        <w:tc>
          <w:tcPr>
            <w:tcW w:w="1637" w:type="dxa"/>
            <w:noWrap/>
            <w:vAlign w:val="center"/>
            <w:hideMark/>
          </w:tcPr>
          <w:p w14:paraId="62A8EF02" w14:textId="578EDED8"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95.4</w:t>
            </w:r>
          </w:p>
        </w:tc>
        <w:tc>
          <w:tcPr>
            <w:tcW w:w="1637" w:type="dxa"/>
            <w:noWrap/>
            <w:vAlign w:val="center"/>
            <w:hideMark/>
          </w:tcPr>
          <w:p w14:paraId="05E5FE71" w14:textId="0BA63159"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88.1</w:t>
            </w:r>
          </w:p>
        </w:tc>
      </w:tr>
      <w:tr w:rsidR="00C22852" w:rsidRPr="00617A89" w14:paraId="5E4C4D4D" w14:textId="77777777" w:rsidTr="0062339E">
        <w:trPr>
          <w:trHeight w:val="340"/>
        </w:trPr>
        <w:tc>
          <w:tcPr>
            <w:tcW w:w="3681" w:type="dxa"/>
            <w:vAlign w:val="center"/>
            <w:hideMark/>
          </w:tcPr>
          <w:p w14:paraId="48B56F9D" w14:textId="1D57CF93"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val="en-GB" w:eastAsia="en-AU"/>
              </w:rPr>
              <w:t>Overall employment rate (%)</w:t>
            </w:r>
            <w:r w:rsidR="00AE502E" w:rsidRPr="00617A89">
              <w:rPr>
                <w:rFonts w:cs="Arial"/>
                <w:b/>
                <w:sz w:val="18"/>
                <w:vertAlign w:val="superscript"/>
              </w:rPr>
              <w:t>‡</w:t>
            </w:r>
          </w:p>
        </w:tc>
        <w:tc>
          <w:tcPr>
            <w:tcW w:w="1637" w:type="dxa"/>
            <w:noWrap/>
            <w:vAlign w:val="center"/>
            <w:hideMark/>
          </w:tcPr>
          <w:p w14:paraId="7387C09C" w14:textId="7AF83277"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93.8</w:t>
            </w:r>
          </w:p>
        </w:tc>
        <w:tc>
          <w:tcPr>
            <w:tcW w:w="1637" w:type="dxa"/>
            <w:noWrap/>
            <w:vAlign w:val="center"/>
            <w:hideMark/>
          </w:tcPr>
          <w:p w14:paraId="39F51410" w14:textId="1FA9E33B"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79.1</w:t>
            </w:r>
          </w:p>
        </w:tc>
        <w:tc>
          <w:tcPr>
            <w:tcW w:w="1637" w:type="dxa"/>
            <w:noWrap/>
            <w:vAlign w:val="center"/>
            <w:hideMark/>
          </w:tcPr>
          <w:p w14:paraId="0A0F792A" w14:textId="4C02E799"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97.0</w:t>
            </w:r>
          </w:p>
        </w:tc>
        <w:tc>
          <w:tcPr>
            <w:tcW w:w="1637" w:type="dxa"/>
            <w:noWrap/>
            <w:vAlign w:val="center"/>
            <w:hideMark/>
          </w:tcPr>
          <w:p w14:paraId="0EA80173" w14:textId="740838ED"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91.2</w:t>
            </w:r>
          </w:p>
        </w:tc>
      </w:tr>
      <w:tr w:rsidR="00C22852" w:rsidRPr="00617A89" w14:paraId="0422CCC2" w14:textId="77777777" w:rsidTr="0062339E">
        <w:trPr>
          <w:trHeight w:val="340"/>
        </w:trPr>
        <w:tc>
          <w:tcPr>
            <w:tcW w:w="3681" w:type="dxa"/>
            <w:vAlign w:val="center"/>
            <w:hideMark/>
          </w:tcPr>
          <w:p w14:paraId="303E697A" w14:textId="51B0AE3C"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val="en-GB" w:eastAsia="en-AU"/>
              </w:rPr>
              <w:t>Labour force participation rate (%)</w:t>
            </w:r>
            <w:r w:rsidR="00AE502E" w:rsidRPr="00617A89">
              <w:rPr>
                <w:rFonts w:cs="Arial"/>
                <w:b/>
                <w:sz w:val="18"/>
                <w:vertAlign w:val="superscript"/>
              </w:rPr>
              <w:t>‡</w:t>
            </w:r>
          </w:p>
        </w:tc>
        <w:tc>
          <w:tcPr>
            <w:tcW w:w="1637" w:type="dxa"/>
            <w:noWrap/>
            <w:vAlign w:val="center"/>
            <w:hideMark/>
          </w:tcPr>
          <w:p w14:paraId="65613360" w14:textId="2E9CF01B"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96.2</w:t>
            </w:r>
          </w:p>
        </w:tc>
        <w:tc>
          <w:tcPr>
            <w:tcW w:w="1637" w:type="dxa"/>
            <w:noWrap/>
            <w:vAlign w:val="center"/>
            <w:hideMark/>
          </w:tcPr>
          <w:p w14:paraId="5CFCE3B5" w14:textId="778FDFE8"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94.7</w:t>
            </w:r>
          </w:p>
        </w:tc>
        <w:tc>
          <w:tcPr>
            <w:tcW w:w="1637" w:type="dxa"/>
            <w:noWrap/>
            <w:vAlign w:val="center"/>
            <w:hideMark/>
          </w:tcPr>
          <w:p w14:paraId="6CB87DEE" w14:textId="099E03A5"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93.9</w:t>
            </w:r>
          </w:p>
        </w:tc>
        <w:tc>
          <w:tcPr>
            <w:tcW w:w="1637" w:type="dxa"/>
            <w:noWrap/>
            <w:vAlign w:val="center"/>
            <w:hideMark/>
          </w:tcPr>
          <w:p w14:paraId="7CC3F1DE" w14:textId="78222EEE"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90.7</w:t>
            </w:r>
          </w:p>
        </w:tc>
      </w:tr>
      <w:tr w:rsidR="00C22852" w:rsidRPr="00617A89" w14:paraId="32DFDEF0" w14:textId="77777777" w:rsidTr="0062339E">
        <w:trPr>
          <w:trHeight w:val="340"/>
        </w:trPr>
        <w:tc>
          <w:tcPr>
            <w:tcW w:w="3681" w:type="dxa"/>
            <w:vAlign w:val="center"/>
            <w:hideMark/>
          </w:tcPr>
          <w:p w14:paraId="4615F2BC" w14:textId="77777777"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eastAsia="en-AU"/>
              </w:rPr>
              <w:t>Median annual full-time salary ($)</w:t>
            </w:r>
          </w:p>
        </w:tc>
        <w:tc>
          <w:tcPr>
            <w:tcW w:w="1637" w:type="dxa"/>
            <w:noWrap/>
            <w:vAlign w:val="center"/>
            <w:hideMark/>
          </w:tcPr>
          <w:p w14:paraId="530E0258" w14:textId="641B0D22"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91,300</w:t>
            </w:r>
          </w:p>
        </w:tc>
        <w:tc>
          <w:tcPr>
            <w:tcW w:w="1637" w:type="dxa"/>
            <w:noWrap/>
            <w:vAlign w:val="center"/>
            <w:hideMark/>
          </w:tcPr>
          <w:p w14:paraId="5B7CC0F6" w14:textId="615DD152"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62,600</w:t>
            </w:r>
          </w:p>
        </w:tc>
        <w:tc>
          <w:tcPr>
            <w:tcW w:w="1637" w:type="dxa"/>
            <w:noWrap/>
            <w:vAlign w:val="center"/>
            <w:hideMark/>
          </w:tcPr>
          <w:p w14:paraId="5C0372C9" w14:textId="57CFCFB9"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116,000</w:t>
            </w:r>
          </w:p>
        </w:tc>
        <w:tc>
          <w:tcPr>
            <w:tcW w:w="1637" w:type="dxa"/>
            <w:noWrap/>
            <w:vAlign w:val="center"/>
            <w:hideMark/>
          </w:tcPr>
          <w:p w14:paraId="0B57658F" w14:textId="4E2485D3"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85,000</w:t>
            </w:r>
          </w:p>
        </w:tc>
      </w:tr>
      <w:tr w:rsidR="00C22852" w:rsidRPr="00617A89" w14:paraId="77D17EAE" w14:textId="77777777" w:rsidTr="0062339E">
        <w:trPr>
          <w:trHeight w:val="340"/>
        </w:trPr>
        <w:tc>
          <w:tcPr>
            <w:tcW w:w="3681" w:type="dxa"/>
            <w:vAlign w:val="center"/>
          </w:tcPr>
          <w:p w14:paraId="51787BAC" w14:textId="77777777"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eastAsia="en-AU"/>
              </w:rPr>
              <w:t>Underemployment rate (%)</w:t>
            </w:r>
          </w:p>
        </w:tc>
        <w:tc>
          <w:tcPr>
            <w:tcW w:w="1637" w:type="dxa"/>
            <w:noWrap/>
            <w:vAlign w:val="center"/>
          </w:tcPr>
          <w:p w14:paraId="162D5133" w14:textId="663DB701" w:rsidR="00196639" w:rsidRPr="00617A89" w:rsidRDefault="00196639" w:rsidP="00196639">
            <w:pPr>
              <w:keepNext/>
              <w:jc w:val="center"/>
              <w:rPr>
                <w:rFonts w:cs="Arial"/>
                <w:color w:val="000000" w:themeColor="text1"/>
                <w:sz w:val="18"/>
              </w:rPr>
            </w:pPr>
            <w:r w:rsidRPr="00617A89">
              <w:rPr>
                <w:rFonts w:cs="Arial"/>
                <w:color w:val="000000" w:themeColor="text1"/>
                <w:sz w:val="18"/>
              </w:rPr>
              <w:t>7.2</w:t>
            </w:r>
          </w:p>
        </w:tc>
        <w:tc>
          <w:tcPr>
            <w:tcW w:w="1637" w:type="dxa"/>
            <w:noWrap/>
            <w:vAlign w:val="center"/>
          </w:tcPr>
          <w:p w14:paraId="6390D197" w14:textId="3C7CEA24" w:rsidR="00196639" w:rsidRPr="00617A89" w:rsidRDefault="00196639" w:rsidP="00196639">
            <w:pPr>
              <w:keepNext/>
              <w:jc w:val="center"/>
              <w:rPr>
                <w:rFonts w:cs="Arial"/>
                <w:color w:val="000000" w:themeColor="text1"/>
                <w:sz w:val="18"/>
              </w:rPr>
            </w:pPr>
            <w:r w:rsidRPr="00617A89">
              <w:rPr>
                <w:rFonts w:cs="Arial"/>
                <w:color w:val="000000" w:themeColor="text1"/>
                <w:sz w:val="18"/>
              </w:rPr>
              <w:t>24.5</w:t>
            </w:r>
          </w:p>
        </w:tc>
        <w:tc>
          <w:tcPr>
            <w:tcW w:w="1637" w:type="dxa"/>
            <w:noWrap/>
            <w:vAlign w:val="center"/>
          </w:tcPr>
          <w:p w14:paraId="45C5734F" w14:textId="71BDB5D8" w:rsidR="00196639" w:rsidRPr="00617A89" w:rsidRDefault="00196639" w:rsidP="00196639">
            <w:pPr>
              <w:keepNext/>
              <w:jc w:val="center"/>
              <w:rPr>
                <w:rFonts w:cs="Arial"/>
                <w:color w:val="000000" w:themeColor="text1"/>
                <w:sz w:val="18"/>
              </w:rPr>
            </w:pPr>
            <w:r w:rsidRPr="00617A89">
              <w:rPr>
                <w:rFonts w:cs="Arial"/>
                <w:color w:val="000000" w:themeColor="text1"/>
                <w:sz w:val="18"/>
              </w:rPr>
              <w:t>4.5</w:t>
            </w:r>
          </w:p>
        </w:tc>
        <w:tc>
          <w:tcPr>
            <w:tcW w:w="1637" w:type="dxa"/>
            <w:noWrap/>
            <w:vAlign w:val="center"/>
          </w:tcPr>
          <w:p w14:paraId="42E5754A" w14:textId="1BFF1445" w:rsidR="00196639" w:rsidRPr="00617A89" w:rsidRDefault="00196639" w:rsidP="00196639">
            <w:pPr>
              <w:keepNext/>
              <w:jc w:val="center"/>
              <w:rPr>
                <w:rFonts w:cs="Arial"/>
                <w:color w:val="000000" w:themeColor="text1"/>
                <w:sz w:val="18"/>
              </w:rPr>
            </w:pPr>
            <w:r w:rsidRPr="00617A89">
              <w:rPr>
                <w:rFonts w:cs="Arial"/>
                <w:color w:val="000000" w:themeColor="text1"/>
                <w:sz w:val="18"/>
              </w:rPr>
              <w:t>7.1</w:t>
            </w:r>
          </w:p>
        </w:tc>
      </w:tr>
      <w:tr w:rsidR="00C22852" w:rsidRPr="00617A89" w14:paraId="40740546" w14:textId="77777777" w:rsidTr="0062339E">
        <w:trPr>
          <w:trHeight w:val="340"/>
        </w:trPr>
        <w:tc>
          <w:tcPr>
            <w:tcW w:w="3681" w:type="dxa"/>
            <w:vAlign w:val="center"/>
          </w:tcPr>
          <w:p w14:paraId="3AF5E182" w14:textId="77777777"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eastAsia="en-AU"/>
              </w:rPr>
              <w:t>In further full-time study (%)</w:t>
            </w:r>
          </w:p>
        </w:tc>
        <w:tc>
          <w:tcPr>
            <w:tcW w:w="1637" w:type="dxa"/>
            <w:noWrap/>
            <w:vAlign w:val="center"/>
          </w:tcPr>
          <w:p w14:paraId="05D8FB4B" w14:textId="11A27413"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6.8</w:t>
            </w:r>
          </w:p>
        </w:tc>
        <w:tc>
          <w:tcPr>
            <w:tcW w:w="1637" w:type="dxa"/>
            <w:noWrap/>
            <w:vAlign w:val="center"/>
          </w:tcPr>
          <w:p w14:paraId="702D0F29" w14:textId="12B76B0B"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10.7</w:t>
            </w:r>
          </w:p>
        </w:tc>
        <w:tc>
          <w:tcPr>
            <w:tcW w:w="1637" w:type="dxa"/>
            <w:noWrap/>
            <w:vAlign w:val="center"/>
          </w:tcPr>
          <w:p w14:paraId="0BAB8A77" w14:textId="07AF39C8"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5.</w:t>
            </w:r>
            <w:r w:rsidR="00E24C5C" w:rsidRPr="00617A89">
              <w:rPr>
                <w:rFonts w:cs="Arial"/>
                <w:color w:val="000000" w:themeColor="text1"/>
                <w:sz w:val="18"/>
              </w:rPr>
              <w:t>0</w:t>
            </w:r>
          </w:p>
        </w:tc>
        <w:tc>
          <w:tcPr>
            <w:tcW w:w="1637" w:type="dxa"/>
            <w:noWrap/>
            <w:vAlign w:val="center"/>
          </w:tcPr>
          <w:p w14:paraId="4EEBA05E" w14:textId="558061F5" w:rsidR="00196639" w:rsidRPr="00617A89" w:rsidRDefault="00E24C5C" w:rsidP="00196639">
            <w:pPr>
              <w:keepNext/>
              <w:jc w:val="center"/>
              <w:rPr>
                <w:rFonts w:eastAsia="Times New Roman" w:cs="Arial"/>
                <w:color w:val="000000" w:themeColor="text1"/>
                <w:sz w:val="18"/>
                <w:lang w:eastAsia="en-AU"/>
              </w:rPr>
            </w:pPr>
            <w:r w:rsidRPr="00617A89">
              <w:rPr>
                <w:rFonts w:cs="Arial"/>
                <w:color w:val="000000" w:themeColor="text1"/>
                <w:sz w:val="18"/>
              </w:rPr>
              <w:t>11.7</w:t>
            </w:r>
          </w:p>
        </w:tc>
      </w:tr>
      <w:tr w:rsidR="00C22852" w:rsidRPr="00617A89" w14:paraId="1A522BF3" w14:textId="77777777" w:rsidTr="0062339E">
        <w:trPr>
          <w:trHeight w:val="500"/>
        </w:trPr>
        <w:tc>
          <w:tcPr>
            <w:tcW w:w="3681" w:type="dxa"/>
            <w:vAlign w:val="center"/>
          </w:tcPr>
          <w:p w14:paraId="3DFB2113" w14:textId="77777777"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eastAsia="en-AU"/>
              </w:rPr>
              <w:t>Employed in managerial or professional occupation (% of those employed full-time)</w:t>
            </w:r>
          </w:p>
        </w:tc>
        <w:tc>
          <w:tcPr>
            <w:tcW w:w="1637" w:type="dxa"/>
            <w:noWrap/>
            <w:vAlign w:val="center"/>
          </w:tcPr>
          <w:p w14:paraId="6630BD27" w14:textId="5AFEA5FD" w:rsidR="00196639" w:rsidRPr="00617A89" w:rsidRDefault="00196639" w:rsidP="00196639">
            <w:pPr>
              <w:keepNext/>
              <w:jc w:val="center"/>
              <w:rPr>
                <w:rFonts w:cs="Arial"/>
                <w:color w:val="000000" w:themeColor="text1"/>
                <w:sz w:val="18"/>
              </w:rPr>
            </w:pPr>
            <w:r w:rsidRPr="00617A89">
              <w:rPr>
                <w:rFonts w:cs="Arial"/>
                <w:color w:val="000000" w:themeColor="text1"/>
                <w:sz w:val="18"/>
              </w:rPr>
              <w:t>86.0</w:t>
            </w:r>
          </w:p>
        </w:tc>
        <w:tc>
          <w:tcPr>
            <w:tcW w:w="1637" w:type="dxa"/>
            <w:noWrap/>
            <w:vAlign w:val="center"/>
          </w:tcPr>
          <w:p w14:paraId="76D5668B" w14:textId="15551882" w:rsidR="00196639" w:rsidRPr="00617A89" w:rsidRDefault="00196639" w:rsidP="00196639">
            <w:pPr>
              <w:keepNext/>
              <w:jc w:val="center"/>
              <w:rPr>
                <w:rFonts w:cs="Arial"/>
                <w:color w:val="000000" w:themeColor="text1"/>
                <w:sz w:val="18"/>
              </w:rPr>
            </w:pPr>
            <w:r w:rsidRPr="00617A89">
              <w:rPr>
                <w:rFonts w:cs="Arial"/>
                <w:color w:val="000000" w:themeColor="text1"/>
                <w:sz w:val="18"/>
              </w:rPr>
              <w:t>60.1</w:t>
            </w:r>
          </w:p>
        </w:tc>
        <w:tc>
          <w:tcPr>
            <w:tcW w:w="1637" w:type="dxa"/>
            <w:noWrap/>
            <w:vAlign w:val="center"/>
          </w:tcPr>
          <w:p w14:paraId="73CBD97B" w14:textId="371D5A19" w:rsidR="00196639" w:rsidRPr="00617A89" w:rsidRDefault="00196639" w:rsidP="00196639">
            <w:pPr>
              <w:keepNext/>
              <w:jc w:val="center"/>
              <w:rPr>
                <w:rFonts w:cs="Arial"/>
                <w:color w:val="000000" w:themeColor="text1"/>
                <w:sz w:val="18"/>
              </w:rPr>
            </w:pPr>
            <w:r w:rsidRPr="00617A89">
              <w:rPr>
                <w:rFonts w:cs="Arial"/>
                <w:color w:val="000000" w:themeColor="text1"/>
                <w:sz w:val="18"/>
              </w:rPr>
              <w:t>89.0</w:t>
            </w:r>
          </w:p>
        </w:tc>
        <w:tc>
          <w:tcPr>
            <w:tcW w:w="1637" w:type="dxa"/>
            <w:noWrap/>
            <w:vAlign w:val="center"/>
          </w:tcPr>
          <w:p w14:paraId="6E632E9B" w14:textId="7D6A9B3B" w:rsidR="00196639" w:rsidRPr="00617A89" w:rsidRDefault="00196639" w:rsidP="00196639">
            <w:pPr>
              <w:keepNext/>
              <w:jc w:val="center"/>
              <w:rPr>
                <w:rFonts w:cs="Arial"/>
                <w:color w:val="000000" w:themeColor="text1"/>
                <w:sz w:val="18"/>
              </w:rPr>
            </w:pPr>
            <w:r w:rsidRPr="00617A89">
              <w:rPr>
                <w:rFonts w:cs="Arial"/>
                <w:color w:val="000000" w:themeColor="text1"/>
                <w:sz w:val="18"/>
              </w:rPr>
              <w:t>73.0</w:t>
            </w:r>
          </w:p>
        </w:tc>
      </w:tr>
    </w:tbl>
    <w:p w14:paraId="6713C0D1" w14:textId="7D7753C3" w:rsidR="00C86366" w:rsidRPr="00617A89" w:rsidRDefault="002013A6" w:rsidP="00C86366">
      <w:pPr>
        <w:pStyle w:val="Body"/>
        <w:rPr>
          <w:rFonts w:eastAsia="Calibri" w:cs="Arial"/>
          <w:color w:val="000000" w:themeColor="text1"/>
          <w:sz w:val="18"/>
          <w:szCs w:val="18"/>
          <w:lang w:val="en-GB"/>
        </w:rPr>
      </w:pPr>
      <w:r w:rsidRPr="00617A89">
        <w:rPr>
          <w:color w:val="000000" w:themeColor="text1"/>
          <w:sz w:val="18"/>
          <w:szCs w:val="21"/>
          <w:lang w:val="en-GB"/>
        </w:rPr>
        <w:t xml:space="preserve">Note: International graduates’ median </w:t>
      </w:r>
      <w:r w:rsidR="00C86366" w:rsidRPr="00617A89">
        <w:rPr>
          <w:rFonts w:eastAsia="Calibri" w:cs="Arial"/>
          <w:color w:val="000000" w:themeColor="text1"/>
          <w:sz w:val="18"/>
          <w:szCs w:val="18"/>
          <w:lang w:val="en-GB"/>
        </w:rPr>
        <w:t>salary figures only include data for international graduates working in Australia.</w:t>
      </w:r>
      <w:r w:rsidRPr="00617A89">
        <w:rPr>
          <w:rFonts w:eastAsia="Calibri" w:cs="Arial"/>
          <w:color w:val="000000" w:themeColor="text1"/>
          <w:sz w:val="18"/>
          <w:szCs w:val="18"/>
          <w:lang w:val="en-GB"/>
        </w:rPr>
        <w:t xml:space="preserve"> </w:t>
      </w:r>
    </w:p>
    <w:p w14:paraId="36FCE411" w14:textId="77777777" w:rsidR="00AE502E" w:rsidRPr="00617A89" w:rsidRDefault="00AE502E" w:rsidP="00AE502E">
      <w:pPr>
        <w:pStyle w:val="FigureNote"/>
        <w:rPr>
          <w:sz w:val="18"/>
          <w:szCs w:val="24"/>
        </w:rPr>
      </w:pPr>
      <w:r w:rsidRPr="00617A89">
        <w:rPr>
          <w:sz w:val="18"/>
          <w:szCs w:val="24"/>
        </w:rPr>
        <w:t xml:space="preserve">‡ 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sz w:val="18"/>
          <w:szCs w:val="24"/>
        </w:rPr>
        <w:t>Appendix 1</w:t>
      </w:r>
      <w:r w:rsidRPr="00617A89">
        <w:rPr>
          <w:sz w:val="18"/>
          <w:szCs w:val="24"/>
        </w:rPr>
        <w:t xml:space="preserve"> for further information.</w:t>
      </w:r>
    </w:p>
    <w:p w14:paraId="4C759282" w14:textId="52499D06" w:rsidR="00196639" w:rsidRPr="00617A89" w:rsidRDefault="00196639" w:rsidP="00196639">
      <w:pPr>
        <w:pStyle w:val="Heading3"/>
        <w:rPr>
          <w:color w:val="000000" w:themeColor="text1"/>
        </w:rPr>
      </w:pPr>
      <w:bookmarkStart w:id="176" w:name="_Toc222868456"/>
      <w:r w:rsidRPr="00617A89">
        <w:rPr>
          <w:color w:val="000000" w:themeColor="text1"/>
        </w:rPr>
        <w:t>Postgraduate research comparisons</w:t>
      </w:r>
      <w:bookmarkEnd w:id="176"/>
    </w:p>
    <w:p w14:paraId="102B7282" w14:textId="7B47126E" w:rsidR="007F7954" w:rsidRPr="00617A89" w:rsidRDefault="00860E61" w:rsidP="0048067A">
      <w:pPr>
        <w:pStyle w:val="Body"/>
        <w:rPr>
          <w:color w:val="000000" w:themeColor="text1"/>
        </w:rPr>
      </w:pPr>
      <w:r w:rsidRPr="00617A89">
        <w:rPr>
          <w:color w:val="000000" w:themeColor="text1"/>
        </w:rPr>
        <w:t xml:space="preserve">There was less variation in employment outcomes at the postgraduate research level. </w:t>
      </w:r>
      <w:r w:rsidR="00671A28" w:rsidRPr="00617A89">
        <w:rPr>
          <w:color w:val="000000" w:themeColor="text1"/>
        </w:rPr>
        <w:t>In the short-term, domestic postgraduate research graduates did report</w:t>
      </w:r>
      <w:r w:rsidR="007B6D90" w:rsidRPr="00617A89">
        <w:rPr>
          <w:color w:val="000000" w:themeColor="text1"/>
        </w:rPr>
        <w:t xml:space="preserve"> higher rates of employment but this narrowed over the 3-year period (</w:t>
      </w:r>
      <w:r w:rsidR="008B1389" w:rsidRPr="00617A89">
        <w:rPr>
          <w:b/>
          <w:bCs/>
          <w:color w:val="000000" w:themeColor="text1"/>
        </w:rPr>
        <w:fldChar w:fldCharType="begin"/>
      </w:r>
      <w:r w:rsidR="008B1389" w:rsidRPr="00617A89">
        <w:rPr>
          <w:b/>
          <w:bCs/>
          <w:color w:val="000000" w:themeColor="text1"/>
        </w:rPr>
        <w:instrText xml:space="preserve"> REF _Ref204594424 \h  \* MERGEFORMAT</w:instrText>
      </w:r>
      <w:r w:rsidR="008B1389" w:rsidRPr="00617A89">
        <w:rPr>
          <w:b/>
          <w:color w:val="000000" w:themeColor="text1"/>
        </w:rPr>
        <w:instrText xml:space="preserve"> </w:instrText>
      </w:r>
      <w:r w:rsidR="008B1389" w:rsidRPr="00617A89">
        <w:rPr>
          <w:b/>
          <w:bCs/>
          <w:color w:val="000000" w:themeColor="text1"/>
        </w:rPr>
      </w:r>
      <w:r w:rsidR="008B1389"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10</w:t>
      </w:r>
      <w:r w:rsidR="008B1389" w:rsidRPr="00617A89">
        <w:rPr>
          <w:b/>
          <w:bCs/>
          <w:color w:val="000000" w:themeColor="text1"/>
        </w:rPr>
        <w:fldChar w:fldCharType="end"/>
      </w:r>
      <w:r w:rsidR="007B6D90" w:rsidRPr="00617A89">
        <w:rPr>
          <w:color w:val="000000" w:themeColor="text1"/>
        </w:rPr>
        <w:t>).</w:t>
      </w:r>
      <w:r w:rsidR="00F0308B" w:rsidRPr="00617A89">
        <w:rPr>
          <w:color w:val="000000" w:themeColor="text1"/>
        </w:rPr>
        <w:t xml:space="preserve"> </w:t>
      </w:r>
    </w:p>
    <w:p w14:paraId="73B6E69A" w14:textId="50E8DB21" w:rsidR="0048067A" w:rsidRPr="00617A89" w:rsidRDefault="00F0308B" w:rsidP="0048067A">
      <w:pPr>
        <w:pStyle w:val="Body"/>
        <w:rPr>
          <w:color w:val="000000" w:themeColor="text1"/>
        </w:rPr>
      </w:pPr>
      <w:r w:rsidRPr="00617A89">
        <w:rPr>
          <w:color w:val="000000" w:themeColor="text1"/>
        </w:rPr>
        <w:t>In the short-term, international graduates were more likely to report being underemployed</w:t>
      </w:r>
      <w:r w:rsidR="001F4170" w:rsidRPr="00617A89">
        <w:rPr>
          <w:color w:val="000000" w:themeColor="text1"/>
        </w:rPr>
        <w:t xml:space="preserve"> but this dropped</w:t>
      </w:r>
      <w:r w:rsidR="00A06843" w:rsidRPr="00617A89">
        <w:rPr>
          <w:color w:val="000000" w:themeColor="text1"/>
        </w:rPr>
        <w:t xml:space="preserve"> at a higher rate over the 3-year period</w:t>
      </w:r>
      <w:r w:rsidR="00B15B48" w:rsidRPr="00617A89">
        <w:rPr>
          <w:color w:val="000000" w:themeColor="text1"/>
        </w:rPr>
        <w:t xml:space="preserve"> to align with </w:t>
      </w:r>
      <w:r w:rsidR="00B6322F" w:rsidRPr="00617A89">
        <w:rPr>
          <w:color w:val="000000" w:themeColor="text1"/>
        </w:rPr>
        <w:t xml:space="preserve">the </w:t>
      </w:r>
      <w:r w:rsidR="00B15B48" w:rsidRPr="00617A89">
        <w:rPr>
          <w:color w:val="000000" w:themeColor="text1"/>
        </w:rPr>
        <w:t>medium-term domestic underemployment rate.</w:t>
      </w:r>
    </w:p>
    <w:p w14:paraId="110416C8" w14:textId="77777777" w:rsidR="007F7954" w:rsidRPr="00617A89" w:rsidRDefault="00F923EE" w:rsidP="0047579F">
      <w:pPr>
        <w:pStyle w:val="Body"/>
        <w:rPr>
          <w:color w:val="000000" w:themeColor="text1"/>
        </w:rPr>
      </w:pPr>
      <w:r w:rsidRPr="00617A89">
        <w:rPr>
          <w:color w:val="000000" w:themeColor="text1"/>
        </w:rPr>
        <w:t xml:space="preserve">Notably, </w:t>
      </w:r>
      <w:r w:rsidR="00DA47FC" w:rsidRPr="00617A89">
        <w:rPr>
          <w:color w:val="000000" w:themeColor="text1"/>
        </w:rPr>
        <w:t>international postgraduate research graduates who were employed full-time</w:t>
      </w:r>
      <w:r w:rsidR="0074584F" w:rsidRPr="00617A89">
        <w:rPr>
          <w:color w:val="000000" w:themeColor="text1"/>
        </w:rPr>
        <w:t xml:space="preserve"> earned less </w:t>
      </w:r>
      <w:r w:rsidR="00337AB3" w:rsidRPr="00617A89">
        <w:rPr>
          <w:color w:val="000000" w:themeColor="text1"/>
        </w:rPr>
        <w:t xml:space="preserve">on average </w:t>
      </w:r>
      <w:r w:rsidR="0074584F" w:rsidRPr="00617A89">
        <w:rPr>
          <w:color w:val="000000" w:themeColor="text1"/>
        </w:rPr>
        <w:t>than their domestic counterparts in the short-term</w:t>
      </w:r>
      <w:r w:rsidR="003253FC" w:rsidRPr="00617A89">
        <w:rPr>
          <w:color w:val="000000" w:themeColor="text1"/>
        </w:rPr>
        <w:t xml:space="preserve"> and this gap persisted into the medium-term.</w:t>
      </w:r>
      <w:r w:rsidR="0091692D" w:rsidRPr="00617A89">
        <w:rPr>
          <w:color w:val="000000" w:themeColor="text1"/>
        </w:rPr>
        <w:t xml:space="preserve"> </w:t>
      </w:r>
    </w:p>
    <w:p w14:paraId="41253F41" w14:textId="151C2723" w:rsidR="00F923EE" w:rsidRPr="00617A89" w:rsidRDefault="0091692D" w:rsidP="0047579F">
      <w:pPr>
        <w:pStyle w:val="Body"/>
        <w:rPr>
          <w:color w:val="000000" w:themeColor="text1"/>
        </w:rPr>
      </w:pPr>
      <w:r w:rsidRPr="00617A89">
        <w:rPr>
          <w:color w:val="000000" w:themeColor="text1"/>
        </w:rPr>
        <w:t xml:space="preserve">As shown in </w:t>
      </w:r>
      <w:r w:rsidR="00DE6F0F" w:rsidRPr="00617A89">
        <w:rPr>
          <w:b/>
          <w:bCs/>
          <w:color w:val="000000" w:themeColor="text1"/>
        </w:rPr>
        <w:fldChar w:fldCharType="begin"/>
      </w:r>
      <w:r w:rsidR="00DE6F0F" w:rsidRPr="00617A89">
        <w:rPr>
          <w:b/>
          <w:bCs/>
          <w:color w:val="000000" w:themeColor="text1"/>
        </w:rPr>
        <w:instrText xml:space="preserve"> REF _Ref204594424 \h  \* MERGEFORMAT</w:instrText>
      </w:r>
      <w:r w:rsidR="00DE6F0F" w:rsidRPr="00617A89">
        <w:rPr>
          <w:b/>
          <w:color w:val="000000" w:themeColor="text1"/>
        </w:rPr>
        <w:instrText xml:space="preserve"> </w:instrText>
      </w:r>
      <w:r w:rsidR="00DE6F0F" w:rsidRPr="00617A89">
        <w:rPr>
          <w:b/>
          <w:bCs/>
          <w:color w:val="000000" w:themeColor="text1"/>
        </w:rPr>
      </w:r>
      <w:r w:rsidR="00DE6F0F"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10</w:t>
      </w:r>
      <w:r w:rsidR="00DE6F0F" w:rsidRPr="00617A89">
        <w:rPr>
          <w:b/>
          <w:bCs/>
          <w:color w:val="000000" w:themeColor="text1"/>
        </w:rPr>
        <w:fldChar w:fldCharType="end"/>
      </w:r>
      <w:r w:rsidR="004D7B10" w:rsidRPr="00617A89">
        <w:rPr>
          <w:color w:val="000000" w:themeColor="text1"/>
        </w:rPr>
        <w:t xml:space="preserve">, both cohorts were working in </w:t>
      </w:r>
      <w:r w:rsidR="00093996" w:rsidRPr="00617A89">
        <w:rPr>
          <w:color w:val="000000" w:themeColor="text1"/>
        </w:rPr>
        <w:t>managerial or professional occupations</w:t>
      </w:r>
      <w:r w:rsidR="008D5708" w:rsidRPr="00617A89">
        <w:rPr>
          <w:color w:val="000000" w:themeColor="text1"/>
        </w:rPr>
        <w:t xml:space="preserve"> at similar rates, suggesting other factors may be influencing the </w:t>
      </w:r>
      <w:r w:rsidR="00E86BBF" w:rsidRPr="00617A89">
        <w:rPr>
          <w:color w:val="000000" w:themeColor="text1"/>
        </w:rPr>
        <w:t>differences in median salaries.</w:t>
      </w:r>
      <w:r w:rsidR="00501771" w:rsidRPr="00617A89">
        <w:rPr>
          <w:color w:val="000000" w:themeColor="text1"/>
        </w:rPr>
        <w:t xml:space="preserve"> For instance, </w:t>
      </w:r>
      <w:r w:rsidR="00AA3515" w:rsidRPr="00617A89">
        <w:rPr>
          <w:color w:val="000000" w:themeColor="text1"/>
        </w:rPr>
        <w:t>around half of international postgraduate research graduates completed studies in the areas of Engineering and Science and mathematics</w:t>
      </w:r>
      <w:r w:rsidR="005D3450" w:rsidRPr="00617A89">
        <w:rPr>
          <w:color w:val="000000" w:themeColor="text1"/>
        </w:rPr>
        <w:t xml:space="preserve"> (</w:t>
      </w:r>
      <w:r w:rsidR="005D3450" w:rsidRPr="00617A89">
        <w:rPr>
          <w:b/>
          <w:bCs/>
          <w:color w:val="000000" w:themeColor="text1"/>
        </w:rPr>
        <w:fldChar w:fldCharType="begin"/>
      </w:r>
      <w:r w:rsidR="005D3450" w:rsidRPr="00617A89">
        <w:rPr>
          <w:b/>
          <w:bCs/>
          <w:color w:val="000000" w:themeColor="text1"/>
        </w:rPr>
        <w:instrText xml:space="preserve"> REF _Ref204621292 \h </w:instrText>
      </w:r>
      <w:r w:rsidR="00B40E43" w:rsidRPr="00617A89">
        <w:rPr>
          <w:b/>
          <w:bCs/>
          <w:color w:val="000000" w:themeColor="text1"/>
        </w:rPr>
        <w:instrText xml:space="preserve"> \* MERGEFORMAT </w:instrText>
      </w:r>
      <w:r w:rsidR="005D3450" w:rsidRPr="00617A89">
        <w:rPr>
          <w:b/>
          <w:bCs/>
          <w:color w:val="000000" w:themeColor="text1"/>
        </w:rPr>
      </w:r>
      <w:r w:rsidR="005D3450" w:rsidRPr="00617A89">
        <w:rPr>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19</w:t>
      </w:r>
      <w:r w:rsidR="005D3450" w:rsidRPr="00617A89">
        <w:rPr>
          <w:b/>
          <w:bCs/>
          <w:color w:val="000000" w:themeColor="text1"/>
        </w:rPr>
        <w:fldChar w:fldCharType="end"/>
      </w:r>
      <w:r w:rsidR="00B40E43" w:rsidRPr="00617A89">
        <w:rPr>
          <w:color w:val="000000" w:themeColor="text1"/>
        </w:rPr>
        <w:t>)</w:t>
      </w:r>
      <w:r w:rsidR="008220BA" w:rsidRPr="00617A89">
        <w:rPr>
          <w:color w:val="000000" w:themeColor="text1"/>
        </w:rPr>
        <w:t>,</w:t>
      </w:r>
      <w:r w:rsidR="007B2B8D" w:rsidRPr="00617A89">
        <w:rPr>
          <w:color w:val="000000" w:themeColor="text1"/>
        </w:rPr>
        <w:t xml:space="preserve"> and both of these study areas had below average median salaries in the short and medium-term</w:t>
      </w:r>
      <w:r w:rsidR="00336748" w:rsidRPr="00617A89">
        <w:rPr>
          <w:color w:val="000000" w:themeColor="text1"/>
        </w:rPr>
        <w:t xml:space="preserve"> (based on </w:t>
      </w:r>
      <w:r w:rsidR="00B23987" w:rsidRPr="00617A89">
        <w:rPr>
          <w:color w:val="000000" w:themeColor="text1"/>
        </w:rPr>
        <w:t>reported domestic salaries</w:t>
      </w:r>
      <w:r w:rsidR="006C62A9" w:rsidRPr="00617A89">
        <w:rPr>
          <w:color w:val="000000" w:themeColor="text1"/>
        </w:rPr>
        <w:t xml:space="preserve">, see </w:t>
      </w:r>
      <w:r w:rsidR="006C62A9" w:rsidRPr="00617A89">
        <w:rPr>
          <w:b/>
          <w:bCs/>
          <w:color w:val="000000" w:themeColor="text1"/>
        </w:rPr>
        <w:t xml:space="preserve">Appendix </w:t>
      </w:r>
      <w:r w:rsidR="009D192F" w:rsidRPr="00617A89">
        <w:rPr>
          <w:b/>
          <w:bCs/>
          <w:color w:val="000000" w:themeColor="text1"/>
        </w:rPr>
        <w:t xml:space="preserve">3, </w:t>
      </w:r>
      <w:r w:rsidR="009D192F" w:rsidRPr="00617A89">
        <w:rPr>
          <w:b/>
          <w:bCs/>
          <w:color w:val="000000" w:themeColor="text1"/>
        </w:rPr>
        <w:fldChar w:fldCharType="begin"/>
      </w:r>
      <w:r w:rsidR="009D192F" w:rsidRPr="00617A89">
        <w:rPr>
          <w:b/>
          <w:bCs/>
          <w:color w:val="000000" w:themeColor="text1"/>
        </w:rPr>
        <w:instrText xml:space="preserve"> REF _Ref207708071 \h  \* MERGEFORMAT </w:instrText>
      </w:r>
      <w:r w:rsidR="009D192F" w:rsidRPr="00617A89">
        <w:rPr>
          <w:b/>
          <w:bCs/>
          <w:color w:val="000000" w:themeColor="text1"/>
        </w:rPr>
      </w:r>
      <w:r w:rsidR="009D192F"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19</w:t>
      </w:r>
      <w:r w:rsidR="009D192F" w:rsidRPr="00617A89">
        <w:rPr>
          <w:b/>
          <w:bCs/>
          <w:color w:val="000000" w:themeColor="text1"/>
        </w:rPr>
        <w:fldChar w:fldCharType="end"/>
      </w:r>
      <w:r w:rsidR="006C62A9" w:rsidRPr="00617A89">
        <w:rPr>
          <w:color w:val="000000" w:themeColor="text1"/>
        </w:rPr>
        <w:t>).</w:t>
      </w:r>
      <w:r w:rsidR="00B23987" w:rsidRPr="00617A89">
        <w:rPr>
          <w:color w:val="000000" w:themeColor="text1"/>
        </w:rPr>
        <w:t xml:space="preserve"> </w:t>
      </w:r>
    </w:p>
    <w:p w14:paraId="4B8875FF" w14:textId="78844B67" w:rsidR="00BB3440" w:rsidRPr="00617A89" w:rsidRDefault="00BB3440" w:rsidP="002F2F86">
      <w:pPr>
        <w:pStyle w:val="Body"/>
        <w:rPr>
          <w:color w:val="000000" w:themeColor="text1"/>
        </w:rPr>
      </w:pPr>
      <w:r w:rsidRPr="00617A89">
        <w:rPr>
          <w:color w:val="000000" w:themeColor="text1"/>
        </w:rPr>
        <w:t xml:space="preserve">International postgraduate research graduates were more than twice as likely to </w:t>
      </w:r>
      <w:r w:rsidR="00D52D4A" w:rsidRPr="00617A89">
        <w:rPr>
          <w:color w:val="000000" w:themeColor="text1"/>
        </w:rPr>
        <w:t>continue further full-time study immediately following course completion</w:t>
      </w:r>
      <w:r w:rsidR="0008020B" w:rsidRPr="00617A89">
        <w:rPr>
          <w:color w:val="000000" w:themeColor="text1"/>
        </w:rPr>
        <w:t xml:space="preserve"> but this gap narrowed</w:t>
      </w:r>
      <w:r w:rsidR="004F5E59" w:rsidRPr="00617A89">
        <w:rPr>
          <w:color w:val="000000" w:themeColor="text1"/>
        </w:rPr>
        <w:t xml:space="preserve"> substantially over the 3-year period.</w:t>
      </w:r>
    </w:p>
    <w:p w14:paraId="55825852" w14:textId="3128B308" w:rsidR="00196639" w:rsidRPr="00617A89" w:rsidRDefault="00196639" w:rsidP="0062339E">
      <w:pPr>
        <w:pStyle w:val="Caption"/>
        <w:keepNext/>
        <w:tabs>
          <w:tab w:val="clear" w:pos="1134"/>
        </w:tabs>
        <w:rPr>
          <w:color w:val="000000" w:themeColor="text1"/>
        </w:rPr>
      </w:pPr>
      <w:bookmarkStart w:id="177" w:name="_Ref204594424"/>
      <w:bookmarkStart w:id="178" w:name="_Toc222868480"/>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10</w:t>
      </w:r>
      <w:r w:rsidR="00DB7C31" w:rsidRPr="00617A89">
        <w:rPr>
          <w:noProof/>
          <w:color w:val="000000" w:themeColor="text1"/>
        </w:rPr>
        <w:fldChar w:fldCharType="end"/>
      </w:r>
      <w:bookmarkEnd w:id="177"/>
      <w:r w:rsidR="0062339E" w:rsidRPr="00617A89">
        <w:rPr>
          <w:color w:val="000000" w:themeColor="text1"/>
        </w:rPr>
        <w:tab/>
      </w:r>
      <w:r w:rsidRPr="00617A89">
        <w:rPr>
          <w:color w:val="000000" w:themeColor="text1"/>
        </w:rPr>
        <w:t>Postgraduate research short- and medium-term outcomes comparison: international and domestic</w:t>
      </w:r>
      <w:r w:rsidR="00034502" w:rsidRPr="00617A89">
        <w:rPr>
          <w:color w:val="000000" w:themeColor="text1"/>
        </w:rPr>
        <w:t xml:space="preserve"> </w:t>
      </w:r>
      <w:r w:rsidRPr="00617A89">
        <w:rPr>
          <w:color w:val="000000" w:themeColor="text1"/>
        </w:rPr>
        <w:t>graduates</w:t>
      </w:r>
      <w:bookmarkEnd w:id="178"/>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601"/>
        <w:gridCol w:w="1602"/>
        <w:gridCol w:w="1601"/>
        <w:gridCol w:w="1602"/>
      </w:tblGrid>
      <w:tr w:rsidR="00C22852" w:rsidRPr="00617A89" w14:paraId="00670122" w14:textId="77777777" w:rsidTr="0062339E">
        <w:trPr>
          <w:trHeight w:val="464"/>
          <w:tblHeader/>
        </w:trPr>
        <w:tc>
          <w:tcPr>
            <w:tcW w:w="3823" w:type="dxa"/>
            <w:vAlign w:val="bottom"/>
            <w:hideMark/>
          </w:tcPr>
          <w:p w14:paraId="3F78EE2A" w14:textId="77777777" w:rsidR="00196639" w:rsidRPr="00617A89" w:rsidRDefault="00196639" w:rsidP="00E37470">
            <w:pPr>
              <w:keepNext/>
              <w:jc w:val="center"/>
              <w:rPr>
                <w:rFonts w:eastAsia="Times New Roman" w:cs="Arial"/>
                <w:b/>
                <w:bCs/>
                <w:color w:val="000000" w:themeColor="text1"/>
                <w:sz w:val="18"/>
                <w:lang w:eastAsia="en-AU"/>
              </w:rPr>
            </w:pPr>
          </w:p>
        </w:tc>
        <w:tc>
          <w:tcPr>
            <w:tcW w:w="1601" w:type="dxa"/>
            <w:noWrap/>
            <w:vAlign w:val="center"/>
            <w:hideMark/>
          </w:tcPr>
          <w:p w14:paraId="2AA4DEE9" w14:textId="77777777" w:rsidR="0062339E"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p>
          <w:p w14:paraId="1D559302" w14:textId="7ECD723F" w:rsidR="00196639" w:rsidRPr="00617A89" w:rsidRDefault="00196639"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02" w:type="dxa"/>
            <w:noWrap/>
            <w:vAlign w:val="center"/>
            <w:hideMark/>
          </w:tcPr>
          <w:p w14:paraId="76F56DB8" w14:textId="1C7B0902" w:rsidR="00196639"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Short-term (2022) </w:t>
            </w:r>
            <w:r w:rsidR="00196639" w:rsidRPr="00617A89">
              <w:rPr>
                <w:rFonts w:eastAsia="Times New Roman" w:cs="Arial"/>
                <w:b/>
                <w:bCs/>
                <w:color w:val="000000" w:themeColor="text1"/>
                <w:sz w:val="18"/>
                <w:lang w:eastAsia="en-AU"/>
              </w:rPr>
              <w:t>International</w:t>
            </w:r>
          </w:p>
        </w:tc>
        <w:tc>
          <w:tcPr>
            <w:tcW w:w="1601" w:type="dxa"/>
            <w:noWrap/>
            <w:vAlign w:val="center"/>
            <w:hideMark/>
          </w:tcPr>
          <w:p w14:paraId="6834A55B" w14:textId="77777777" w:rsidR="0062339E"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p>
          <w:p w14:paraId="407F1C50" w14:textId="12086C6F" w:rsidR="00196639" w:rsidRPr="00617A89" w:rsidRDefault="00196639"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Domestic</w:t>
            </w:r>
          </w:p>
        </w:tc>
        <w:tc>
          <w:tcPr>
            <w:tcW w:w="1602" w:type="dxa"/>
            <w:noWrap/>
            <w:vAlign w:val="center"/>
            <w:hideMark/>
          </w:tcPr>
          <w:p w14:paraId="676DF543" w14:textId="063FF493" w:rsidR="00196639" w:rsidRPr="00617A89" w:rsidRDefault="0062339E" w:rsidP="00E37470">
            <w:pPr>
              <w:keepNext/>
              <w:jc w:val="center"/>
              <w:rPr>
                <w:rFonts w:eastAsia="Times New Roman" w:cs="Arial"/>
                <w:b/>
                <w:bCs/>
                <w:color w:val="000000" w:themeColor="text1"/>
                <w:sz w:val="18"/>
                <w:lang w:eastAsia="en-AU"/>
              </w:rPr>
            </w:pPr>
            <w:r w:rsidRPr="00617A89">
              <w:rPr>
                <w:rFonts w:eastAsia="Times New Roman" w:cs="Arial"/>
                <w:b/>
                <w:bCs/>
                <w:color w:val="000000" w:themeColor="text1"/>
                <w:sz w:val="18"/>
                <w:lang w:eastAsia="en-AU"/>
              </w:rPr>
              <w:t xml:space="preserve">Medium-term (2025) </w:t>
            </w:r>
            <w:r w:rsidR="00196639" w:rsidRPr="00617A89">
              <w:rPr>
                <w:rFonts w:eastAsia="Times New Roman" w:cs="Arial"/>
                <w:b/>
                <w:bCs/>
                <w:color w:val="000000" w:themeColor="text1"/>
                <w:sz w:val="18"/>
                <w:lang w:eastAsia="en-AU"/>
              </w:rPr>
              <w:t>International</w:t>
            </w:r>
          </w:p>
        </w:tc>
      </w:tr>
      <w:tr w:rsidR="00C22852" w:rsidRPr="00617A89" w14:paraId="14D22D7F" w14:textId="77777777" w:rsidTr="0062339E">
        <w:trPr>
          <w:trHeight w:val="340"/>
        </w:trPr>
        <w:tc>
          <w:tcPr>
            <w:tcW w:w="3823" w:type="dxa"/>
            <w:vAlign w:val="center"/>
            <w:hideMark/>
          </w:tcPr>
          <w:p w14:paraId="0AA31726" w14:textId="74162DBF"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val="en-GB" w:eastAsia="en-AU"/>
              </w:rPr>
              <w:t>Full-time employment rate (%)</w:t>
            </w:r>
            <w:r w:rsidR="00AE502E" w:rsidRPr="00617A89">
              <w:rPr>
                <w:rFonts w:cs="Arial"/>
                <w:b/>
                <w:sz w:val="18"/>
                <w:vertAlign w:val="superscript"/>
              </w:rPr>
              <w:t>‡</w:t>
            </w:r>
          </w:p>
        </w:tc>
        <w:tc>
          <w:tcPr>
            <w:tcW w:w="1601" w:type="dxa"/>
            <w:noWrap/>
            <w:vAlign w:val="center"/>
            <w:hideMark/>
          </w:tcPr>
          <w:p w14:paraId="2DBBBD36" w14:textId="3570A6FA"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84.9</w:t>
            </w:r>
          </w:p>
        </w:tc>
        <w:tc>
          <w:tcPr>
            <w:tcW w:w="1602" w:type="dxa"/>
            <w:noWrap/>
            <w:vAlign w:val="center"/>
            <w:hideMark/>
          </w:tcPr>
          <w:p w14:paraId="16568F83" w14:textId="6DF18F34"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75.9</w:t>
            </w:r>
          </w:p>
        </w:tc>
        <w:tc>
          <w:tcPr>
            <w:tcW w:w="1601" w:type="dxa"/>
            <w:noWrap/>
            <w:vAlign w:val="center"/>
            <w:hideMark/>
          </w:tcPr>
          <w:p w14:paraId="11CC4316" w14:textId="5EAF567C"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93.7</w:t>
            </w:r>
          </w:p>
        </w:tc>
        <w:tc>
          <w:tcPr>
            <w:tcW w:w="1602" w:type="dxa"/>
            <w:noWrap/>
            <w:vAlign w:val="center"/>
            <w:hideMark/>
          </w:tcPr>
          <w:p w14:paraId="64365E72" w14:textId="18690059"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90.7</w:t>
            </w:r>
          </w:p>
        </w:tc>
      </w:tr>
      <w:tr w:rsidR="00C22852" w:rsidRPr="00617A89" w14:paraId="694CDF03" w14:textId="77777777" w:rsidTr="0062339E">
        <w:trPr>
          <w:trHeight w:val="340"/>
        </w:trPr>
        <w:tc>
          <w:tcPr>
            <w:tcW w:w="3823" w:type="dxa"/>
            <w:vAlign w:val="center"/>
            <w:hideMark/>
          </w:tcPr>
          <w:p w14:paraId="5E28167C" w14:textId="6E85B22D"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val="en-GB" w:eastAsia="en-AU"/>
              </w:rPr>
              <w:t>Overall employment rate (%)</w:t>
            </w:r>
            <w:r w:rsidR="00AE502E" w:rsidRPr="00617A89">
              <w:rPr>
                <w:rFonts w:cs="Arial"/>
                <w:b/>
                <w:sz w:val="18"/>
                <w:vertAlign w:val="superscript"/>
              </w:rPr>
              <w:t>‡</w:t>
            </w:r>
          </w:p>
        </w:tc>
        <w:tc>
          <w:tcPr>
            <w:tcW w:w="1601" w:type="dxa"/>
            <w:noWrap/>
            <w:vAlign w:val="center"/>
            <w:hideMark/>
          </w:tcPr>
          <w:p w14:paraId="42F37979" w14:textId="4721BDA2"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92.7</w:t>
            </w:r>
          </w:p>
        </w:tc>
        <w:tc>
          <w:tcPr>
            <w:tcW w:w="1602" w:type="dxa"/>
            <w:noWrap/>
            <w:vAlign w:val="center"/>
            <w:hideMark/>
          </w:tcPr>
          <w:p w14:paraId="1187FC6A" w14:textId="3CCF7AFA"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86.3</w:t>
            </w:r>
          </w:p>
        </w:tc>
        <w:tc>
          <w:tcPr>
            <w:tcW w:w="1601" w:type="dxa"/>
            <w:noWrap/>
            <w:vAlign w:val="center"/>
            <w:hideMark/>
          </w:tcPr>
          <w:p w14:paraId="28EB1FBD" w14:textId="323CD587"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96.5</w:t>
            </w:r>
          </w:p>
        </w:tc>
        <w:tc>
          <w:tcPr>
            <w:tcW w:w="1602" w:type="dxa"/>
            <w:noWrap/>
            <w:vAlign w:val="center"/>
            <w:hideMark/>
          </w:tcPr>
          <w:p w14:paraId="5F2D5619" w14:textId="230FE938"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94.8</w:t>
            </w:r>
          </w:p>
        </w:tc>
      </w:tr>
      <w:tr w:rsidR="00C22852" w:rsidRPr="00617A89" w14:paraId="0850D5FA" w14:textId="77777777" w:rsidTr="0062339E">
        <w:trPr>
          <w:trHeight w:val="340"/>
        </w:trPr>
        <w:tc>
          <w:tcPr>
            <w:tcW w:w="3823" w:type="dxa"/>
            <w:vAlign w:val="center"/>
            <w:hideMark/>
          </w:tcPr>
          <w:p w14:paraId="45145F70" w14:textId="4DC82C44"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val="en-GB" w:eastAsia="en-AU"/>
              </w:rPr>
              <w:t>Labour force participation rate (%)</w:t>
            </w:r>
            <w:r w:rsidR="00AE502E" w:rsidRPr="00617A89">
              <w:rPr>
                <w:rFonts w:cs="Arial"/>
                <w:b/>
                <w:sz w:val="18"/>
                <w:vertAlign w:val="superscript"/>
              </w:rPr>
              <w:t>‡</w:t>
            </w:r>
          </w:p>
        </w:tc>
        <w:tc>
          <w:tcPr>
            <w:tcW w:w="1601" w:type="dxa"/>
            <w:noWrap/>
            <w:vAlign w:val="center"/>
            <w:hideMark/>
          </w:tcPr>
          <w:p w14:paraId="399E345D" w14:textId="2D4351EE"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95.9</w:t>
            </w:r>
          </w:p>
        </w:tc>
        <w:tc>
          <w:tcPr>
            <w:tcW w:w="1602" w:type="dxa"/>
            <w:noWrap/>
            <w:vAlign w:val="center"/>
            <w:hideMark/>
          </w:tcPr>
          <w:p w14:paraId="054BA41D" w14:textId="5A8D8D6E"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96.3</w:t>
            </w:r>
          </w:p>
        </w:tc>
        <w:tc>
          <w:tcPr>
            <w:tcW w:w="1601" w:type="dxa"/>
            <w:noWrap/>
            <w:vAlign w:val="center"/>
            <w:hideMark/>
          </w:tcPr>
          <w:p w14:paraId="41E39539" w14:textId="1C77829B"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91.7</w:t>
            </w:r>
          </w:p>
        </w:tc>
        <w:tc>
          <w:tcPr>
            <w:tcW w:w="1602" w:type="dxa"/>
            <w:noWrap/>
            <w:vAlign w:val="center"/>
            <w:hideMark/>
          </w:tcPr>
          <w:p w14:paraId="52E07762" w14:textId="5F6039C0"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96.5</w:t>
            </w:r>
          </w:p>
        </w:tc>
      </w:tr>
      <w:tr w:rsidR="00C22852" w:rsidRPr="00617A89" w14:paraId="36FEAB6D" w14:textId="77777777" w:rsidTr="0062339E">
        <w:trPr>
          <w:trHeight w:val="340"/>
        </w:trPr>
        <w:tc>
          <w:tcPr>
            <w:tcW w:w="3823" w:type="dxa"/>
            <w:vAlign w:val="center"/>
            <w:hideMark/>
          </w:tcPr>
          <w:p w14:paraId="202D9676" w14:textId="77777777"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eastAsia="en-AU"/>
              </w:rPr>
              <w:t>Median annual full-time salary ($)</w:t>
            </w:r>
          </w:p>
        </w:tc>
        <w:tc>
          <w:tcPr>
            <w:tcW w:w="1601" w:type="dxa"/>
            <w:noWrap/>
            <w:vAlign w:val="center"/>
            <w:hideMark/>
          </w:tcPr>
          <w:p w14:paraId="0FF20104" w14:textId="1FE17A91"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97,000</w:t>
            </w:r>
          </w:p>
        </w:tc>
        <w:tc>
          <w:tcPr>
            <w:tcW w:w="1602" w:type="dxa"/>
            <w:noWrap/>
            <w:vAlign w:val="center"/>
            <w:hideMark/>
          </w:tcPr>
          <w:p w14:paraId="521DA941" w14:textId="17CCCC4D"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89,000</w:t>
            </w:r>
          </w:p>
        </w:tc>
        <w:tc>
          <w:tcPr>
            <w:tcW w:w="1601" w:type="dxa"/>
            <w:noWrap/>
            <w:vAlign w:val="center"/>
            <w:hideMark/>
          </w:tcPr>
          <w:p w14:paraId="56F3024C" w14:textId="228D8083"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120,000</w:t>
            </w:r>
          </w:p>
        </w:tc>
        <w:tc>
          <w:tcPr>
            <w:tcW w:w="1602" w:type="dxa"/>
            <w:noWrap/>
            <w:vAlign w:val="center"/>
            <w:hideMark/>
          </w:tcPr>
          <w:p w14:paraId="43ABF5BA" w14:textId="5D3085E3"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110,000</w:t>
            </w:r>
          </w:p>
        </w:tc>
      </w:tr>
      <w:tr w:rsidR="00C22852" w:rsidRPr="00617A89" w14:paraId="5E7F6D9B" w14:textId="77777777" w:rsidTr="0062339E">
        <w:trPr>
          <w:trHeight w:val="340"/>
        </w:trPr>
        <w:tc>
          <w:tcPr>
            <w:tcW w:w="3823" w:type="dxa"/>
            <w:vAlign w:val="center"/>
          </w:tcPr>
          <w:p w14:paraId="630339AE" w14:textId="77777777"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eastAsia="en-AU"/>
              </w:rPr>
              <w:t>Underemployment rate (%)</w:t>
            </w:r>
          </w:p>
        </w:tc>
        <w:tc>
          <w:tcPr>
            <w:tcW w:w="1601" w:type="dxa"/>
            <w:noWrap/>
            <w:vAlign w:val="center"/>
          </w:tcPr>
          <w:p w14:paraId="0DC8B430" w14:textId="00BD1F6E" w:rsidR="00196639" w:rsidRPr="00617A89" w:rsidRDefault="00196639" w:rsidP="00196639">
            <w:pPr>
              <w:keepNext/>
              <w:jc w:val="center"/>
              <w:rPr>
                <w:rFonts w:cs="Arial"/>
                <w:color w:val="000000" w:themeColor="text1"/>
                <w:sz w:val="18"/>
              </w:rPr>
            </w:pPr>
            <w:r w:rsidRPr="00617A89">
              <w:rPr>
                <w:rFonts w:cs="Arial"/>
                <w:color w:val="000000" w:themeColor="text1"/>
                <w:sz w:val="18"/>
              </w:rPr>
              <w:t>10.8</w:t>
            </w:r>
          </w:p>
        </w:tc>
        <w:tc>
          <w:tcPr>
            <w:tcW w:w="1602" w:type="dxa"/>
            <w:noWrap/>
            <w:vAlign w:val="center"/>
          </w:tcPr>
          <w:p w14:paraId="67B53F18" w14:textId="1FD57B92" w:rsidR="00196639" w:rsidRPr="00617A89" w:rsidRDefault="00196639" w:rsidP="00196639">
            <w:pPr>
              <w:keepNext/>
              <w:jc w:val="center"/>
              <w:rPr>
                <w:rFonts w:cs="Arial"/>
                <w:color w:val="000000" w:themeColor="text1"/>
                <w:sz w:val="18"/>
              </w:rPr>
            </w:pPr>
            <w:r w:rsidRPr="00617A89">
              <w:rPr>
                <w:rFonts w:cs="Arial"/>
                <w:color w:val="000000" w:themeColor="text1"/>
                <w:sz w:val="18"/>
              </w:rPr>
              <w:t>15.0</w:t>
            </w:r>
          </w:p>
        </w:tc>
        <w:tc>
          <w:tcPr>
            <w:tcW w:w="1601" w:type="dxa"/>
            <w:noWrap/>
            <w:vAlign w:val="center"/>
          </w:tcPr>
          <w:p w14:paraId="2F427B9F" w14:textId="642CB463" w:rsidR="00196639" w:rsidRPr="00617A89" w:rsidRDefault="00196639" w:rsidP="00196639">
            <w:pPr>
              <w:keepNext/>
              <w:jc w:val="center"/>
              <w:rPr>
                <w:rFonts w:cs="Arial"/>
                <w:color w:val="000000" w:themeColor="text1"/>
                <w:sz w:val="18"/>
              </w:rPr>
            </w:pPr>
            <w:r w:rsidRPr="00617A89">
              <w:rPr>
                <w:rFonts w:cs="Arial"/>
                <w:color w:val="000000" w:themeColor="text1"/>
                <w:sz w:val="18"/>
              </w:rPr>
              <w:t>5.7</w:t>
            </w:r>
          </w:p>
        </w:tc>
        <w:tc>
          <w:tcPr>
            <w:tcW w:w="1602" w:type="dxa"/>
            <w:noWrap/>
            <w:vAlign w:val="center"/>
          </w:tcPr>
          <w:p w14:paraId="248D5EED" w14:textId="7905B8D8" w:rsidR="00196639" w:rsidRPr="00617A89" w:rsidRDefault="00196639" w:rsidP="00196639">
            <w:pPr>
              <w:keepNext/>
              <w:jc w:val="center"/>
              <w:rPr>
                <w:rFonts w:cs="Arial"/>
                <w:color w:val="000000" w:themeColor="text1"/>
                <w:sz w:val="18"/>
              </w:rPr>
            </w:pPr>
            <w:r w:rsidRPr="00617A89">
              <w:rPr>
                <w:rFonts w:cs="Arial"/>
                <w:color w:val="000000" w:themeColor="text1"/>
                <w:sz w:val="18"/>
              </w:rPr>
              <w:t>5.8</w:t>
            </w:r>
          </w:p>
        </w:tc>
      </w:tr>
      <w:tr w:rsidR="00C22852" w:rsidRPr="00617A89" w14:paraId="6391F04E" w14:textId="77777777" w:rsidTr="0062339E">
        <w:trPr>
          <w:trHeight w:val="340"/>
        </w:trPr>
        <w:tc>
          <w:tcPr>
            <w:tcW w:w="3823" w:type="dxa"/>
            <w:vAlign w:val="center"/>
          </w:tcPr>
          <w:p w14:paraId="599CC666" w14:textId="77777777"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eastAsia="en-AU"/>
              </w:rPr>
              <w:t>In further full-time study (%)</w:t>
            </w:r>
          </w:p>
        </w:tc>
        <w:tc>
          <w:tcPr>
            <w:tcW w:w="1601" w:type="dxa"/>
            <w:noWrap/>
            <w:vAlign w:val="center"/>
          </w:tcPr>
          <w:p w14:paraId="6E7410E4" w14:textId="71ABBBDA"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5.</w:t>
            </w:r>
            <w:r w:rsidR="00E24C5C" w:rsidRPr="00617A89">
              <w:rPr>
                <w:rFonts w:cs="Arial"/>
                <w:color w:val="000000" w:themeColor="text1"/>
                <w:sz w:val="18"/>
              </w:rPr>
              <w:t>7</w:t>
            </w:r>
          </w:p>
        </w:tc>
        <w:tc>
          <w:tcPr>
            <w:tcW w:w="1602" w:type="dxa"/>
            <w:noWrap/>
            <w:vAlign w:val="center"/>
          </w:tcPr>
          <w:p w14:paraId="75B8F2DC" w14:textId="03953814" w:rsidR="00196639" w:rsidRPr="00617A89" w:rsidRDefault="00E24C5C" w:rsidP="00196639">
            <w:pPr>
              <w:keepNext/>
              <w:jc w:val="center"/>
              <w:rPr>
                <w:rFonts w:eastAsia="Times New Roman" w:cs="Arial"/>
                <w:color w:val="000000" w:themeColor="text1"/>
                <w:sz w:val="18"/>
                <w:lang w:eastAsia="en-AU"/>
              </w:rPr>
            </w:pPr>
            <w:r w:rsidRPr="00617A89">
              <w:rPr>
                <w:rFonts w:cs="Arial"/>
                <w:color w:val="000000" w:themeColor="text1"/>
                <w:sz w:val="18"/>
              </w:rPr>
              <w:t>10.4</w:t>
            </w:r>
          </w:p>
        </w:tc>
        <w:tc>
          <w:tcPr>
            <w:tcW w:w="1601" w:type="dxa"/>
            <w:noWrap/>
            <w:vAlign w:val="center"/>
          </w:tcPr>
          <w:p w14:paraId="5349E1D3" w14:textId="0F9E965E"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5.1</w:t>
            </w:r>
          </w:p>
        </w:tc>
        <w:tc>
          <w:tcPr>
            <w:tcW w:w="1602" w:type="dxa"/>
            <w:noWrap/>
            <w:vAlign w:val="center"/>
          </w:tcPr>
          <w:p w14:paraId="546937E3" w14:textId="323F1C8B" w:rsidR="00196639" w:rsidRPr="00617A89" w:rsidRDefault="00196639" w:rsidP="00196639">
            <w:pPr>
              <w:keepNext/>
              <w:jc w:val="center"/>
              <w:rPr>
                <w:rFonts w:eastAsia="Times New Roman" w:cs="Arial"/>
                <w:color w:val="000000" w:themeColor="text1"/>
                <w:sz w:val="18"/>
                <w:lang w:eastAsia="en-AU"/>
              </w:rPr>
            </w:pPr>
            <w:r w:rsidRPr="00617A89">
              <w:rPr>
                <w:rFonts w:cs="Arial"/>
                <w:color w:val="000000" w:themeColor="text1"/>
                <w:sz w:val="18"/>
              </w:rPr>
              <w:t>7.0</w:t>
            </w:r>
          </w:p>
        </w:tc>
      </w:tr>
      <w:tr w:rsidR="00C22852" w:rsidRPr="00617A89" w14:paraId="0D0ED007" w14:textId="77777777" w:rsidTr="0062339E">
        <w:trPr>
          <w:trHeight w:val="500"/>
        </w:trPr>
        <w:tc>
          <w:tcPr>
            <w:tcW w:w="3823" w:type="dxa"/>
            <w:vAlign w:val="center"/>
          </w:tcPr>
          <w:p w14:paraId="70BCCF4D" w14:textId="77777777" w:rsidR="00196639" w:rsidRPr="00617A89" w:rsidRDefault="00196639" w:rsidP="00196639">
            <w:pPr>
              <w:keepNext/>
              <w:rPr>
                <w:rFonts w:eastAsia="Times New Roman" w:cs="Arial"/>
                <w:color w:val="000000" w:themeColor="text1"/>
                <w:sz w:val="18"/>
                <w:lang w:eastAsia="en-AU"/>
              </w:rPr>
            </w:pPr>
            <w:r w:rsidRPr="00617A89">
              <w:rPr>
                <w:rFonts w:eastAsia="Times New Roman" w:cs="Arial"/>
                <w:color w:val="000000" w:themeColor="text1"/>
                <w:sz w:val="18"/>
                <w:lang w:eastAsia="en-AU"/>
              </w:rPr>
              <w:t>Employed in managerial or professional occupation (% of those employed full-time)</w:t>
            </w:r>
          </w:p>
        </w:tc>
        <w:tc>
          <w:tcPr>
            <w:tcW w:w="1601" w:type="dxa"/>
            <w:noWrap/>
            <w:vAlign w:val="center"/>
          </w:tcPr>
          <w:p w14:paraId="1669BD8D" w14:textId="714A3248" w:rsidR="00196639" w:rsidRPr="00617A89" w:rsidRDefault="00196639" w:rsidP="00196639">
            <w:pPr>
              <w:keepNext/>
              <w:jc w:val="center"/>
              <w:rPr>
                <w:rFonts w:cs="Arial"/>
                <w:color w:val="000000" w:themeColor="text1"/>
                <w:sz w:val="18"/>
              </w:rPr>
            </w:pPr>
            <w:r w:rsidRPr="00617A89">
              <w:rPr>
                <w:rFonts w:cs="Arial"/>
                <w:color w:val="000000" w:themeColor="text1"/>
                <w:sz w:val="18"/>
              </w:rPr>
              <w:t>93.2</w:t>
            </w:r>
          </w:p>
        </w:tc>
        <w:tc>
          <w:tcPr>
            <w:tcW w:w="1602" w:type="dxa"/>
            <w:noWrap/>
            <w:vAlign w:val="center"/>
          </w:tcPr>
          <w:p w14:paraId="7199985F" w14:textId="006AFBD4" w:rsidR="00196639" w:rsidRPr="00617A89" w:rsidRDefault="00196639" w:rsidP="00196639">
            <w:pPr>
              <w:keepNext/>
              <w:jc w:val="center"/>
              <w:rPr>
                <w:rFonts w:cs="Arial"/>
                <w:color w:val="000000" w:themeColor="text1"/>
                <w:sz w:val="18"/>
              </w:rPr>
            </w:pPr>
            <w:r w:rsidRPr="00617A89">
              <w:rPr>
                <w:rFonts w:cs="Arial"/>
                <w:color w:val="000000" w:themeColor="text1"/>
                <w:sz w:val="18"/>
              </w:rPr>
              <w:t>92.2</w:t>
            </w:r>
          </w:p>
        </w:tc>
        <w:tc>
          <w:tcPr>
            <w:tcW w:w="1601" w:type="dxa"/>
            <w:noWrap/>
            <w:vAlign w:val="center"/>
          </w:tcPr>
          <w:p w14:paraId="2C775FA9" w14:textId="28EC785F" w:rsidR="00196639" w:rsidRPr="00617A89" w:rsidRDefault="00196639" w:rsidP="00196639">
            <w:pPr>
              <w:keepNext/>
              <w:jc w:val="center"/>
              <w:rPr>
                <w:rFonts w:cs="Arial"/>
                <w:color w:val="000000" w:themeColor="text1"/>
                <w:sz w:val="18"/>
              </w:rPr>
            </w:pPr>
            <w:r w:rsidRPr="00617A89">
              <w:rPr>
                <w:rFonts w:cs="Arial"/>
                <w:color w:val="000000" w:themeColor="text1"/>
                <w:sz w:val="18"/>
              </w:rPr>
              <w:t>94.5</w:t>
            </w:r>
          </w:p>
        </w:tc>
        <w:tc>
          <w:tcPr>
            <w:tcW w:w="1602" w:type="dxa"/>
            <w:noWrap/>
            <w:vAlign w:val="center"/>
          </w:tcPr>
          <w:p w14:paraId="7A9DA6A4" w14:textId="3317E6BE" w:rsidR="00196639" w:rsidRPr="00617A89" w:rsidRDefault="00196639" w:rsidP="00196639">
            <w:pPr>
              <w:keepNext/>
              <w:jc w:val="center"/>
              <w:rPr>
                <w:rFonts w:cs="Arial"/>
                <w:color w:val="000000" w:themeColor="text1"/>
                <w:sz w:val="18"/>
              </w:rPr>
            </w:pPr>
            <w:r w:rsidRPr="00617A89">
              <w:rPr>
                <w:rFonts w:cs="Arial"/>
                <w:color w:val="000000" w:themeColor="text1"/>
                <w:sz w:val="18"/>
              </w:rPr>
              <w:t>94.8</w:t>
            </w:r>
          </w:p>
        </w:tc>
      </w:tr>
    </w:tbl>
    <w:p w14:paraId="4C14BAFD" w14:textId="77777777" w:rsidR="00CD6945" w:rsidRPr="00617A89" w:rsidRDefault="00177A30" w:rsidP="00177A30">
      <w:pPr>
        <w:spacing w:before="120" w:after="120" w:line="300" w:lineRule="auto"/>
        <w:rPr>
          <w:rFonts w:eastAsia="Times New Roman" w:cs="Times New Roman"/>
          <w:color w:val="000000" w:themeColor="text1"/>
          <w:sz w:val="18"/>
          <w:szCs w:val="21"/>
          <w:lang w:val="en-GB"/>
        </w:rPr>
      </w:pPr>
      <w:bookmarkStart w:id="179" w:name="_Hlk153360910"/>
      <w:r w:rsidRPr="00617A89">
        <w:rPr>
          <w:rFonts w:eastAsia="Times New Roman" w:cs="Times New Roman"/>
          <w:color w:val="000000" w:themeColor="text1"/>
          <w:sz w:val="18"/>
          <w:szCs w:val="21"/>
          <w:lang w:val="en-GB"/>
        </w:rPr>
        <w:t xml:space="preserve">Note: International graduates’ median salary figures only include data for international graduates working in Australia. </w:t>
      </w:r>
    </w:p>
    <w:p w14:paraId="5A5F7856" w14:textId="77777777" w:rsidR="00AE502E" w:rsidRPr="00617A89" w:rsidRDefault="00AE502E" w:rsidP="00AE502E">
      <w:pPr>
        <w:pStyle w:val="FigureNote"/>
        <w:rPr>
          <w:rFonts w:cs="Arial"/>
          <w:sz w:val="18"/>
          <w:szCs w:val="18"/>
        </w:rPr>
      </w:pPr>
      <w:r w:rsidRPr="00617A89">
        <w:rPr>
          <w:rFonts w:cs="Arial"/>
          <w:sz w:val="18"/>
          <w:szCs w:val="18"/>
        </w:rPr>
        <w:t xml:space="preserve">‡ 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rFonts w:cs="Arial"/>
          <w:b/>
          <w:bCs/>
          <w:sz w:val="18"/>
          <w:szCs w:val="18"/>
        </w:rPr>
        <w:t>Appendix 1</w:t>
      </w:r>
      <w:r w:rsidRPr="00617A89">
        <w:rPr>
          <w:rFonts w:cs="Arial"/>
          <w:sz w:val="18"/>
          <w:szCs w:val="18"/>
        </w:rPr>
        <w:t xml:space="preserve"> for further information.</w:t>
      </w:r>
    </w:p>
    <w:p w14:paraId="127C7DAE" w14:textId="77777777" w:rsidR="00AE502E" w:rsidRPr="00617A89" w:rsidRDefault="00AE502E" w:rsidP="00177A30">
      <w:pPr>
        <w:spacing w:before="120" w:after="120" w:line="300" w:lineRule="auto"/>
        <w:rPr>
          <w:rFonts w:eastAsia="Times New Roman" w:cs="Times New Roman"/>
          <w:color w:val="000000" w:themeColor="text1"/>
          <w:sz w:val="18"/>
          <w:szCs w:val="21"/>
          <w:lang w:val="en-GB"/>
        </w:rPr>
        <w:sectPr w:rsidR="00AE502E" w:rsidRPr="00617A89" w:rsidSect="004B1F40">
          <w:pgSz w:w="11900" w:h="16840"/>
          <w:pgMar w:top="720" w:right="720" w:bottom="720" w:left="720" w:header="397" w:footer="397" w:gutter="0"/>
          <w:cols w:space="708"/>
          <w:docGrid w:linePitch="360"/>
        </w:sectPr>
      </w:pPr>
    </w:p>
    <w:p w14:paraId="348A1454" w14:textId="53E8AC0C" w:rsidR="00177A30" w:rsidRPr="00617A89" w:rsidRDefault="00177A30" w:rsidP="001D593D">
      <w:pPr>
        <w:pStyle w:val="Heading3"/>
        <w:rPr>
          <w:color w:val="000000" w:themeColor="text1"/>
        </w:rPr>
      </w:pPr>
      <w:bookmarkStart w:id="180" w:name="_Toc192179860"/>
      <w:bookmarkStart w:id="181" w:name="_Toc222868457"/>
      <w:bookmarkEnd w:id="179"/>
      <w:r w:rsidRPr="00617A89">
        <w:rPr>
          <w:color w:val="000000" w:themeColor="text1"/>
        </w:rPr>
        <w:t>Study area</w:t>
      </w:r>
      <w:bookmarkEnd w:id="180"/>
      <w:bookmarkEnd w:id="181"/>
    </w:p>
    <w:p w14:paraId="5194D326" w14:textId="700B8B50" w:rsidR="002C64CE" w:rsidRPr="00617A89" w:rsidRDefault="00177A30"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 xml:space="preserve">International graduates tend to </w:t>
      </w:r>
      <w:r w:rsidR="00206A21" w:rsidRPr="00617A89">
        <w:rPr>
          <w:rFonts w:eastAsia="Times New Roman" w:cs="Times New Roman"/>
          <w:color w:val="000000" w:themeColor="text1"/>
          <w:szCs w:val="20"/>
        </w:rPr>
        <w:t>cluster in a small number of</w:t>
      </w:r>
      <w:r w:rsidRPr="00617A89">
        <w:rPr>
          <w:rFonts w:eastAsia="Times New Roman" w:cs="Times New Roman"/>
          <w:color w:val="000000" w:themeColor="text1"/>
          <w:szCs w:val="20"/>
        </w:rPr>
        <w:t xml:space="preserve"> study areas: Business and management, Computing and information systems, Engineering, Science and mathematics, and Nursing.</w:t>
      </w:r>
      <w:r w:rsidR="002C64CE" w:rsidRPr="00617A89">
        <w:rPr>
          <w:rFonts w:eastAsia="Times New Roman" w:cs="Times New Roman"/>
          <w:color w:val="000000" w:themeColor="text1"/>
          <w:szCs w:val="20"/>
        </w:rPr>
        <w:t xml:space="preserve"> </w:t>
      </w:r>
      <w:r w:rsidRPr="00617A89">
        <w:rPr>
          <w:rFonts w:eastAsia="Times New Roman" w:cs="Times New Roman"/>
          <w:color w:val="000000" w:themeColor="text1"/>
          <w:szCs w:val="20"/>
        </w:rPr>
        <w:t>The proportions vary by study level, as seen in</w:t>
      </w:r>
      <w:r w:rsidR="00A84FB7" w:rsidRPr="00617A89">
        <w:rPr>
          <w:rFonts w:eastAsia="Times New Roman" w:cs="Times New Roman"/>
          <w:color w:val="000000" w:themeColor="text1"/>
          <w:szCs w:val="20"/>
        </w:rPr>
        <w:t xml:space="preserve"> </w:t>
      </w:r>
      <w:r w:rsidR="00A84FB7" w:rsidRPr="00617A89">
        <w:rPr>
          <w:rFonts w:eastAsia="Times New Roman" w:cs="Times New Roman"/>
          <w:b/>
          <w:bCs/>
          <w:color w:val="000000" w:themeColor="text1"/>
        </w:rPr>
        <w:fldChar w:fldCharType="begin"/>
      </w:r>
      <w:r w:rsidR="00A84FB7" w:rsidRPr="00617A89">
        <w:rPr>
          <w:rFonts w:eastAsia="Times New Roman" w:cs="Times New Roman"/>
          <w:b/>
          <w:bCs/>
          <w:color w:val="000000" w:themeColor="text1"/>
        </w:rPr>
        <w:instrText xml:space="preserve"> REF _Ref204621292 \h  \* MERGEFORMAT </w:instrText>
      </w:r>
      <w:r w:rsidR="00A84FB7" w:rsidRPr="00617A89">
        <w:rPr>
          <w:rFonts w:eastAsia="Times New Roman" w:cs="Times New Roman"/>
          <w:b/>
          <w:bCs/>
          <w:color w:val="000000" w:themeColor="text1"/>
        </w:rPr>
      </w:r>
      <w:r w:rsidR="00A84FB7" w:rsidRPr="00617A89">
        <w:rPr>
          <w:rFonts w:eastAsia="Times New Roman" w:cs="Times New Roman"/>
          <w:b/>
          <w:bCs/>
          <w:color w:val="000000" w:themeColor="text1"/>
        </w:rPr>
        <w:fldChar w:fldCharType="separate"/>
      </w:r>
      <w:r w:rsidR="00DB7C31" w:rsidRPr="00617A89">
        <w:rPr>
          <w:b/>
          <w:bCs/>
          <w:color w:val="000000" w:themeColor="text1"/>
        </w:rPr>
        <w:t xml:space="preserve">Figure </w:t>
      </w:r>
      <w:r w:rsidR="00DB7C31" w:rsidRPr="00617A89">
        <w:rPr>
          <w:b/>
          <w:bCs/>
          <w:noProof/>
          <w:color w:val="000000" w:themeColor="text1"/>
        </w:rPr>
        <w:t>19</w:t>
      </w:r>
      <w:r w:rsidR="00A84FB7" w:rsidRPr="00617A89">
        <w:rPr>
          <w:rFonts w:eastAsia="Times New Roman" w:cs="Times New Roman"/>
          <w:b/>
          <w:bCs/>
          <w:color w:val="000000" w:themeColor="text1"/>
        </w:rPr>
        <w:fldChar w:fldCharType="end"/>
      </w:r>
      <w:r w:rsidRPr="00617A89">
        <w:rPr>
          <w:rFonts w:eastAsia="Times New Roman" w:cs="Times New Roman"/>
          <w:color w:val="000000" w:themeColor="text1"/>
        </w:rPr>
        <w:t>.</w:t>
      </w:r>
      <w:r w:rsidRPr="00617A89">
        <w:rPr>
          <w:rFonts w:eastAsia="Times New Roman" w:cs="Times New Roman"/>
          <w:color w:val="000000" w:themeColor="text1"/>
          <w:szCs w:val="20"/>
        </w:rPr>
        <w:t xml:space="preserve"> </w:t>
      </w:r>
      <w:r w:rsidR="00902663" w:rsidRPr="00617A89">
        <w:rPr>
          <w:rFonts w:eastAsia="Times New Roman" w:cs="Times New Roman"/>
          <w:color w:val="000000" w:themeColor="text1"/>
          <w:szCs w:val="20"/>
        </w:rPr>
        <w:t>The top two study areas</w:t>
      </w:r>
      <w:r w:rsidR="001356D3" w:rsidRPr="00617A89">
        <w:rPr>
          <w:rFonts w:eastAsia="Times New Roman" w:cs="Times New Roman"/>
          <w:color w:val="000000" w:themeColor="text1"/>
          <w:szCs w:val="20"/>
        </w:rPr>
        <w:t>,</w:t>
      </w:r>
      <w:r w:rsidR="00236B66" w:rsidRPr="00617A89">
        <w:rPr>
          <w:rFonts w:eastAsia="Times New Roman" w:cs="Times New Roman"/>
          <w:color w:val="000000" w:themeColor="text1"/>
          <w:szCs w:val="20"/>
        </w:rPr>
        <w:t xml:space="preserve"> in terms of size</w:t>
      </w:r>
      <w:r w:rsidR="001356D3" w:rsidRPr="00617A89">
        <w:rPr>
          <w:rFonts w:eastAsia="Times New Roman" w:cs="Times New Roman"/>
          <w:color w:val="000000" w:themeColor="text1"/>
          <w:szCs w:val="20"/>
        </w:rPr>
        <w:t>,</w:t>
      </w:r>
      <w:r w:rsidR="00236B66" w:rsidRPr="00617A89">
        <w:rPr>
          <w:rFonts w:eastAsia="Times New Roman" w:cs="Times New Roman"/>
          <w:color w:val="000000" w:themeColor="text1"/>
          <w:szCs w:val="20"/>
        </w:rPr>
        <w:t xml:space="preserve"> at the undergraduate and postgraduate coursework levels were Business and management</w:t>
      </w:r>
      <w:r w:rsidR="00834208" w:rsidRPr="00617A89">
        <w:rPr>
          <w:rFonts w:eastAsia="Times New Roman" w:cs="Times New Roman"/>
          <w:color w:val="000000" w:themeColor="text1"/>
          <w:szCs w:val="20"/>
        </w:rPr>
        <w:t xml:space="preserve"> and Computing and information systems. At the postgraduate research level, </w:t>
      </w:r>
      <w:r w:rsidR="00EC3F6C" w:rsidRPr="00617A89">
        <w:rPr>
          <w:rFonts w:eastAsia="Times New Roman" w:cs="Times New Roman"/>
          <w:color w:val="000000" w:themeColor="text1"/>
          <w:szCs w:val="20"/>
        </w:rPr>
        <w:t>the largest populations of international graduates were from the Engineering</w:t>
      </w:r>
      <w:r w:rsidR="00292395" w:rsidRPr="00617A89">
        <w:rPr>
          <w:rFonts w:eastAsia="Times New Roman" w:cs="Times New Roman"/>
          <w:color w:val="000000" w:themeColor="text1"/>
          <w:szCs w:val="20"/>
        </w:rPr>
        <w:t xml:space="preserve"> </w:t>
      </w:r>
      <w:r w:rsidR="00EC3F6C" w:rsidRPr="00617A89">
        <w:rPr>
          <w:rFonts w:eastAsia="Times New Roman" w:cs="Times New Roman"/>
          <w:color w:val="000000" w:themeColor="text1"/>
          <w:szCs w:val="20"/>
        </w:rPr>
        <w:t>and Sciences and mathematics study areas.</w:t>
      </w:r>
    </w:p>
    <w:p w14:paraId="4C7280A4" w14:textId="60A08D62" w:rsidR="006328B6" w:rsidRPr="00617A89" w:rsidRDefault="00F736FB" w:rsidP="00B6322F">
      <w:pPr>
        <w:pStyle w:val="Caption"/>
        <w:keepNext/>
        <w:rPr>
          <w:color w:val="000000" w:themeColor="text1"/>
        </w:rPr>
      </w:pPr>
      <w:bookmarkStart w:id="182" w:name="_Ref204621114"/>
      <w:bookmarkStart w:id="183" w:name="_Ref204621292"/>
      <w:bookmarkStart w:id="184" w:name="_Toc222868513"/>
      <w:r w:rsidRPr="00617A89">
        <w:rPr>
          <w:color w:val="000000" w:themeColor="text1"/>
        </w:rPr>
        <w:t>Figure</w:t>
      </w:r>
      <w:bookmarkEnd w:id="182"/>
      <w:r w:rsidRPr="00617A89">
        <w:rPr>
          <w:color w:val="000000" w:themeColor="text1"/>
        </w:rPr>
        <w:t xml:space="preserv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19</w:t>
      </w:r>
      <w:r w:rsidR="00DB7C31" w:rsidRPr="00617A89">
        <w:rPr>
          <w:noProof/>
          <w:color w:val="000000" w:themeColor="text1"/>
        </w:rPr>
        <w:fldChar w:fldCharType="end"/>
      </w:r>
      <w:bookmarkEnd w:id="183"/>
      <w:r w:rsidR="0062339E" w:rsidRPr="00617A89">
        <w:rPr>
          <w:noProof/>
          <w:color w:val="000000" w:themeColor="text1"/>
        </w:rPr>
        <w:tab/>
      </w:r>
      <w:r w:rsidRPr="00617A89">
        <w:rPr>
          <w:color w:val="000000" w:themeColor="text1"/>
        </w:rPr>
        <w:t>International graduate profile by study area and level (% based on responses to the 202</w:t>
      </w:r>
      <w:r w:rsidR="00B6322F" w:rsidRPr="00617A89">
        <w:rPr>
          <w:color w:val="000000" w:themeColor="text1"/>
        </w:rPr>
        <w:t>5 GOS-L)</w:t>
      </w:r>
      <w:bookmarkEnd w:id="184"/>
    </w:p>
    <w:p w14:paraId="5948181E" w14:textId="02372CBE" w:rsidR="00EF6479" w:rsidRPr="00617A89" w:rsidRDefault="00EF6479" w:rsidP="00EF6479">
      <w:pPr>
        <w:pStyle w:val="Body"/>
        <w:rPr>
          <w:lang w:eastAsia="en-AU"/>
        </w:rPr>
      </w:pPr>
      <w:r w:rsidRPr="00617A89">
        <w:rPr>
          <w:noProof/>
          <w:lang w:eastAsia="en-AU"/>
        </w:rPr>
        <w:drawing>
          <wp:inline distT="0" distB="0" distL="0" distR="0" wp14:anchorId="3E8B57D3" wp14:editId="7AFE20A4">
            <wp:extent cx="9779000" cy="3999230"/>
            <wp:effectExtent l="0" t="0" r="0" b="1270"/>
            <wp:docPr id="2712464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79000" cy="3999230"/>
                    </a:xfrm>
                    <a:prstGeom prst="rect">
                      <a:avLst/>
                    </a:prstGeom>
                    <a:noFill/>
                  </pic:spPr>
                </pic:pic>
              </a:graphicData>
            </a:graphic>
          </wp:inline>
        </w:drawing>
      </w:r>
    </w:p>
    <w:p w14:paraId="21289386" w14:textId="47CE8C57" w:rsidR="00177A30" w:rsidRPr="00617A89" w:rsidRDefault="00FA6999" w:rsidP="00EF6479">
      <w:pPr>
        <w:pStyle w:val="Body"/>
        <w:rPr>
          <w:rFonts w:eastAsia="Calibri"/>
          <w:color w:val="000000" w:themeColor="text1"/>
          <w:sz w:val="18"/>
          <w:szCs w:val="24"/>
          <w:lang w:val="en-GB"/>
        </w:rPr>
      </w:pPr>
      <w:r w:rsidRPr="00617A89">
        <w:rPr>
          <w:noProof/>
          <w:color w:val="000000" w:themeColor="text1"/>
        </w:rPr>
        <w:t xml:space="preserve"> </w:t>
      </w:r>
      <w:r w:rsidR="00177A30" w:rsidRPr="00617A89">
        <w:rPr>
          <w:rFonts w:eastAsia="Calibri"/>
          <w:color w:val="000000" w:themeColor="text1"/>
          <w:sz w:val="18"/>
          <w:szCs w:val="24"/>
          <w:lang w:val="en-GB"/>
        </w:rPr>
        <w:t xml:space="preserve">* Only selected study areas presented in </w:t>
      </w:r>
      <w:r w:rsidR="008519F9" w:rsidRPr="00617A89">
        <w:rPr>
          <w:rFonts w:eastAsia="Calibri"/>
          <w:color w:val="000000" w:themeColor="text1"/>
          <w:sz w:val="18"/>
          <w:szCs w:val="24"/>
          <w:lang w:val="en-GB"/>
        </w:rPr>
        <w:t>this figure</w:t>
      </w:r>
      <w:r w:rsidR="00177A30" w:rsidRPr="00617A89">
        <w:rPr>
          <w:rFonts w:eastAsia="Calibri"/>
          <w:color w:val="000000" w:themeColor="text1"/>
          <w:sz w:val="18"/>
          <w:szCs w:val="24"/>
          <w:lang w:val="en-GB"/>
        </w:rPr>
        <w:t>. For all study areas, refer to the CHAR_UG_ALL_1Y_AREA_INT, CHAR_PGC_ALL_1Y_AREA_INT and CHAR_PGR_ALL_1Y_AREA_INT worksheets in the 202</w:t>
      </w:r>
      <w:r w:rsidR="00262106" w:rsidRPr="00617A89">
        <w:rPr>
          <w:rFonts w:eastAsia="Calibri"/>
          <w:color w:val="000000" w:themeColor="text1"/>
          <w:sz w:val="18"/>
          <w:szCs w:val="24"/>
          <w:lang w:val="en-GB"/>
        </w:rPr>
        <w:t>5</w:t>
      </w:r>
      <w:r w:rsidR="00177A30" w:rsidRPr="00617A89">
        <w:rPr>
          <w:rFonts w:eastAsia="Calibri"/>
          <w:color w:val="000000" w:themeColor="text1"/>
          <w:sz w:val="18"/>
          <w:szCs w:val="24"/>
          <w:lang w:val="en-GB"/>
        </w:rPr>
        <w:t xml:space="preserve"> GOS-L National Tables available on the QILT website.</w:t>
      </w:r>
    </w:p>
    <w:p w14:paraId="7B21D02E" w14:textId="77777777" w:rsidR="004941EB" w:rsidRPr="00617A89" w:rsidRDefault="004941EB" w:rsidP="00177A30">
      <w:pPr>
        <w:spacing w:after="160" w:line="259" w:lineRule="auto"/>
        <w:rPr>
          <w:rFonts w:eastAsia="Calibri" w:cs="Arial"/>
          <w:color w:val="000000" w:themeColor="text1"/>
        </w:rPr>
        <w:sectPr w:rsidR="004941EB" w:rsidRPr="00617A89" w:rsidSect="00582300">
          <w:pgSz w:w="16840" w:h="11900" w:orient="landscape"/>
          <w:pgMar w:top="720" w:right="720" w:bottom="720" w:left="720" w:header="397" w:footer="397" w:gutter="0"/>
          <w:cols w:space="708"/>
          <w:docGrid w:linePitch="360"/>
        </w:sectPr>
      </w:pPr>
    </w:p>
    <w:p w14:paraId="2CB049C2" w14:textId="35B04E16" w:rsidR="00177A30" w:rsidRPr="00617A89" w:rsidRDefault="00177A30" w:rsidP="00177A30">
      <w:pPr>
        <w:spacing w:after="160" w:line="259" w:lineRule="auto"/>
        <w:rPr>
          <w:rFonts w:eastAsia="Times New Roman" w:cs="Times New Roman"/>
          <w:color w:val="000000" w:themeColor="text1"/>
          <w:szCs w:val="20"/>
        </w:rPr>
      </w:pPr>
    </w:p>
    <w:p w14:paraId="020A554C" w14:textId="7231D7DC" w:rsidR="00177A30" w:rsidRPr="00617A89" w:rsidRDefault="00157623"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fldChar w:fldCharType="begin"/>
      </w:r>
      <w:r w:rsidRPr="00617A89">
        <w:rPr>
          <w:rFonts w:eastAsia="Times New Roman" w:cs="Times New Roman"/>
          <w:color w:val="000000" w:themeColor="text1"/>
          <w:szCs w:val="20"/>
        </w:rPr>
        <w:instrText xml:space="preserve"> REF _Ref187142850 \h </w:instrText>
      </w:r>
      <w:r w:rsidR="006932F9" w:rsidRPr="00617A89">
        <w:rPr>
          <w:rFonts w:eastAsia="Times New Roman" w:cs="Times New Roman"/>
          <w:color w:val="000000" w:themeColor="text1"/>
          <w:szCs w:val="20"/>
        </w:rPr>
        <w:instrText xml:space="preserve"> \* MERGEFORMAT </w:instrText>
      </w:r>
      <w:r w:rsidRPr="00617A89">
        <w:rPr>
          <w:rFonts w:eastAsia="Times New Roman" w:cs="Times New Roman"/>
          <w:color w:val="000000" w:themeColor="text1"/>
          <w:szCs w:val="20"/>
        </w:rPr>
      </w:r>
      <w:r w:rsidRPr="00617A89">
        <w:rPr>
          <w:rFonts w:eastAsia="Times New Roman" w:cs="Times New Roman"/>
          <w:color w:val="000000" w:themeColor="text1"/>
          <w:szCs w:val="20"/>
        </w:rPr>
        <w:fldChar w:fldCharType="separate"/>
      </w:r>
      <w:r w:rsidR="00DB7C31" w:rsidRPr="00617A89">
        <w:rPr>
          <w:b/>
          <w:bCs/>
          <w:color w:val="000000" w:themeColor="text1"/>
        </w:rPr>
        <w:t xml:space="preserve">Figure </w:t>
      </w:r>
      <w:r w:rsidR="00DB7C31" w:rsidRPr="00617A89">
        <w:rPr>
          <w:b/>
          <w:bCs/>
          <w:noProof/>
          <w:color w:val="000000" w:themeColor="text1"/>
        </w:rPr>
        <w:t>20</w:t>
      </w:r>
      <w:r w:rsidRPr="00617A89">
        <w:rPr>
          <w:rFonts w:eastAsia="Times New Roman" w:cs="Times New Roman"/>
          <w:color w:val="000000" w:themeColor="text1"/>
          <w:szCs w:val="20"/>
        </w:rPr>
        <w:fldChar w:fldCharType="end"/>
      </w:r>
      <w:r w:rsidR="00306444" w:rsidRPr="00617A89">
        <w:rPr>
          <w:rFonts w:eastAsia="Times New Roman" w:cs="Times New Roman"/>
          <w:color w:val="000000" w:themeColor="text1"/>
          <w:szCs w:val="20"/>
        </w:rPr>
        <w:t xml:space="preserve"> presents full-time employment rates</w:t>
      </w:r>
      <w:r w:rsidR="0039618B" w:rsidRPr="00617A89">
        <w:rPr>
          <w:rFonts w:eastAsia="Times New Roman" w:cs="Times New Roman"/>
          <w:color w:val="000000" w:themeColor="text1"/>
          <w:szCs w:val="20"/>
        </w:rPr>
        <w:t xml:space="preserve"> for domestic and international undergraduates in the short- and medium-term</w:t>
      </w:r>
      <w:r w:rsidR="00BE673A" w:rsidRPr="00617A89">
        <w:rPr>
          <w:rFonts w:eastAsia="Times New Roman" w:cs="Times New Roman"/>
          <w:color w:val="000000" w:themeColor="text1"/>
          <w:szCs w:val="20"/>
        </w:rPr>
        <w:t xml:space="preserve"> across study areas</w:t>
      </w:r>
      <w:r w:rsidR="0039618B" w:rsidRPr="00617A89">
        <w:rPr>
          <w:rFonts w:eastAsia="Times New Roman" w:cs="Times New Roman"/>
          <w:color w:val="000000" w:themeColor="text1"/>
          <w:szCs w:val="20"/>
        </w:rPr>
        <w:t xml:space="preserve">. </w:t>
      </w:r>
      <w:r w:rsidR="00714E38" w:rsidRPr="00617A89">
        <w:rPr>
          <w:rFonts w:eastAsia="Times New Roman" w:cs="Times New Roman"/>
          <w:color w:val="000000" w:themeColor="text1"/>
          <w:szCs w:val="20"/>
        </w:rPr>
        <w:t xml:space="preserve">Some of the </w:t>
      </w:r>
      <w:r w:rsidR="007C582F" w:rsidRPr="00617A89">
        <w:rPr>
          <w:rFonts w:eastAsia="Times New Roman" w:cs="Times New Roman"/>
          <w:color w:val="000000" w:themeColor="text1"/>
          <w:szCs w:val="20"/>
        </w:rPr>
        <w:t>largest</w:t>
      </w:r>
      <w:r w:rsidR="00714E38" w:rsidRPr="00617A89">
        <w:rPr>
          <w:rFonts w:eastAsia="Times New Roman" w:cs="Times New Roman"/>
          <w:color w:val="000000" w:themeColor="text1"/>
          <w:szCs w:val="20"/>
        </w:rPr>
        <w:t xml:space="preserve"> differences in full-time employment rates between domestic and international undergraduates in the short-term</w:t>
      </w:r>
      <w:r w:rsidR="00DD0D45" w:rsidRPr="00617A89">
        <w:rPr>
          <w:rFonts w:eastAsia="Times New Roman" w:cs="Times New Roman"/>
          <w:color w:val="000000" w:themeColor="text1"/>
          <w:szCs w:val="20"/>
        </w:rPr>
        <w:t xml:space="preserve"> were from the </w:t>
      </w:r>
      <w:r w:rsidR="0016313A" w:rsidRPr="00617A89">
        <w:rPr>
          <w:rFonts w:eastAsia="Times New Roman" w:cs="Times New Roman"/>
          <w:color w:val="000000" w:themeColor="text1"/>
          <w:szCs w:val="20"/>
        </w:rPr>
        <w:t xml:space="preserve">most </w:t>
      </w:r>
      <w:r w:rsidR="00F73138" w:rsidRPr="00617A89">
        <w:rPr>
          <w:rFonts w:eastAsia="Times New Roman" w:cs="Times New Roman"/>
          <w:color w:val="000000" w:themeColor="text1"/>
          <w:szCs w:val="20"/>
        </w:rPr>
        <w:t>populous</w:t>
      </w:r>
      <w:r w:rsidR="0016313A" w:rsidRPr="00617A89">
        <w:rPr>
          <w:rFonts w:eastAsia="Times New Roman" w:cs="Times New Roman"/>
          <w:color w:val="000000" w:themeColor="text1"/>
          <w:szCs w:val="20"/>
        </w:rPr>
        <w:t xml:space="preserve"> </w:t>
      </w:r>
      <w:r w:rsidR="009D6773" w:rsidRPr="00617A89">
        <w:rPr>
          <w:rFonts w:eastAsia="Times New Roman" w:cs="Times New Roman"/>
          <w:color w:val="000000" w:themeColor="text1"/>
          <w:szCs w:val="20"/>
        </w:rPr>
        <w:t>st</w:t>
      </w:r>
      <w:r w:rsidR="0034524C" w:rsidRPr="00617A89">
        <w:rPr>
          <w:rFonts w:eastAsia="Times New Roman" w:cs="Times New Roman"/>
          <w:color w:val="000000" w:themeColor="text1"/>
          <w:szCs w:val="20"/>
        </w:rPr>
        <w:t>udy areas</w:t>
      </w:r>
      <w:r w:rsidR="009D6773" w:rsidRPr="00617A89">
        <w:rPr>
          <w:rFonts w:eastAsia="Times New Roman" w:cs="Times New Roman"/>
          <w:color w:val="000000" w:themeColor="text1"/>
          <w:szCs w:val="20"/>
        </w:rPr>
        <w:t xml:space="preserve"> for international graduates. </w:t>
      </w:r>
      <w:r w:rsidR="00FF050E" w:rsidRPr="00617A89">
        <w:rPr>
          <w:rFonts w:eastAsia="Times New Roman" w:cs="Times New Roman"/>
          <w:color w:val="000000" w:themeColor="text1"/>
          <w:szCs w:val="20"/>
        </w:rPr>
        <w:t>For example, 23.8 per cent of international undergraduates completed studies in the Business and management</w:t>
      </w:r>
      <w:r w:rsidR="00444DC6" w:rsidRPr="00617A89">
        <w:rPr>
          <w:rFonts w:eastAsia="Times New Roman" w:cs="Times New Roman"/>
          <w:color w:val="000000" w:themeColor="text1"/>
          <w:szCs w:val="20"/>
        </w:rPr>
        <w:t xml:space="preserve"> study area</w:t>
      </w:r>
      <w:r w:rsidR="00E91F88" w:rsidRPr="00617A89">
        <w:rPr>
          <w:rFonts w:eastAsia="Times New Roman" w:cs="Times New Roman"/>
          <w:color w:val="000000" w:themeColor="text1"/>
          <w:szCs w:val="20"/>
        </w:rPr>
        <w:t xml:space="preserve">, yet </w:t>
      </w:r>
      <w:r w:rsidR="006D20F2" w:rsidRPr="00617A89">
        <w:rPr>
          <w:rFonts w:eastAsia="Times New Roman" w:cs="Times New Roman"/>
          <w:color w:val="000000" w:themeColor="text1"/>
          <w:szCs w:val="20"/>
        </w:rPr>
        <w:t xml:space="preserve">the full-time employment rate was only </w:t>
      </w:r>
      <w:r w:rsidR="006D0FF0" w:rsidRPr="00617A89">
        <w:rPr>
          <w:rFonts w:eastAsia="Times New Roman" w:cs="Times New Roman"/>
          <w:color w:val="000000" w:themeColor="text1"/>
          <w:szCs w:val="20"/>
        </w:rPr>
        <w:t xml:space="preserve">59.3 per cent in the short-term, compared to </w:t>
      </w:r>
      <w:r w:rsidR="005B7C71" w:rsidRPr="00617A89">
        <w:rPr>
          <w:rFonts w:eastAsia="Times New Roman" w:cs="Times New Roman"/>
          <w:color w:val="000000" w:themeColor="text1"/>
          <w:szCs w:val="20"/>
        </w:rPr>
        <w:t xml:space="preserve">84.8 per cent for domestic undergraduates. </w:t>
      </w:r>
      <w:r w:rsidR="004F2E57" w:rsidRPr="00617A89">
        <w:rPr>
          <w:rFonts w:eastAsia="Times New Roman" w:cs="Times New Roman"/>
          <w:color w:val="000000" w:themeColor="text1"/>
          <w:szCs w:val="20"/>
        </w:rPr>
        <w:t>Similar differences were observed</w:t>
      </w:r>
      <w:r w:rsidR="00207807" w:rsidRPr="00617A89">
        <w:rPr>
          <w:rFonts w:eastAsia="Times New Roman" w:cs="Times New Roman"/>
          <w:color w:val="000000" w:themeColor="text1"/>
          <w:szCs w:val="20"/>
        </w:rPr>
        <w:t xml:space="preserve"> for the Computing and information systems study area. </w:t>
      </w:r>
      <w:r w:rsidR="00985277" w:rsidRPr="00617A89">
        <w:rPr>
          <w:rFonts w:eastAsia="Times New Roman" w:cs="Times New Roman"/>
          <w:color w:val="000000" w:themeColor="text1"/>
          <w:szCs w:val="20"/>
        </w:rPr>
        <w:t xml:space="preserve">These findings indicate that </w:t>
      </w:r>
      <w:r w:rsidR="000B7C78" w:rsidRPr="00617A89">
        <w:rPr>
          <w:rFonts w:eastAsia="Times New Roman" w:cs="Times New Roman"/>
          <w:color w:val="000000" w:themeColor="text1"/>
          <w:szCs w:val="20"/>
        </w:rPr>
        <w:t>study area preferences of international undergraduates</w:t>
      </w:r>
      <w:r w:rsidR="002E072F" w:rsidRPr="00617A89">
        <w:rPr>
          <w:rFonts w:eastAsia="Times New Roman" w:cs="Times New Roman"/>
          <w:color w:val="000000" w:themeColor="text1"/>
          <w:szCs w:val="20"/>
        </w:rPr>
        <w:t xml:space="preserve"> do not explain</w:t>
      </w:r>
      <w:r w:rsidR="00FF5F84" w:rsidRPr="00617A89">
        <w:rPr>
          <w:rFonts w:eastAsia="Times New Roman" w:cs="Times New Roman"/>
          <w:color w:val="000000" w:themeColor="text1"/>
          <w:szCs w:val="20"/>
        </w:rPr>
        <w:t xml:space="preserve"> the lower employment outcomes of international undergraduates</w:t>
      </w:r>
      <w:r w:rsidR="003D4597" w:rsidRPr="00617A89">
        <w:rPr>
          <w:rFonts w:eastAsia="Times New Roman" w:cs="Times New Roman"/>
          <w:color w:val="000000" w:themeColor="text1"/>
          <w:szCs w:val="20"/>
        </w:rPr>
        <w:t xml:space="preserve"> overall</w:t>
      </w:r>
      <w:r w:rsidR="00182317" w:rsidRPr="00617A89">
        <w:rPr>
          <w:rFonts w:eastAsia="Times New Roman" w:cs="Times New Roman"/>
          <w:color w:val="000000" w:themeColor="text1"/>
          <w:szCs w:val="20"/>
        </w:rPr>
        <w:t xml:space="preserve">, as the largest study areas for international graduates </w:t>
      </w:r>
      <w:r w:rsidR="00621809" w:rsidRPr="00617A89">
        <w:rPr>
          <w:rFonts w:eastAsia="Times New Roman" w:cs="Times New Roman"/>
          <w:color w:val="000000" w:themeColor="text1"/>
          <w:szCs w:val="20"/>
        </w:rPr>
        <w:t xml:space="preserve">have some of the </w:t>
      </w:r>
      <w:r w:rsidR="000570EE" w:rsidRPr="00617A89">
        <w:rPr>
          <w:rFonts w:eastAsia="Times New Roman" w:cs="Times New Roman"/>
          <w:color w:val="000000" w:themeColor="text1"/>
          <w:szCs w:val="20"/>
        </w:rPr>
        <w:t>widest</w:t>
      </w:r>
      <w:r w:rsidR="007A10AB" w:rsidRPr="00617A89">
        <w:rPr>
          <w:rFonts w:eastAsia="Times New Roman" w:cs="Times New Roman"/>
          <w:color w:val="000000" w:themeColor="text1"/>
          <w:szCs w:val="20"/>
        </w:rPr>
        <w:t xml:space="preserve"> gaps between international and domestic outcomes. </w:t>
      </w:r>
    </w:p>
    <w:p w14:paraId="23BB468E" w14:textId="1AB17FCB" w:rsidR="003D4597" w:rsidRPr="00617A89" w:rsidRDefault="00AA5E33"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Short-term f</w:t>
      </w:r>
      <w:r w:rsidR="003139AF" w:rsidRPr="00617A89">
        <w:rPr>
          <w:rFonts w:eastAsia="Times New Roman" w:cs="Times New Roman"/>
          <w:color w:val="000000" w:themeColor="text1"/>
          <w:szCs w:val="20"/>
        </w:rPr>
        <w:t>ull-time employment rates</w:t>
      </w:r>
      <w:r w:rsidR="00357291" w:rsidRPr="00617A89">
        <w:rPr>
          <w:rFonts w:eastAsia="Times New Roman" w:cs="Times New Roman"/>
          <w:color w:val="000000" w:themeColor="text1"/>
          <w:szCs w:val="20"/>
        </w:rPr>
        <w:t xml:space="preserve"> were high for both domestic and international undergraduates</w:t>
      </w:r>
      <w:r w:rsidRPr="00617A89">
        <w:rPr>
          <w:rFonts w:eastAsia="Times New Roman" w:cs="Times New Roman"/>
          <w:color w:val="000000" w:themeColor="text1"/>
          <w:szCs w:val="20"/>
        </w:rPr>
        <w:t xml:space="preserve"> </w:t>
      </w:r>
      <w:r w:rsidR="00E56844" w:rsidRPr="00617A89">
        <w:rPr>
          <w:rFonts w:eastAsia="Times New Roman" w:cs="Times New Roman"/>
          <w:color w:val="000000" w:themeColor="text1"/>
          <w:szCs w:val="20"/>
        </w:rPr>
        <w:t>from</w:t>
      </w:r>
      <w:r w:rsidRPr="00617A89">
        <w:rPr>
          <w:rFonts w:eastAsia="Times New Roman" w:cs="Times New Roman"/>
          <w:color w:val="000000" w:themeColor="text1"/>
          <w:szCs w:val="20"/>
        </w:rPr>
        <w:t xml:space="preserve"> the</w:t>
      </w:r>
      <w:r w:rsidR="00E56844" w:rsidRPr="00617A89">
        <w:rPr>
          <w:rFonts w:eastAsia="Times New Roman" w:cs="Times New Roman"/>
          <w:color w:val="000000" w:themeColor="text1"/>
          <w:szCs w:val="20"/>
        </w:rPr>
        <w:t xml:space="preserve"> area of</w:t>
      </w:r>
      <w:r w:rsidRPr="00617A89">
        <w:rPr>
          <w:rFonts w:eastAsia="Times New Roman" w:cs="Times New Roman"/>
          <w:color w:val="000000" w:themeColor="text1"/>
          <w:szCs w:val="20"/>
        </w:rPr>
        <w:t xml:space="preserve"> Medicine</w:t>
      </w:r>
      <w:r w:rsidR="00986612" w:rsidRPr="00617A89">
        <w:rPr>
          <w:rFonts w:eastAsia="Times New Roman" w:cs="Times New Roman"/>
          <w:color w:val="000000" w:themeColor="text1"/>
          <w:szCs w:val="20"/>
        </w:rPr>
        <w:t xml:space="preserve">, </w:t>
      </w:r>
      <w:r w:rsidR="004513D3" w:rsidRPr="00617A89">
        <w:rPr>
          <w:rFonts w:eastAsia="Times New Roman" w:cs="Times New Roman"/>
          <w:color w:val="000000" w:themeColor="text1"/>
          <w:szCs w:val="20"/>
        </w:rPr>
        <w:t xml:space="preserve">at </w:t>
      </w:r>
      <w:r w:rsidR="00986612" w:rsidRPr="00617A89">
        <w:rPr>
          <w:rFonts w:eastAsia="Times New Roman" w:cs="Times New Roman"/>
          <w:color w:val="000000" w:themeColor="text1"/>
          <w:szCs w:val="20"/>
        </w:rPr>
        <w:t>91.9 per cent and 88.9 per cent respectively.</w:t>
      </w:r>
      <w:r w:rsidR="008C100B" w:rsidRPr="00617A89">
        <w:rPr>
          <w:rFonts w:eastAsia="Times New Roman" w:cs="Times New Roman"/>
          <w:color w:val="000000" w:themeColor="text1"/>
          <w:szCs w:val="20"/>
        </w:rPr>
        <w:t xml:space="preserve"> </w:t>
      </w:r>
      <w:r w:rsidR="00300CCE" w:rsidRPr="00617A89">
        <w:rPr>
          <w:rFonts w:eastAsia="Times New Roman" w:cs="Times New Roman"/>
          <w:color w:val="000000" w:themeColor="text1"/>
          <w:szCs w:val="20"/>
        </w:rPr>
        <w:t>These</w:t>
      </w:r>
      <w:r w:rsidR="008C100B" w:rsidRPr="00617A89">
        <w:rPr>
          <w:rFonts w:eastAsia="Times New Roman" w:cs="Times New Roman"/>
          <w:color w:val="000000" w:themeColor="text1"/>
          <w:szCs w:val="20"/>
        </w:rPr>
        <w:t xml:space="preserve"> rates </w:t>
      </w:r>
      <w:r w:rsidR="00300CCE" w:rsidRPr="00617A89">
        <w:rPr>
          <w:rFonts w:eastAsia="Times New Roman" w:cs="Times New Roman"/>
          <w:color w:val="000000" w:themeColor="text1"/>
          <w:szCs w:val="20"/>
        </w:rPr>
        <w:t xml:space="preserve">are high </w:t>
      </w:r>
      <w:r w:rsidR="00276A76" w:rsidRPr="00617A89">
        <w:rPr>
          <w:rFonts w:eastAsia="Times New Roman" w:cs="Times New Roman"/>
          <w:color w:val="000000" w:themeColor="text1"/>
          <w:szCs w:val="20"/>
        </w:rPr>
        <w:t xml:space="preserve">relative to the average </w:t>
      </w:r>
      <w:r w:rsidR="00300CCE" w:rsidRPr="00617A89">
        <w:rPr>
          <w:rFonts w:eastAsia="Times New Roman" w:cs="Times New Roman"/>
          <w:color w:val="000000" w:themeColor="text1"/>
          <w:szCs w:val="20"/>
        </w:rPr>
        <w:t xml:space="preserve">short-term </w:t>
      </w:r>
      <w:r w:rsidR="00276A76" w:rsidRPr="00617A89">
        <w:rPr>
          <w:rFonts w:eastAsia="Times New Roman" w:cs="Times New Roman"/>
          <w:color w:val="000000" w:themeColor="text1"/>
          <w:szCs w:val="20"/>
        </w:rPr>
        <w:t xml:space="preserve">full-time employment rate </w:t>
      </w:r>
      <w:r w:rsidR="008C100B" w:rsidRPr="00617A89">
        <w:rPr>
          <w:rFonts w:eastAsia="Times New Roman" w:cs="Times New Roman"/>
          <w:color w:val="000000" w:themeColor="text1"/>
          <w:szCs w:val="20"/>
        </w:rPr>
        <w:t xml:space="preserve">for </w:t>
      </w:r>
      <w:r w:rsidR="00276A76" w:rsidRPr="00617A89">
        <w:rPr>
          <w:rFonts w:eastAsia="Times New Roman" w:cs="Times New Roman"/>
          <w:color w:val="000000" w:themeColor="text1"/>
          <w:szCs w:val="20"/>
        </w:rPr>
        <w:t xml:space="preserve">each of the </w:t>
      </w:r>
      <w:r w:rsidR="008C100B" w:rsidRPr="00617A89">
        <w:rPr>
          <w:rFonts w:eastAsia="Times New Roman" w:cs="Times New Roman"/>
          <w:color w:val="000000" w:themeColor="text1"/>
          <w:szCs w:val="20"/>
        </w:rPr>
        <w:t>cohorts</w:t>
      </w:r>
      <w:r w:rsidR="00300CCE" w:rsidRPr="00617A89">
        <w:rPr>
          <w:rFonts w:eastAsia="Times New Roman" w:cs="Times New Roman"/>
          <w:color w:val="000000" w:themeColor="text1"/>
          <w:szCs w:val="20"/>
        </w:rPr>
        <w:t>,</w:t>
      </w:r>
      <w:r w:rsidR="008C100B" w:rsidRPr="00617A89">
        <w:rPr>
          <w:rFonts w:eastAsia="Times New Roman" w:cs="Times New Roman"/>
          <w:color w:val="000000" w:themeColor="text1"/>
          <w:szCs w:val="20"/>
        </w:rPr>
        <w:t xml:space="preserve"> </w:t>
      </w:r>
      <w:r w:rsidR="00300CCE" w:rsidRPr="00617A89">
        <w:rPr>
          <w:rFonts w:eastAsia="Times New Roman" w:cs="Times New Roman"/>
          <w:color w:val="000000" w:themeColor="text1"/>
          <w:szCs w:val="20"/>
        </w:rPr>
        <w:t>79.5 per cent for domestic graduates and 60.5 per cent for international graduates. This</w:t>
      </w:r>
      <w:r w:rsidR="00276A76" w:rsidRPr="00617A89">
        <w:rPr>
          <w:rFonts w:eastAsia="Times New Roman" w:cs="Times New Roman"/>
          <w:color w:val="000000" w:themeColor="text1"/>
          <w:szCs w:val="20"/>
        </w:rPr>
        <w:t xml:space="preserve"> </w:t>
      </w:r>
      <w:r w:rsidR="00B35B85" w:rsidRPr="00617A89">
        <w:rPr>
          <w:rFonts w:eastAsia="Times New Roman" w:cs="Times New Roman"/>
          <w:color w:val="000000" w:themeColor="text1"/>
          <w:szCs w:val="20"/>
        </w:rPr>
        <w:t>suggest</w:t>
      </w:r>
      <w:r w:rsidR="00300CCE" w:rsidRPr="00617A89">
        <w:rPr>
          <w:rFonts w:eastAsia="Times New Roman" w:cs="Times New Roman"/>
          <w:color w:val="000000" w:themeColor="text1"/>
          <w:szCs w:val="20"/>
        </w:rPr>
        <w:t>s</w:t>
      </w:r>
      <w:r w:rsidR="00B35B85" w:rsidRPr="00617A89">
        <w:rPr>
          <w:rFonts w:eastAsia="Times New Roman" w:cs="Times New Roman"/>
          <w:color w:val="000000" w:themeColor="text1"/>
          <w:szCs w:val="20"/>
        </w:rPr>
        <w:t xml:space="preserve"> there is</w:t>
      </w:r>
      <w:r w:rsidR="008C100B" w:rsidRPr="00617A89">
        <w:rPr>
          <w:rFonts w:eastAsia="Times New Roman" w:cs="Times New Roman"/>
          <w:color w:val="000000" w:themeColor="text1"/>
          <w:szCs w:val="20"/>
        </w:rPr>
        <w:t xml:space="preserve"> strong </w:t>
      </w:r>
      <w:r w:rsidR="00C479E9" w:rsidRPr="00617A89">
        <w:rPr>
          <w:rFonts w:eastAsia="Times New Roman" w:cs="Times New Roman"/>
          <w:color w:val="000000" w:themeColor="text1"/>
          <w:szCs w:val="20"/>
        </w:rPr>
        <w:t xml:space="preserve">labour market demand for graduates </w:t>
      </w:r>
      <w:r w:rsidR="00276A76" w:rsidRPr="00617A89">
        <w:rPr>
          <w:rFonts w:eastAsia="Times New Roman" w:cs="Times New Roman"/>
          <w:color w:val="000000" w:themeColor="text1"/>
          <w:szCs w:val="20"/>
        </w:rPr>
        <w:t>from this study area</w:t>
      </w:r>
      <w:r w:rsidR="00C479E9" w:rsidRPr="00617A89">
        <w:rPr>
          <w:rFonts w:eastAsia="Times New Roman" w:cs="Times New Roman"/>
          <w:color w:val="000000" w:themeColor="text1"/>
          <w:szCs w:val="20"/>
        </w:rPr>
        <w:t>.</w:t>
      </w:r>
    </w:p>
    <w:p w14:paraId="75A08AFF" w14:textId="386FC375" w:rsidR="00B42ACB" w:rsidRPr="00617A89" w:rsidRDefault="005A5A6D"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The effect previously noted for domestic graduates regarding vocational</w:t>
      </w:r>
      <w:r w:rsidR="009B2629" w:rsidRPr="00617A89">
        <w:rPr>
          <w:rFonts w:eastAsia="Times New Roman" w:cs="Times New Roman"/>
          <w:color w:val="000000" w:themeColor="text1"/>
          <w:szCs w:val="20"/>
        </w:rPr>
        <w:t>ly</w:t>
      </w:r>
      <w:r w:rsidR="00366574" w:rsidRPr="00617A89">
        <w:rPr>
          <w:rFonts w:eastAsia="Times New Roman" w:cs="Times New Roman"/>
          <w:color w:val="000000" w:themeColor="text1"/>
          <w:szCs w:val="20"/>
        </w:rPr>
        <w:t>-</w:t>
      </w:r>
      <w:r w:rsidRPr="00617A89">
        <w:rPr>
          <w:rFonts w:eastAsia="Times New Roman" w:cs="Times New Roman"/>
          <w:color w:val="000000" w:themeColor="text1"/>
          <w:szCs w:val="20"/>
        </w:rPr>
        <w:t xml:space="preserve">oriented </w:t>
      </w:r>
      <w:r w:rsidR="009B2629" w:rsidRPr="00617A89">
        <w:rPr>
          <w:rFonts w:eastAsia="Times New Roman" w:cs="Times New Roman"/>
          <w:color w:val="000000" w:themeColor="text1"/>
          <w:szCs w:val="20"/>
        </w:rPr>
        <w:t xml:space="preserve">study </w:t>
      </w:r>
      <w:r w:rsidRPr="00617A89">
        <w:rPr>
          <w:rFonts w:eastAsia="Times New Roman" w:cs="Times New Roman"/>
          <w:color w:val="000000" w:themeColor="text1"/>
          <w:szCs w:val="20"/>
        </w:rPr>
        <w:t>areas is more pronounced for i</w:t>
      </w:r>
      <w:r w:rsidR="00C5192E" w:rsidRPr="00617A89">
        <w:rPr>
          <w:rFonts w:eastAsia="Times New Roman" w:cs="Times New Roman"/>
          <w:color w:val="000000" w:themeColor="text1"/>
          <w:szCs w:val="20"/>
        </w:rPr>
        <w:t>nternational graduates</w:t>
      </w:r>
      <w:r w:rsidRPr="00617A89">
        <w:rPr>
          <w:rFonts w:eastAsia="Times New Roman" w:cs="Times New Roman"/>
          <w:color w:val="000000" w:themeColor="text1"/>
          <w:szCs w:val="20"/>
        </w:rPr>
        <w:t>. T</w:t>
      </w:r>
      <w:r w:rsidR="00846FBA" w:rsidRPr="00617A89">
        <w:rPr>
          <w:rFonts w:eastAsia="Times New Roman" w:cs="Times New Roman"/>
          <w:color w:val="000000" w:themeColor="text1"/>
          <w:szCs w:val="20"/>
        </w:rPr>
        <w:t xml:space="preserve">he Social work and Health services and support study areas reported </w:t>
      </w:r>
      <w:r w:rsidR="00C5192E" w:rsidRPr="00617A89">
        <w:rPr>
          <w:rFonts w:eastAsia="Times New Roman" w:cs="Times New Roman"/>
          <w:color w:val="000000" w:themeColor="text1"/>
          <w:szCs w:val="20"/>
        </w:rPr>
        <w:t>short</w:t>
      </w:r>
      <w:r w:rsidR="00846FBA" w:rsidRPr="00617A89">
        <w:rPr>
          <w:rFonts w:eastAsia="Times New Roman" w:cs="Times New Roman"/>
          <w:color w:val="000000" w:themeColor="text1"/>
          <w:szCs w:val="20"/>
        </w:rPr>
        <w:noBreakHyphen/>
      </w:r>
      <w:r w:rsidR="00C5192E" w:rsidRPr="00617A89">
        <w:rPr>
          <w:rFonts w:eastAsia="Times New Roman" w:cs="Times New Roman"/>
          <w:color w:val="000000" w:themeColor="text1"/>
          <w:szCs w:val="20"/>
        </w:rPr>
        <w:t>term full-time employment rates</w:t>
      </w:r>
      <w:r w:rsidR="00846FBA" w:rsidRPr="00617A89">
        <w:rPr>
          <w:rFonts w:eastAsia="Times New Roman" w:cs="Times New Roman"/>
          <w:color w:val="000000" w:themeColor="text1"/>
          <w:szCs w:val="20"/>
        </w:rPr>
        <w:t xml:space="preserve"> </w:t>
      </w:r>
      <w:r w:rsidR="003949B5" w:rsidRPr="00617A89">
        <w:rPr>
          <w:rFonts w:eastAsia="Times New Roman" w:cs="Times New Roman"/>
          <w:color w:val="000000" w:themeColor="text1"/>
          <w:szCs w:val="20"/>
        </w:rPr>
        <w:t>of</w:t>
      </w:r>
      <w:r w:rsidR="00846FBA" w:rsidRPr="00617A89">
        <w:rPr>
          <w:rFonts w:eastAsia="Times New Roman" w:cs="Times New Roman"/>
          <w:color w:val="000000" w:themeColor="text1"/>
          <w:szCs w:val="20"/>
        </w:rPr>
        <w:t xml:space="preserve"> </w:t>
      </w:r>
      <w:r w:rsidR="00C5192E" w:rsidRPr="00617A89">
        <w:rPr>
          <w:rFonts w:eastAsia="Times New Roman" w:cs="Times New Roman"/>
          <w:color w:val="000000" w:themeColor="text1"/>
          <w:szCs w:val="20"/>
        </w:rPr>
        <w:t>72.1 per cent and 71.2 per cent respectively</w:t>
      </w:r>
      <w:r w:rsidRPr="00617A89">
        <w:rPr>
          <w:rFonts w:eastAsia="Times New Roman" w:cs="Times New Roman"/>
          <w:color w:val="000000" w:themeColor="text1"/>
          <w:szCs w:val="20"/>
        </w:rPr>
        <w:t>, notably higher than the cohort average (60.5 per cent)</w:t>
      </w:r>
      <w:r w:rsidR="00846FBA" w:rsidRPr="00617A89">
        <w:rPr>
          <w:rFonts w:eastAsia="Times New Roman" w:cs="Times New Roman"/>
          <w:color w:val="000000" w:themeColor="text1"/>
          <w:szCs w:val="20"/>
        </w:rPr>
        <w:t xml:space="preserve">. </w:t>
      </w:r>
      <w:r w:rsidR="003949B5" w:rsidRPr="00617A89">
        <w:rPr>
          <w:rFonts w:eastAsia="Times New Roman" w:cs="Times New Roman"/>
          <w:color w:val="000000" w:themeColor="text1"/>
          <w:szCs w:val="20"/>
        </w:rPr>
        <w:t>In contrast, more generalist study areas like Humanities, culture and social sciences, and Science and mathematics, reported short-term full-time employment rates below the cohort average, at 53.4 per cent and 52.5 per cent respectively.</w:t>
      </w:r>
    </w:p>
    <w:p w14:paraId="6C142057" w14:textId="77777777" w:rsidR="00476DE4" w:rsidRPr="00617A89" w:rsidRDefault="00FE49CF"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A</w:t>
      </w:r>
      <w:r w:rsidR="00B62DF8" w:rsidRPr="00617A89">
        <w:rPr>
          <w:rFonts w:eastAsia="Times New Roman" w:cs="Times New Roman"/>
          <w:color w:val="000000" w:themeColor="text1"/>
          <w:szCs w:val="20"/>
        </w:rPr>
        <w:t>cross most study areas</w:t>
      </w:r>
      <w:r w:rsidRPr="00617A89">
        <w:rPr>
          <w:rFonts w:eastAsia="Times New Roman" w:cs="Times New Roman"/>
          <w:color w:val="000000" w:themeColor="text1"/>
          <w:szCs w:val="20"/>
        </w:rPr>
        <w:t>,</w:t>
      </w:r>
      <w:r w:rsidR="00B62DF8" w:rsidRPr="00617A89">
        <w:rPr>
          <w:rFonts w:eastAsia="Times New Roman" w:cs="Times New Roman"/>
          <w:color w:val="000000" w:themeColor="text1"/>
          <w:szCs w:val="20"/>
        </w:rPr>
        <w:t xml:space="preserve"> </w:t>
      </w:r>
      <w:r w:rsidRPr="00617A89">
        <w:rPr>
          <w:rFonts w:eastAsia="Times New Roman" w:cs="Times New Roman"/>
          <w:color w:val="000000" w:themeColor="text1"/>
          <w:szCs w:val="20"/>
        </w:rPr>
        <w:t>f</w:t>
      </w:r>
      <w:r w:rsidR="004F5A6A" w:rsidRPr="00617A89">
        <w:rPr>
          <w:rFonts w:eastAsia="Times New Roman" w:cs="Times New Roman"/>
          <w:color w:val="000000" w:themeColor="text1"/>
          <w:szCs w:val="20"/>
        </w:rPr>
        <w:t>ull-time employment rates increased</w:t>
      </w:r>
      <w:r w:rsidR="00B677B7" w:rsidRPr="00617A89">
        <w:rPr>
          <w:rFonts w:eastAsia="Times New Roman" w:cs="Times New Roman"/>
          <w:color w:val="000000" w:themeColor="text1"/>
          <w:szCs w:val="20"/>
        </w:rPr>
        <w:t xml:space="preserve"> at a higher rate for international undergraduates</w:t>
      </w:r>
      <w:r w:rsidR="008E0B2A" w:rsidRPr="00617A89">
        <w:rPr>
          <w:rFonts w:eastAsia="Times New Roman" w:cs="Times New Roman"/>
          <w:color w:val="000000" w:themeColor="text1"/>
          <w:szCs w:val="20"/>
        </w:rPr>
        <w:t xml:space="preserve"> over the 3-year period</w:t>
      </w:r>
      <w:r w:rsidR="00375C89" w:rsidRPr="00617A89">
        <w:rPr>
          <w:rFonts w:eastAsia="Times New Roman" w:cs="Times New Roman"/>
          <w:color w:val="000000" w:themeColor="text1"/>
          <w:szCs w:val="20"/>
        </w:rPr>
        <w:t xml:space="preserve"> than they did for domestic undergraduates, </w:t>
      </w:r>
      <w:r w:rsidR="0049563F" w:rsidRPr="00617A89">
        <w:rPr>
          <w:rFonts w:eastAsia="Times New Roman" w:cs="Times New Roman"/>
          <w:color w:val="000000" w:themeColor="text1"/>
          <w:szCs w:val="20"/>
        </w:rPr>
        <w:t xml:space="preserve">leading to a much closer </w:t>
      </w:r>
      <w:r w:rsidR="00602C66" w:rsidRPr="00617A89">
        <w:rPr>
          <w:rFonts w:eastAsia="Times New Roman" w:cs="Times New Roman"/>
          <w:color w:val="000000" w:themeColor="text1"/>
          <w:szCs w:val="20"/>
        </w:rPr>
        <w:t xml:space="preserve">average </w:t>
      </w:r>
      <w:r w:rsidR="0049563F" w:rsidRPr="00617A89">
        <w:rPr>
          <w:rFonts w:eastAsia="Times New Roman" w:cs="Times New Roman"/>
          <w:color w:val="000000" w:themeColor="text1"/>
          <w:szCs w:val="20"/>
        </w:rPr>
        <w:t xml:space="preserve">full-time employment rate in the medium-term. </w:t>
      </w:r>
    </w:p>
    <w:p w14:paraId="7C6C68C8" w14:textId="4FBF3482" w:rsidR="00FF0B3B" w:rsidRPr="00617A89" w:rsidRDefault="00FC31B7" w:rsidP="00177A30">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 xml:space="preserve">In some of the biggest study areas for international undergraduates, </w:t>
      </w:r>
      <w:r w:rsidR="00994108" w:rsidRPr="00617A89">
        <w:rPr>
          <w:rFonts w:eastAsia="Times New Roman" w:cs="Times New Roman"/>
          <w:color w:val="000000" w:themeColor="text1"/>
          <w:szCs w:val="20"/>
        </w:rPr>
        <w:t>full-time employment rates</w:t>
      </w:r>
      <w:r w:rsidR="00291B94" w:rsidRPr="00617A89">
        <w:rPr>
          <w:rFonts w:eastAsia="Times New Roman" w:cs="Times New Roman"/>
          <w:color w:val="000000" w:themeColor="text1"/>
          <w:szCs w:val="20"/>
        </w:rPr>
        <w:t xml:space="preserve"> increased at more than twice the rate </w:t>
      </w:r>
      <w:r w:rsidR="00520EA5" w:rsidRPr="00617A89">
        <w:rPr>
          <w:rFonts w:eastAsia="Times New Roman" w:cs="Times New Roman"/>
          <w:color w:val="000000" w:themeColor="text1"/>
          <w:szCs w:val="20"/>
        </w:rPr>
        <w:t>for</w:t>
      </w:r>
      <w:r w:rsidR="00291B94" w:rsidRPr="00617A89">
        <w:rPr>
          <w:rFonts w:eastAsia="Times New Roman" w:cs="Times New Roman"/>
          <w:color w:val="000000" w:themeColor="text1"/>
          <w:szCs w:val="20"/>
        </w:rPr>
        <w:t xml:space="preserve"> domestic undergraduate</w:t>
      </w:r>
      <w:r w:rsidR="00520EA5" w:rsidRPr="00617A89">
        <w:rPr>
          <w:rFonts w:eastAsia="Times New Roman" w:cs="Times New Roman"/>
          <w:color w:val="000000" w:themeColor="text1"/>
          <w:szCs w:val="20"/>
        </w:rPr>
        <w:t xml:space="preserve">s. For example, </w:t>
      </w:r>
      <w:r w:rsidR="00B819BC" w:rsidRPr="00617A89">
        <w:rPr>
          <w:rFonts w:eastAsia="Times New Roman" w:cs="Times New Roman"/>
          <w:color w:val="000000" w:themeColor="text1"/>
          <w:szCs w:val="20"/>
        </w:rPr>
        <w:t xml:space="preserve">full-time employment rates for </w:t>
      </w:r>
      <w:r w:rsidR="00520EA5" w:rsidRPr="00617A89">
        <w:rPr>
          <w:rFonts w:eastAsia="Times New Roman" w:cs="Times New Roman"/>
          <w:color w:val="000000" w:themeColor="text1"/>
          <w:szCs w:val="20"/>
        </w:rPr>
        <w:t xml:space="preserve">international </w:t>
      </w:r>
      <w:r w:rsidR="00B819BC" w:rsidRPr="00617A89">
        <w:rPr>
          <w:rFonts w:eastAsia="Times New Roman" w:cs="Times New Roman"/>
          <w:color w:val="000000" w:themeColor="text1"/>
          <w:szCs w:val="20"/>
        </w:rPr>
        <w:t xml:space="preserve">undergraduates from </w:t>
      </w:r>
      <w:r w:rsidR="00520EA5" w:rsidRPr="00617A89">
        <w:rPr>
          <w:rFonts w:eastAsia="Times New Roman" w:cs="Times New Roman"/>
          <w:color w:val="000000" w:themeColor="text1"/>
          <w:szCs w:val="20"/>
        </w:rPr>
        <w:t xml:space="preserve">Business and management rose by </w:t>
      </w:r>
      <w:r w:rsidR="00343984" w:rsidRPr="00617A89">
        <w:rPr>
          <w:rFonts w:eastAsia="Times New Roman" w:cs="Times New Roman"/>
          <w:color w:val="000000" w:themeColor="text1"/>
          <w:szCs w:val="20"/>
        </w:rPr>
        <w:t xml:space="preserve">25.1 percentage points over the 3-year period, compared to a </w:t>
      </w:r>
      <w:r w:rsidR="00F921BB" w:rsidRPr="00617A89">
        <w:rPr>
          <w:rFonts w:eastAsia="Times New Roman" w:cs="Times New Roman"/>
          <w:color w:val="000000" w:themeColor="text1"/>
          <w:szCs w:val="20"/>
        </w:rPr>
        <w:t xml:space="preserve">9.3 percentage point increase for </w:t>
      </w:r>
      <w:r w:rsidR="00B819BC" w:rsidRPr="00617A89">
        <w:rPr>
          <w:rFonts w:eastAsia="Times New Roman" w:cs="Times New Roman"/>
          <w:color w:val="000000" w:themeColor="text1"/>
          <w:szCs w:val="20"/>
        </w:rPr>
        <w:t xml:space="preserve">their </w:t>
      </w:r>
      <w:r w:rsidR="00F921BB" w:rsidRPr="00617A89">
        <w:rPr>
          <w:rFonts w:eastAsia="Times New Roman" w:cs="Times New Roman"/>
          <w:color w:val="000000" w:themeColor="text1"/>
          <w:szCs w:val="20"/>
        </w:rPr>
        <w:t xml:space="preserve">domestic </w:t>
      </w:r>
      <w:r w:rsidR="00B819BC" w:rsidRPr="00617A89">
        <w:rPr>
          <w:rFonts w:eastAsia="Times New Roman" w:cs="Times New Roman"/>
          <w:color w:val="000000" w:themeColor="text1"/>
          <w:szCs w:val="20"/>
        </w:rPr>
        <w:t>counterparts</w:t>
      </w:r>
      <w:r w:rsidR="00F921BB" w:rsidRPr="00617A89">
        <w:rPr>
          <w:rFonts w:eastAsia="Times New Roman" w:cs="Times New Roman"/>
          <w:color w:val="000000" w:themeColor="text1"/>
          <w:szCs w:val="20"/>
        </w:rPr>
        <w:t xml:space="preserve">. </w:t>
      </w:r>
      <w:r w:rsidR="00241BC0" w:rsidRPr="00617A89">
        <w:rPr>
          <w:rFonts w:eastAsia="Times New Roman" w:cs="Times New Roman"/>
          <w:color w:val="000000" w:themeColor="text1"/>
          <w:szCs w:val="20"/>
        </w:rPr>
        <w:t xml:space="preserve">Large increases in Computing and information systems, </w:t>
      </w:r>
      <w:r w:rsidR="00E910F4" w:rsidRPr="00617A89">
        <w:rPr>
          <w:rFonts w:eastAsia="Times New Roman" w:cs="Times New Roman"/>
          <w:color w:val="000000" w:themeColor="text1"/>
          <w:szCs w:val="20"/>
        </w:rPr>
        <w:t>Engineering</w:t>
      </w:r>
      <w:r w:rsidR="0070729E" w:rsidRPr="00617A89">
        <w:rPr>
          <w:rFonts w:eastAsia="Times New Roman" w:cs="Times New Roman"/>
          <w:color w:val="000000" w:themeColor="text1"/>
          <w:szCs w:val="20"/>
        </w:rPr>
        <w:t>, Science and mathematics, and Nursing were also observed for international undergraduates</w:t>
      </w:r>
      <w:r w:rsidR="0091099D" w:rsidRPr="00617A89">
        <w:rPr>
          <w:rFonts w:eastAsia="Times New Roman" w:cs="Times New Roman"/>
          <w:color w:val="000000" w:themeColor="text1"/>
          <w:szCs w:val="20"/>
        </w:rPr>
        <w:t xml:space="preserve">, narrowing the gap with domestic undergraduates markedly. </w:t>
      </w:r>
      <w:r w:rsidR="00877B54" w:rsidRPr="00617A89">
        <w:rPr>
          <w:rFonts w:eastAsia="Times New Roman" w:cs="Times New Roman"/>
          <w:color w:val="000000" w:themeColor="text1"/>
          <w:szCs w:val="20"/>
        </w:rPr>
        <w:t>These findings</w:t>
      </w:r>
      <w:r w:rsidR="00085538" w:rsidRPr="00617A89">
        <w:rPr>
          <w:rFonts w:eastAsia="Times New Roman" w:cs="Times New Roman"/>
          <w:color w:val="000000" w:themeColor="text1"/>
          <w:szCs w:val="20"/>
        </w:rPr>
        <w:t xml:space="preserve"> by study area reaffirm earlier findings that it can take time for international undergraduates to obtain full-time hours</w:t>
      </w:r>
      <w:r w:rsidR="00E92E38" w:rsidRPr="00617A89">
        <w:rPr>
          <w:rFonts w:eastAsia="Times New Roman" w:cs="Times New Roman"/>
          <w:color w:val="000000" w:themeColor="text1"/>
          <w:szCs w:val="20"/>
        </w:rPr>
        <w:t>.</w:t>
      </w:r>
    </w:p>
    <w:p w14:paraId="3D8A3D1F" w14:textId="77777777" w:rsidR="00177A30" w:rsidRPr="00617A89" w:rsidRDefault="00177A30" w:rsidP="00177A30">
      <w:pPr>
        <w:rPr>
          <w:rFonts w:eastAsia="Calibri" w:cs="Arial"/>
          <w:color w:val="000000" w:themeColor="text1"/>
        </w:rPr>
      </w:pPr>
    </w:p>
    <w:p w14:paraId="7B57966A" w14:textId="77777777" w:rsidR="00177A30" w:rsidRPr="00617A89" w:rsidRDefault="00177A30" w:rsidP="00177A30">
      <w:pPr>
        <w:rPr>
          <w:rFonts w:eastAsia="Calibri" w:cs="Arial"/>
          <w:color w:val="000000" w:themeColor="text1"/>
        </w:rPr>
        <w:sectPr w:rsidR="00177A30" w:rsidRPr="00617A89" w:rsidSect="00177A30">
          <w:pgSz w:w="11900" w:h="16840"/>
          <w:pgMar w:top="720" w:right="720" w:bottom="720" w:left="720" w:header="397" w:footer="397" w:gutter="0"/>
          <w:cols w:space="708"/>
          <w:docGrid w:linePitch="360"/>
        </w:sectPr>
      </w:pPr>
    </w:p>
    <w:p w14:paraId="293F1D3E" w14:textId="18A51081" w:rsidR="00177A30" w:rsidRPr="00617A89" w:rsidRDefault="00177A30" w:rsidP="00E154F8">
      <w:pPr>
        <w:pStyle w:val="Caption"/>
        <w:rPr>
          <w:color w:val="000000" w:themeColor="text1"/>
        </w:rPr>
      </w:pPr>
      <w:bookmarkStart w:id="185" w:name="_Ref187142850"/>
      <w:bookmarkStart w:id="186" w:name="_Toc192180501"/>
      <w:bookmarkStart w:id="187" w:name="_Toc222868514"/>
      <w:r w:rsidRPr="00617A89">
        <w:rPr>
          <w:color w:val="000000" w:themeColor="text1"/>
        </w:rPr>
        <w:t xml:space="preserve">Figure </w:t>
      </w:r>
      <w:r w:rsidR="00DB7C31" w:rsidRPr="00617A89">
        <w:rPr>
          <w:color w:val="000000" w:themeColor="text1"/>
        </w:rPr>
        <w:fldChar w:fldCharType="begin"/>
      </w:r>
      <w:r w:rsidR="00DB7C31" w:rsidRPr="00617A89">
        <w:rPr>
          <w:color w:val="000000" w:themeColor="text1"/>
        </w:rPr>
        <w:instrText xml:space="preserve"> SEQ Figure \* ARABIC </w:instrText>
      </w:r>
      <w:r w:rsidR="00DB7C31" w:rsidRPr="00617A89">
        <w:rPr>
          <w:color w:val="000000" w:themeColor="text1"/>
        </w:rPr>
        <w:fldChar w:fldCharType="separate"/>
      </w:r>
      <w:r w:rsidR="00DB7C31" w:rsidRPr="00617A89">
        <w:rPr>
          <w:noProof/>
          <w:color w:val="000000" w:themeColor="text1"/>
        </w:rPr>
        <w:t>20</w:t>
      </w:r>
      <w:r w:rsidR="00DB7C31" w:rsidRPr="00617A89">
        <w:rPr>
          <w:noProof/>
          <w:color w:val="000000" w:themeColor="text1"/>
        </w:rPr>
        <w:fldChar w:fldCharType="end"/>
      </w:r>
      <w:bookmarkEnd w:id="185"/>
      <w:r w:rsidR="0062339E" w:rsidRPr="00617A89">
        <w:rPr>
          <w:noProof/>
          <w:color w:val="000000" w:themeColor="text1"/>
        </w:rPr>
        <w:tab/>
      </w:r>
      <w:r w:rsidRPr="00617A89">
        <w:rPr>
          <w:color w:val="000000" w:themeColor="text1"/>
        </w:rPr>
        <w:t>Undergraduate full-time employment rate by citizenship status and study area (%)</w:t>
      </w:r>
      <w:bookmarkEnd w:id="186"/>
      <w:bookmarkEnd w:id="187"/>
    </w:p>
    <w:p w14:paraId="32F37779" w14:textId="0C6EEE60" w:rsidR="00EF6479" w:rsidRPr="00617A89" w:rsidRDefault="00EF6479" w:rsidP="00EF6479">
      <w:pPr>
        <w:pStyle w:val="Body"/>
        <w:rPr>
          <w:lang w:eastAsia="en-AU"/>
        </w:rPr>
      </w:pPr>
      <w:r w:rsidRPr="00617A89">
        <w:rPr>
          <w:noProof/>
          <w:lang w:eastAsia="en-AU"/>
        </w:rPr>
        <w:drawing>
          <wp:inline distT="0" distB="0" distL="0" distR="0" wp14:anchorId="181F3CDF" wp14:editId="4AC6BBEE">
            <wp:extent cx="4517390" cy="5274733"/>
            <wp:effectExtent l="0" t="0" r="0" b="2540"/>
            <wp:docPr id="18402333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19002" cy="5276615"/>
                    </a:xfrm>
                    <a:prstGeom prst="rect">
                      <a:avLst/>
                    </a:prstGeom>
                    <a:noFill/>
                  </pic:spPr>
                </pic:pic>
              </a:graphicData>
            </a:graphic>
          </wp:inline>
        </w:drawing>
      </w:r>
      <w:r w:rsidRPr="00617A89">
        <w:rPr>
          <w:noProof/>
          <w:lang w:eastAsia="en-AU"/>
        </w:rPr>
        <w:drawing>
          <wp:inline distT="0" distB="0" distL="0" distR="0" wp14:anchorId="06DF44C9" wp14:editId="1EFAF332">
            <wp:extent cx="4859020" cy="5317067"/>
            <wp:effectExtent l="0" t="0" r="0" b="0"/>
            <wp:docPr id="2537156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62076" cy="5320411"/>
                    </a:xfrm>
                    <a:prstGeom prst="rect">
                      <a:avLst/>
                    </a:prstGeom>
                    <a:noFill/>
                  </pic:spPr>
                </pic:pic>
              </a:graphicData>
            </a:graphic>
          </wp:inline>
        </w:drawing>
      </w:r>
    </w:p>
    <w:p w14:paraId="7551A3FE" w14:textId="701E2428" w:rsidR="00177A30" w:rsidRPr="00617A89" w:rsidRDefault="00AE502E" w:rsidP="0062339E">
      <w:pPr>
        <w:spacing w:before="120"/>
        <w:jc w:val="both"/>
        <w:rPr>
          <w:rFonts w:eastAsia="Calibri" w:cs="Times New Roman"/>
          <w:color w:val="000000" w:themeColor="text1"/>
          <w:sz w:val="18"/>
          <w:szCs w:val="24"/>
          <w:lang w:val="en-GB"/>
        </w:rPr>
      </w:pPr>
      <w:r w:rsidRPr="00617A89">
        <w:rPr>
          <w:rFonts w:eastAsia="Calibri" w:cs="Times New Roman"/>
          <w:color w:val="000000" w:themeColor="text1"/>
          <w:sz w:val="18"/>
          <w:szCs w:val="24"/>
          <w:lang w:val="en-GB"/>
        </w:rPr>
        <w:t xml:space="preserve">Note: Only selected study areas are presented in this figure. For all study areas, refer to the FTE_ALL_ALL_1Y_AREA and FTE_ALL_ALL_1Y_AREA_INT worksheets in the 2025 GOS-L National Tables available on the QILT website. Medium-term full-time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w:t>
      </w:r>
      <w:r w:rsidRPr="00617A89">
        <w:rPr>
          <w:rFonts w:eastAsia="Calibri" w:cs="Times New Roman"/>
          <w:b/>
          <w:bCs/>
          <w:color w:val="000000" w:themeColor="text1"/>
          <w:sz w:val="18"/>
          <w:szCs w:val="24"/>
          <w:lang w:val="en-GB"/>
        </w:rPr>
        <w:t xml:space="preserve">See Appendix 1 </w:t>
      </w:r>
      <w:r w:rsidRPr="00617A89">
        <w:rPr>
          <w:rFonts w:eastAsia="Calibri" w:cs="Times New Roman"/>
          <w:color w:val="000000" w:themeColor="text1"/>
          <w:sz w:val="18"/>
          <w:szCs w:val="24"/>
          <w:lang w:val="en-GB"/>
        </w:rPr>
        <w:t>for further information.</w:t>
      </w:r>
    </w:p>
    <w:p w14:paraId="77D0901A" w14:textId="091A7BAF" w:rsidR="00761F01" w:rsidRPr="00617A89" w:rsidRDefault="00761F01" w:rsidP="00177A30">
      <w:pPr>
        <w:spacing w:before="120"/>
        <w:jc w:val="both"/>
        <w:rPr>
          <w:rFonts w:eastAsia="Calibri" w:cs="Times New Roman"/>
          <w:color w:val="000000" w:themeColor="text1"/>
          <w:sz w:val="18"/>
          <w:szCs w:val="24"/>
          <w:lang w:val="en-GB"/>
        </w:rPr>
      </w:pPr>
      <w:r w:rsidRPr="00617A89">
        <w:rPr>
          <w:rFonts w:eastAsia="Calibri" w:cs="Times New Roman"/>
          <w:color w:val="000000" w:themeColor="text1"/>
          <w:sz w:val="18"/>
          <w:szCs w:val="24"/>
          <w:lang w:val="en-GB"/>
        </w:rPr>
        <w:t>* International medium-term</w:t>
      </w:r>
      <w:r w:rsidR="00E85AC2" w:rsidRPr="00617A89">
        <w:rPr>
          <w:rFonts w:eastAsia="Calibri" w:cs="Times New Roman"/>
          <w:color w:val="000000" w:themeColor="text1"/>
          <w:sz w:val="18"/>
          <w:szCs w:val="24"/>
          <w:lang w:val="en-GB"/>
        </w:rPr>
        <w:t xml:space="preserve"> full-time employment </w:t>
      </w:r>
      <w:r w:rsidR="00FA1713" w:rsidRPr="00617A89">
        <w:rPr>
          <w:rFonts w:eastAsia="Calibri" w:cs="Times New Roman"/>
          <w:color w:val="000000" w:themeColor="text1"/>
          <w:sz w:val="18"/>
          <w:szCs w:val="24"/>
          <w:lang w:val="en-GB"/>
        </w:rPr>
        <w:t xml:space="preserve">rate for Medicine </w:t>
      </w:r>
      <w:r w:rsidR="00E85AC2" w:rsidRPr="00617A89">
        <w:rPr>
          <w:rFonts w:eastAsia="Calibri" w:cs="Times New Roman"/>
          <w:color w:val="000000" w:themeColor="text1"/>
          <w:sz w:val="18"/>
          <w:szCs w:val="24"/>
          <w:lang w:val="en-GB"/>
        </w:rPr>
        <w:t>suppressed due to insufficient data (n&lt;25).</w:t>
      </w:r>
    </w:p>
    <w:p w14:paraId="18788A64" w14:textId="77777777" w:rsidR="00177A30" w:rsidRPr="00617A89" w:rsidRDefault="00177A30" w:rsidP="00177A30">
      <w:pPr>
        <w:rPr>
          <w:rFonts w:eastAsia="Calibri" w:cs="Arial"/>
          <w:color w:val="000000" w:themeColor="text1"/>
        </w:rPr>
        <w:sectPr w:rsidR="00177A30" w:rsidRPr="00617A89" w:rsidSect="00177A30">
          <w:headerReference w:type="default" r:id="rId116"/>
          <w:footerReference w:type="default" r:id="rId117"/>
          <w:pgSz w:w="16840" w:h="11900" w:orient="landscape"/>
          <w:pgMar w:top="720" w:right="720" w:bottom="720" w:left="720" w:header="397" w:footer="397" w:gutter="0"/>
          <w:cols w:space="708"/>
          <w:docGrid w:linePitch="360"/>
        </w:sectPr>
      </w:pPr>
    </w:p>
    <w:p w14:paraId="22766B00" w14:textId="77777777" w:rsidR="00177A30" w:rsidRPr="00617A89" w:rsidRDefault="008B1FB7" w:rsidP="008B1FB7">
      <w:pPr>
        <w:pStyle w:val="Heading2"/>
        <w:rPr>
          <w:color w:val="000000" w:themeColor="text1"/>
          <w:lang w:val="en-GB"/>
        </w:rPr>
      </w:pPr>
      <w:bookmarkStart w:id="188" w:name="_Toc222868458"/>
      <w:r w:rsidRPr="00617A89">
        <w:rPr>
          <w:color w:val="000000" w:themeColor="text1"/>
          <w:lang w:val="en-GB"/>
        </w:rPr>
        <w:t>Source country</w:t>
      </w:r>
      <w:bookmarkEnd w:id="188"/>
    </w:p>
    <w:p w14:paraId="021DADC0" w14:textId="24E5308C" w:rsidR="002B2406" w:rsidRPr="00617A89" w:rsidRDefault="002B2406" w:rsidP="002B2406">
      <w:pPr>
        <w:pStyle w:val="Body"/>
        <w:rPr>
          <w:color w:val="000000" w:themeColor="text1"/>
        </w:rPr>
      </w:pPr>
      <w:r w:rsidRPr="00617A89">
        <w:rPr>
          <w:color w:val="000000" w:themeColor="text1"/>
        </w:rPr>
        <w:t>This section presents employment and further full-time study outcomes for international graduates, regardless of their location at the time of the survey, disaggregated by the graduate’s source country</w:t>
      </w:r>
      <w:r w:rsidRPr="00617A89">
        <w:rPr>
          <w:rStyle w:val="FootnoteReference"/>
          <w:color w:val="000000" w:themeColor="text1"/>
        </w:rPr>
        <w:footnoteReference w:id="17"/>
      </w:r>
      <w:r w:rsidRPr="00617A89">
        <w:rPr>
          <w:color w:val="000000" w:themeColor="text1"/>
        </w:rPr>
        <w:t xml:space="preserve"> and study level. The countries in </w:t>
      </w:r>
      <w:r w:rsidR="00E24459" w:rsidRPr="00617A89">
        <w:rPr>
          <w:b/>
          <w:bCs/>
          <w:color w:val="000000" w:themeColor="text1"/>
        </w:rPr>
        <w:fldChar w:fldCharType="begin"/>
      </w:r>
      <w:r w:rsidR="00E24459" w:rsidRPr="00617A89">
        <w:rPr>
          <w:b/>
          <w:bCs/>
          <w:color w:val="000000" w:themeColor="text1"/>
        </w:rPr>
        <w:instrText xml:space="preserve"> REF _Ref204633415 \h  \* MERGEFORMAT </w:instrText>
      </w:r>
      <w:r w:rsidR="00E24459" w:rsidRPr="00617A89">
        <w:rPr>
          <w:b/>
          <w:bCs/>
          <w:color w:val="000000" w:themeColor="text1"/>
        </w:rPr>
      </w:r>
      <w:r w:rsidR="00E24459"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11</w:t>
      </w:r>
      <w:r w:rsidR="00E24459" w:rsidRPr="00617A89">
        <w:rPr>
          <w:b/>
          <w:bCs/>
          <w:color w:val="000000" w:themeColor="text1"/>
        </w:rPr>
        <w:fldChar w:fldCharType="end"/>
      </w:r>
      <w:r w:rsidR="00C57F74" w:rsidRPr="00617A89">
        <w:rPr>
          <w:color w:val="000000" w:themeColor="text1"/>
        </w:rPr>
        <w:t xml:space="preserve"> </w:t>
      </w:r>
      <w:r w:rsidR="009C5FE4" w:rsidRPr="00617A89">
        <w:rPr>
          <w:color w:val="000000" w:themeColor="text1"/>
        </w:rPr>
        <w:t>are</w:t>
      </w:r>
      <w:r w:rsidRPr="00617A89">
        <w:rPr>
          <w:color w:val="000000" w:themeColor="text1"/>
        </w:rPr>
        <w:t xml:space="preserve"> </w:t>
      </w:r>
      <w:r w:rsidR="00C5009E" w:rsidRPr="00617A89">
        <w:rPr>
          <w:b/>
          <w:bCs/>
          <w:color w:val="000000" w:themeColor="text1"/>
        </w:rPr>
        <w:fldChar w:fldCharType="begin"/>
      </w:r>
      <w:r w:rsidR="00C5009E" w:rsidRPr="00617A89">
        <w:rPr>
          <w:b/>
          <w:bCs/>
          <w:color w:val="000000" w:themeColor="text1"/>
        </w:rPr>
        <w:instrText xml:space="preserve"> REF _Ref206015908 \h  \* MERGEFORMAT </w:instrText>
      </w:r>
      <w:r w:rsidR="00C5009E" w:rsidRPr="00617A89">
        <w:rPr>
          <w:b/>
          <w:bCs/>
          <w:color w:val="000000" w:themeColor="text1"/>
        </w:rPr>
      </w:r>
      <w:r w:rsidR="00C5009E"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12</w:t>
      </w:r>
      <w:r w:rsidR="00C5009E" w:rsidRPr="00617A89">
        <w:rPr>
          <w:b/>
          <w:bCs/>
          <w:color w:val="000000" w:themeColor="text1"/>
        </w:rPr>
        <w:fldChar w:fldCharType="end"/>
      </w:r>
      <w:r w:rsidR="00C5009E" w:rsidRPr="00617A89">
        <w:rPr>
          <w:color w:val="000000" w:themeColor="text1"/>
        </w:rPr>
        <w:t xml:space="preserve"> a</w:t>
      </w:r>
      <w:r w:rsidRPr="00617A89">
        <w:rPr>
          <w:color w:val="000000" w:themeColor="text1"/>
        </w:rPr>
        <w:t xml:space="preserve">re ordered based on the total number of survey responses at that study level. </w:t>
      </w:r>
    </w:p>
    <w:p w14:paraId="479F3E98" w14:textId="00BC45A7" w:rsidR="002B2406" w:rsidRPr="00617A89" w:rsidRDefault="002B2406" w:rsidP="002B2406">
      <w:pPr>
        <w:pStyle w:val="Body"/>
        <w:rPr>
          <w:color w:val="000000" w:themeColor="text1"/>
        </w:rPr>
      </w:pPr>
      <w:r w:rsidRPr="00617A89">
        <w:rPr>
          <w:color w:val="000000" w:themeColor="text1"/>
        </w:rPr>
        <w:t xml:space="preserve">Considerable variation in outcomes by source country continued </w:t>
      </w:r>
      <w:r w:rsidR="00657F04" w:rsidRPr="00617A89">
        <w:rPr>
          <w:color w:val="000000" w:themeColor="text1"/>
        </w:rPr>
        <w:t xml:space="preserve">for </w:t>
      </w:r>
      <w:r w:rsidR="00D9354B" w:rsidRPr="00617A89">
        <w:rPr>
          <w:color w:val="000000" w:themeColor="text1"/>
        </w:rPr>
        <w:t xml:space="preserve">the </w:t>
      </w:r>
      <w:r w:rsidR="00657F04" w:rsidRPr="00617A89">
        <w:rPr>
          <w:color w:val="000000" w:themeColor="text1"/>
        </w:rPr>
        <w:t xml:space="preserve">2022-2025 international graduate cohort </w:t>
      </w:r>
      <w:r w:rsidRPr="00617A89">
        <w:rPr>
          <w:color w:val="000000" w:themeColor="text1"/>
        </w:rPr>
        <w:t xml:space="preserve">across all study levels. Differences in demographic and study area profile are likely to contribute to differences in employment </w:t>
      </w:r>
      <w:r w:rsidR="00C66E5D" w:rsidRPr="00617A89">
        <w:rPr>
          <w:color w:val="000000" w:themeColor="text1"/>
        </w:rPr>
        <w:t xml:space="preserve">outcomes </w:t>
      </w:r>
      <w:r w:rsidRPr="00617A89">
        <w:rPr>
          <w:color w:val="000000" w:themeColor="text1"/>
        </w:rPr>
        <w:t>and further full-time study rates.</w:t>
      </w:r>
    </w:p>
    <w:p w14:paraId="5B60DFDC" w14:textId="69E89A49" w:rsidR="00DC1DF7" w:rsidRPr="00617A89" w:rsidRDefault="00065EAE" w:rsidP="002B2406">
      <w:pPr>
        <w:pStyle w:val="Body"/>
        <w:rPr>
          <w:color w:val="000000" w:themeColor="text1"/>
        </w:rPr>
      </w:pPr>
      <w:r w:rsidRPr="00617A89">
        <w:rPr>
          <w:color w:val="000000" w:themeColor="text1"/>
        </w:rPr>
        <w:t xml:space="preserve">At the undergraduate level, </w:t>
      </w:r>
      <w:r w:rsidR="009E626B" w:rsidRPr="00617A89">
        <w:rPr>
          <w:color w:val="000000" w:themeColor="text1"/>
        </w:rPr>
        <w:t>graduates from China (excludes SARs and Taiwan</w:t>
      </w:r>
      <w:r w:rsidR="006E2693" w:rsidRPr="00617A89">
        <w:rPr>
          <w:color w:val="000000" w:themeColor="text1"/>
        </w:rPr>
        <w:t>)</w:t>
      </w:r>
      <w:r w:rsidR="002C7A01" w:rsidRPr="00617A89">
        <w:rPr>
          <w:color w:val="000000" w:themeColor="text1"/>
        </w:rPr>
        <w:t xml:space="preserve">, which accounted for </w:t>
      </w:r>
      <w:r w:rsidR="005800A1" w:rsidRPr="00617A89">
        <w:rPr>
          <w:color w:val="000000" w:themeColor="text1"/>
        </w:rPr>
        <w:t>28.7 per cent</w:t>
      </w:r>
      <w:r w:rsidR="002C7A01" w:rsidRPr="00617A89">
        <w:rPr>
          <w:color w:val="000000" w:themeColor="text1"/>
        </w:rPr>
        <w:t xml:space="preserve"> of the international undergraduate res</w:t>
      </w:r>
      <w:r w:rsidR="00FB7637" w:rsidRPr="00617A89">
        <w:rPr>
          <w:color w:val="000000" w:themeColor="text1"/>
        </w:rPr>
        <w:t>ponding population</w:t>
      </w:r>
      <w:r w:rsidR="00DC005A" w:rsidRPr="00617A89">
        <w:rPr>
          <w:color w:val="000000" w:themeColor="text1"/>
        </w:rPr>
        <w:t>,</w:t>
      </w:r>
      <w:r w:rsidR="00FC0F5E" w:rsidRPr="00617A89">
        <w:rPr>
          <w:color w:val="000000" w:themeColor="text1"/>
        </w:rPr>
        <w:t xml:space="preserve"> had some of the lowest employment outcomes</w:t>
      </w:r>
      <w:r w:rsidR="00F44A65" w:rsidRPr="00617A89">
        <w:rPr>
          <w:color w:val="000000" w:themeColor="text1"/>
        </w:rPr>
        <w:t xml:space="preserve"> but highest rates of further full-time study</w:t>
      </w:r>
      <w:r w:rsidR="00D957A1" w:rsidRPr="00617A89">
        <w:rPr>
          <w:color w:val="000000" w:themeColor="text1"/>
        </w:rPr>
        <w:t xml:space="preserve"> – more than half of </w:t>
      </w:r>
      <w:r w:rsidR="00BD6F63" w:rsidRPr="00617A89">
        <w:rPr>
          <w:color w:val="000000" w:themeColor="text1"/>
        </w:rPr>
        <w:t>under</w:t>
      </w:r>
      <w:r w:rsidR="00D957A1" w:rsidRPr="00617A89">
        <w:rPr>
          <w:color w:val="000000" w:themeColor="text1"/>
        </w:rPr>
        <w:t>graduates from China (excludes SARs and Taiwan)</w:t>
      </w:r>
      <w:r w:rsidR="00BD6F63" w:rsidRPr="00617A89">
        <w:rPr>
          <w:color w:val="000000" w:themeColor="text1"/>
        </w:rPr>
        <w:t xml:space="preserve"> continued straight on to </w:t>
      </w:r>
      <w:r w:rsidR="006B1907" w:rsidRPr="00617A89">
        <w:rPr>
          <w:color w:val="000000" w:themeColor="text1"/>
        </w:rPr>
        <w:t>further full-time study after completing their initial qualification</w:t>
      </w:r>
      <w:r w:rsidR="004070A9" w:rsidRPr="00617A89">
        <w:rPr>
          <w:color w:val="000000" w:themeColor="text1"/>
        </w:rPr>
        <w:t xml:space="preserve">, double the average rate of international undergraduates. </w:t>
      </w:r>
      <w:r w:rsidR="00C8362E" w:rsidRPr="00617A89">
        <w:rPr>
          <w:color w:val="000000" w:themeColor="text1"/>
        </w:rPr>
        <w:t>This high further full</w:t>
      </w:r>
      <w:r w:rsidR="00D03DC9" w:rsidRPr="00617A89">
        <w:rPr>
          <w:color w:val="000000" w:themeColor="text1"/>
        </w:rPr>
        <w:t xml:space="preserve">-time study rate corresponds </w:t>
      </w:r>
      <w:r w:rsidR="005263D1" w:rsidRPr="00617A89">
        <w:rPr>
          <w:color w:val="000000" w:themeColor="text1"/>
        </w:rPr>
        <w:t>with the low labour force participation rate</w:t>
      </w:r>
      <w:r w:rsidR="00CA237A" w:rsidRPr="00617A89">
        <w:rPr>
          <w:color w:val="000000" w:themeColor="text1"/>
        </w:rPr>
        <w:t xml:space="preserve"> and </w:t>
      </w:r>
      <w:r w:rsidR="00590C70" w:rsidRPr="00617A89">
        <w:rPr>
          <w:color w:val="000000" w:themeColor="text1"/>
        </w:rPr>
        <w:t xml:space="preserve">indicates </w:t>
      </w:r>
      <w:r w:rsidR="00023322" w:rsidRPr="00617A89">
        <w:rPr>
          <w:color w:val="000000" w:themeColor="text1"/>
        </w:rPr>
        <w:t>that graduates from China (excludes SARs and Taiwan)</w:t>
      </w:r>
      <w:r w:rsidR="002E2E15" w:rsidRPr="00617A89">
        <w:rPr>
          <w:color w:val="000000" w:themeColor="text1"/>
        </w:rPr>
        <w:t xml:space="preserve"> may not have the same financial pressures</w:t>
      </w:r>
      <w:r w:rsidR="006F3B4E" w:rsidRPr="00617A89">
        <w:rPr>
          <w:color w:val="000000" w:themeColor="text1"/>
        </w:rPr>
        <w:t xml:space="preserve"> to work</w:t>
      </w:r>
      <w:r w:rsidR="006224C7" w:rsidRPr="00617A89">
        <w:rPr>
          <w:color w:val="000000" w:themeColor="text1"/>
        </w:rPr>
        <w:t xml:space="preserve">, or perhaps a </w:t>
      </w:r>
      <w:r w:rsidR="001977D0" w:rsidRPr="00617A89">
        <w:rPr>
          <w:color w:val="000000" w:themeColor="text1"/>
        </w:rPr>
        <w:t xml:space="preserve">greater </w:t>
      </w:r>
      <w:r w:rsidR="006224C7" w:rsidRPr="00617A89">
        <w:rPr>
          <w:color w:val="000000" w:themeColor="text1"/>
        </w:rPr>
        <w:t>prefer</w:t>
      </w:r>
      <w:r w:rsidR="00673E2F" w:rsidRPr="00617A89">
        <w:rPr>
          <w:color w:val="000000" w:themeColor="text1"/>
        </w:rPr>
        <w:t>ence to focus on</w:t>
      </w:r>
      <w:r w:rsidR="001977D0" w:rsidRPr="00617A89">
        <w:rPr>
          <w:color w:val="000000" w:themeColor="text1"/>
        </w:rPr>
        <w:t xml:space="preserve"> </w:t>
      </w:r>
      <w:r w:rsidR="00C5009E" w:rsidRPr="00617A89">
        <w:rPr>
          <w:color w:val="000000" w:themeColor="text1"/>
        </w:rPr>
        <w:t xml:space="preserve">their </w:t>
      </w:r>
      <w:r w:rsidR="001977D0" w:rsidRPr="00617A89">
        <w:rPr>
          <w:color w:val="000000" w:themeColor="text1"/>
        </w:rPr>
        <w:t>studies</w:t>
      </w:r>
      <w:r w:rsidR="00B17A4D" w:rsidRPr="00617A89">
        <w:rPr>
          <w:color w:val="000000" w:themeColor="text1"/>
        </w:rPr>
        <w:t>.</w:t>
      </w:r>
      <w:r w:rsidR="0060657F" w:rsidRPr="00617A89">
        <w:rPr>
          <w:color w:val="000000" w:themeColor="text1"/>
        </w:rPr>
        <w:t xml:space="preserve"> </w:t>
      </w:r>
      <w:r w:rsidR="001A2F81" w:rsidRPr="00617A89">
        <w:rPr>
          <w:color w:val="000000" w:themeColor="text1"/>
        </w:rPr>
        <w:t>In contrast, undergraduates from Nepal and India reported much lower rates of further full-time study</w:t>
      </w:r>
      <w:r w:rsidR="00EB1D8C" w:rsidRPr="00617A89">
        <w:rPr>
          <w:color w:val="000000" w:themeColor="text1"/>
        </w:rPr>
        <w:t xml:space="preserve"> and higher labour force participation rates.</w:t>
      </w:r>
      <w:r w:rsidR="00680233" w:rsidRPr="00617A89">
        <w:rPr>
          <w:color w:val="000000" w:themeColor="text1"/>
        </w:rPr>
        <w:t xml:space="preserve"> </w:t>
      </w:r>
    </w:p>
    <w:p w14:paraId="55D56F74" w14:textId="71252B9D" w:rsidR="000C1D57" w:rsidRPr="00617A89" w:rsidRDefault="00DC1DF7" w:rsidP="002B2406">
      <w:pPr>
        <w:pStyle w:val="Body"/>
        <w:rPr>
          <w:color w:val="000000" w:themeColor="text1"/>
        </w:rPr>
      </w:pPr>
      <w:r w:rsidRPr="00617A89">
        <w:rPr>
          <w:color w:val="000000" w:themeColor="text1"/>
        </w:rPr>
        <w:t xml:space="preserve">Notably, </w:t>
      </w:r>
      <w:r w:rsidR="00356BA5" w:rsidRPr="00617A89">
        <w:rPr>
          <w:color w:val="000000" w:themeColor="text1"/>
        </w:rPr>
        <w:t>97.3 per cent of undergraduates from Nepal</w:t>
      </w:r>
      <w:r w:rsidR="0083246D" w:rsidRPr="00617A89">
        <w:rPr>
          <w:color w:val="000000" w:themeColor="text1"/>
        </w:rPr>
        <w:t xml:space="preserve"> reported being available for employment</w:t>
      </w:r>
      <w:r w:rsidR="00DD3AC7" w:rsidRPr="00617A89">
        <w:rPr>
          <w:color w:val="000000" w:themeColor="text1"/>
        </w:rPr>
        <w:t xml:space="preserve"> – that is, in the labour force </w:t>
      </w:r>
      <w:r w:rsidR="00752B43" w:rsidRPr="00617A89">
        <w:rPr>
          <w:color w:val="000000" w:themeColor="text1"/>
        </w:rPr>
        <w:t>–</w:t>
      </w:r>
      <w:r w:rsidR="00DD3AC7" w:rsidRPr="00617A89">
        <w:rPr>
          <w:color w:val="000000" w:themeColor="text1"/>
        </w:rPr>
        <w:t xml:space="preserve"> </w:t>
      </w:r>
      <w:r w:rsidR="00752B43" w:rsidRPr="00617A89">
        <w:rPr>
          <w:color w:val="000000" w:themeColor="text1"/>
        </w:rPr>
        <w:t xml:space="preserve">but these graduates </w:t>
      </w:r>
      <w:r w:rsidR="00103BF0" w:rsidRPr="00617A89">
        <w:rPr>
          <w:color w:val="000000" w:themeColor="text1"/>
        </w:rPr>
        <w:t>had one of the lowest rates of full-time employment</w:t>
      </w:r>
      <w:r w:rsidR="00433F86" w:rsidRPr="00617A89">
        <w:rPr>
          <w:color w:val="000000" w:themeColor="text1"/>
        </w:rPr>
        <w:t xml:space="preserve"> (54.9 per cent).</w:t>
      </w:r>
      <w:r w:rsidR="004C0BE2" w:rsidRPr="00617A89">
        <w:rPr>
          <w:color w:val="000000" w:themeColor="text1"/>
        </w:rPr>
        <w:t xml:space="preserve"> </w:t>
      </w:r>
      <w:r w:rsidR="00207C2B" w:rsidRPr="00617A89">
        <w:rPr>
          <w:color w:val="000000" w:themeColor="text1"/>
        </w:rPr>
        <w:t xml:space="preserve">Although undergraduates from Nepal had a relatively low further full-time study rate in the short- and medium-term, they had an above average further part-time study rate relative to international undergraduates overall. They also had above average overall employment rates relative to international undergraduates overall. </w:t>
      </w:r>
      <w:r w:rsidR="00DF0904" w:rsidRPr="00617A89">
        <w:rPr>
          <w:color w:val="000000" w:themeColor="text1"/>
        </w:rPr>
        <w:t>Almost 80 per cent of undergraduates from Nepal completed studies in Computing and information systems or N</w:t>
      </w:r>
      <w:r w:rsidR="00055600" w:rsidRPr="00617A89">
        <w:rPr>
          <w:color w:val="000000" w:themeColor="text1"/>
        </w:rPr>
        <w:t>ursing</w:t>
      </w:r>
      <w:r w:rsidR="000274CB" w:rsidRPr="00617A89">
        <w:rPr>
          <w:color w:val="000000" w:themeColor="text1"/>
        </w:rPr>
        <w:t xml:space="preserve"> – two study</w:t>
      </w:r>
      <w:r w:rsidR="00442583" w:rsidRPr="00617A89">
        <w:rPr>
          <w:color w:val="000000" w:themeColor="text1"/>
        </w:rPr>
        <w:t xml:space="preserve"> areas</w:t>
      </w:r>
      <w:r w:rsidR="003407B0" w:rsidRPr="00617A89">
        <w:rPr>
          <w:color w:val="000000" w:themeColor="text1"/>
        </w:rPr>
        <w:t xml:space="preserve"> </w:t>
      </w:r>
      <w:r w:rsidR="004F3021" w:rsidRPr="00617A89">
        <w:rPr>
          <w:color w:val="000000" w:themeColor="text1"/>
        </w:rPr>
        <w:t xml:space="preserve">with large </w:t>
      </w:r>
      <w:r w:rsidR="00BF00A7" w:rsidRPr="00617A89">
        <w:rPr>
          <w:color w:val="000000" w:themeColor="text1"/>
        </w:rPr>
        <w:t xml:space="preserve">differences in </w:t>
      </w:r>
      <w:r w:rsidR="004F3021" w:rsidRPr="00617A89">
        <w:rPr>
          <w:color w:val="000000" w:themeColor="text1"/>
        </w:rPr>
        <w:t>full-time employment rates between international and domestic</w:t>
      </w:r>
      <w:r w:rsidR="00B45163" w:rsidRPr="00617A89">
        <w:rPr>
          <w:color w:val="000000" w:themeColor="text1"/>
        </w:rPr>
        <w:t xml:space="preserve"> </w:t>
      </w:r>
      <w:r w:rsidR="001C448E" w:rsidRPr="00617A89">
        <w:rPr>
          <w:color w:val="000000" w:themeColor="text1"/>
        </w:rPr>
        <w:t>undergraduates</w:t>
      </w:r>
      <w:r w:rsidR="00B45163" w:rsidRPr="00617A89">
        <w:rPr>
          <w:color w:val="000000" w:themeColor="text1"/>
        </w:rPr>
        <w:t xml:space="preserve"> in the short-term</w:t>
      </w:r>
      <w:r w:rsidR="00760BC6" w:rsidRPr="00617A89">
        <w:rPr>
          <w:color w:val="000000" w:themeColor="text1"/>
        </w:rPr>
        <w:t xml:space="preserve"> </w:t>
      </w:r>
      <w:r w:rsidR="004E625A" w:rsidRPr="00617A89">
        <w:rPr>
          <w:color w:val="000000" w:themeColor="text1"/>
        </w:rPr>
        <w:t>(</w:t>
      </w:r>
      <w:r w:rsidR="00224888" w:rsidRPr="00617A89">
        <w:rPr>
          <w:color w:val="000000" w:themeColor="text1"/>
        </w:rPr>
        <w:fldChar w:fldCharType="begin"/>
      </w:r>
      <w:r w:rsidR="00224888" w:rsidRPr="00617A89">
        <w:rPr>
          <w:color w:val="000000" w:themeColor="text1"/>
        </w:rPr>
        <w:instrText xml:space="preserve"> REF _Ref187142850 \h  \* MERGEFORMAT </w:instrText>
      </w:r>
      <w:r w:rsidR="00224888" w:rsidRPr="00617A89">
        <w:rPr>
          <w:color w:val="000000" w:themeColor="text1"/>
        </w:rPr>
      </w:r>
      <w:r w:rsidR="00224888" w:rsidRPr="00617A89">
        <w:rPr>
          <w:color w:val="000000" w:themeColor="text1"/>
        </w:rPr>
        <w:fldChar w:fldCharType="separate"/>
      </w:r>
      <w:r w:rsidR="004F34F9" w:rsidRPr="00617A89">
        <w:rPr>
          <w:b/>
          <w:bCs/>
          <w:color w:val="000000" w:themeColor="text1"/>
        </w:rPr>
        <w:t xml:space="preserve">Figure </w:t>
      </w:r>
      <w:r w:rsidR="004F34F9" w:rsidRPr="00617A89">
        <w:rPr>
          <w:b/>
          <w:bCs/>
          <w:noProof/>
          <w:color w:val="000000" w:themeColor="text1"/>
        </w:rPr>
        <w:t>20</w:t>
      </w:r>
      <w:r w:rsidR="00224888" w:rsidRPr="00617A89">
        <w:rPr>
          <w:color w:val="000000" w:themeColor="text1"/>
        </w:rPr>
        <w:fldChar w:fldCharType="end"/>
      </w:r>
      <w:r w:rsidR="004E625A" w:rsidRPr="00617A89">
        <w:rPr>
          <w:color w:val="000000" w:themeColor="text1"/>
        </w:rPr>
        <w:t xml:space="preserve">). </w:t>
      </w:r>
      <w:r w:rsidR="002700C0" w:rsidRPr="00617A89">
        <w:rPr>
          <w:color w:val="000000" w:themeColor="text1"/>
        </w:rPr>
        <w:t>This demonstrates</w:t>
      </w:r>
      <w:r w:rsidR="003407B0" w:rsidRPr="00617A89">
        <w:rPr>
          <w:color w:val="000000" w:themeColor="text1"/>
        </w:rPr>
        <w:t xml:space="preserve"> that factors beyond source country</w:t>
      </w:r>
      <w:r w:rsidR="00994463" w:rsidRPr="00617A89">
        <w:rPr>
          <w:color w:val="000000" w:themeColor="text1"/>
        </w:rPr>
        <w:t xml:space="preserve"> </w:t>
      </w:r>
      <w:r w:rsidR="00C85036" w:rsidRPr="00617A89">
        <w:rPr>
          <w:color w:val="000000" w:themeColor="text1"/>
        </w:rPr>
        <w:t>alone can influence graduate outcomes.</w:t>
      </w:r>
    </w:p>
    <w:p w14:paraId="0FE7A67D" w14:textId="564AA28B" w:rsidR="00C5009E" w:rsidRPr="00617A89" w:rsidRDefault="005800A1" w:rsidP="002B2406">
      <w:pPr>
        <w:pStyle w:val="Body"/>
        <w:rPr>
          <w:color w:val="000000" w:themeColor="text1"/>
        </w:rPr>
      </w:pPr>
      <w:r w:rsidRPr="00617A89">
        <w:rPr>
          <w:color w:val="000000" w:themeColor="text1"/>
        </w:rPr>
        <w:t>There was some variation in median salaries by source country for international graduates employed full-time in Australia, however</w:t>
      </w:r>
      <w:r w:rsidR="00680233" w:rsidRPr="00617A89">
        <w:rPr>
          <w:color w:val="000000" w:themeColor="text1"/>
        </w:rPr>
        <w:t>,</w:t>
      </w:r>
      <w:r w:rsidRPr="00617A89">
        <w:rPr>
          <w:color w:val="000000" w:themeColor="text1"/>
        </w:rPr>
        <w:t xml:space="preserve"> it is unclear whether these differences are generalisable to the broader population of international undergraduates due to the smaller number of survey responses. Comparing differences in median salaries of graduates who </w:t>
      </w:r>
      <w:r w:rsidR="00A05385" w:rsidRPr="00617A89">
        <w:rPr>
          <w:color w:val="000000" w:themeColor="text1"/>
        </w:rPr>
        <w:t>r</w:t>
      </w:r>
      <w:r w:rsidRPr="00617A89">
        <w:rPr>
          <w:color w:val="000000" w:themeColor="text1"/>
        </w:rPr>
        <w:t>espond</w:t>
      </w:r>
      <w:r w:rsidR="00A05385" w:rsidRPr="00617A89">
        <w:rPr>
          <w:color w:val="000000" w:themeColor="text1"/>
        </w:rPr>
        <w:t>ed</w:t>
      </w:r>
      <w:r w:rsidRPr="00617A89">
        <w:rPr>
          <w:color w:val="000000" w:themeColor="text1"/>
        </w:rPr>
        <w:t xml:space="preserve"> to the 2022 GOS and 2025 GOS-L, graduates from China</w:t>
      </w:r>
      <w:r w:rsidR="008D6FB7" w:rsidRPr="00617A89">
        <w:rPr>
          <w:color w:val="000000" w:themeColor="text1"/>
        </w:rPr>
        <w:t xml:space="preserve"> (excludes SARs and Taiwan)</w:t>
      </w:r>
      <w:r w:rsidRPr="00617A89">
        <w:rPr>
          <w:color w:val="000000" w:themeColor="text1"/>
        </w:rPr>
        <w:t xml:space="preserve"> reported a median salary above the average for </w:t>
      </w:r>
      <w:r w:rsidR="008A0C3B" w:rsidRPr="00617A89">
        <w:rPr>
          <w:color w:val="000000" w:themeColor="text1"/>
        </w:rPr>
        <w:t>international</w:t>
      </w:r>
      <w:r w:rsidRPr="00617A89">
        <w:rPr>
          <w:color w:val="000000" w:themeColor="text1"/>
        </w:rPr>
        <w:t xml:space="preserve"> undergraduates in the short-term but this was below the average in the medium-term.</w:t>
      </w:r>
      <w:r w:rsidR="008A0C3B" w:rsidRPr="00617A89">
        <w:rPr>
          <w:color w:val="000000" w:themeColor="text1"/>
        </w:rPr>
        <w:t xml:space="preserve"> A similar pattern was </w:t>
      </w:r>
      <w:r w:rsidR="0087374B" w:rsidRPr="00617A89">
        <w:rPr>
          <w:color w:val="000000" w:themeColor="text1"/>
        </w:rPr>
        <w:t xml:space="preserve">observed </w:t>
      </w:r>
      <w:r w:rsidR="008A0C3B" w:rsidRPr="00617A89">
        <w:rPr>
          <w:color w:val="000000" w:themeColor="text1"/>
        </w:rPr>
        <w:t>for graduates from Vietnam. Conversely, respondents from India reported below average median salaries in the short-term but above the international graduate average in the medium-term.</w:t>
      </w:r>
      <w:r w:rsidR="008D6FB7" w:rsidRPr="00617A89">
        <w:rPr>
          <w:color w:val="000000" w:themeColor="text1"/>
        </w:rPr>
        <w:t xml:space="preserve"> Differences in dominant study areas graduates from source countries tend to cluster in are likely to influence these findings.</w:t>
      </w:r>
    </w:p>
    <w:p w14:paraId="16DBD02E" w14:textId="03949741" w:rsidR="0033351F" w:rsidRPr="00617A89" w:rsidRDefault="0033351F" w:rsidP="0033351F">
      <w:pPr>
        <w:pStyle w:val="Caption"/>
        <w:keepNext/>
        <w:rPr>
          <w:color w:val="000000" w:themeColor="text1"/>
        </w:rPr>
      </w:pPr>
      <w:bookmarkStart w:id="189" w:name="_Ref204633415"/>
      <w:bookmarkStart w:id="190" w:name="_Toc222868481"/>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11</w:t>
      </w:r>
      <w:r w:rsidR="00DB7C31" w:rsidRPr="00617A89">
        <w:rPr>
          <w:noProof/>
          <w:color w:val="000000" w:themeColor="text1"/>
        </w:rPr>
        <w:fldChar w:fldCharType="end"/>
      </w:r>
      <w:bookmarkEnd w:id="189"/>
      <w:r w:rsidR="0062339E" w:rsidRPr="00617A89">
        <w:rPr>
          <w:noProof/>
          <w:color w:val="000000" w:themeColor="text1"/>
        </w:rPr>
        <w:tab/>
      </w:r>
      <w:r w:rsidRPr="00617A89">
        <w:rPr>
          <w:color w:val="000000" w:themeColor="text1"/>
        </w:rPr>
        <w:t>International undergraduate short- and medium-term outcomes by source country</w:t>
      </w:r>
      <w:bookmarkEnd w:id="190"/>
    </w:p>
    <w:tbl>
      <w:tblPr>
        <w:tblW w:w="5026" w:type="pct"/>
        <w:tblInd w:w="-5" w:type="dxa"/>
        <w:tblCellMar>
          <w:left w:w="0" w:type="dxa"/>
          <w:right w:w="0" w:type="dxa"/>
        </w:tblCellMar>
        <w:tblLook w:val="0000" w:firstRow="0" w:lastRow="0" w:firstColumn="0" w:lastColumn="0" w:noHBand="0" w:noVBand="0"/>
      </w:tblPr>
      <w:tblGrid>
        <w:gridCol w:w="1986"/>
        <w:gridCol w:w="1349"/>
        <w:gridCol w:w="1349"/>
        <w:gridCol w:w="1349"/>
        <w:gridCol w:w="1349"/>
        <w:gridCol w:w="1349"/>
        <w:gridCol w:w="1349"/>
        <w:gridCol w:w="1349"/>
        <w:gridCol w:w="1349"/>
        <w:gridCol w:w="1349"/>
        <w:gridCol w:w="1343"/>
      </w:tblGrid>
      <w:tr w:rsidR="00C22852" w:rsidRPr="00617A89" w14:paraId="1752442E" w14:textId="66114A8A" w:rsidTr="00CD33FB">
        <w:trPr>
          <w:trHeight w:val="457"/>
          <w:tblHeader/>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0C73BB43" w14:textId="638AD41C" w:rsidR="00551CD9" w:rsidRPr="00617A89" w:rsidRDefault="00CD33FB" w:rsidP="00CD33FB">
            <w:pPr>
              <w:rPr>
                <w:rFonts w:cs="Arial"/>
                <w:b/>
                <w:color w:val="000000" w:themeColor="text1"/>
                <w:sz w:val="18"/>
              </w:rPr>
            </w:pPr>
            <w:r w:rsidRPr="00617A89">
              <w:rPr>
                <w:rFonts w:cs="Arial"/>
                <w:b/>
                <w:color w:val="000000" w:themeColor="text1"/>
                <w:sz w:val="18"/>
              </w:rPr>
              <w:t>Source country</w:t>
            </w:r>
          </w:p>
        </w:tc>
        <w:tc>
          <w:tcPr>
            <w:tcW w:w="436" w:type="pct"/>
            <w:tcBorders>
              <w:top w:val="single" w:sz="4" w:space="0" w:color="000000"/>
              <w:left w:val="single" w:sz="4" w:space="0" w:color="000000"/>
              <w:bottom w:val="single" w:sz="4" w:space="0" w:color="000000"/>
              <w:right w:val="single" w:sz="4" w:space="0" w:color="000000"/>
            </w:tcBorders>
            <w:vAlign w:val="center"/>
          </w:tcPr>
          <w:p w14:paraId="3BC23F7C"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Full-time</w:t>
            </w:r>
          </w:p>
          <w:p w14:paraId="4EE39EA7" w14:textId="160410CF" w:rsidR="00551CD9" w:rsidRPr="00617A89" w:rsidRDefault="00CD33FB" w:rsidP="00CD33FB">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551CD9"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vAlign w:val="center"/>
          </w:tcPr>
          <w:p w14:paraId="22AF089C"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Full-time</w:t>
            </w:r>
          </w:p>
          <w:p w14:paraId="0D4A580B" w14:textId="1B3E0461" w:rsidR="00551CD9" w:rsidRPr="00617A89" w:rsidRDefault="00CD33FB" w:rsidP="00CD33FB">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551CD9" w:rsidRPr="00617A89">
              <w:rPr>
                <w:rFonts w:ascii="Arial" w:hAnsi="Arial" w:cs="Arial"/>
                <w:b/>
                <w:color w:val="000000" w:themeColor="text1"/>
                <w:sz w:val="18"/>
                <w:szCs w:val="18"/>
              </w:rPr>
              <w:t>Medium-term</w:t>
            </w:r>
          </w:p>
          <w:p w14:paraId="78205CA2" w14:textId="77777777" w:rsidR="00551CD9" w:rsidRPr="00617A89" w:rsidRDefault="00551CD9"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6BEEE8"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Overall</w:t>
            </w:r>
          </w:p>
          <w:p w14:paraId="0C8EAD5D" w14:textId="52589C5A" w:rsidR="00551CD9" w:rsidRPr="00617A89" w:rsidRDefault="00CD33FB" w:rsidP="00CD33FB">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551CD9"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D32F48"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Overall</w:t>
            </w:r>
          </w:p>
          <w:p w14:paraId="589D7BA9" w14:textId="1EC89077" w:rsidR="00551CD9" w:rsidRPr="00617A89" w:rsidRDefault="00CD33FB" w:rsidP="00CD33FB">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551CD9" w:rsidRPr="00617A89">
              <w:rPr>
                <w:rFonts w:ascii="Arial" w:hAnsi="Arial" w:cs="Arial"/>
                <w:b/>
                <w:color w:val="000000" w:themeColor="text1"/>
                <w:sz w:val="18"/>
                <w:szCs w:val="18"/>
              </w:rPr>
              <w:t>Medium-term</w:t>
            </w:r>
          </w:p>
          <w:p w14:paraId="2C9DE90C" w14:textId="77777777" w:rsidR="00551CD9" w:rsidRPr="00617A89" w:rsidRDefault="00551CD9"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02455B" w14:textId="11BBEEDF" w:rsidR="00551CD9" w:rsidRPr="00617A89" w:rsidRDefault="00CD33FB"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Labour force participation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551CD9"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2B7F4A" w14:textId="4EBE6E44" w:rsidR="00551CD9" w:rsidRPr="00617A89" w:rsidRDefault="00CD33FB"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Labour force participation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551CD9" w:rsidRPr="00617A89">
              <w:rPr>
                <w:rFonts w:ascii="Arial" w:hAnsi="Arial" w:cs="Arial"/>
                <w:b/>
                <w:color w:val="000000" w:themeColor="text1"/>
                <w:sz w:val="18"/>
                <w:szCs w:val="18"/>
              </w:rPr>
              <w:t>Medium-term</w:t>
            </w:r>
          </w:p>
          <w:p w14:paraId="12BEFB73" w14:textId="77777777" w:rsidR="00551CD9" w:rsidRPr="00617A89" w:rsidRDefault="00551CD9"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C11BC8" w14:textId="69A5A689" w:rsidR="00551CD9" w:rsidRPr="00617A89" w:rsidRDefault="00CD33FB"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Median annual full-time salary ($) </w:t>
            </w:r>
            <w:r w:rsidR="00551CD9"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53998D" w14:textId="4558D389" w:rsidR="00551CD9" w:rsidRPr="00617A89" w:rsidRDefault="00CD33FB"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Median annual full-time salary ($) </w:t>
            </w:r>
            <w:r w:rsidR="00551CD9" w:rsidRPr="00617A89">
              <w:rPr>
                <w:rFonts w:ascii="Arial" w:hAnsi="Arial" w:cs="Arial"/>
                <w:b/>
                <w:color w:val="000000" w:themeColor="text1"/>
                <w:sz w:val="18"/>
                <w:szCs w:val="18"/>
              </w:rPr>
              <w:t>Medium-term</w:t>
            </w:r>
          </w:p>
          <w:p w14:paraId="3C36A485" w14:textId="77777777" w:rsidR="00551CD9" w:rsidRPr="00617A89" w:rsidRDefault="00551CD9"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436" w:type="pct"/>
            <w:tcBorders>
              <w:top w:val="single" w:sz="4" w:space="0" w:color="000000"/>
              <w:left w:val="single" w:sz="4" w:space="0" w:color="000000"/>
              <w:bottom w:val="single" w:sz="4" w:space="0" w:color="000000"/>
              <w:right w:val="single" w:sz="4" w:space="0" w:color="000000"/>
            </w:tcBorders>
            <w:vAlign w:val="center"/>
          </w:tcPr>
          <w:p w14:paraId="05D66C73" w14:textId="3C824E5C" w:rsidR="00551CD9" w:rsidRPr="00617A89" w:rsidRDefault="00CD33FB"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In further full-time study (%)</w:t>
            </w:r>
            <w:r w:rsidR="00551CD9"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vAlign w:val="center"/>
          </w:tcPr>
          <w:p w14:paraId="0D8F39C1" w14:textId="14848F83" w:rsidR="00551CD9" w:rsidRPr="00617A89" w:rsidRDefault="00CD33FB"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In further full-time study (%) </w:t>
            </w:r>
            <w:r w:rsidR="00551CD9" w:rsidRPr="00617A89">
              <w:rPr>
                <w:rFonts w:ascii="Arial" w:hAnsi="Arial" w:cs="Arial"/>
                <w:b/>
                <w:color w:val="000000" w:themeColor="text1"/>
                <w:sz w:val="18"/>
                <w:szCs w:val="18"/>
              </w:rPr>
              <w:t>Medium-term</w:t>
            </w:r>
          </w:p>
          <w:p w14:paraId="4065889E" w14:textId="4AA75BEF" w:rsidR="00551CD9" w:rsidRPr="00617A89" w:rsidRDefault="00551CD9" w:rsidP="00551CD9">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r>
      <w:tr w:rsidR="00C22852" w:rsidRPr="00617A89" w14:paraId="6A75CD46" w14:textId="1C19F866"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A0E6596" w14:textId="648258A7" w:rsidR="005511D3" w:rsidRPr="00617A89" w:rsidRDefault="005511D3" w:rsidP="005511D3">
            <w:pPr>
              <w:spacing w:before="85" w:line="288" w:lineRule="auto"/>
              <w:rPr>
                <w:rFonts w:cs="Arial"/>
                <w:color w:val="000000" w:themeColor="text1"/>
                <w:sz w:val="18"/>
                <w:szCs w:val="16"/>
              </w:rPr>
            </w:pPr>
            <w:r w:rsidRPr="00617A89">
              <w:rPr>
                <w:color w:val="000000" w:themeColor="text1"/>
                <w:sz w:val="18"/>
                <w:szCs w:val="16"/>
              </w:rPr>
              <w:t>China (excludes SARs and Taiwan)</w:t>
            </w:r>
          </w:p>
        </w:tc>
        <w:tc>
          <w:tcPr>
            <w:tcW w:w="436" w:type="pct"/>
            <w:tcBorders>
              <w:top w:val="single" w:sz="4" w:space="0" w:color="000000"/>
              <w:left w:val="single" w:sz="4" w:space="0" w:color="000000"/>
              <w:bottom w:val="single" w:sz="4" w:space="0" w:color="000000"/>
              <w:right w:val="single" w:sz="4" w:space="0" w:color="000000"/>
            </w:tcBorders>
          </w:tcPr>
          <w:p w14:paraId="255C1345" w14:textId="292BB3BB"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56.1</w:t>
            </w:r>
          </w:p>
        </w:tc>
        <w:tc>
          <w:tcPr>
            <w:tcW w:w="436" w:type="pct"/>
            <w:tcBorders>
              <w:top w:val="single" w:sz="4" w:space="0" w:color="000000"/>
              <w:left w:val="single" w:sz="4" w:space="0" w:color="000000"/>
              <w:bottom w:val="single" w:sz="4" w:space="0" w:color="000000"/>
              <w:right w:val="single" w:sz="4" w:space="0" w:color="000000"/>
            </w:tcBorders>
          </w:tcPr>
          <w:p w14:paraId="585C077F" w14:textId="0C9ADC49"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75.4</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986D46" w14:textId="2C019DB5"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59.8</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A503FA" w14:textId="550C03A4"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82.0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9656BA" w14:textId="48F49114"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69.3</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89ED4B" w14:textId="696E98AF"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82.3</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613A48" w14:textId="20CD16DF"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65,400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057C14" w14:textId="76F31AFC"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76,900</w:t>
            </w:r>
          </w:p>
        </w:tc>
        <w:tc>
          <w:tcPr>
            <w:tcW w:w="436" w:type="pct"/>
            <w:tcBorders>
              <w:top w:val="single" w:sz="4" w:space="0" w:color="000000"/>
              <w:left w:val="single" w:sz="4" w:space="0" w:color="000000"/>
              <w:bottom w:val="single" w:sz="4" w:space="0" w:color="000000"/>
              <w:right w:val="single" w:sz="4" w:space="0" w:color="000000"/>
            </w:tcBorders>
            <w:vAlign w:val="bottom"/>
          </w:tcPr>
          <w:p w14:paraId="0F30439D" w14:textId="53B1B670"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51.8</w:t>
            </w:r>
          </w:p>
        </w:tc>
        <w:tc>
          <w:tcPr>
            <w:tcW w:w="436" w:type="pct"/>
            <w:tcBorders>
              <w:top w:val="single" w:sz="4" w:space="0" w:color="000000"/>
              <w:left w:val="single" w:sz="4" w:space="0" w:color="000000"/>
              <w:bottom w:val="single" w:sz="4" w:space="0" w:color="000000"/>
              <w:right w:val="single" w:sz="4" w:space="0" w:color="000000"/>
            </w:tcBorders>
            <w:vAlign w:val="bottom"/>
          </w:tcPr>
          <w:p w14:paraId="2B5B17E7" w14:textId="63B0D26F"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29.2</w:t>
            </w:r>
          </w:p>
        </w:tc>
      </w:tr>
      <w:tr w:rsidR="00C22852" w:rsidRPr="00617A89" w14:paraId="16218302" w14:textId="3780FB62"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450F79B" w14:textId="6A14C3F9" w:rsidR="005511D3" w:rsidRPr="00617A89" w:rsidRDefault="005511D3" w:rsidP="005511D3">
            <w:pPr>
              <w:spacing w:before="85" w:line="288" w:lineRule="auto"/>
              <w:rPr>
                <w:rFonts w:cs="Arial"/>
                <w:color w:val="000000" w:themeColor="text1"/>
                <w:sz w:val="18"/>
                <w:szCs w:val="16"/>
              </w:rPr>
            </w:pPr>
            <w:r w:rsidRPr="00617A89">
              <w:rPr>
                <w:color w:val="000000" w:themeColor="text1"/>
                <w:sz w:val="18"/>
                <w:szCs w:val="16"/>
              </w:rPr>
              <w:t>Nepal</w:t>
            </w:r>
          </w:p>
        </w:tc>
        <w:tc>
          <w:tcPr>
            <w:tcW w:w="436" w:type="pct"/>
            <w:tcBorders>
              <w:top w:val="single" w:sz="4" w:space="0" w:color="000000"/>
              <w:left w:val="single" w:sz="4" w:space="0" w:color="000000"/>
              <w:bottom w:val="single" w:sz="4" w:space="0" w:color="000000"/>
              <w:right w:val="single" w:sz="4" w:space="0" w:color="000000"/>
            </w:tcBorders>
          </w:tcPr>
          <w:p w14:paraId="7137D4D7" w14:textId="52E46B68"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54.9</w:t>
            </w:r>
          </w:p>
        </w:tc>
        <w:tc>
          <w:tcPr>
            <w:tcW w:w="436" w:type="pct"/>
            <w:tcBorders>
              <w:top w:val="single" w:sz="4" w:space="0" w:color="000000"/>
              <w:left w:val="single" w:sz="4" w:space="0" w:color="000000"/>
              <w:bottom w:val="single" w:sz="4" w:space="0" w:color="000000"/>
              <w:right w:val="single" w:sz="4" w:space="0" w:color="000000"/>
            </w:tcBorders>
          </w:tcPr>
          <w:p w14:paraId="05ED2CA7" w14:textId="1FF95BF6"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85.4</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D6AF8C" w14:textId="3C49A46A"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82.5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19867F" w14:textId="70354B40"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90.1</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497AB2" w14:textId="4794C0CC"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97.3</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F4E039" w14:textId="30B53757"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91.7</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D4AB136" w14:textId="675F3BAB"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58,700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57D61E5" w14:textId="4B80EE5B"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79,300</w:t>
            </w:r>
          </w:p>
        </w:tc>
        <w:tc>
          <w:tcPr>
            <w:tcW w:w="436" w:type="pct"/>
            <w:tcBorders>
              <w:top w:val="single" w:sz="4" w:space="0" w:color="000000"/>
              <w:left w:val="single" w:sz="4" w:space="0" w:color="000000"/>
              <w:bottom w:val="single" w:sz="4" w:space="0" w:color="000000"/>
              <w:right w:val="single" w:sz="4" w:space="0" w:color="000000"/>
            </w:tcBorders>
            <w:vAlign w:val="bottom"/>
          </w:tcPr>
          <w:p w14:paraId="74B42DAA" w14:textId="1185CDCF"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11.1</w:t>
            </w:r>
          </w:p>
        </w:tc>
        <w:tc>
          <w:tcPr>
            <w:tcW w:w="436" w:type="pct"/>
            <w:tcBorders>
              <w:top w:val="single" w:sz="4" w:space="0" w:color="000000"/>
              <w:left w:val="single" w:sz="4" w:space="0" w:color="000000"/>
              <w:bottom w:val="single" w:sz="4" w:space="0" w:color="000000"/>
              <w:right w:val="single" w:sz="4" w:space="0" w:color="000000"/>
            </w:tcBorders>
            <w:vAlign w:val="bottom"/>
          </w:tcPr>
          <w:p w14:paraId="6A38A568" w14:textId="55353DBD"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14.0</w:t>
            </w:r>
          </w:p>
        </w:tc>
      </w:tr>
      <w:tr w:rsidR="00C22852" w:rsidRPr="00617A89" w14:paraId="349E726C" w14:textId="44CC8A4E"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EAB9E06" w14:textId="0FED4BEE" w:rsidR="005511D3" w:rsidRPr="00617A89" w:rsidRDefault="005511D3" w:rsidP="005511D3">
            <w:pPr>
              <w:spacing w:before="85" w:line="288" w:lineRule="auto"/>
              <w:rPr>
                <w:rFonts w:cs="Arial"/>
                <w:color w:val="000000" w:themeColor="text1"/>
                <w:sz w:val="18"/>
                <w:szCs w:val="16"/>
              </w:rPr>
            </w:pPr>
            <w:r w:rsidRPr="00617A89">
              <w:rPr>
                <w:color w:val="000000" w:themeColor="text1"/>
                <w:sz w:val="18"/>
                <w:szCs w:val="16"/>
              </w:rPr>
              <w:t>India</w:t>
            </w:r>
          </w:p>
        </w:tc>
        <w:tc>
          <w:tcPr>
            <w:tcW w:w="436" w:type="pct"/>
            <w:tcBorders>
              <w:top w:val="single" w:sz="4" w:space="0" w:color="000000"/>
              <w:left w:val="single" w:sz="4" w:space="0" w:color="000000"/>
              <w:bottom w:val="single" w:sz="4" w:space="0" w:color="000000"/>
              <w:right w:val="single" w:sz="4" w:space="0" w:color="000000"/>
            </w:tcBorders>
          </w:tcPr>
          <w:p w14:paraId="38DA0BCB" w14:textId="3318C74B"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62.1</w:t>
            </w:r>
          </w:p>
        </w:tc>
        <w:tc>
          <w:tcPr>
            <w:tcW w:w="436" w:type="pct"/>
            <w:tcBorders>
              <w:top w:val="single" w:sz="4" w:space="0" w:color="000000"/>
              <w:left w:val="single" w:sz="4" w:space="0" w:color="000000"/>
              <w:bottom w:val="single" w:sz="4" w:space="0" w:color="000000"/>
              <w:right w:val="single" w:sz="4" w:space="0" w:color="000000"/>
            </w:tcBorders>
          </w:tcPr>
          <w:p w14:paraId="20034CC1" w14:textId="58A2550C"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87.8</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9A45211" w14:textId="66A58E2A"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78.5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ED3ABA" w14:textId="784BD52B"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91.0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AF2E8A1" w14:textId="103DD2C0"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96.0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D35A74" w14:textId="2ECADA9B"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86.0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41F89E" w14:textId="2C44EDBB"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60,500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EBB57D" w14:textId="6B60DC26"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84,500</w:t>
            </w:r>
          </w:p>
        </w:tc>
        <w:tc>
          <w:tcPr>
            <w:tcW w:w="436" w:type="pct"/>
            <w:tcBorders>
              <w:top w:val="single" w:sz="4" w:space="0" w:color="000000"/>
              <w:left w:val="single" w:sz="4" w:space="0" w:color="000000"/>
              <w:bottom w:val="single" w:sz="4" w:space="0" w:color="000000"/>
              <w:right w:val="single" w:sz="4" w:space="0" w:color="000000"/>
            </w:tcBorders>
            <w:vAlign w:val="bottom"/>
          </w:tcPr>
          <w:p w14:paraId="29B582D2" w14:textId="768E56B2"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15.7</w:t>
            </w:r>
          </w:p>
        </w:tc>
        <w:tc>
          <w:tcPr>
            <w:tcW w:w="436" w:type="pct"/>
            <w:tcBorders>
              <w:top w:val="single" w:sz="4" w:space="0" w:color="000000"/>
              <w:left w:val="single" w:sz="4" w:space="0" w:color="000000"/>
              <w:bottom w:val="single" w:sz="4" w:space="0" w:color="000000"/>
              <w:right w:val="single" w:sz="4" w:space="0" w:color="000000"/>
            </w:tcBorders>
            <w:vAlign w:val="bottom"/>
          </w:tcPr>
          <w:p w14:paraId="75E2AA39" w14:textId="4DA0DF1A"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12.1</w:t>
            </w:r>
          </w:p>
        </w:tc>
      </w:tr>
      <w:tr w:rsidR="00C22852" w:rsidRPr="00617A89" w14:paraId="715AC93D" w14:textId="69749B34"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D98765F" w14:textId="536A1063" w:rsidR="005511D3" w:rsidRPr="00617A89" w:rsidRDefault="005511D3" w:rsidP="005511D3">
            <w:pPr>
              <w:spacing w:before="85" w:line="288" w:lineRule="auto"/>
              <w:rPr>
                <w:rFonts w:cs="Arial"/>
                <w:color w:val="000000" w:themeColor="text1"/>
                <w:sz w:val="18"/>
                <w:szCs w:val="16"/>
              </w:rPr>
            </w:pPr>
            <w:r w:rsidRPr="00617A89">
              <w:rPr>
                <w:color w:val="000000" w:themeColor="text1"/>
                <w:sz w:val="18"/>
                <w:szCs w:val="16"/>
              </w:rPr>
              <w:t>Malaysia</w:t>
            </w:r>
          </w:p>
        </w:tc>
        <w:tc>
          <w:tcPr>
            <w:tcW w:w="436" w:type="pct"/>
            <w:tcBorders>
              <w:top w:val="single" w:sz="4" w:space="0" w:color="000000"/>
              <w:left w:val="single" w:sz="4" w:space="0" w:color="000000"/>
              <w:bottom w:val="single" w:sz="4" w:space="0" w:color="000000"/>
              <w:right w:val="single" w:sz="4" w:space="0" w:color="000000"/>
            </w:tcBorders>
          </w:tcPr>
          <w:p w14:paraId="1D01EBE3" w14:textId="37313165"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67.6</w:t>
            </w:r>
          </w:p>
        </w:tc>
        <w:tc>
          <w:tcPr>
            <w:tcW w:w="436" w:type="pct"/>
            <w:tcBorders>
              <w:top w:val="single" w:sz="4" w:space="0" w:color="000000"/>
              <w:left w:val="single" w:sz="4" w:space="0" w:color="000000"/>
              <w:bottom w:val="single" w:sz="4" w:space="0" w:color="000000"/>
              <w:right w:val="single" w:sz="4" w:space="0" w:color="000000"/>
            </w:tcBorders>
          </w:tcPr>
          <w:p w14:paraId="6DC320FA" w14:textId="7540B54C"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90.5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1D51BE4" w14:textId="4E781AFF"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73.6</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79BEA73" w14:textId="70B0822C"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94.1</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7DF18D" w14:textId="3E7ED483"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88.3</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A89BC5" w14:textId="22AB6941"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89.8</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6C9D78" w14:textId="7DEA8700"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61,400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DE1FAAE" w14:textId="294A0C1A"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80,000</w:t>
            </w:r>
          </w:p>
        </w:tc>
        <w:tc>
          <w:tcPr>
            <w:tcW w:w="436" w:type="pct"/>
            <w:tcBorders>
              <w:top w:val="single" w:sz="4" w:space="0" w:color="000000"/>
              <w:left w:val="single" w:sz="4" w:space="0" w:color="000000"/>
              <w:bottom w:val="single" w:sz="4" w:space="0" w:color="000000"/>
              <w:right w:val="single" w:sz="4" w:space="0" w:color="000000"/>
            </w:tcBorders>
            <w:vAlign w:val="bottom"/>
          </w:tcPr>
          <w:p w14:paraId="55275480" w14:textId="2F9BCCC7"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21.5</w:t>
            </w:r>
          </w:p>
        </w:tc>
        <w:tc>
          <w:tcPr>
            <w:tcW w:w="436" w:type="pct"/>
            <w:tcBorders>
              <w:top w:val="single" w:sz="4" w:space="0" w:color="000000"/>
              <w:left w:val="single" w:sz="4" w:space="0" w:color="000000"/>
              <w:bottom w:val="single" w:sz="4" w:space="0" w:color="000000"/>
              <w:right w:val="single" w:sz="4" w:space="0" w:color="000000"/>
            </w:tcBorders>
            <w:vAlign w:val="bottom"/>
          </w:tcPr>
          <w:p w14:paraId="39731AD8" w14:textId="070BAA17"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15.8</w:t>
            </w:r>
          </w:p>
        </w:tc>
      </w:tr>
      <w:tr w:rsidR="00C22852" w:rsidRPr="00617A89" w14:paraId="3CEE129A" w14:textId="2492A019"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2E715CE" w14:textId="504A2578" w:rsidR="005511D3" w:rsidRPr="00617A89" w:rsidRDefault="005511D3" w:rsidP="005511D3">
            <w:pPr>
              <w:spacing w:before="85" w:line="288" w:lineRule="auto"/>
              <w:rPr>
                <w:rFonts w:cs="Arial"/>
                <w:color w:val="000000" w:themeColor="text1"/>
                <w:sz w:val="18"/>
                <w:szCs w:val="16"/>
              </w:rPr>
            </w:pPr>
            <w:r w:rsidRPr="00617A89">
              <w:rPr>
                <w:color w:val="000000" w:themeColor="text1"/>
                <w:sz w:val="18"/>
                <w:szCs w:val="16"/>
              </w:rPr>
              <w:t>Vietnam</w:t>
            </w:r>
          </w:p>
        </w:tc>
        <w:tc>
          <w:tcPr>
            <w:tcW w:w="436" w:type="pct"/>
            <w:tcBorders>
              <w:top w:val="single" w:sz="4" w:space="0" w:color="000000"/>
              <w:left w:val="single" w:sz="4" w:space="0" w:color="000000"/>
              <w:bottom w:val="single" w:sz="4" w:space="0" w:color="000000"/>
              <w:right w:val="single" w:sz="4" w:space="0" w:color="000000"/>
            </w:tcBorders>
          </w:tcPr>
          <w:p w14:paraId="363C685D" w14:textId="24F196EA"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54.0</w:t>
            </w:r>
          </w:p>
        </w:tc>
        <w:tc>
          <w:tcPr>
            <w:tcW w:w="436" w:type="pct"/>
            <w:tcBorders>
              <w:top w:val="single" w:sz="4" w:space="0" w:color="000000"/>
              <w:left w:val="single" w:sz="4" w:space="0" w:color="000000"/>
              <w:bottom w:val="single" w:sz="4" w:space="0" w:color="000000"/>
              <w:right w:val="single" w:sz="4" w:space="0" w:color="000000"/>
            </w:tcBorders>
          </w:tcPr>
          <w:p w14:paraId="467C7A2C" w14:textId="6337609A"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89.4</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67C147" w14:textId="5E81ECBA"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76E8BB9" w14:textId="39639448"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91.5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6F30443" w14:textId="3C3C5989"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86.5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3F73FD4" w14:textId="7243AC44" w:rsidR="005511D3" w:rsidRPr="00617A89" w:rsidRDefault="005511D3" w:rsidP="005511D3">
            <w:pPr>
              <w:spacing w:before="85" w:line="288" w:lineRule="auto"/>
              <w:jc w:val="center"/>
              <w:rPr>
                <w:rFonts w:cs="Arial"/>
                <w:color w:val="000000" w:themeColor="text1"/>
                <w:sz w:val="18"/>
                <w:szCs w:val="16"/>
              </w:rPr>
            </w:pPr>
            <w:r w:rsidRPr="00617A89">
              <w:rPr>
                <w:rFonts w:cs="Arial"/>
                <w:color w:val="000000" w:themeColor="text1"/>
                <w:sz w:val="18"/>
                <w:szCs w:val="16"/>
              </w:rPr>
              <w:t>83.3</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58786A" w14:textId="18BF1A17"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63,400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0105086" w14:textId="76589342"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76,000</w:t>
            </w:r>
          </w:p>
        </w:tc>
        <w:tc>
          <w:tcPr>
            <w:tcW w:w="436" w:type="pct"/>
            <w:tcBorders>
              <w:top w:val="single" w:sz="4" w:space="0" w:color="000000"/>
              <w:left w:val="single" w:sz="4" w:space="0" w:color="000000"/>
              <w:bottom w:val="single" w:sz="4" w:space="0" w:color="000000"/>
              <w:right w:val="single" w:sz="4" w:space="0" w:color="000000"/>
            </w:tcBorders>
            <w:vAlign w:val="bottom"/>
          </w:tcPr>
          <w:p w14:paraId="568B0A7F" w14:textId="6588E5E2"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23.4</w:t>
            </w:r>
          </w:p>
        </w:tc>
        <w:tc>
          <w:tcPr>
            <w:tcW w:w="436" w:type="pct"/>
            <w:tcBorders>
              <w:top w:val="single" w:sz="4" w:space="0" w:color="000000"/>
              <w:left w:val="single" w:sz="4" w:space="0" w:color="000000"/>
              <w:bottom w:val="single" w:sz="4" w:space="0" w:color="000000"/>
              <w:right w:val="single" w:sz="4" w:space="0" w:color="000000"/>
            </w:tcBorders>
            <w:vAlign w:val="bottom"/>
          </w:tcPr>
          <w:p w14:paraId="2814ADFC" w14:textId="4FE7EB6A" w:rsidR="005511D3" w:rsidRPr="00617A89" w:rsidRDefault="005511D3" w:rsidP="005511D3">
            <w:pPr>
              <w:spacing w:before="85" w:line="288" w:lineRule="auto"/>
              <w:jc w:val="center"/>
              <w:rPr>
                <w:rFonts w:cs="Arial"/>
                <w:color w:val="000000" w:themeColor="text1"/>
                <w:sz w:val="18"/>
              </w:rPr>
            </w:pPr>
            <w:r w:rsidRPr="00617A89">
              <w:rPr>
                <w:rFonts w:cs="Arial"/>
                <w:color w:val="000000" w:themeColor="text1"/>
                <w:sz w:val="18"/>
              </w:rPr>
              <w:t>18.2</w:t>
            </w:r>
          </w:p>
        </w:tc>
      </w:tr>
      <w:tr w:rsidR="00C22852" w:rsidRPr="00617A89" w14:paraId="4E077192" w14:textId="680B7A9A" w:rsidTr="00CD33FB">
        <w:trPr>
          <w:trHeight w:val="123"/>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AF54F78" w14:textId="09CE8751" w:rsidR="005511D3" w:rsidRPr="00617A89" w:rsidRDefault="005511D3" w:rsidP="005511D3">
            <w:pPr>
              <w:spacing w:before="85" w:line="288" w:lineRule="auto"/>
              <w:rPr>
                <w:rFonts w:cs="Arial"/>
                <w:b/>
                <w:bCs/>
                <w:color w:val="000000" w:themeColor="text1"/>
                <w:sz w:val="18"/>
              </w:rPr>
            </w:pPr>
            <w:r w:rsidRPr="00617A89">
              <w:rPr>
                <w:rFonts w:cs="Arial"/>
                <w:b/>
                <w:bCs/>
                <w:color w:val="000000" w:themeColor="text1"/>
                <w:sz w:val="18"/>
              </w:rPr>
              <w:t>Total international</w:t>
            </w:r>
          </w:p>
        </w:tc>
        <w:tc>
          <w:tcPr>
            <w:tcW w:w="436" w:type="pct"/>
            <w:tcBorders>
              <w:top w:val="single" w:sz="4" w:space="0" w:color="000000"/>
              <w:left w:val="single" w:sz="4" w:space="0" w:color="000000"/>
              <w:bottom w:val="single" w:sz="4" w:space="0" w:color="000000"/>
              <w:right w:val="single" w:sz="4" w:space="0" w:color="000000"/>
            </w:tcBorders>
            <w:vAlign w:val="bottom"/>
          </w:tcPr>
          <w:p w14:paraId="1FF66811" w14:textId="64E49287" w:rsidR="005511D3" w:rsidRPr="00617A89" w:rsidRDefault="005511D3" w:rsidP="005511D3">
            <w:pPr>
              <w:spacing w:before="85" w:line="288" w:lineRule="auto"/>
              <w:jc w:val="center"/>
              <w:rPr>
                <w:rFonts w:cs="Arial"/>
                <w:b/>
                <w:bCs/>
                <w:color w:val="000000" w:themeColor="text1"/>
                <w:sz w:val="18"/>
                <w:szCs w:val="16"/>
              </w:rPr>
            </w:pPr>
            <w:r w:rsidRPr="00617A89">
              <w:rPr>
                <w:rFonts w:cs="Arial"/>
                <w:b/>
                <w:bCs/>
                <w:color w:val="000000" w:themeColor="text1"/>
                <w:sz w:val="18"/>
                <w:szCs w:val="16"/>
              </w:rPr>
              <w:t>60.5</w:t>
            </w:r>
          </w:p>
        </w:tc>
        <w:tc>
          <w:tcPr>
            <w:tcW w:w="436" w:type="pct"/>
            <w:tcBorders>
              <w:top w:val="single" w:sz="4" w:space="0" w:color="000000"/>
              <w:left w:val="single" w:sz="4" w:space="0" w:color="000000"/>
              <w:bottom w:val="single" w:sz="4" w:space="0" w:color="000000"/>
              <w:right w:val="single" w:sz="4" w:space="0" w:color="000000"/>
            </w:tcBorders>
            <w:vAlign w:val="bottom"/>
          </w:tcPr>
          <w:p w14:paraId="4B0313DD" w14:textId="2FD61F55" w:rsidR="005511D3" w:rsidRPr="00617A89" w:rsidRDefault="005511D3" w:rsidP="005511D3">
            <w:pPr>
              <w:spacing w:before="85" w:line="288" w:lineRule="auto"/>
              <w:jc w:val="center"/>
              <w:rPr>
                <w:rFonts w:cs="Arial"/>
                <w:b/>
                <w:bCs/>
                <w:color w:val="000000" w:themeColor="text1"/>
                <w:sz w:val="18"/>
                <w:szCs w:val="16"/>
              </w:rPr>
            </w:pPr>
            <w:r w:rsidRPr="00617A89">
              <w:rPr>
                <w:rFonts w:cs="Arial"/>
                <w:b/>
                <w:bCs/>
                <w:color w:val="000000" w:themeColor="text1"/>
                <w:sz w:val="18"/>
                <w:szCs w:val="16"/>
              </w:rPr>
              <w:t>84.7</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1DEE42" w14:textId="447CD4FF" w:rsidR="005511D3" w:rsidRPr="00617A89" w:rsidRDefault="005511D3" w:rsidP="005511D3">
            <w:pPr>
              <w:spacing w:before="85" w:line="288" w:lineRule="auto"/>
              <w:jc w:val="center"/>
              <w:rPr>
                <w:rFonts w:cs="Arial"/>
                <w:b/>
                <w:bCs/>
                <w:color w:val="000000" w:themeColor="text1"/>
                <w:sz w:val="18"/>
                <w:szCs w:val="16"/>
              </w:rPr>
            </w:pPr>
            <w:r w:rsidRPr="00617A89">
              <w:rPr>
                <w:rFonts w:cs="Arial"/>
                <w:b/>
                <w:bCs/>
                <w:color w:val="000000" w:themeColor="text1"/>
                <w:sz w:val="18"/>
                <w:szCs w:val="16"/>
              </w:rPr>
              <w:t>74.8</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74A462D" w14:textId="040421AB" w:rsidR="005511D3" w:rsidRPr="00617A89" w:rsidRDefault="005511D3" w:rsidP="005511D3">
            <w:pPr>
              <w:spacing w:before="85" w:line="288" w:lineRule="auto"/>
              <w:jc w:val="center"/>
              <w:rPr>
                <w:rFonts w:cs="Arial"/>
                <w:b/>
                <w:bCs/>
                <w:color w:val="000000" w:themeColor="text1"/>
                <w:sz w:val="18"/>
                <w:szCs w:val="16"/>
              </w:rPr>
            </w:pPr>
            <w:r w:rsidRPr="00617A89">
              <w:rPr>
                <w:rFonts w:cs="Arial"/>
                <w:b/>
                <w:bCs/>
                <w:color w:val="000000" w:themeColor="text1"/>
                <w:sz w:val="18"/>
                <w:szCs w:val="16"/>
              </w:rPr>
              <w:t>89.5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772EAE9" w14:textId="2D8C473B" w:rsidR="005511D3" w:rsidRPr="00617A89" w:rsidRDefault="005511D3" w:rsidP="005511D3">
            <w:pPr>
              <w:spacing w:before="85" w:line="288" w:lineRule="auto"/>
              <w:jc w:val="center"/>
              <w:rPr>
                <w:rFonts w:cs="Arial"/>
                <w:b/>
                <w:bCs/>
                <w:color w:val="000000" w:themeColor="text1"/>
                <w:sz w:val="18"/>
                <w:szCs w:val="16"/>
              </w:rPr>
            </w:pPr>
            <w:r w:rsidRPr="00617A89">
              <w:rPr>
                <w:rFonts w:cs="Arial"/>
                <w:b/>
                <w:bCs/>
                <w:color w:val="000000" w:themeColor="text1"/>
                <w:sz w:val="18"/>
                <w:szCs w:val="16"/>
              </w:rPr>
              <w:t>87.4</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AAE02F" w14:textId="79957F6B" w:rsidR="005511D3" w:rsidRPr="00617A89" w:rsidRDefault="005511D3" w:rsidP="005511D3">
            <w:pPr>
              <w:spacing w:before="85" w:line="288" w:lineRule="auto"/>
              <w:jc w:val="center"/>
              <w:rPr>
                <w:rFonts w:cs="Arial"/>
                <w:b/>
                <w:bCs/>
                <w:color w:val="000000" w:themeColor="text1"/>
                <w:sz w:val="18"/>
                <w:szCs w:val="16"/>
              </w:rPr>
            </w:pPr>
            <w:r w:rsidRPr="00617A89">
              <w:rPr>
                <w:rFonts w:cs="Arial"/>
                <w:b/>
                <w:bCs/>
                <w:color w:val="000000" w:themeColor="text1"/>
                <w:sz w:val="18"/>
                <w:szCs w:val="16"/>
              </w:rPr>
              <w:t>87.1</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67485C" w14:textId="3F163FF1" w:rsidR="005511D3" w:rsidRPr="00617A89" w:rsidRDefault="005511D3" w:rsidP="005511D3">
            <w:pPr>
              <w:spacing w:before="85" w:line="288" w:lineRule="auto"/>
              <w:jc w:val="center"/>
              <w:rPr>
                <w:rFonts w:cs="Arial"/>
                <w:b/>
                <w:bCs/>
                <w:color w:val="000000" w:themeColor="text1"/>
                <w:sz w:val="18"/>
              </w:rPr>
            </w:pPr>
            <w:r w:rsidRPr="00617A89">
              <w:rPr>
                <w:rFonts w:cs="Arial"/>
                <w:b/>
                <w:bCs/>
                <w:color w:val="000000" w:themeColor="text1"/>
                <w:sz w:val="18"/>
              </w:rPr>
              <w:t>62,000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4FD0BB" w14:textId="539FC8DB" w:rsidR="005511D3" w:rsidRPr="00617A89" w:rsidRDefault="005511D3" w:rsidP="005511D3">
            <w:pPr>
              <w:spacing w:before="85" w:line="288" w:lineRule="auto"/>
              <w:jc w:val="center"/>
              <w:rPr>
                <w:rFonts w:cs="Arial"/>
                <w:b/>
                <w:bCs/>
                <w:color w:val="000000" w:themeColor="text1"/>
                <w:sz w:val="18"/>
              </w:rPr>
            </w:pPr>
            <w:r w:rsidRPr="00617A89">
              <w:rPr>
                <w:rFonts w:cs="Arial"/>
                <w:b/>
                <w:bCs/>
                <w:color w:val="000000" w:themeColor="text1"/>
                <w:sz w:val="18"/>
              </w:rPr>
              <w:t>80,500</w:t>
            </w:r>
          </w:p>
        </w:tc>
        <w:tc>
          <w:tcPr>
            <w:tcW w:w="436" w:type="pct"/>
            <w:tcBorders>
              <w:top w:val="single" w:sz="4" w:space="0" w:color="000000"/>
              <w:left w:val="single" w:sz="4" w:space="0" w:color="000000"/>
              <w:bottom w:val="single" w:sz="4" w:space="0" w:color="000000"/>
              <w:right w:val="single" w:sz="4" w:space="0" w:color="000000"/>
            </w:tcBorders>
            <w:vAlign w:val="bottom"/>
          </w:tcPr>
          <w:p w14:paraId="5A5A62C8" w14:textId="0F3F12F5" w:rsidR="005511D3" w:rsidRPr="00617A89" w:rsidRDefault="005511D3" w:rsidP="005511D3">
            <w:pPr>
              <w:spacing w:before="85" w:line="288" w:lineRule="auto"/>
              <w:jc w:val="center"/>
              <w:rPr>
                <w:rFonts w:cs="Arial"/>
                <w:b/>
                <w:bCs/>
                <w:color w:val="000000" w:themeColor="text1"/>
                <w:sz w:val="18"/>
              </w:rPr>
            </w:pPr>
            <w:r w:rsidRPr="00617A89">
              <w:rPr>
                <w:rFonts w:cs="Arial"/>
                <w:b/>
                <w:bCs/>
                <w:color w:val="000000" w:themeColor="text1"/>
                <w:sz w:val="18"/>
              </w:rPr>
              <w:t>25.4</w:t>
            </w:r>
          </w:p>
        </w:tc>
        <w:tc>
          <w:tcPr>
            <w:tcW w:w="436" w:type="pct"/>
            <w:tcBorders>
              <w:top w:val="single" w:sz="4" w:space="0" w:color="000000"/>
              <w:left w:val="single" w:sz="4" w:space="0" w:color="000000"/>
              <w:bottom w:val="single" w:sz="4" w:space="0" w:color="000000"/>
              <w:right w:val="single" w:sz="4" w:space="0" w:color="000000"/>
            </w:tcBorders>
            <w:vAlign w:val="bottom"/>
          </w:tcPr>
          <w:p w14:paraId="1B6B6780" w14:textId="01C7057E" w:rsidR="005511D3" w:rsidRPr="00617A89" w:rsidRDefault="005511D3" w:rsidP="005511D3">
            <w:pPr>
              <w:spacing w:before="85" w:line="288" w:lineRule="auto"/>
              <w:jc w:val="center"/>
              <w:rPr>
                <w:rFonts w:cs="Arial"/>
                <w:b/>
                <w:bCs/>
                <w:color w:val="000000" w:themeColor="text1"/>
                <w:sz w:val="18"/>
              </w:rPr>
            </w:pPr>
            <w:r w:rsidRPr="00617A89">
              <w:rPr>
                <w:rFonts w:cs="Arial"/>
                <w:b/>
                <w:bCs/>
                <w:color w:val="000000" w:themeColor="text1"/>
                <w:sz w:val="18"/>
              </w:rPr>
              <w:t>17.8</w:t>
            </w:r>
          </w:p>
        </w:tc>
      </w:tr>
    </w:tbl>
    <w:p w14:paraId="7F1FB8BF" w14:textId="1F9ED6AF" w:rsidR="005800A1" w:rsidRPr="00617A89" w:rsidRDefault="005800A1" w:rsidP="004C663A">
      <w:pPr>
        <w:pStyle w:val="Body"/>
        <w:rPr>
          <w:color w:val="000000" w:themeColor="text1"/>
          <w:sz w:val="18"/>
          <w:szCs w:val="21"/>
          <w:lang w:val="en-GB"/>
        </w:rPr>
      </w:pPr>
      <w:r w:rsidRPr="00617A89">
        <w:rPr>
          <w:color w:val="000000" w:themeColor="text1"/>
          <w:sz w:val="18"/>
          <w:szCs w:val="21"/>
          <w:lang w:val="en-GB"/>
        </w:rPr>
        <w:t>Note: International graduates’ median salary figures only include data for international graduates working in Australia.</w:t>
      </w:r>
    </w:p>
    <w:p w14:paraId="5F771FCF" w14:textId="77777777" w:rsidR="00AE502E" w:rsidRPr="00617A89" w:rsidRDefault="00AE502E" w:rsidP="00AE502E">
      <w:pPr>
        <w:pStyle w:val="FigureNote"/>
        <w:rPr>
          <w:sz w:val="18"/>
          <w:szCs w:val="24"/>
        </w:rPr>
      </w:pPr>
      <w:r w:rsidRPr="00617A89">
        <w:rPr>
          <w:sz w:val="18"/>
          <w:szCs w:val="24"/>
        </w:rPr>
        <w:t xml:space="preserve">‡ 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sz w:val="18"/>
          <w:szCs w:val="24"/>
        </w:rPr>
        <w:t>Appendix 1</w:t>
      </w:r>
      <w:r w:rsidRPr="00617A89">
        <w:rPr>
          <w:sz w:val="18"/>
          <w:szCs w:val="24"/>
        </w:rPr>
        <w:t xml:space="preserve"> for further information.</w:t>
      </w:r>
    </w:p>
    <w:p w14:paraId="6EE4ED79" w14:textId="77777777" w:rsidR="00AE502E" w:rsidRPr="00617A89" w:rsidRDefault="00AE502E" w:rsidP="004C663A">
      <w:pPr>
        <w:pStyle w:val="Body"/>
        <w:rPr>
          <w:color w:val="000000" w:themeColor="text1"/>
          <w:sz w:val="21"/>
          <w:szCs w:val="21"/>
        </w:rPr>
      </w:pPr>
    </w:p>
    <w:p w14:paraId="31FF0097" w14:textId="39AAF7CA" w:rsidR="005C0D9D" w:rsidRPr="00617A89" w:rsidRDefault="004C663A" w:rsidP="004C663A">
      <w:pPr>
        <w:pStyle w:val="Body"/>
        <w:rPr>
          <w:color w:val="000000" w:themeColor="text1"/>
        </w:rPr>
      </w:pPr>
      <w:bookmarkStart w:id="191" w:name="_Ref204667338"/>
      <w:bookmarkStart w:id="192" w:name="_Ref204667332"/>
      <w:r w:rsidRPr="00617A89">
        <w:rPr>
          <w:color w:val="000000" w:themeColor="text1"/>
        </w:rPr>
        <w:t>Similar variation in outcomes also existed at the postgraduate coursework level</w:t>
      </w:r>
      <w:r w:rsidR="00FE5283" w:rsidRPr="00617A89">
        <w:rPr>
          <w:color w:val="000000" w:themeColor="text1"/>
        </w:rPr>
        <w:t xml:space="preserve">, although the mix of source countries making up the top 5 did vary. </w:t>
      </w:r>
      <w:r w:rsidR="003107C1" w:rsidRPr="00617A89">
        <w:rPr>
          <w:color w:val="000000" w:themeColor="text1"/>
        </w:rPr>
        <w:t>Notably</w:t>
      </w:r>
      <w:r w:rsidR="00C5009E" w:rsidRPr="00617A89">
        <w:rPr>
          <w:color w:val="000000" w:themeColor="text1"/>
        </w:rPr>
        <w:t>,</w:t>
      </w:r>
      <w:r w:rsidR="003107C1" w:rsidRPr="00617A89">
        <w:rPr>
          <w:color w:val="000000" w:themeColor="text1"/>
        </w:rPr>
        <w:t xml:space="preserve"> graduates from China (excludes SARs and Taiwan)</w:t>
      </w:r>
      <w:r w:rsidR="001D2DD0" w:rsidRPr="00617A89">
        <w:rPr>
          <w:color w:val="000000" w:themeColor="text1"/>
        </w:rPr>
        <w:t xml:space="preserve"> also had the highest further full-time study rates</w:t>
      </w:r>
      <w:r w:rsidR="00AB1774" w:rsidRPr="00617A89">
        <w:rPr>
          <w:color w:val="000000" w:themeColor="text1"/>
        </w:rPr>
        <w:t xml:space="preserve"> in the short- and medium-term and the lowest labour force participation rate</w:t>
      </w:r>
      <w:r w:rsidR="005C0D9D" w:rsidRPr="00617A89">
        <w:rPr>
          <w:color w:val="000000" w:themeColor="text1"/>
        </w:rPr>
        <w:t xml:space="preserve">, particularly in the short-term. </w:t>
      </w:r>
      <w:r w:rsidR="00566048" w:rsidRPr="00617A89">
        <w:rPr>
          <w:color w:val="000000" w:themeColor="text1"/>
        </w:rPr>
        <w:t xml:space="preserve">Graduates from Nepal and, in some cases, India, had weaker employment and median salary outcomes at the postgraduate level than their peers at the undergraduate level, and this did not change over time. For example, postgraduate coursework graduates from Nepal had lower full-time employment rates and median salaries in the short- and medium-term than undergraduates from Nepal. </w:t>
      </w:r>
    </w:p>
    <w:p w14:paraId="6AEDCE00" w14:textId="543C461E" w:rsidR="00E3441F" w:rsidRPr="00617A89" w:rsidRDefault="005C0D9D" w:rsidP="004C663A">
      <w:pPr>
        <w:pStyle w:val="Body"/>
        <w:rPr>
          <w:color w:val="000000" w:themeColor="text1"/>
        </w:rPr>
      </w:pPr>
      <w:r w:rsidRPr="00617A89">
        <w:rPr>
          <w:color w:val="000000" w:themeColor="text1"/>
        </w:rPr>
        <w:t>Graduates from Indonesia</w:t>
      </w:r>
      <w:r w:rsidR="00DB7C05" w:rsidRPr="00617A89">
        <w:rPr>
          <w:color w:val="000000" w:themeColor="text1"/>
        </w:rPr>
        <w:t xml:space="preserve"> had the highest full-time employment</w:t>
      </w:r>
      <w:r w:rsidR="007205DA" w:rsidRPr="00617A89">
        <w:rPr>
          <w:color w:val="000000" w:themeColor="text1"/>
        </w:rPr>
        <w:t xml:space="preserve"> rate in the short-term and one of the highest in the medium-term</w:t>
      </w:r>
      <w:r w:rsidR="00934402" w:rsidRPr="00617A89">
        <w:rPr>
          <w:color w:val="000000" w:themeColor="text1"/>
        </w:rPr>
        <w:t xml:space="preserve"> (along with Sri Lanka).</w:t>
      </w:r>
      <w:r w:rsidR="004C663A" w:rsidRPr="00617A89">
        <w:rPr>
          <w:color w:val="000000" w:themeColor="text1"/>
        </w:rPr>
        <w:t xml:space="preserve"> </w:t>
      </w:r>
    </w:p>
    <w:p w14:paraId="0D076690" w14:textId="54BDC39A" w:rsidR="00C5009E" w:rsidRPr="00617A89" w:rsidRDefault="008D6FB7" w:rsidP="00C5009E">
      <w:pPr>
        <w:pStyle w:val="Body"/>
        <w:rPr>
          <w:color w:val="000000" w:themeColor="text1"/>
        </w:rPr>
      </w:pPr>
      <w:r w:rsidRPr="00617A89">
        <w:rPr>
          <w:color w:val="000000" w:themeColor="text1"/>
        </w:rPr>
        <w:t>Like undergraduate median salaries, there was some variation at the postgraduate coursework level with similar patterns observed by source country. Graduates from Nepal reported the lowest median salaries in both the short- and medium-term</w:t>
      </w:r>
      <w:r w:rsidR="000240AF" w:rsidRPr="00617A89">
        <w:rPr>
          <w:color w:val="000000" w:themeColor="text1"/>
        </w:rPr>
        <w:t>. Graduates from Indonesia had some of the highest median salaries in both the short- and medium-term, above the average for international postgraduate coursework graduates.</w:t>
      </w:r>
    </w:p>
    <w:p w14:paraId="6A21EE3E" w14:textId="121B347A" w:rsidR="00E52883" w:rsidRPr="00617A89" w:rsidRDefault="00E52883" w:rsidP="00E52883">
      <w:pPr>
        <w:pStyle w:val="Caption"/>
        <w:keepNext/>
        <w:rPr>
          <w:color w:val="000000" w:themeColor="text1"/>
        </w:rPr>
      </w:pPr>
      <w:bookmarkStart w:id="193" w:name="_Ref206015908"/>
      <w:bookmarkStart w:id="194" w:name="_Toc222868482"/>
      <w:r w:rsidRPr="00617A89">
        <w:rPr>
          <w:color w:val="000000" w:themeColor="text1"/>
        </w:rPr>
        <w:t>Table</w:t>
      </w:r>
      <w:bookmarkEnd w:id="191"/>
      <w:r w:rsidRPr="00617A89">
        <w:rPr>
          <w:color w:val="000000" w:themeColor="text1"/>
        </w:rPr>
        <w:t xml:space="preserv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12</w:t>
      </w:r>
      <w:r w:rsidR="00DB7C31" w:rsidRPr="00617A89">
        <w:rPr>
          <w:noProof/>
          <w:color w:val="000000" w:themeColor="text1"/>
        </w:rPr>
        <w:fldChar w:fldCharType="end"/>
      </w:r>
      <w:bookmarkEnd w:id="193"/>
      <w:r w:rsidR="0062339E" w:rsidRPr="00617A89">
        <w:rPr>
          <w:color w:val="000000" w:themeColor="text1"/>
        </w:rPr>
        <w:tab/>
      </w:r>
      <w:r w:rsidRPr="00617A89">
        <w:rPr>
          <w:color w:val="000000" w:themeColor="text1"/>
        </w:rPr>
        <w:t xml:space="preserve">International </w:t>
      </w:r>
      <w:r w:rsidR="002D3766" w:rsidRPr="00617A89">
        <w:rPr>
          <w:color w:val="000000" w:themeColor="text1"/>
        </w:rPr>
        <w:t>postgraduate coursework</w:t>
      </w:r>
      <w:r w:rsidRPr="00617A89">
        <w:rPr>
          <w:color w:val="000000" w:themeColor="text1"/>
        </w:rPr>
        <w:t xml:space="preserve"> short- and medium-term outcomes by source country</w:t>
      </w:r>
      <w:bookmarkEnd w:id="192"/>
      <w:bookmarkEnd w:id="194"/>
    </w:p>
    <w:tbl>
      <w:tblPr>
        <w:tblW w:w="5026" w:type="pct"/>
        <w:tblInd w:w="-5" w:type="dxa"/>
        <w:tblCellMar>
          <w:left w:w="0" w:type="dxa"/>
          <w:right w:w="0" w:type="dxa"/>
        </w:tblCellMar>
        <w:tblLook w:val="0000" w:firstRow="0" w:lastRow="0" w:firstColumn="0" w:lastColumn="0" w:noHBand="0" w:noVBand="0"/>
      </w:tblPr>
      <w:tblGrid>
        <w:gridCol w:w="1986"/>
        <w:gridCol w:w="1349"/>
        <w:gridCol w:w="1349"/>
        <w:gridCol w:w="1349"/>
        <w:gridCol w:w="1349"/>
        <w:gridCol w:w="1349"/>
        <w:gridCol w:w="1349"/>
        <w:gridCol w:w="1349"/>
        <w:gridCol w:w="1349"/>
        <w:gridCol w:w="1349"/>
        <w:gridCol w:w="1343"/>
      </w:tblGrid>
      <w:tr w:rsidR="00C22852" w:rsidRPr="00617A89" w14:paraId="11E3EF74" w14:textId="77777777" w:rsidTr="00CD33FB">
        <w:trPr>
          <w:trHeight w:val="457"/>
          <w:tblHeader/>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6F235C76" w14:textId="4C74AEDB" w:rsidR="00E52883" w:rsidRPr="00617A89" w:rsidRDefault="00CD33FB" w:rsidP="00CD33FB">
            <w:pPr>
              <w:rPr>
                <w:rFonts w:cs="Arial"/>
                <w:b/>
                <w:color w:val="000000" w:themeColor="text1"/>
                <w:sz w:val="18"/>
              </w:rPr>
            </w:pPr>
            <w:r w:rsidRPr="00617A89">
              <w:rPr>
                <w:rFonts w:cs="Arial"/>
                <w:b/>
                <w:color w:val="000000" w:themeColor="text1"/>
                <w:sz w:val="18"/>
              </w:rPr>
              <w:t>Source country</w:t>
            </w:r>
          </w:p>
        </w:tc>
        <w:tc>
          <w:tcPr>
            <w:tcW w:w="436" w:type="pct"/>
            <w:tcBorders>
              <w:top w:val="single" w:sz="4" w:space="0" w:color="000000"/>
              <w:left w:val="single" w:sz="4" w:space="0" w:color="000000"/>
              <w:bottom w:val="single" w:sz="4" w:space="0" w:color="000000"/>
              <w:right w:val="single" w:sz="4" w:space="0" w:color="000000"/>
            </w:tcBorders>
            <w:vAlign w:val="center"/>
          </w:tcPr>
          <w:p w14:paraId="41198671"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Full-time</w:t>
            </w:r>
          </w:p>
          <w:p w14:paraId="3A9F09C3" w14:textId="628DAE7E" w:rsidR="00E52883" w:rsidRPr="00617A89" w:rsidRDefault="00CD33FB" w:rsidP="00CD33FB">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E52883"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vAlign w:val="center"/>
          </w:tcPr>
          <w:p w14:paraId="43C3EB14"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Full-time</w:t>
            </w:r>
          </w:p>
          <w:p w14:paraId="02465117" w14:textId="59E80885" w:rsidR="00E52883" w:rsidRPr="00617A89" w:rsidRDefault="00CD33FB" w:rsidP="00CD33FB">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E52883" w:rsidRPr="00617A89">
              <w:rPr>
                <w:rFonts w:ascii="Arial" w:hAnsi="Arial" w:cs="Arial"/>
                <w:b/>
                <w:color w:val="000000" w:themeColor="text1"/>
                <w:sz w:val="18"/>
                <w:szCs w:val="18"/>
              </w:rPr>
              <w:t>Medium-term</w:t>
            </w:r>
          </w:p>
          <w:p w14:paraId="5EA18B43" w14:textId="77777777" w:rsidR="00E52883" w:rsidRPr="00617A89" w:rsidRDefault="00E52883"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73F6DA"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Overall</w:t>
            </w:r>
          </w:p>
          <w:p w14:paraId="7668741D" w14:textId="4895DABD" w:rsidR="00E52883" w:rsidRPr="00617A89" w:rsidRDefault="00CD33FB" w:rsidP="00CD33FB">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E52883"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0E32CB" w14:textId="77777777" w:rsidR="00CD33FB" w:rsidRPr="00617A89" w:rsidRDefault="00CD33FB" w:rsidP="00CD33FB">
            <w:pPr>
              <w:pStyle w:val="TablecolumnheadCENTRETABLES"/>
              <w:rPr>
                <w:rFonts w:ascii="Arial" w:hAnsi="Arial" w:cs="Arial"/>
                <w:b/>
                <w:caps/>
                <w:color w:val="000000" w:themeColor="text1"/>
                <w:sz w:val="18"/>
                <w:szCs w:val="18"/>
              </w:rPr>
            </w:pPr>
            <w:r w:rsidRPr="00617A89">
              <w:rPr>
                <w:rFonts w:ascii="Arial" w:hAnsi="Arial" w:cs="Arial"/>
                <w:b/>
                <w:color w:val="000000" w:themeColor="text1"/>
                <w:sz w:val="18"/>
                <w:szCs w:val="18"/>
              </w:rPr>
              <w:t>Overall</w:t>
            </w:r>
          </w:p>
          <w:p w14:paraId="203B6729" w14:textId="3B5FD774" w:rsidR="00E52883" w:rsidRPr="00617A89" w:rsidRDefault="00CD33FB" w:rsidP="00CD33FB">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employment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E52883" w:rsidRPr="00617A89">
              <w:rPr>
                <w:rFonts w:ascii="Arial" w:hAnsi="Arial" w:cs="Arial"/>
                <w:b/>
                <w:color w:val="000000" w:themeColor="text1"/>
                <w:sz w:val="18"/>
                <w:szCs w:val="18"/>
              </w:rPr>
              <w:t>Medium-term</w:t>
            </w:r>
          </w:p>
          <w:p w14:paraId="21F155A8" w14:textId="77777777" w:rsidR="00E52883" w:rsidRPr="00617A89" w:rsidRDefault="00E52883"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6FC5A1" w14:textId="6FD5ADBC" w:rsidR="00E52883" w:rsidRPr="00617A89" w:rsidRDefault="00CD33FB"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Labour force participation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E52883"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FD82C9" w14:textId="63974DC3" w:rsidR="00E52883" w:rsidRPr="00617A89" w:rsidRDefault="00CD33FB"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Labour force participation rate (%)</w:t>
            </w:r>
            <w:r w:rsidR="00AE502E" w:rsidRPr="00617A89">
              <w:rPr>
                <w:rFonts w:ascii="Arial" w:hAnsi="Arial" w:cs="Arial"/>
                <w:b/>
                <w:color w:val="auto"/>
                <w:sz w:val="18"/>
                <w:szCs w:val="18"/>
                <w:vertAlign w:val="superscript"/>
              </w:rPr>
              <w:t>‡</w:t>
            </w:r>
            <w:r w:rsidRPr="00617A89">
              <w:rPr>
                <w:rFonts w:ascii="Arial" w:hAnsi="Arial" w:cs="Arial"/>
                <w:b/>
                <w:color w:val="000000" w:themeColor="text1"/>
                <w:sz w:val="18"/>
                <w:szCs w:val="18"/>
              </w:rPr>
              <w:t xml:space="preserve"> </w:t>
            </w:r>
            <w:r w:rsidR="00E52883" w:rsidRPr="00617A89">
              <w:rPr>
                <w:rFonts w:ascii="Arial" w:hAnsi="Arial" w:cs="Arial"/>
                <w:b/>
                <w:color w:val="000000" w:themeColor="text1"/>
                <w:sz w:val="18"/>
                <w:szCs w:val="18"/>
              </w:rPr>
              <w:t>Medium-term</w:t>
            </w:r>
          </w:p>
          <w:p w14:paraId="1C8F35EF" w14:textId="77777777" w:rsidR="00E52883" w:rsidRPr="00617A89" w:rsidRDefault="00E52883"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14CE4B" w14:textId="2348E306" w:rsidR="00E52883" w:rsidRPr="00617A89" w:rsidRDefault="00CD33FB"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Median annual full-time salary ($) </w:t>
            </w:r>
            <w:r w:rsidR="00E52883"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3ADD20" w14:textId="567B27AD" w:rsidR="00E52883" w:rsidRPr="00617A89" w:rsidRDefault="00CD33FB"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Median annual full-time salary ($) </w:t>
            </w:r>
            <w:r w:rsidR="00E52883" w:rsidRPr="00617A89">
              <w:rPr>
                <w:rFonts w:ascii="Arial" w:hAnsi="Arial" w:cs="Arial"/>
                <w:b/>
                <w:color w:val="000000" w:themeColor="text1"/>
                <w:sz w:val="18"/>
                <w:szCs w:val="18"/>
              </w:rPr>
              <w:t>Medium-term</w:t>
            </w:r>
          </w:p>
          <w:p w14:paraId="0741F237" w14:textId="77777777" w:rsidR="00E52883" w:rsidRPr="00617A89" w:rsidRDefault="00E52883"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c>
          <w:tcPr>
            <w:tcW w:w="436" w:type="pct"/>
            <w:tcBorders>
              <w:top w:val="single" w:sz="4" w:space="0" w:color="000000"/>
              <w:left w:val="single" w:sz="4" w:space="0" w:color="000000"/>
              <w:bottom w:val="single" w:sz="4" w:space="0" w:color="000000"/>
              <w:right w:val="single" w:sz="4" w:space="0" w:color="000000"/>
            </w:tcBorders>
            <w:vAlign w:val="center"/>
          </w:tcPr>
          <w:p w14:paraId="07F5D671" w14:textId="27FFB66D" w:rsidR="00E52883" w:rsidRPr="00617A89" w:rsidRDefault="00CD33FB"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In further full-time study (%) </w:t>
            </w:r>
            <w:r w:rsidR="00E52883" w:rsidRPr="00617A89">
              <w:rPr>
                <w:rFonts w:ascii="Arial" w:hAnsi="Arial" w:cs="Arial"/>
                <w:b/>
                <w:color w:val="000000" w:themeColor="text1"/>
                <w:sz w:val="18"/>
                <w:szCs w:val="18"/>
              </w:rPr>
              <w:t>Short-term (2022)</w:t>
            </w:r>
          </w:p>
        </w:tc>
        <w:tc>
          <w:tcPr>
            <w:tcW w:w="436" w:type="pct"/>
            <w:tcBorders>
              <w:top w:val="single" w:sz="4" w:space="0" w:color="000000"/>
              <w:left w:val="single" w:sz="4" w:space="0" w:color="000000"/>
              <w:bottom w:val="single" w:sz="4" w:space="0" w:color="000000"/>
              <w:right w:val="single" w:sz="4" w:space="0" w:color="000000"/>
            </w:tcBorders>
            <w:vAlign w:val="center"/>
          </w:tcPr>
          <w:p w14:paraId="7D3051D6" w14:textId="1D71D02E" w:rsidR="00E52883" w:rsidRPr="00617A89" w:rsidRDefault="00CD33FB"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 xml:space="preserve">In further full-time study (%) </w:t>
            </w:r>
            <w:r w:rsidR="00E52883" w:rsidRPr="00617A89">
              <w:rPr>
                <w:rFonts w:ascii="Arial" w:hAnsi="Arial" w:cs="Arial"/>
                <w:b/>
                <w:color w:val="000000" w:themeColor="text1"/>
                <w:sz w:val="18"/>
                <w:szCs w:val="18"/>
              </w:rPr>
              <w:t>Medium-term</w:t>
            </w:r>
          </w:p>
          <w:p w14:paraId="41C08610" w14:textId="77777777" w:rsidR="00E52883" w:rsidRPr="00617A89" w:rsidRDefault="00E52883" w:rsidP="00E37470">
            <w:pPr>
              <w:pStyle w:val="TablecolumnheadCENTRETABLES"/>
              <w:rPr>
                <w:rFonts w:ascii="Arial" w:hAnsi="Arial" w:cs="Arial"/>
                <w:b/>
                <w:color w:val="000000" w:themeColor="text1"/>
                <w:sz w:val="18"/>
                <w:szCs w:val="18"/>
              </w:rPr>
            </w:pPr>
            <w:r w:rsidRPr="00617A89">
              <w:rPr>
                <w:rFonts w:ascii="Arial" w:hAnsi="Arial" w:cs="Arial"/>
                <w:b/>
                <w:color w:val="000000" w:themeColor="text1"/>
                <w:sz w:val="18"/>
                <w:szCs w:val="18"/>
              </w:rPr>
              <w:t>(2025)</w:t>
            </w:r>
          </w:p>
        </w:tc>
      </w:tr>
      <w:tr w:rsidR="00C22852" w:rsidRPr="00617A89" w14:paraId="0B5D3146" w14:textId="77777777"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065EE3C" w14:textId="2EDB53CC" w:rsidR="00BD4736" w:rsidRPr="00617A89" w:rsidRDefault="00BD4736" w:rsidP="00BD4736">
            <w:pPr>
              <w:spacing w:before="85" w:line="288" w:lineRule="auto"/>
              <w:rPr>
                <w:rFonts w:cs="Arial"/>
                <w:color w:val="000000" w:themeColor="text1"/>
                <w:sz w:val="18"/>
                <w:szCs w:val="16"/>
              </w:rPr>
            </w:pPr>
            <w:r w:rsidRPr="00617A89">
              <w:rPr>
                <w:rFonts w:cs="Arial"/>
                <w:color w:val="000000" w:themeColor="text1"/>
                <w:sz w:val="18"/>
              </w:rPr>
              <w:t>India</w:t>
            </w:r>
          </w:p>
        </w:tc>
        <w:tc>
          <w:tcPr>
            <w:tcW w:w="436" w:type="pct"/>
            <w:tcBorders>
              <w:top w:val="single" w:sz="4" w:space="0" w:color="000000"/>
              <w:left w:val="single" w:sz="4" w:space="0" w:color="000000"/>
              <w:bottom w:val="single" w:sz="4" w:space="0" w:color="000000"/>
              <w:right w:val="single" w:sz="4" w:space="0" w:color="000000"/>
            </w:tcBorders>
            <w:vAlign w:val="bottom"/>
          </w:tcPr>
          <w:p w14:paraId="11715D60" w14:textId="1E964ECC"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55.7</w:t>
            </w:r>
          </w:p>
        </w:tc>
        <w:tc>
          <w:tcPr>
            <w:tcW w:w="436" w:type="pct"/>
            <w:tcBorders>
              <w:top w:val="single" w:sz="4" w:space="0" w:color="000000"/>
              <w:left w:val="single" w:sz="4" w:space="0" w:color="000000"/>
              <w:bottom w:val="single" w:sz="4" w:space="0" w:color="000000"/>
              <w:right w:val="single" w:sz="4" w:space="0" w:color="000000"/>
            </w:tcBorders>
            <w:vAlign w:val="bottom"/>
          </w:tcPr>
          <w:p w14:paraId="4517DCCE" w14:textId="14EBED12"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85.0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7E95C4" w14:textId="289A9BA2"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79.4</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444C41" w14:textId="2311A3AD"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88.3</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52E4177" w14:textId="61F9DB54"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95.6</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A9242C7" w14:textId="03CB4C9D"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89.1</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18B03F" w14:textId="30F32864"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60,000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2E4691" w14:textId="7B6157B8"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83,500</w:t>
            </w:r>
          </w:p>
        </w:tc>
        <w:tc>
          <w:tcPr>
            <w:tcW w:w="436" w:type="pct"/>
            <w:tcBorders>
              <w:top w:val="single" w:sz="4" w:space="0" w:color="000000"/>
              <w:left w:val="single" w:sz="4" w:space="0" w:color="000000"/>
              <w:bottom w:val="single" w:sz="4" w:space="0" w:color="000000"/>
              <w:right w:val="single" w:sz="4" w:space="0" w:color="000000"/>
            </w:tcBorders>
            <w:vAlign w:val="bottom"/>
          </w:tcPr>
          <w:p w14:paraId="0855EED0" w14:textId="3B4CEF75"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9.7</w:t>
            </w:r>
          </w:p>
        </w:tc>
        <w:tc>
          <w:tcPr>
            <w:tcW w:w="436" w:type="pct"/>
            <w:tcBorders>
              <w:top w:val="single" w:sz="4" w:space="0" w:color="000000"/>
              <w:left w:val="single" w:sz="4" w:space="0" w:color="000000"/>
              <w:bottom w:val="single" w:sz="4" w:space="0" w:color="000000"/>
              <w:right w:val="single" w:sz="4" w:space="0" w:color="000000"/>
            </w:tcBorders>
            <w:vAlign w:val="bottom"/>
          </w:tcPr>
          <w:p w14:paraId="63B755A3" w14:textId="118B3665"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10.4</w:t>
            </w:r>
          </w:p>
        </w:tc>
      </w:tr>
      <w:tr w:rsidR="00C22852" w:rsidRPr="00617A89" w14:paraId="12B4F0F9" w14:textId="77777777"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13802DB" w14:textId="0A9CFC45" w:rsidR="00BD4736" w:rsidRPr="00617A89" w:rsidRDefault="00BD4736" w:rsidP="00BD4736">
            <w:pPr>
              <w:spacing w:before="85" w:line="288" w:lineRule="auto"/>
              <w:rPr>
                <w:rFonts w:cs="Arial"/>
                <w:color w:val="000000" w:themeColor="text1"/>
                <w:sz w:val="18"/>
                <w:szCs w:val="16"/>
              </w:rPr>
            </w:pPr>
            <w:r w:rsidRPr="00617A89">
              <w:rPr>
                <w:rFonts w:cs="Arial"/>
                <w:color w:val="000000" w:themeColor="text1"/>
                <w:sz w:val="18"/>
              </w:rPr>
              <w:t>China (excludes SARs and Taiwan)</w:t>
            </w:r>
          </w:p>
        </w:tc>
        <w:tc>
          <w:tcPr>
            <w:tcW w:w="436" w:type="pct"/>
            <w:tcBorders>
              <w:top w:val="single" w:sz="4" w:space="0" w:color="000000"/>
              <w:left w:val="single" w:sz="4" w:space="0" w:color="000000"/>
              <w:bottom w:val="single" w:sz="4" w:space="0" w:color="000000"/>
              <w:right w:val="single" w:sz="4" w:space="0" w:color="000000"/>
            </w:tcBorders>
            <w:vAlign w:val="bottom"/>
          </w:tcPr>
          <w:p w14:paraId="2CD2366B" w14:textId="1C3041D1"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58.2</w:t>
            </w:r>
          </w:p>
        </w:tc>
        <w:tc>
          <w:tcPr>
            <w:tcW w:w="436" w:type="pct"/>
            <w:tcBorders>
              <w:top w:val="single" w:sz="4" w:space="0" w:color="000000"/>
              <w:left w:val="single" w:sz="4" w:space="0" w:color="000000"/>
              <w:bottom w:val="single" w:sz="4" w:space="0" w:color="000000"/>
              <w:right w:val="single" w:sz="4" w:space="0" w:color="000000"/>
            </w:tcBorders>
            <w:vAlign w:val="bottom"/>
          </w:tcPr>
          <w:p w14:paraId="177E7CD1" w14:textId="47F6AA34"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88.0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A871E83" w14:textId="76616342"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70.0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AA7775" w14:textId="0C0CB96F"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91.9</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B5A49D" w14:textId="2EEFE412"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89.2</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D78DE18" w14:textId="4F6B2417"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89.0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ED2E5E" w14:textId="606F346A"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60,000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1871FD" w14:textId="253AA90A"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80,000</w:t>
            </w:r>
          </w:p>
        </w:tc>
        <w:tc>
          <w:tcPr>
            <w:tcW w:w="436" w:type="pct"/>
            <w:tcBorders>
              <w:top w:val="single" w:sz="4" w:space="0" w:color="000000"/>
              <w:left w:val="single" w:sz="4" w:space="0" w:color="000000"/>
              <w:bottom w:val="single" w:sz="4" w:space="0" w:color="000000"/>
              <w:right w:val="single" w:sz="4" w:space="0" w:color="000000"/>
            </w:tcBorders>
            <w:vAlign w:val="bottom"/>
          </w:tcPr>
          <w:p w14:paraId="12D9C657" w14:textId="24B280D5"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14.5</w:t>
            </w:r>
          </w:p>
        </w:tc>
        <w:tc>
          <w:tcPr>
            <w:tcW w:w="436" w:type="pct"/>
            <w:tcBorders>
              <w:top w:val="single" w:sz="4" w:space="0" w:color="000000"/>
              <w:left w:val="single" w:sz="4" w:space="0" w:color="000000"/>
              <w:bottom w:val="single" w:sz="4" w:space="0" w:color="000000"/>
              <w:right w:val="single" w:sz="4" w:space="0" w:color="000000"/>
            </w:tcBorders>
            <w:vAlign w:val="bottom"/>
          </w:tcPr>
          <w:p w14:paraId="479AA4E6" w14:textId="6F05316F"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17.6</w:t>
            </w:r>
          </w:p>
        </w:tc>
      </w:tr>
      <w:tr w:rsidR="00C22852" w:rsidRPr="00617A89" w14:paraId="0A9C9DA2" w14:textId="77777777"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28D4158" w14:textId="1DE55D30" w:rsidR="00BD4736" w:rsidRPr="00617A89" w:rsidRDefault="00BD4736" w:rsidP="00BD4736">
            <w:pPr>
              <w:spacing w:before="85" w:line="288" w:lineRule="auto"/>
              <w:rPr>
                <w:rFonts w:cs="Arial"/>
                <w:color w:val="000000" w:themeColor="text1"/>
                <w:sz w:val="18"/>
                <w:szCs w:val="16"/>
              </w:rPr>
            </w:pPr>
            <w:r w:rsidRPr="00617A89">
              <w:rPr>
                <w:rFonts w:cs="Arial"/>
                <w:color w:val="000000" w:themeColor="text1"/>
                <w:sz w:val="18"/>
              </w:rPr>
              <w:t>Nepal</w:t>
            </w:r>
          </w:p>
        </w:tc>
        <w:tc>
          <w:tcPr>
            <w:tcW w:w="436" w:type="pct"/>
            <w:tcBorders>
              <w:top w:val="single" w:sz="4" w:space="0" w:color="000000"/>
              <w:left w:val="single" w:sz="4" w:space="0" w:color="000000"/>
              <w:bottom w:val="single" w:sz="4" w:space="0" w:color="000000"/>
              <w:right w:val="single" w:sz="4" w:space="0" w:color="000000"/>
            </w:tcBorders>
            <w:vAlign w:val="bottom"/>
          </w:tcPr>
          <w:p w14:paraId="4010B259" w14:textId="2F84A719"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53.5</w:t>
            </w:r>
          </w:p>
        </w:tc>
        <w:tc>
          <w:tcPr>
            <w:tcW w:w="436" w:type="pct"/>
            <w:tcBorders>
              <w:top w:val="single" w:sz="4" w:space="0" w:color="000000"/>
              <w:left w:val="single" w:sz="4" w:space="0" w:color="000000"/>
              <w:bottom w:val="single" w:sz="4" w:space="0" w:color="000000"/>
              <w:right w:val="single" w:sz="4" w:space="0" w:color="000000"/>
            </w:tcBorders>
            <w:vAlign w:val="bottom"/>
          </w:tcPr>
          <w:p w14:paraId="5B96D0F4" w14:textId="3F16DC73"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83.1</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DB0B90" w14:textId="77EE0ED2"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79.6</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5774DE" w14:textId="6DD8263A"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87.5</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2B5585" w14:textId="571C6804"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95.9</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47CA63B" w14:textId="63F1A01D"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90.3</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021A40" w14:textId="5673B900"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56,400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4B5C38B" w14:textId="308D2312"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75,000</w:t>
            </w:r>
          </w:p>
        </w:tc>
        <w:tc>
          <w:tcPr>
            <w:tcW w:w="436" w:type="pct"/>
            <w:tcBorders>
              <w:top w:val="single" w:sz="4" w:space="0" w:color="000000"/>
              <w:left w:val="single" w:sz="4" w:space="0" w:color="000000"/>
              <w:bottom w:val="single" w:sz="4" w:space="0" w:color="000000"/>
              <w:right w:val="single" w:sz="4" w:space="0" w:color="000000"/>
            </w:tcBorders>
            <w:vAlign w:val="bottom"/>
          </w:tcPr>
          <w:p w14:paraId="7C1B9178" w14:textId="35466929"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12.9</w:t>
            </w:r>
          </w:p>
        </w:tc>
        <w:tc>
          <w:tcPr>
            <w:tcW w:w="436" w:type="pct"/>
            <w:tcBorders>
              <w:top w:val="single" w:sz="4" w:space="0" w:color="000000"/>
              <w:left w:val="single" w:sz="4" w:space="0" w:color="000000"/>
              <w:bottom w:val="single" w:sz="4" w:space="0" w:color="000000"/>
              <w:right w:val="single" w:sz="4" w:space="0" w:color="000000"/>
            </w:tcBorders>
            <w:vAlign w:val="bottom"/>
          </w:tcPr>
          <w:p w14:paraId="48A8B10A" w14:textId="693D0ADB"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13.1</w:t>
            </w:r>
          </w:p>
        </w:tc>
      </w:tr>
      <w:tr w:rsidR="00C22852" w:rsidRPr="00617A89" w14:paraId="2E4D08EB" w14:textId="77777777"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55810E4" w14:textId="1814AF44" w:rsidR="00BD4736" w:rsidRPr="00617A89" w:rsidRDefault="00BD4736" w:rsidP="00BD4736">
            <w:pPr>
              <w:spacing w:before="85" w:line="288" w:lineRule="auto"/>
              <w:rPr>
                <w:rFonts w:cs="Arial"/>
                <w:color w:val="000000" w:themeColor="text1"/>
                <w:sz w:val="18"/>
                <w:szCs w:val="16"/>
              </w:rPr>
            </w:pPr>
            <w:r w:rsidRPr="00617A89">
              <w:rPr>
                <w:rFonts w:cs="Arial"/>
                <w:color w:val="000000" w:themeColor="text1"/>
                <w:sz w:val="18"/>
              </w:rPr>
              <w:t>Sri Lanka</w:t>
            </w:r>
          </w:p>
        </w:tc>
        <w:tc>
          <w:tcPr>
            <w:tcW w:w="436" w:type="pct"/>
            <w:tcBorders>
              <w:top w:val="single" w:sz="4" w:space="0" w:color="000000"/>
              <w:left w:val="single" w:sz="4" w:space="0" w:color="000000"/>
              <w:bottom w:val="single" w:sz="4" w:space="0" w:color="000000"/>
              <w:right w:val="single" w:sz="4" w:space="0" w:color="000000"/>
            </w:tcBorders>
            <w:vAlign w:val="bottom"/>
          </w:tcPr>
          <w:p w14:paraId="0E8CC7C8" w14:textId="3E4E887D"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60.3</w:t>
            </w:r>
          </w:p>
        </w:tc>
        <w:tc>
          <w:tcPr>
            <w:tcW w:w="436" w:type="pct"/>
            <w:tcBorders>
              <w:top w:val="single" w:sz="4" w:space="0" w:color="000000"/>
              <w:left w:val="single" w:sz="4" w:space="0" w:color="000000"/>
              <w:bottom w:val="single" w:sz="4" w:space="0" w:color="000000"/>
              <w:right w:val="single" w:sz="4" w:space="0" w:color="000000"/>
            </w:tcBorders>
            <w:vAlign w:val="bottom"/>
          </w:tcPr>
          <w:p w14:paraId="49D90C09" w14:textId="043CCC3C"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90.9</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AFA0F1" w14:textId="1617F6C6"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78.0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BE1811" w14:textId="5A72E923"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92.3</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AE07D6" w14:textId="536B6C46"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96.6</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6F7769" w14:textId="49FD21D8"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93.9</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344A262" w14:textId="31873CDC"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63,400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1635A9" w14:textId="2E329BB0"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80,</w:t>
            </w:r>
            <w:r w:rsidR="009F2495" w:rsidRPr="00617A89">
              <w:rPr>
                <w:rFonts w:cs="Arial"/>
                <w:color w:val="000000" w:themeColor="text1"/>
                <w:sz w:val="18"/>
              </w:rPr>
              <w:t>3</w:t>
            </w:r>
            <w:r w:rsidRPr="00617A89">
              <w:rPr>
                <w:rFonts w:cs="Arial"/>
                <w:color w:val="000000" w:themeColor="text1"/>
                <w:sz w:val="18"/>
              </w:rPr>
              <w:t>00</w:t>
            </w:r>
          </w:p>
        </w:tc>
        <w:tc>
          <w:tcPr>
            <w:tcW w:w="436" w:type="pct"/>
            <w:tcBorders>
              <w:top w:val="single" w:sz="4" w:space="0" w:color="000000"/>
              <w:left w:val="single" w:sz="4" w:space="0" w:color="000000"/>
              <w:bottom w:val="single" w:sz="4" w:space="0" w:color="000000"/>
              <w:right w:val="single" w:sz="4" w:space="0" w:color="000000"/>
            </w:tcBorders>
            <w:vAlign w:val="bottom"/>
          </w:tcPr>
          <w:p w14:paraId="2E1566BE" w14:textId="65D65FE7"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10.8</w:t>
            </w:r>
          </w:p>
        </w:tc>
        <w:tc>
          <w:tcPr>
            <w:tcW w:w="436" w:type="pct"/>
            <w:tcBorders>
              <w:top w:val="single" w:sz="4" w:space="0" w:color="000000"/>
              <w:left w:val="single" w:sz="4" w:space="0" w:color="000000"/>
              <w:bottom w:val="single" w:sz="4" w:space="0" w:color="000000"/>
              <w:right w:val="single" w:sz="4" w:space="0" w:color="000000"/>
            </w:tcBorders>
            <w:vAlign w:val="bottom"/>
          </w:tcPr>
          <w:p w14:paraId="06135268" w14:textId="6C2A13C8"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15.9</w:t>
            </w:r>
          </w:p>
        </w:tc>
      </w:tr>
      <w:tr w:rsidR="00C22852" w:rsidRPr="00617A89" w14:paraId="58794DEF" w14:textId="77777777" w:rsidTr="00CD33FB">
        <w:trPr>
          <w:trHeight w:val="55"/>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C5BEE7E" w14:textId="1A8F9BA4" w:rsidR="00BD4736" w:rsidRPr="00617A89" w:rsidRDefault="00BD4736" w:rsidP="00BD4736">
            <w:pPr>
              <w:spacing w:before="85" w:line="288" w:lineRule="auto"/>
              <w:rPr>
                <w:rFonts w:cs="Arial"/>
                <w:color w:val="000000" w:themeColor="text1"/>
                <w:sz w:val="18"/>
                <w:szCs w:val="16"/>
              </w:rPr>
            </w:pPr>
            <w:r w:rsidRPr="00617A89">
              <w:rPr>
                <w:rFonts w:cs="Arial"/>
                <w:color w:val="000000" w:themeColor="text1"/>
                <w:sz w:val="18"/>
              </w:rPr>
              <w:t>Indonesia</w:t>
            </w:r>
          </w:p>
        </w:tc>
        <w:tc>
          <w:tcPr>
            <w:tcW w:w="436" w:type="pct"/>
            <w:tcBorders>
              <w:top w:val="single" w:sz="4" w:space="0" w:color="000000"/>
              <w:left w:val="single" w:sz="4" w:space="0" w:color="000000"/>
              <w:bottom w:val="single" w:sz="4" w:space="0" w:color="000000"/>
              <w:right w:val="single" w:sz="4" w:space="0" w:color="000000"/>
            </w:tcBorders>
            <w:vAlign w:val="bottom"/>
          </w:tcPr>
          <w:p w14:paraId="4DD950C8" w14:textId="491A278F"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67.3</w:t>
            </w:r>
          </w:p>
        </w:tc>
        <w:tc>
          <w:tcPr>
            <w:tcW w:w="436" w:type="pct"/>
            <w:tcBorders>
              <w:top w:val="single" w:sz="4" w:space="0" w:color="000000"/>
              <w:left w:val="single" w:sz="4" w:space="0" w:color="000000"/>
              <w:bottom w:val="single" w:sz="4" w:space="0" w:color="000000"/>
              <w:right w:val="single" w:sz="4" w:space="0" w:color="000000"/>
            </w:tcBorders>
            <w:vAlign w:val="bottom"/>
          </w:tcPr>
          <w:p w14:paraId="24FCEFE9" w14:textId="5D4560FB"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91.4</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8C7CA9" w14:textId="0F64FBD6"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79.0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973005" w14:textId="076B62D0"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92.6</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19F461" w14:textId="377172E8"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96.0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C0E86F" w14:textId="63566735" w:rsidR="00BD4736" w:rsidRPr="00617A89" w:rsidRDefault="00BD4736" w:rsidP="00BD4736">
            <w:pPr>
              <w:spacing w:before="85" w:line="288" w:lineRule="auto"/>
              <w:jc w:val="center"/>
              <w:rPr>
                <w:rFonts w:cs="Arial"/>
                <w:color w:val="000000" w:themeColor="text1"/>
                <w:sz w:val="18"/>
                <w:szCs w:val="16"/>
              </w:rPr>
            </w:pPr>
            <w:r w:rsidRPr="00617A89">
              <w:rPr>
                <w:rFonts w:cs="Arial"/>
                <w:color w:val="000000" w:themeColor="text1"/>
                <w:sz w:val="18"/>
              </w:rPr>
              <w:t>93.7</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2A1B0D5" w14:textId="4638148C"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68,500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009B24C" w14:textId="707912DA"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90,000</w:t>
            </w:r>
          </w:p>
        </w:tc>
        <w:tc>
          <w:tcPr>
            <w:tcW w:w="436" w:type="pct"/>
            <w:tcBorders>
              <w:top w:val="single" w:sz="4" w:space="0" w:color="000000"/>
              <w:left w:val="single" w:sz="4" w:space="0" w:color="000000"/>
              <w:bottom w:val="single" w:sz="4" w:space="0" w:color="000000"/>
              <w:right w:val="single" w:sz="4" w:space="0" w:color="000000"/>
            </w:tcBorders>
            <w:vAlign w:val="bottom"/>
          </w:tcPr>
          <w:p w14:paraId="7F09DC0E" w14:textId="2545CAF5"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6.1</w:t>
            </w:r>
          </w:p>
        </w:tc>
        <w:tc>
          <w:tcPr>
            <w:tcW w:w="436" w:type="pct"/>
            <w:tcBorders>
              <w:top w:val="single" w:sz="4" w:space="0" w:color="000000"/>
              <w:left w:val="single" w:sz="4" w:space="0" w:color="000000"/>
              <w:bottom w:val="single" w:sz="4" w:space="0" w:color="000000"/>
              <w:right w:val="single" w:sz="4" w:space="0" w:color="000000"/>
            </w:tcBorders>
            <w:vAlign w:val="bottom"/>
          </w:tcPr>
          <w:p w14:paraId="384C0C1C" w14:textId="0187D0AE" w:rsidR="00BD4736" w:rsidRPr="00617A89" w:rsidRDefault="00BD4736" w:rsidP="00BD4736">
            <w:pPr>
              <w:spacing w:before="85" w:line="288" w:lineRule="auto"/>
              <w:jc w:val="center"/>
              <w:rPr>
                <w:rFonts w:cs="Arial"/>
                <w:color w:val="000000" w:themeColor="text1"/>
                <w:sz w:val="18"/>
              </w:rPr>
            </w:pPr>
            <w:r w:rsidRPr="00617A89">
              <w:rPr>
                <w:rFonts w:cs="Arial"/>
                <w:color w:val="000000" w:themeColor="text1"/>
                <w:sz w:val="18"/>
              </w:rPr>
              <w:t>10.7</w:t>
            </w:r>
          </w:p>
        </w:tc>
      </w:tr>
      <w:tr w:rsidR="00C22852" w:rsidRPr="00617A89" w14:paraId="31DEB0BB" w14:textId="77777777" w:rsidTr="00CD33FB">
        <w:trPr>
          <w:trHeight w:val="123"/>
        </w:trPr>
        <w:tc>
          <w:tcPr>
            <w:tcW w:w="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0AFB9C4" w14:textId="77777777" w:rsidR="00BD4736" w:rsidRPr="00617A89" w:rsidRDefault="00BD4736" w:rsidP="00BD4736">
            <w:pPr>
              <w:spacing w:before="85" w:line="288" w:lineRule="auto"/>
              <w:rPr>
                <w:rFonts w:cs="Arial"/>
                <w:b/>
                <w:bCs/>
                <w:color w:val="000000" w:themeColor="text1"/>
                <w:sz w:val="18"/>
              </w:rPr>
            </w:pPr>
            <w:r w:rsidRPr="00617A89">
              <w:rPr>
                <w:rFonts w:cs="Arial"/>
                <w:b/>
                <w:bCs/>
                <w:color w:val="000000" w:themeColor="text1"/>
                <w:sz w:val="18"/>
              </w:rPr>
              <w:t>Total international</w:t>
            </w:r>
          </w:p>
        </w:tc>
        <w:tc>
          <w:tcPr>
            <w:tcW w:w="436" w:type="pct"/>
            <w:tcBorders>
              <w:top w:val="single" w:sz="4" w:space="0" w:color="000000"/>
              <w:left w:val="single" w:sz="4" w:space="0" w:color="000000"/>
              <w:bottom w:val="single" w:sz="4" w:space="0" w:color="000000"/>
              <w:right w:val="single" w:sz="4" w:space="0" w:color="000000"/>
            </w:tcBorders>
            <w:vAlign w:val="bottom"/>
          </w:tcPr>
          <w:p w14:paraId="30767C48" w14:textId="2E988F3B" w:rsidR="00BD4736" w:rsidRPr="00617A89" w:rsidRDefault="00BD4736" w:rsidP="00BD4736">
            <w:pPr>
              <w:spacing w:before="85" w:line="288" w:lineRule="auto"/>
              <w:jc w:val="center"/>
              <w:rPr>
                <w:rFonts w:cs="Arial"/>
                <w:b/>
                <w:bCs/>
                <w:color w:val="000000" w:themeColor="text1"/>
                <w:sz w:val="18"/>
                <w:szCs w:val="16"/>
              </w:rPr>
            </w:pPr>
            <w:r w:rsidRPr="00617A89">
              <w:rPr>
                <w:rFonts w:cs="Arial"/>
                <w:b/>
                <w:bCs/>
                <w:color w:val="000000" w:themeColor="text1"/>
                <w:sz w:val="18"/>
              </w:rPr>
              <w:t>61.4</w:t>
            </w:r>
          </w:p>
        </w:tc>
        <w:tc>
          <w:tcPr>
            <w:tcW w:w="436" w:type="pct"/>
            <w:tcBorders>
              <w:top w:val="single" w:sz="4" w:space="0" w:color="000000"/>
              <w:left w:val="single" w:sz="4" w:space="0" w:color="000000"/>
              <w:bottom w:val="single" w:sz="4" w:space="0" w:color="000000"/>
              <w:right w:val="single" w:sz="4" w:space="0" w:color="000000"/>
            </w:tcBorders>
            <w:vAlign w:val="bottom"/>
          </w:tcPr>
          <w:p w14:paraId="4C8A9518" w14:textId="0FC583B2" w:rsidR="00BD4736" w:rsidRPr="00617A89" w:rsidRDefault="00BD4736" w:rsidP="00BD4736">
            <w:pPr>
              <w:spacing w:before="85" w:line="288" w:lineRule="auto"/>
              <w:jc w:val="center"/>
              <w:rPr>
                <w:rFonts w:cs="Arial"/>
                <w:b/>
                <w:bCs/>
                <w:color w:val="000000" w:themeColor="text1"/>
                <w:sz w:val="18"/>
                <w:szCs w:val="16"/>
              </w:rPr>
            </w:pPr>
            <w:r w:rsidRPr="00617A89">
              <w:rPr>
                <w:rFonts w:cs="Arial"/>
                <w:b/>
                <w:bCs/>
                <w:color w:val="000000" w:themeColor="text1"/>
                <w:sz w:val="18"/>
              </w:rPr>
              <w:t>88.1</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86A9BC" w14:textId="41C12DDF" w:rsidR="00BD4736" w:rsidRPr="00617A89" w:rsidRDefault="00BD4736" w:rsidP="00BD4736">
            <w:pPr>
              <w:spacing w:before="85" w:line="288" w:lineRule="auto"/>
              <w:jc w:val="center"/>
              <w:rPr>
                <w:rFonts w:cs="Arial"/>
                <w:b/>
                <w:bCs/>
                <w:color w:val="000000" w:themeColor="text1"/>
                <w:sz w:val="18"/>
                <w:szCs w:val="16"/>
              </w:rPr>
            </w:pPr>
            <w:r w:rsidRPr="00617A89">
              <w:rPr>
                <w:rFonts w:cs="Arial"/>
                <w:b/>
                <w:bCs/>
                <w:color w:val="000000" w:themeColor="text1"/>
                <w:sz w:val="18"/>
              </w:rPr>
              <w:t>79.1</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2A8056" w14:textId="29A09563" w:rsidR="00BD4736" w:rsidRPr="00617A89" w:rsidRDefault="00BD4736" w:rsidP="00BD4736">
            <w:pPr>
              <w:spacing w:before="85" w:line="288" w:lineRule="auto"/>
              <w:jc w:val="center"/>
              <w:rPr>
                <w:rFonts w:cs="Arial"/>
                <w:b/>
                <w:bCs/>
                <w:color w:val="000000" w:themeColor="text1"/>
                <w:sz w:val="18"/>
                <w:szCs w:val="16"/>
              </w:rPr>
            </w:pPr>
            <w:r w:rsidRPr="00617A89">
              <w:rPr>
                <w:rFonts w:cs="Arial"/>
                <w:b/>
                <w:bCs/>
                <w:color w:val="000000" w:themeColor="text1"/>
                <w:sz w:val="18"/>
              </w:rPr>
              <w:t>91.2</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8A6AF1" w14:textId="77980886" w:rsidR="00BD4736" w:rsidRPr="00617A89" w:rsidRDefault="00BD4736" w:rsidP="00BD4736">
            <w:pPr>
              <w:spacing w:before="85" w:line="288" w:lineRule="auto"/>
              <w:jc w:val="center"/>
              <w:rPr>
                <w:rFonts w:cs="Arial"/>
                <w:b/>
                <w:bCs/>
                <w:color w:val="000000" w:themeColor="text1"/>
                <w:sz w:val="18"/>
                <w:szCs w:val="16"/>
              </w:rPr>
            </w:pPr>
            <w:r w:rsidRPr="00617A89">
              <w:rPr>
                <w:rFonts w:cs="Arial"/>
                <w:b/>
                <w:bCs/>
                <w:color w:val="000000" w:themeColor="text1"/>
                <w:sz w:val="18"/>
              </w:rPr>
              <w:t>94.7</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635513B" w14:textId="796BD320" w:rsidR="00BD4736" w:rsidRPr="00617A89" w:rsidRDefault="00BD4736" w:rsidP="00BD4736">
            <w:pPr>
              <w:spacing w:before="85" w:line="288" w:lineRule="auto"/>
              <w:jc w:val="center"/>
              <w:rPr>
                <w:rFonts w:cs="Arial"/>
                <w:b/>
                <w:bCs/>
                <w:color w:val="000000" w:themeColor="text1"/>
                <w:sz w:val="18"/>
                <w:szCs w:val="16"/>
              </w:rPr>
            </w:pPr>
            <w:r w:rsidRPr="00617A89">
              <w:rPr>
                <w:rFonts w:cs="Arial"/>
                <w:b/>
                <w:bCs/>
                <w:color w:val="000000" w:themeColor="text1"/>
                <w:sz w:val="18"/>
              </w:rPr>
              <w:t>90.7</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7A0852" w14:textId="6FD526C9" w:rsidR="00BD4736" w:rsidRPr="00617A89" w:rsidRDefault="00BD4736" w:rsidP="00BD4736">
            <w:pPr>
              <w:spacing w:before="85" w:line="288" w:lineRule="auto"/>
              <w:jc w:val="center"/>
              <w:rPr>
                <w:rFonts w:cs="Arial"/>
                <w:b/>
                <w:bCs/>
                <w:color w:val="000000" w:themeColor="text1"/>
                <w:sz w:val="18"/>
              </w:rPr>
            </w:pPr>
            <w:r w:rsidRPr="00617A89">
              <w:rPr>
                <w:rFonts w:cs="Arial"/>
                <w:b/>
                <w:bCs/>
                <w:color w:val="000000" w:themeColor="text1"/>
                <w:sz w:val="18"/>
              </w:rPr>
              <w:t>62,600</w:t>
            </w:r>
          </w:p>
        </w:tc>
        <w:tc>
          <w:tcPr>
            <w:tcW w:w="4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9DFAFE" w14:textId="5F3DD4F2" w:rsidR="00BD4736" w:rsidRPr="00617A89" w:rsidRDefault="00BD4736" w:rsidP="00BD4736">
            <w:pPr>
              <w:spacing w:before="85" w:line="288" w:lineRule="auto"/>
              <w:jc w:val="center"/>
              <w:rPr>
                <w:rFonts w:cs="Arial"/>
                <w:b/>
                <w:bCs/>
                <w:color w:val="000000" w:themeColor="text1"/>
                <w:sz w:val="18"/>
              </w:rPr>
            </w:pPr>
            <w:r w:rsidRPr="00617A89">
              <w:rPr>
                <w:rFonts w:cs="Arial"/>
                <w:b/>
                <w:bCs/>
                <w:color w:val="000000" w:themeColor="text1"/>
                <w:sz w:val="18"/>
              </w:rPr>
              <w:t>85,000</w:t>
            </w:r>
          </w:p>
        </w:tc>
        <w:tc>
          <w:tcPr>
            <w:tcW w:w="436" w:type="pct"/>
            <w:tcBorders>
              <w:top w:val="single" w:sz="4" w:space="0" w:color="000000"/>
              <w:left w:val="single" w:sz="4" w:space="0" w:color="000000"/>
              <w:bottom w:val="single" w:sz="4" w:space="0" w:color="000000"/>
              <w:right w:val="single" w:sz="4" w:space="0" w:color="000000"/>
            </w:tcBorders>
            <w:vAlign w:val="bottom"/>
          </w:tcPr>
          <w:p w14:paraId="11B2CDE0" w14:textId="525D551D" w:rsidR="00BD4736" w:rsidRPr="00617A89" w:rsidRDefault="00BD4736" w:rsidP="00BD4736">
            <w:pPr>
              <w:spacing w:before="85" w:line="288" w:lineRule="auto"/>
              <w:jc w:val="center"/>
              <w:rPr>
                <w:rFonts w:cs="Arial"/>
                <w:b/>
                <w:bCs/>
                <w:color w:val="000000" w:themeColor="text1"/>
                <w:sz w:val="18"/>
              </w:rPr>
            </w:pPr>
            <w:r w:rsidRPr="00617A89">
              <w:rPr>
                <w:rFonts w:cs="Arial"/>
                <w:b/>
                <w:bCs/>
                <w:color w:val="000000" w:themeColor="text1"/>
                <w:sz w:val="18"/>
              </w:rPr>
              <w:t>10.7</w:t>
            </w:r>
          </w:p>
        </w:tc>
        <w:tc>
          <w:tcPr>
            <w:tcW w:w="436" w:type="pct"/>
            <w:tcBorders>
              <w:top w:val="single" w:sz="4" w:space="0" w:color="000000"/>
              <w:left w:val="single" w:sz="4" w:space="0" w:color="000000"/>
              <w:bottom w:val="single" w:sz="4" w:space="0" w:color="000000"/>
              <w:right w:val="single" w:sz="4" w:space="0" w:color="000000"/>
            </w:tcBorders>
            <w:vAlign w:val="bottom"/>
          </w:tcPr>
          <w:p w14:paraId="1390B78F" w14:textId="61971253" w:rsidR="00BD4736" w:rsidRPr="00617A89" w:rsidRDefault="00BD4736" w:rsidP="00BD4736">
            <w:pPr>
              <w:spacing w:before="85" w:line="288" w:lineRule="auto"/>
              <w:jc w:val="center"/>
              <w:rPr>
                <w:rFonts w:cs="Arial"/>
                <w:b/>
                <w:bCs/>
                <w:color w:val="000000" w:themeColor="text1"/>
                <w:sz w:val="18"/>
              </w:rPr>
            </w:pPr>
            <w:r w:rsidRPr="00617A89">
              <w:rPr>
                <w:rFonts w:cs="Arial"/>
                <w:b/>
                <w:bCs/>
                <w:color w:val="000000" w:themeColor="text1"/>
                <w:sz w:val="18"/>
              </w:rPr>
              <w:t>11.7</w:t>
            </w:r>
          </w:p>
        </w:tc>
      </w:tr>
    </w:tbl>
    <w:p w14:paraId="378EA76F" w14:textId="5DDA281D" w:rsidR="0075761F" w:rsidRPr="00617A89" w:rsidRDefault="005800A1" w:rsidP="00D536D6">
      <w:pPr>
        <w:pStyle w:val="Body"/>
        <w:rPr>
          <w:rFonts w:eastAsia="Calibri"/>
          <w:color w:val="000000" w:themeColor="text1"/>
          <w:sz w:val="21"/>
          <w:szCs w:val="21"/>
          <w:lang w:val="en-GB"/>
        </w:rPr>
      </w:pPr>
      <w:r w:rsidRPr="00617A89">
        <w:rPr>
          <w:color w:val="000000" w:themeColor="text1"/>
          <w:sz w:val="18"/>
          <w:szCs w:val="21"/>
          <w:lang w:val="en-GB"/>
        </w:rPr>
        <w:t>Note: International graduates’ median salary figures only include data for international graduates working in Australia.</w:t>
      </w:r>
    </w:p>
    <w:p w14:paraId="28F70E65" w14:textId="418B00B7" w:rsidR="00AE502E" w:rsidRPr="00617A89" w:rsidRDefault="00AE502E" w:rsidP="00AE502E">
      <w:pPr>
        <w:pStyle w:val="FigureNote"/>
        <w:rPr>
          <w:color w:val="000000" w:themeColor="text1"/>
        </w:rPr>
        <w:sectPr w:rsidR="00AE502E" w:rsidRPr="00617A89" w:rsidSect="006B06B0">
          <w:pgSz w:w="16840" w:h="11900" w:orient="landscape"/>
          <w:pgMar w:top="720" w:right="720" w:bottom="720" w:left="720" w:header="397" w:footer="397" w:gutter="0"/>
          <w:cols w:space="708"/>
          <w:docGrid w:linePitch="360"/>
        </w:sectPr>
      </w:pPr>
      <w:r w:rsidRPr="00617A89">
        <w:rPr>
          <w:sz w:val="18"/>
          <w:szCs w:val="24"/>
        </w:rPr>
        <w:t xml:space="preserve">‡ Medium-term labour force participation rates, and full-time and overall employment rates from 2025 onwards are not directly comparable with earlier years due to a change to how the labour force is defined. Caution should be exercised when interpreting shifts from the short- to medium-term for the 2022-2025 cohort, as they partly reflect the change in methodology. See </w:t>
      </w:r>
      <w:r w:rsidRPr="00617A89">
        <w:rPr>
          <w:b/>
          <w:bCs/>
          <w:sz w:val="18"/>
          <w:szCs w:val="24"/>
        </w:rPr>
        <w:t>Appendix 1</w:t>
      </w:r>
      <w:r w:rsidRPr="00617A89">
        <w:rPr>
          <w:sz w:val="18"/>
          <w:szCs w:val="24"/>
        </w:rPr>
        <w:t xml:space="preserve"> for further information.</w:t>
      </w:r>
    </w:p>
    <w:p w14:paraId="79B9D3A0" w14:textId="77777777" w:rsidR="004A18C5" w:rsidRPr="00617A89" w:rsidRDefault="0008035B" w:rsidP="00DC025C">
      <w:pPr>
        <w:pStyle w:val="Appendix1"/>
        <w:rPr>
          <w:color w:val="000000" w:themeColor="text1"/>
        </w:rPr>
      </w:pPr>
      <w:bookmarkStart w:id="195" w:name="_Toc222868459"/>
      <w:r w:rsidRPr="00617A89">
        <w:rPr>
          <w:color w:val="000000" w:themeColor="text1"/>
        </w:rPr>
        <w:t>Changes to labour force classification</w:t>
      </w:r>
      <w:bookmarkEnd w:id="195"/>
    </w:p>
    <w:p w14:paraId="3EAEC7AB" w14:textId="77777777" w:rsidR="00111425" w:rsidRPr="00617A89" w:rsidRDefault="0008035B" w:rsidP="0008035B">
      <w:pPr>
        <w:pStyle w:val="Body"/>
        <w:rPr>
          <w:color w:val="000000" w:themeColor="text1"/>
        </w:rPr>
      </w:pPr>
      <w:r w:rsidRPr="00617A89">
        <w:rPr>
          <w:color w:val="000000" w:themeColor="text1"/>
        </w:rPr>
        <w:t>The Graduate Outcomes Survey (GOS) and Graduate Outcomes Survey – Longitudinal (GOS-L)</w:t>
      </w:r>
      <w:r w:rsidR="009F7E59" w:rsidRPr="00617A89">
        <w:rPr>
          <w:color w:val="000000" w:themeColor="text1"/>
        </w:rPr>
        <w:t xml:space="preserve"> c</w:t>
      </w:r>
      <w:r w:rsidRPr="00617A89">
        <w:rPr>
          <w:color w:val="000000" w:themeColor="text1"/>
        </w:rPr>
        <w:t>ollect information</w:t>
      </w:r>
      <w:r w:rsidR="009F7E59" w:rsidRPr="00617A89">
        <w:rPr>
          <w:color w:val="000000" w:themeColor="text1"/>
        </w:rPr>
        <w:t xml:space="preserve"> about </w:t>
      </w:r>
      <w:r w:rsidR="00B96AA4" w:rsidRPr="00617A89">
        <w:rPr>
          <w:color w:val="000000" w:themeColor="text1"/>
        </w:rPr>
        <w:t xml:space="preserve">higher education graduates’ </w:t>
      </w:r>
      <w:r w:rsidR="00126C67" w:rsidRPr="00617A89">
        <w:rPr>
          <w:color w:val="000000" w:themeColor="text1"/>
        </w:rPr>
        <w:t>empl</w:t>
      </w:r>
      <w:r w:rsidR="00147EC6" w:rsidRPr="00617A89">
        <w:rPr>
          <w:color w:val="000000" w:themeColor="text1"/>
        </w:rPr>
        <w:t xml:space="preserve">oyment and further study </w:t>
      </w:r>
      <w:r w:rsidR="00750B07" w:rsidRPr="00617A89">
        <w:rPr>
          <w:color w:val="000000" w:themeColor="text1"/>
        </w:rPr>
        <w:t>outcomes, as</w:t>
      </w:r>
      <w:r w:rsidR="007F07F7" w:rsidRPr="00617A89">
        <w:rPr>
          <w:color w:val="000000" w:themeColor="text1"/>
        </w:rPr>
        <w:t xml:space="preserve"> well as other information related to skills utilisation and course experience.</w:t>
      </w:r>
      <w:r w:rsidR="006635EC" w:rsidRPr="00617A89">
        <w:rPr>
          <w:color w:val="000000" w:themeColor="text1"/>
        </w:rPr>
        <w:t xml:space="preserve"> </w:t>
      </w:r>
    </w:p>
    <w:p w14:paraId="1C05F184" w14:textId="07FB4275" w:rsidR="00E03778" w:rsidRPr="00617A89" w:rsidRDefault="006635EC" w:rsidP="0008035B">
      <w:pPr>
        <w:pStyle w:val="Body"/>
        <w:rPr>
          <w:color w:val="000000" w:themeColor="text1"/>
        </w:rPr>
      </w:pPr>
      <w:r w:rsidRPr="00617A89">
        <w:rPr>
          <w:color w:val="000000" w:themeColor="text1"/>
        </w:rPr>
        <w:t xml:space="preserve">Key labour </w:t>
      </w:r>
      <w:r w:rsidR="00D64A13" w:rsidRPr="00617A89">
        <w:rPr>
          <w:color w:val="000000" w:themeColor="text1"/>
        </w:rPr>
        <w:t>force</w:t>
      </w:r>
      <w:r w:rsidRPr="00617A89">
        <w:rPr>
          <w:color w:val="000000" w:themeColor="text1"/>
        </w:rPr>
        <w:t xml:space="preserve"> </w:t>
      </w:r>
      <w:r w:rsidR="00EA013A" w:rsidRPr="00617A89">
        <w:rPr>
          <w:color w:val="000000" w:themeColor="text1"/>
        </w:rPr>
        <w:t xml:space="preserve">indicators </w:t>
      </w:r>
      <w:r w:rsidR="00276CCD" w:rsidRPr="00617A89">
        <w:rPr>
          <w:color w:val="000000" w:themeColor="text1"/>
        </w:rPr>
        <w:t xml:space="preserve">used in </w:t>
      </w:r>
      <w:r w:rsidR="00EA013A" w:rsidRPr="00617A89">
        <w:rPr>
          <w:color w:val="000000" w:themeColor="text1"/>
        </w:rPr>
        <w:t>GOS and GOS-L report</w:t>
      </w:r>
      <w:r w:rsidR="00276CCD" w:rsidRPr="00617A89">
        <w:rPr>
          <w:color w:val="000000" w:themeColor="text1"/>
        </w:rPr>
        <w:t>ing</w:t>
      </w:r>
      <w:r w:rsidR="00EA013A" w:rsidRPr="00617A89">
        <w:rPr>
          <w:color w:val="000000" w:themeColor="text1"/>
        </w:rPr>
        <w:t xml:space="preserve"> are inform</w:t>
      </w:r>
      <w:r w:rsidR="00657CA2" w:rsidRPr="00617A89">
        <w:rPr>
          <w:color w:val="000000" w:themeColor="text1"/>
        </w:rPr>
        <w:t xml:space="preserve">ed </w:t>
      </w:r>
      <w:r w:rsidR="00750B07" w:rsidRPr="00617A89">
        <w:rPr>
          <w:color w:val="000000" w:themeColor="text1"/>
        </w:rPr>
        <w:t>by the Australian Bureau of Statistics (ABS) Labour Statistics: Concepts, Sources and Methods</w:t>
      </w:r>
      <w:r w:rsidR="00E2650D" w:rsidRPr="00617A89">
        <w:rPr>
          <w:color w:val="000000" w:themeColor="text1"/>
        </w:rPr>
        <w:t>.</w:t>
      </w:r>
      <w:r w:rsidR="00750B07" w:rsidRPr="00617A89">
        <w:rPr>
          <w:rStyle w:val="FootnoteReference"/>
          <w:rFonts w:cs="Arial"/>
          <w:color w:val="000000" w:themeColor="text1"/>
        </w:rPr>
        <w:footnoteReference w:id="18"/>
      </w:r>
      <w:r w:rsidR="00111425" w:rsidRPr="00617A89">
        <w:rPr>
          <w:color w:val="000000" w:themeColor="text1"/>
        </w:rPr>
        <w:t xml:space="preserve"> Some variation</w:t>
      </w:r>
      <w:r w:rsidR="008A6C7A" w:rsidRPr="00617A89">
        <w:rPr>
          <w:color w:val="000000" w:themeColor="text1"/>
        </w:rPr>
        <w:t xml:space="preserve"> in </w:t>
      </w:r>
      <w:r w:rsidR="00833195" w:rsidRPr="00617A89">
        <w:rPr>
          <w:color w:val="000000" w:themeColor="text1"/>
        </w:rPr>
        <w:t xml:space="preserve">key indicator definitions </w:t>
      </w:r>
      <w:r w:rsidR="00E16835" w:rsidRPr="00617A89">
        <w:rPr>
          <w:color w:val="000000" w:themeColor="text1"/>
        </w:rPr>
        <w:t>has</w:t>
      </w:r>
      <w:r w:rsidR="00EA6733" w:rsidRPr="00617A89">
        <w:rPr>
          <w:color w:val="000000" w:themeColor="text1"/>
        </w:rPr>
        <w:t xml:space="preserve"> exist</w:t>
      </w:r>
      <w:r w:rsidR="00E16835" w:rsidRPr="00617A89">
        <w:rPr>
          <w:color w:val="000000" w:themeColor="text1"/>
        </w:rPr>
        <w:t>ed</w:t>
      </w:r>
      <w:r w:rsidR="0024053E" w:rsidRPr="00617A89">
        <w:rPr>
          <w:color w:val="000000" w:themeColor="text1"/>
        </w:rPr>
        <w:t xml:space="preserve"> due to survey design</w:t>
      </w:r>
      <w:r w:rsidR="00C569B8" w:rsidRPr="00617A89">
        <w:rPr>
          <w:color w:val="000000" w:themeColor="text1"/>
        </w:rPr>
        <w:t xml:space="preserve"> differences. To enable greater alignment with </w:t>
      </w:r>
      <w:r w:rsidR="005F48C6" w:rsidRPr="00617A89">
        <w:rPr>
          <w:color w:val="000000" w:themeColor="text1"/>
        </w:rPr>
        <w:t xml:space="preserve">the </w:t>
      </w:r>
      <w:r w:rsidR="00C569B8" w:rsidRPr="00617A89">
        <w:rPr>
          <w:color w:val="000000" w:themeColor="text1"/>
        </w:rPr>
        <w:t xml:space="preserve">ABS </w:t>
      </w:r>
      <w:r w:rsidR="005F48C6" w:rsidRPr="00617A89">
        <w:rPr>
          <w:color w:val="000000" w:themeColor="text1"/>
        </w:rPr>
        <w:t>labour force framework</w:t>
      </w:r>
      <w:r w:rsidR="001940B1" w:rsidRPr="00617A89">
        <w:rPr>
          <w:color w:val="000000" w:themeColor="text1"/>
        </w:rPr>
        <w:t xml:space="preserve">, a number of enhancements were made to the 2025 GOS and </w:t>
      </w:r>
      <w:r w:rsidR="006F01A3" w:rsidRPr="00617A89">
        <w:rPr>
          <w:color w:val="000000" w:themeColor="text1"/>
        </w:rPr>
        <w:t xml:space="preserve">2025 </w:t>
      </w:r>
      <w:r w:rsidR="001940B1" w:rsidRPr="00617A89">
        <w:rPr>
          <w:color w:val="000000" w:themeColor="text1"/>
        </w:rPr>
        <w:t>GOS-L</w:t>
      </w:r>
      <w:r w:rsidR="00B628F2" w:rsidRPr="00617A89">
        <w:rPr>
          <w:color w:val="000000" w:themeColor="text1"/>
        </w:rPr>
        <w:t xml:space="preserve"> instruments.</w:t>
      </w:r>
    </w:p>
    <w:p w14:paraId="5F6E76EB" w14:textId="27A9318C" w:rsidR="002C1B4A" w:rsidRPr="00617A89" w:rsidRDefault="00125424" w:rsidP="0008035B">
      <w:pPr>
        <w:pStyle w:val="Body"/>
        <w:rPr>
          <w:color w:val="000000" w:themeColor="text1"/>
        </w:rPr>
      </w:pPr>
      <w:r w:rsidRPr="00617A89">
        <w:rPr>
          <w:color w:val="000000" w:themeColor="text1"/>
        </w:rPr>
        <w:t xml:space="preserve">Improved </w:t>
      </w:r>
      <w:r w:rsidR="00E03778" w:rsidRPr="00617A89">
        <w:rPr>
          <w:color w:val="000000" w:themeColor="text1"/>
        </w:rPr>
        <w:t xml:space="preserve">alignment </w:t>
      </w:r>
      <w:r w:rsidR="00F063C9" w:rsidRPr="00617A89">
        <w:rPr>
          <w:color w:val="000000" w:themeColor="text1"/>
        </w:rPr>
        <w:t xml:space="preserve">with ABS definitions </w:t>
      </w:r>
      <w:r w:rsidR="00E03778" w:rsidRPr="00617A89">
        <w:rPr>
          <w:color w:val="000000" w:themeColor="text1"/>
        </w:rPr>
        <w:t xml:space="preserve">of </w:t>
      </w:r>
      <w:r w:rsidR="00F063C9" w:rsidRPr="00617A89">
        <w:rPr>
          <w:color w:val="000000" w:themeColor="text1"/>
        </w:rPr>
        <w:t xml:space="preserve">key </w:t>
      </w:r>
      <w:r w:rsidR="00CB39B4" w:rsidRPr="00617A89">
        <w:rPr>
          <w:color w:val="000000" w:themeColor="text1"/>
        </w:rPr>
        <w:t xml:space="preserve">labour force indicators used in GOS and GOS-L reporting allows for </w:t>
      </w:r>
      <w:r w:rsidR="0065517A" w:rsidRPr="00617A89">
        <w:rPr>
          <w:color w:val="000000" w:themeColor="text1"/>
        </w:rPr>
        <w:t>greater comparability with nationally reported figures</w:t>
      </w:r>
      <w:r w:rsidR="00C20ED3" w:rsidRPr="00617A89">
        <w:rPr>
          <w:color w:val="000000" w:themeColor="text1"/>
        </w:rPr>
        <w:t xml:space="preserve"> and </w:t>
      </w:r>
      <w:r w:rsidR="009473A7" w:rsidRPr="00617A89">
        <w:rPr>
          <w:color w:val="000000" w:themeColor="text1"/>
        </w:rPr>
        <w:t xml:space="preserve">further </w:t>
      </w:r>
      <w:r w:rsidR="00C20ED3" w:rsidRPr="00617A89">
        <w:rPr>
          <w:color w:val="000000" w:themeColor="text1"/>
        </w:rPr>
        <w:t xml:space="preserve">enriches </w:t>
      </w:r>
      <w:r w:rsidR="002E4FBB" w:rsidRPr="00617A89">
        <w:rPr>
          <w:color w:val="000000" w:themeColor="text1"/>
        </w:rPr>
        <w:t>the data collected</w:t>
      </w:r>
      <w:r w:rsidR="00EF1DC6" w:rsidRPr="00617A89">
        <w:rPr>
          <w:color w:val="000000" w:themeColor="text1"/>
        </w:rPr>
        <w:t xml:space="preserve"> in the GOS and GOS-L, the only national</w:t>
      </w:r>
      <w:r w:rsidR="00D84F43" w:rsidRPr="00617A89">
        <w:rPr>
          <w:color w:val="000000" w:themeColor="text1"/>
        </w:rPr>
        <w:t xml:space="preserve"> sources of </w:t>
      </w:r>
      <w:r w:rsidR="00E207DB" w:rsidRPr="00617A89">
        <w:rPr>
          <w:color w:val="000000" w:themeColor="text1"/>
        </w:rPr>
        <w:t xml:space="preserve">higher education </w:t>
      </w:r>
      <w:r w:rsidR="00D84F43" w:rsidRPr="00617A89">
        <w:rPr>
          <w:color w:val="000000" w:themeColor="text1"/>
        </w:rPr>
        <w:t>graduate outcomes</w:t>
      </w:r>
      <w:r w:rsidR="008F011B" w:rsidRPr="00617A89">
        <w:rPr>
          <w:color w:val="000000" w:themeColor="text1"/>
        </w:rPr>
        <w:t xml:space="preserve"> in Australia. </w:t>
      </w:r>
      <w:r w:rsidR="00461794" w:rsidRPr="00617A89">
        <w:rPr>
          <w:color w:val="000000" w:themeColor="text1"/>
        </w:rPr>
        <w:t xml:space="preserve">However, </w:t>
      </w:r>
      <w:r w:rsidR="002F2ED8" w:rsidRPr="00617A89">
        <w:rPr>
          <w:color w:val="000000" w:themeColor="text1"/>
        </w:rPr>
        <w:t xml:space="preserve">while </w:t>
      </w:r>
      <w:r w:rsidR="008F0473" w:rsidRPr="00617A89">
        <w:rPr>
          <w:color w:val="000000" w:themeColor="text1"/>
        </w:rPr>
        <w:t xml:space="preserve">improvements made to key indicators in 2025 have </w:t>
      </w:r>
      <w:r w:rsidR="002418C1" w:rsidRPr="00617A89">
        <w:rPr>
          <w:color w:val="000000" w:themeColor="text1"/>
        </w:rPr>
        <w:t>strengthened</w:t>
      </w:r>
      <w:r w:rsidR="00987FE4" w:rsidRPr="00617A89">
        <w:rPr>
          <w:color w:val="000000" w:themeColor="text1"/>
        </w:rPr>
        <w:t xml:space="preserve"> these </w:t>
      </w:r>
      <w:r w:rsidR="00D36EA5" w:rsidRPr="00617A89">
        <w:rPr>
          <w:color w:val="000000" w:themeColor="text1"/>
        </w:rPr>
        <w:t>mea</w:t>
      </w:r>
      <w:r w:rsidR="00F410BA" w:rsidRPr="00617A89">
        <w:rPr>
          <w:color w:val="000000" w:themeColor="text1"/>
        </w:rPr>
        <w:t>s</w:t>
      </w:r>
      <w:r w:rsidR="00D36EA5" w:rsidRPr="00617A89">
        <w:rPr>
          <w:color w:val="000000" w:themeColor="text1"/>
        </w:rPr>
        <w:t>ures</w:t>
      </w:r>
      <w:r w:rsidR="00987FE4" w:rsidRPr="00617A89">
        <w:rPr>
          <w:color w:val="000000" w:themeColor="text1"/>
        </w:rPr>
        <w:t xml:space="preserve"> and allowed for greater comparability with </w:t>
      </w:r>
      <w:r w:rsidR="00FD4276" w:rsidRPr="00617A89">
        <w:rPr>
          <w:color w:val="000000" w:themeColor="text1"/>
        </w:rPr>
        <w:t>national figures reported by the ABS, the</w:t>
      </w:r>
      <w:r w:rsidR="006F01A3" w:rsidRPr="00617A89">
        <w:rPr>
          <w:color w:val="000000" w:themeColor="text1"/>
        </w:rPr>
        <w:t>se changes</w:t>
      </w:r>
      <w:r w:rsidR="00FD4276" w:rsidRPr="00617A89">
        <w:rPr>
          <w:color w:val="000000" w:themeColor="text1"/>
        </w:rPr>
        <w:t xml:space="preserve"> do have implications </w:t>
      </w:r>
      <w:r w:rsidR="00F410BA" w:rsidRPr="00617A89">
        <w:rPr>
          <w:color w:val="000000" w:themeColor="text1"/>
        </w:rPr>
        <w:t>on</w:t>
      </w:r>
      <w:r w:rsidR="00FD4276" w:rsidRPr="00617A89">
        <w:rPr>
          <w:color w:val="000000" w:themeColor="text1"/>
        </w:rPr>
        <w:t xml:space="preserve"> the comparability with historical data. </w:t>
      </w:r>
    </w:p>
    <w:p w14:paraId="178583EB" w14:textId="0CA740B4" w:rsidR="002418C1" w:rsidRPr="00617A89" w:rsidRDefault="002C1B4A" w:rsidP="0008035B">
      <w:pPr>
        <w:pStyle w:val="Body"/>
        <w:rPr>
          <w:color w:val="000000" w:themeColor="text1"/>
        </w:rPr>
      </w:pPr>
      <w:r w:rsidRPr="00617A89">
        <w:rPr>
          <w:color w:val="000000" w:themeColor="text1"/>
        </w:rPr>
        <w:t>This appendix details the changes made to the questionnaire</w:t>
      </w:r>
      <w:r w:rsidR="00A73EF8" w:rsidRPr="00617A89">
        <w:rPr>
          <w:color w:val="000000" w:themeColor="text1"/>
        </w:rPr>
        <w:t xml:space="preserve"> and key indicator definitions, and the impact this has on time</w:t>
      </w:r>
      <w:r w:rsidR="00AE502E" w:rsidRPr="00617A89">
        <w:rPr>
          <w:color w:val="000000" w:themeColor="text1"/>
        </w:rPr>
        <w:t xml:space="preserve"> </w:t>
      </w:r>
      <w:r w:rsidR="00A73EF8" w:rsidRPr="00617A89">
        <w:rPr>
          <w:color w:val="000000" w:themeColor="text1"/>
        </w:rPr>
        <w:t>series data.</w:t>
      </w:r>
    </w:p>
    <w:p w14:paraId="10B40897" w14:textId="51873D34" w:rsidR="002305BF" w:rsidRPr="00617A89" w:rsidRDefault="00032DDE" w:rsidP="00032DDE">
      <w:pPr>
        <w:pStyle w:val="Appendix2"/>
        <w:rPr>
          <w:color w:val="000000" w:themeColor="text1"/>
        </w:rPr>
      </w:pPr>
      <w:bookmarkStart w:id="196" w:name="_Toc222868460"/>
      <w:r w:rsidRPr="00617A89">
        <w:rPr>
          <w:color w:val="000000" w:themeColor="text1"/>
        </w:rPr>
        <w:t>Changes made to the survey instrument</w:t>
      </w:r>
      <w:bookmarkEnd w:id="196"/>
    </w:p>
    <w:p w14:paraId="3CFE5DDD" w14:textId="0457BB7E" w:rsidR="00C3789B" w:rsidRPr="00617A89" w:rsidRDefault="00C3789B" w:rsidP="00C3789B">
      <w:pPr>
        <w:pStyle w:val="Body"/>
        <w:rPr>
          <w:color w:val="000000" w:themeColor="text1"/>
        </w:rPr>
      </w:pPr>
      <w:r w:rsidRPr="00617A89">
        <w:rPr>
          <w:color w:val="000000" w:themeColor="text1"/>
        </w:rPr>
        <w:t xml:space="preserve">The following changes were made to the </w:t>
      </w:r>
      <w:r w:rsidR="00C64B0E" w:rsidRPr="00617A89">
        <w:rPr>
          <w:color w:val="000000" w:themeColor="text1"/>
        </w:rPr>
        <w:t>l</w:t>
      </w:r>
      <w:r w:rsidRPr="00617A89">
        <w:rPr>
          <w:color w:val="000000" w:themeColor="text1"/>
        </w:rPr>
        <w:t xml:space="preserve">abour </w:t>
      </w:r>
      <w:r w:rsidR="00C64B0E" w:rsidRPr="00617A89">
        <w:rPr>
          <w:color w:val="000000" w:themeColor="text1"/>
        </w:rPr>
        <w:t>f</w:t>
      </w:r>
      <w:r w:rsidRPr="00617A89">
        <w:rPr>
          <w:color w:val="000000" w:themeColor="text1"/>
        </w:rPr>
        <w:t>orce module in the 2025 GOS and GOS-L to improve the comparability of key labour force indicators with ABS statistics</w:t>
      </w:r>
      <w:r w:rsidR="00E5099D" w:rsidRPr="00617A89">
        <w:rPr>
          <w:color w:val="000000" w:themeColor="text1"/>
        </w:rPr>
        <w:t>, and to provide further insight into why graduates may be unemployed or not available for employment.</w:t>
      </w:r>
      <w:r w:rsidR="00762625" w:rsidRPr="00617A89">
        <w:rPr>
          <w:color w:val="000000" w:themeColor="text1"/>
        </w:rPr>
        <w:t xml:space="preserve"> </w:t>
      </w:r>
    </w:p>
    <w:p w14:paraId="5ECF5BFA" w14:textId="6152B7BC" w:rsidR="00C3789B" w:rsidRPr="00617A89" w:rsidRDefault="00536C5B" w:rsidP="00C3789B">
      <w:pPr>
        <w:pStyle w:val="Body"/>
        <w:numPr>
          <w:ilvl w:val="0"/>
          <w:numId w:val="27"/>
        </w:numPr>
        <w:rPr>
          <w:color w:val="000000" w:themeColor="text1"/>
        </w:rPr>
      </w:pPr>
      <w:r w:rsidRPr="00617A89">
        <w:rPr>
          <w:color w:val="000000" w:themeColor="text1"/>
        </w:rPr>
        <w:t xml:space="preserve">Modification to an existing question and the addition of new questions to identify graduates who are currently away from work but </w:t>
      </w:r>
      <w:r w:rsidR="00C3789B" w:rsidRPr="00617A89">
        <w:rPr>
          <w:color w:val="000000" w:themeColor="text1"/>
        </w:rPr>
        <w:t>are considered to have a formal job attachment.</w:t>
      </w:r>
    </w:p>
    <w:p w14:paraId="6FF01D2A" w14:textId="65414E6C" w:rsidR="00536C5B" w:rsidRPr="00617A89" w:rsidRDefault="00536C5B" w:rsidP="00C3789B">
      <w:pPr>
        <w:pStyle w:val="Body"/>
        <w:numPr>
          <w:ilvl w:val="0"/>
          <w:numId w:val="27"/>
        </w:numPr>
        <w:rPr>
          <w:color w:val="000000" w:themeColor="text1"/>
        </w:rPr>
      </w:pPr>
      <w:r w:rsidRPr="00617A89">
        <w:rPr>
          <w:color w:val="000000" w:themeColor="text1"/>
        </w:rPr>
        <w:t>Modification to existing questions and addition of new question</w:t>
      </w:r>
      <w:r w:rsidR="00EE4CBF" w:rsidRPr="00617A89">
        <w:rPr>
          <w:color w:val="000000" w:themeColor="text1"/>
        </w:rPr>
        <w:t>s to align the GOS/GOS-L definition of unemployment with the ABS Labour Force Survey</w:t>
      </w:r>
      <w:r w:rsidR="00FA0808" w:rsidRPr="00617A89">
        <w:rPr>
          <w:color w:val="000000" w:themeColor="text1"/>
        </w:rPr>
        <w:t xml:space="preserve"> and allow for identification of graduates marginally attached to the labour force.</w:t>
      </w:r>
    </w:p>
    <w:p w14:paraId="550D225D" w14:textId="36126360" w:rsidR="00C3789B" w:rsidRPr="00617A89" w:rsidRDefault="009021C8" w:rsidP="00D74D0C">
      <w:pPr>
        <w:pStyle w:val="Body"/>
        <w:numPr>
          <w:ilvl w:val="0"/>
          <w:numId w:val="27"/>
        </w:numPr>
        <w:rPr>
          <w:color w:val="000000" w:themeColor="text1"/>
        </w:rPr>
      </w:pPr>
      <w:r w:rsidRPr="00617A89">
        <w:rPr>
          <w:color w:val="000000" w:themeColor="text1"/>
        </w:rPr>
        <w:t>N</w:t>
      </w:r>
      <w:r w:rsidR="0024486F" w:rsidRPr="00617A89">
        <w:rPr>
          <w:color w:val="000000" w:themeColor="text1"/>
        </w:rPr>
        <w:t>ew question</w:t>
      </w:r>
      <w:r w:rsidRPr="00617A89">
        <w:rPr>
          <w:color w:val="000000" w:themeColor="text1"/>
        </w:rPr>
        <w:t>s</w:t>
      </w:r>
      <w:r w:rsidR="0024486F" w:rsidRPr="00617A89">
        <w:rPr>
          <w:color w:val="000000" w:themeColor="text1"/>
        </w:rPr>
        <w:t xml:space="preserve"> for full-time worker</w:t>
      </w:r>
      <w:r w:rsidR="00C3789B" w:rsidRPr="00617A89">
        <w:rPr>
          <w:color w:val="000000" w:themeColor="text1"/>
        </w:rPr>
        <w:t xml:space="preserve">s, whose actual hours were fewer than </w:t>
      </w:r>
      <w:r w:rsidR="00E5099D" w:rsidRPr="00617A89">
        <w:rPr>
          <w:color w:val="000000" w:themeColor="text1"/>
        </w:rPr>
        <w:t xml:space="preserve">their </w:t>
      </w:r>
      <w:r w:rsidR="00C3789B" w:rsidRPr="00617A89">
        <w:rPr>
          <w:color w:val="000000" w:themeColor="text1"/>
        </w:rPr>
        <w:t>usual hours, to identify the reason for the reduced hours</w:t>
      </w:r>
      <w:r w:rsidRPr="00617A89">
        <w:rPr>
          <w:color w:val="000000" w:themeColor="text1"/>
        </w:rPr>
        <w:t xml:space="preserve"> and availability to work additional hours.</w:t>
      </w:r>
    </w:p>
    <w:p w14:paraId="73EC1D07" w14:textId="77777777" w:rsidR="00C3789B" w:rsidRPr="00617A89" w:rsidRDefault="00C3789B" w:rsidP="00D74D0C">
      <w:pPr>
        <w:pStyle w:val="Body"/>
        <w:numPr>
          <w:ilvl w:val="0"/>
          <w:numId w:val="27"/>
        </w:numPr>
        <w:rPr>
          <w:color w:val="000000" w:themeColor="text1"/>
        </w:rPr>
      </w:pPr>
      <w:r w:rsidRPr="00617A89">
        <w:rPr>
          <w:color w:val="000000" w:themeColor="text1"/>
        </w:rPr>
        <w:t>For part-time workers preferring more hours, expand the ‘availability to work’ question to cover the four weeks following the survey, not just the reference week.</w:t>
      </w:r>
    </w:p>
    <w:p w14:paraId="6CDF6590" w14:textId="4959CAFC" w:rsidR="00E5099D" w:rsidRPr="00617A89" w:rsidRDefault="00E5099D" w:rsidP="00D74D0C">
      <w:pPr>
        <w:pStyle w:val="Body"/>
        <w:numPr>
          <w:ilvl w:val="0"/>
          <w:numId w:val="27"/>
        </w:numPr>
        <w:rPr>
          <w:color w:val="000000" w:themeColor="text1"/>
        </w:rPr>
      </w:pPr>
      <w:r w:rsidRPr="00617A89">
        <w:rPr>
          <w:color w:val="000000" w:themeColor="text1"/>
        </w:rPr>
        <w:t>The addition of a set of questions related to reasons</w:t>
      </w:r>
      <w:r w:rsidR="002C4421" w:rsidRPr="00617A89">
        <w:rPr>
          <w:color w:val="000000" w:themeColor="text1"/>
        </w:rPr>
        <w:t xml:space="preserve"> graduates are</w:t>
      </w:r>
      <w:r w:rsidRPr="00617A89">
        <w:rPr>
          <w:color w:val="000000" w:themeColor="text1"/>
        </w:rPr>
        <w:t xml:space="preserve"> unemployed or not in the labour force (i.e. not available for employment).</w:t>
      </w:r>
    </w:p>
    <w:p w14:paraId="68578BC9" w14:textId="26378C3C" w:rsidR="00536C5B" w:rsidRPr="00617A89" w:rsidRDefault="00536C5B" w:rsidP="00BC457C">
      <w:pPr>
        <w:pStyle w:val="Heading4"/>
      </w:pPr>
      <w:r w:rsidRPr="00617A89">
        <w:t>Away from work</w:t>
      </w:r>
    </w:p>
    <w:p w14:paraId="01906968" w14:textId="6AA4673C" w:rsidR="006807F6" w:rsidRPr="00617A89" w:rsidRDefault="006807F6" w:rsidP="00D74D0C">
      <w:pPr>
        <w:pStyle w:val="Body"/>
        <w:rPr>
          <w:color w:val="000000" w:themeColor="text1"/>
        </w:rPr>
      </w:pPr>
      <w:r w:rsidRPr="00617A89">
        <w:rPr>
          <w:color w:val="000000" w:themeColor="text1"/>
        </w:rPr>
        <w:t>The following questions relate to graduates who were away from work in the reference week. The expanded detail collected in this set of questions enables the identification of graduates who were away from work at the time of the survey but are considered to have a formal job attachment.</w:t>
      </w:r>
    </w:p>
    <w:p w14:paraId="0C9C1042" w14:textId="453ED7CD" w:rsidR="00EE4CBF" w:rsidRPr="00617A89" w:rsidRDefault="00EE4CBF" w:rsidP="00EE4CBF">
      <w:pPr>
        <w:pStyle w:val="Caption"/>
        <w:keepNext/>
        <w:rPr>
          <w:color w:val="000000" w:themeColor="text1"/>
        </w:rPr>
      </w:pPr>
      <w:bookmarkStart w:id="197" w:name="_Toc222868483"/>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13</w:t>
      </w:r>
      <w:r w:rsidR="00DB7C31" w:rsidRPr="00617A89">
        <w:rPr>
          <w:noProof/>
          <w:color w:val="000000" w:themeColor="text1"/>
        </w:rPr>
        <w:fldChar w:fldCharType="end"/>
      </w:r>
      <w:r w:rsidR="0062339E" w:rsidRPr="00617A89">
        <w:rPr>
          <w:color w:val="000000" w:themeColor="text1"/>
        </w:rPr>
        <w:tab/>
      </w:r>
      <w:r w:rsidR="00E03DCF" w:rsidRPr="00617A89">
        <w:rPr>
          <w:color w:val="000000" w:themeColor="text1"/>
        </w:rPr>
        <w:t>Away from work questions</w:t>
      </w:r>
      <w:bookmarkEnd w:id="197"/>
    </w:p>
    <w:tbl>
      <w:tblPr>
        <w:tblStyle w:val="TableGrid"/>
        <w:tblW w:w="10201" w:type="dxa"/>
        <w:tblLayout w:type="fixed"/>
        <w:tblLook w:val="0020" w:firstRow="1" w:lastRow="0" w:firstColumn="0" w:lastColumn="0" w:noHBand="0" w:noVBand="0"/>
      </w:tblPr>
      <w:tblGrid>
        <w:gridCol w:w="1701"/>
        <w:gridCol w:w="3686"/>
        <w:gridCol w:w="4814"/>
      </w:tblGrid>
      <w:tr w:rsidR="00C22852" w:rsidRPr="00617A89" w14:paraId="0DA77ADC" w14:textId="77777777" w:rsidTr="00ED7300">
        <w:trPr>
          <w:cnfStyle w:val="100000000000" w:firstRow="1" w:lastRow="0" w:firstColumn="0" w:lastColumn="0" w:oddVBand="0" w:evenVBand="0" w:oddHBand="0" w:evenHBand="0" w:firstRowFirstColumn="0" w:firstRowLastColumn="0" w:lastRowFirstColumn="0" w:lastRowLastColumn="0"/>
          <w:trHeight w:val="284"/>
          <w:tblHeader/>
        </w:trPr>
        <w:tc>
          <w:tcPr>
            <w:tcW w:w="1701" w:type="dxa"/>
          </w:tcPr>
          <w:p w14:paraId="5A287CE1" w14:textId="77777777" w:rsidR="00EE4CBF" w:rsidRPr="00617A89" w:rsidRDefault="00EE4CBF" w:rsidP="00ED7300">
            <w:pPr>
              <w:pStyle w:val="Default"/>
              <w:spacing w:before="40" w:after="40"/>
              <w:rPr>
                <w:b w:val="0"/>
                <w:bCs/>
                <w:color w:val="000000" w:themeColor="text1"/>
                <w:sz w:val="20"/>
                <w:szCs w:val="20"/>
              </w:rPr>
            </w:pPr>
            <w:r w:rsidRPr="00617A89">
              <w:rPr>
                <w:bCs/>
                <w:color w:val="000000" w:themeColor="text1"/>
                <w:sz w:val="20"/>
                <w:szCs w:val="20"/>
              </w:rPr>
              <w:t>Item</w:t>
            </w:r>
          </w:p>
        </w:tc>
        <w:tc>
          <w:tcPr>
            <w:tcW w:w="3686" w:type="dxa"/>
          </w:tcPr>
          <w:p w14:paraId="5E4BB9D3" w14:textId="77777777" w:rsidR="00EE4CBF" w:rsidRPr="00617A89" w:rsidRDefault="00EE4CBF" w:rsidP="00ED7300">
            <w:pPr>
              <w:pStyle w:val="Default"/>
              <w:spacing w:before="40" w:after="40"/>
              <w:rPr>
                <w:b w:val="0"/>
                <w:bCs/>
                <w:color w:val="000000" w:themeColor="text1"/>
                <w:sz w:val="20"/>
                <w:szCs w:val="20"/>
              </w:rPr>
            </w:pPr>
            <w:r w:rsidRPr="00617A89">
              <w:rPr>
                <w:bCs/>
                <w:color w:val="000000" w:themeColor="text1"/>
                <w:sz w:val="20"/>
                <w:szCs w:val="20"/>
              </w:rPr>
              <w:t>Question stem</w:t>
            </w:r>
          </w:p>
        </w:tc>
        <w:tc>
          <w:tcPr>
            <w:tcW w:w="4814" w:type="dxa"/>
          </w:tcPr>
          <w:p w14:paraId="1A24B7AF" w14:textId="77777777" w:rsidR="00EE4CBF" w:rsidRPr="00617A89" w:rsidRDefault="00EE4CBF" w:rsidP="00ED7300">
            <w:pPr>
              <w:pStyle w:val="Default"/>
              <w:spacing w:before="40" w:after="40"/>
              <w:rPr>
                <w:b w:val="0"/>
                <w:bCs/>
                <w:color w:val="000000" w:themeColor="text1"/>
                <w:sz w:val="20"/>
                <w:szCs w:val="20"/>
              </w:rPr>
            </w:pPr>
            <w:r w:rsidRPr="00617A89">
              <w:rPr>
                <w:bCs/>
                <w:color w:val="000000" w:themeColor="text1"/>
                <w:sz w:val="20"/>
                <w:szCs w:val="20"/>
              </w:rPr>
              <w:t xml:space="preserve">Response options </w:t>
            </w:r>
          </w:p>
        </w:tc>
      </w:tr>
      <w:tr w:rsidR="00C22852" w:rsidRPr="00617A89" w14:paraId="29F85B9E" w14:textId="77777777" w:rsidTr="00D74D0C">
        <w:trPr>
          <w:trHeight w:val="2039"/>
        </w:trPr>
        <w:tc>
          <w:tcPr>
            <w:tcW w:w="0" w:type="dxa"/>
          </w:tcPr>
          <w:p w14:paraId="16E0B352" w14:textId="77777777" w:rsidR="00EE4CBF" w:rsidRPr="00617A89" w:rsidRDefault="00EE4CBF" w:rsidP="00ED7300">
            <w:pPr>
              <w:pStyle w:val="Default"/>
              <w:spacing w:before="40" w:after="40"/>
              <w:rPr>
                <w:color w:val="000000" w:themeColor="text1"/>
                <w:sz w:val="20"/>
                <w:szCs w:val="20"/>
              </w:rPr>
            </w:pPr>
            <w:r w:rsidRPr="00617A89">
              <w:rPr>
                <w:color w:val="000000" w:themeColor="text1"/>
                <w:sz w:val="20"/>
                <w:szCs w:val="20"/>
              </w:rPr>
              <w:t>AWAYWORK</w:t>
            </w:r>
          </w:p>
          <w:p w14:paraId="6D210BEE" w14:textId="3FD23D16" w:rsidR="00EE4CBF" w:rsidRPr="00617A89" w:rsidRDefault="00EE4CBF" w:rsidP="00ED7300">
            <w:pPr>
              <w:pStyle w:val="Default"/>
              <w:spacing w:before="40" w:after="40"/>
              <w:rPr>
                <w:color w:val="000000" w:themeColor="text1"/>
                <w:sz w:val="20"/>
                <w:szCs w:val="20"/>
              </w:rPr>
            </w:pPr>
            <w:r w:rsidRPr="00617A89">
              <w:rPr>
                <w:color w:val="000000" w:themeColor="text1"/>
                <w:sz w:val="20"/>
                <w:szCs w:val="20"/>
              </w:rPr>
              <w:t>(modified in 2025)</w:t>
            </w:r>
          </w:p>
        </w:tc>
        <w:tc>
          <w:tcPr>
            <w:tcW w:w="0" w:type="dxa"/>
          </w:tcPr>
          <w:p w14:paraId="60B0A5ED" w14:textId="0852ABF3" w:rsidR="00EE4CBF" w:rsidRPr="00617A89" w:rsidRDefault="00EE4CBF" w:rsidP="00ED7300">
            <w:pPr>
              <w:pStyle w:val="QNameText"/>
              <w:spacing w:before="40" w:after="40"/>
              <w:ind w:left="0" w:firstLine="0"/>
              <w:rPr>
                <w:i/>
                <w:iCs/>
                <w:color w:val="000000" w:themeColor="text1"/>
                <w:szCs w:val="20"/>
              </w:rPr>
            </w:pPr>
            <w:r w:rsidRPr="00617A89">
              <w:rPr>
                <w:color w:val="000000" w:themeColor="text1"/>
              </w:rPr>
              <w:t>Did you have a job, business or farm that you were away from because of holidays, sickness or any other reason?</w:t>
            </w:r>
          </w:p>
        </w:tc>
        <w:tc>
          <w:tcPr>
            <w:tcW w:w="0" w:type="dxa"/>
          </w:tcPr>
          <w:p w14:paraId="65D37FB4" w14:textId="77777777" w:rsidR="00EE4CBF" w:rsidRPr="00617A89" w:rsidRDefault="00EE4CBF" w:rsidP="00EE4CBF">
            <w:pPr>
              <w:ind w:left="567" w:hanging="567"/>
              <w:rPr>
                <w:rFonts w:eastAsia="Calibri" w:cs="Arial"/>
                <w:color w:val="000000" w:themeColor="text1"/>
                <w:szCs w:val="20"/>
              </w:rPr>
            </w:pPr>
            <w:r w:rsidRPr="00617A89">
              <w:rPr>
                <w:rFonts w:eastAsia="Calibri" w:cs="Arial"/>
                <w:color w:val="000000" w:themeColor="text1"/>
                <w:szCs w:val="20"/>
              </w:rPr>
              <w:t xml:space="preserve">1. </w:t>
            </w:r>
            <w:r w:rsidRPr="00617A89">
              <w:rPr>
                <w:rFonts w:eastAsia="Calibri" w:cs="Arial"/>
                <w:color w:val="000000" w:themeColor="text1"/>
                <w:szCs w:val="20"/>
              </w:rPr>
              <w:tab/>
              <w:t xml:space="preserve">Yes – away from work as a standard work or shift arrangement </w:t>
            </w:r>
          </w:p>
          <w:p w14:paraId="7DD6F7F3" w14:textId="77777777" w:rsidR="00EE4CBF" w:rsidRPr="00617A89" w:rsidRDefault="00EE4CBF" w:rsidP="00EE4CBF">
            <w:pPr>
              <w:ind w:left="567" w:hanging="567"/>
              <w:rPr>
                <w:rFonts w:eastAsia="Calibri" w:cs="Arial"/>
                <w:color w:val="000000" w:themeColor="text1"/>
                <w:szCs w:val="20"/>
              </w:rPr>
            </w:pPr>
            <w:r w:rsidRPr="00617A89">
              <w:rPr>
                <w:rFonts w:eastAsia="Calibri" w:cs="Arial"/>
                <w:color w:val="000000" w:themeColor="text1"/>
                <w:szCs w:val="20"/>
              </w:rPr>
              <w:t xml:space="preserve">2. </w:t>
            </w:r>
            <w:r w:rsidRPr="00617A89">
              <w:rPr>
                <w:rFonts w:eastAsia="Calibri" w:cs="Arial"/>
                <w:color w:val="000000" w:themeColor="text1"/>
                <w:szCs w:val="20"/>
              </w:rPr>
              <w:tab/>
              <w:t xml:space="preserve">Yes – away from a business that I own </w:t>
            </w:r>
          </w:p>
          <w:p w14:paraId="3AF32422" w14:textId="77777777" w:rsidR="00EE4CBF" w:rsidRPr="00617A89" w:rsidRDefault="00EE4CBF" w:rsidP="00EE4CBF">
            <w:pPr>
              <w:ind w:left="567" w:hanging="567"/>
              <w:rPr>
                <w:rFonts w:eastAsia="Calibri" w:cs="Arial"/>
                <w:color w:val="000000" w:themeColor="text1"/>
                <w:szCs w:val="20"/>
              </w:rPr>
            </w:pPr>
            <w:r w:rsidRPr="00617A89">
              <w:rPr>
                <w:rFonts w:eastAsia="Calibri" w:cs="Arial"/>
                <w:color w:val="000000" w:themeColor="text1"/>
                <w:szCs w:val="20"/>
              </w:rPr>
              <w:t>3.</w:t>
            </w:r>
            <w:r w:rsidRPr="00617A89">
              <w:rPr>
                <w:rFonts w:eastAsia="Calibri" w:cs="Arial"/>
                <w:color w:val="000000" w:themeColor="text1"/>
                <w:szCs w:val="20"/>
              </w:rPr>
              <w:tab/>
              <w:t xml:space="preserve">Yes – on strike, locked out or in an industrial dispute </w:t>
            </w:r>
          </w:p>
          <w:p w14:paraId="1CBDF3C3" w14:textId="53259083" w:rsidR="00EE4CBF" w:rsidRPr="00617A89" w:rsidRDefault="00EE4CBF" w:rsidP="00EE4CBF">
            <w:pPr>
              <w:ind w:left="567" w:hanging="567"/>
              <w:rPr>
                <w:rFonts w:eastAsia="Calibri" w:cs="Arial"/>
                <w:color w:val="000000" w:themeColor="text1"/>
                <w:szCs w:val="20"/>
              </w:rPr>
            </w:pPr>
            <w:r w:rsidRPr="00617A89">
              <w:rPr>
                <w:rFonts w:eastAsia="Calibri" w:cs="Arial"/>
                <w:color w:val="000000" w:themeColor="text1"/>
                <w:szCs w:val="20"/>
              </w:rPr>
              <w:t xml:space="preserve">4. </w:t>
            </w:r>
            <w:r w:rsidRPr="00617A89">
              <w:rPr>
                <w:rFonts w:eastAsia="Calibri" w:cs="Arial"/>
                <w:color w:val="000000" w:themeColor="text1"/>
                <w:szCs w:val="20"/>
              </w:rPr>
              <w:tab/>
              <w:t xml:space="preserve">Yes, holidays, sickness, or other reason </w:t>
            </w:r>
          </w:p>
          <w:p w14:paraId="3E3D374A" w14:textId="37366884" w:rsidR="00EE4CBF" w:rsidRPr="00617A89" w:rsidRDefault="00EE4CBF" w:rsidP="00EE4CBF">
            <w:pPr>
              <w:ind w:left="567" w:hanging="567"/>
              <w:rPr>
                <w:rFonts w:eastAsia="Calibri" w:cs="Arial"/>
                <w:color w:val="000000" w:themeColor="text1"/>
                <w:szCs w:val="20"/>
              </w:rPr>
            </w:pPr>
            <w:r w:rsidRPr="00617A89">
              <w:rPr>
                <w:rFonts w:eastAsia="Calibri" w:cs="Arial"/>
                <w:color w:val="000000" w:themeColor="text1"/>
                <w:szCs w:val="20"/>
              </w:rPr>
              <w:t xml:space="preserve">5. </w:t>
            </w:r>
            <w:r w:rsidRPr="00617A89">
              <w:rPr>
                <w:rFonts w:eastAsia="Calibri" w:cs="Arial"/>
                <w:color w:val="000000" w:themeColor="text1"/>
                <w:szCs w:val="20"/>
              </w:rPr>
              <w:tab/>
              <w:t xml:space="preserve">No </w:t>
            </w:r>
          </w:p>
          <w:p w14:paraId="2A3E0FFE" w14:textId="0D5F7DD8" w:rsidR="00EE4CBF" w:rsidRPr="00617A89" w:rsidRDefault="00EE4CBF" w:rsidP="00EE4CBF">
            <w:pPr>
              <w:ind w:left="567" w:hanging="567"/>
              <w:rPr>
                <w:rFonts w:eastAsia="Calibri" w:cs="Arial"/>
                <w:color w:val="000000" w:themeColor="text1"/>
                <w:szCs w:val="20"/>
              </w:rPr>
            </w:pPr>
            <w:r w:rsidRPr="00617A89">
              <w:rPr>
                <w:rFonts w:eastAsia="Calibri" w:cs="Arial"/>
                <w:color w:val="000000" w:themeColor="text1"/>
                <w:szCs w:val="20"/>
              </w:rPr>
              <w:t>6.       Permanently not intending to work</w:t>
            </w:r>
          </w:p>
        </w:tc>
      </w:tr>
      <w:tr w:rsidR="00C22852" w:rsidRPr="00617A89" w14:paraId="03C3CD3C" w14:textId="77777777" w:rsidTr="00D74D0C">
        <w:trPr>
          <w:trHeight w:val="850"/>
        </w:trPr>
        <w:tc>
          <w:tcPr>
            <w:tcW w:w="0" w:type="dxa"/>
          </w:tcPr>
          <w:p w14:paraId="37DF75CB" w14:textId="532AB8A9" w:rsidR="00EE4CBF" w:rsidRPr="00617A89" w:rsidRDefault="00EE4CBF" w:rsidP="00ED7300">
            <w:pPr>
              <w:pStyle w:val="Default"/>
              <w:spacing w:before="40" w:after="40"/>
              <w:rPr>
                <w:color w:val="000000" w:themeColor="text1"/>
                <w:sz w:val="20"/>
                <w:szCs w:val="20"/>
              </w:rPr>
            </w:pPr>
            <w:r w:rsidRPr="00617A89">
              <w:rPr>
                <w:color w:val="000000" w:themeColor="text1"/>
                <w:sz w:val="20"/>
                <w:szCs w:val="20"/>
              </w:rPr>
              <w:t>AWAYLONG (new in 2025)</w:t>
            </w:r>
          </w:p>
        </w:tc>
        <w:tc>
          <w:tcPr>
            <w:tcW w:w="0" w:type="dxa"/>
          </w:tcPr>
          <w:p w14:paraId="273E5FA1" w14:textId="77777777" w:rsidR="00EE4CBF" w:rsidRPr="00617A89" w:rsidRDefault="00EE4CBF" w:rsidP="00EE4CBF">
            <w:pPr>
              <w:rPr>
                <w:color w:val="000000" w:themeColor="text1"/>
              </w:rPr>
            </w:pPr>
            <w:r w:rsidRPr="00617A89">
              <w:rPr>
                <w:color w:val="000000" w:themeColor="text1"/>
              </w:rPr>
              <w:t>Up until the end of last week, how long had you been away from work?</w:t>
            </w:r>
          </w:p>
          <w:p w14:paraId="09B6711D" w14:textId="6A325045" w:rsidR="00EE4CBF" w:rsidRPr="00617A89" w:rsidRDefault="00EE4CBF" w:rsidP="00ED7300">
            <w:pPr>
              <w:rPr>
                <w:color w:val="000000" w:themeColor="text1"/>
              </w:rPr>
            </w:pPr>
          </w:p>
        </w:tc>
        <w:tc>
          <w:tcPr>
            <w:tcW w:w="0" w:type="dxa"/>
          </w:tcPr>
          <w:p w14:paraId="445238F2" w14:textId="77777777" w:rsidR="00EE4CBF" w:rsidRPr="00617A89" w:rsidRDefault="00EE4CBF" w:rsidP="00EE4CBF">
            <w:pPr>
              <w:ind w:left="567" w:hanging="567"/>
              <w:rPr>
                <w:rFonts w:eastAsia="Calibri" w:cs="Arial"/>
                <w:color w:val="000000" w:themeColor="text1"/>
                <w:szCs w:val="20"/>
              </w:rPr>
            </w:pPr>
            <w:r w:rsidRPr="00617A89">
              <w:rPr>
                <w:rFonts w:eastAsia="Calibri" w:cs="Arial"/>
                <w:color w:val="000000" w:themeColor="text1"/>
                <w:szCs w:val="20"/>
              </w:rPr>
              <w:t>1.</w:t>
            </w:r>
            <w:r w:rsidRPr="00617A89">
              <w:rPr>
                <w:rFonts w:eastAsia="Calibri" w:cs="Arial"/>
                <w:color w:val="000000" w:themeColor="text1"/>
                <w:szCs w:val="20"/>
              </w:rPr>
              <w:tab/>
              <w:t>Less than 4 weeks</w:t>
            </w:r>
          </w:p>
          <w:p w14:paraId="215F6BB7" w14:textId="77777777" w:rsidR="00EE4CBF" w:rsidRPr="00617A89" w:rsidRDefault="00EE4CBF" w:rsidP="00EE4CBF">
            <w:pPr>
              <w:ind w:left="567" w:hanging="567"/>
              <w:rPr>
                <w:rFonts w:eastAsia="Calibri" w:cs="Arial"/>
                <w:color w:val="000000" w:themeColor="text1"/>
                <w:szCs w:val="20"/>
              </w:rPr>
            </w:pPr>
            <w:r w:rsidRPr="00617A89">
              <w:rPr>
                <w:rFonts w:eastAsia="Calibri" w:cs="Arial"/>
                <w:color w:val="000000" w:themeColor="text1"/>
                <w:szCs w:val="20"/>
              </w:rPr>
              <w:t>2.</w:t>
            </w:r>
            <w:r w:rsidRPr="00617A89">
              <w:rPr>
                <w:rFonts w:eastAsia="Calibri" w:cs="Arial"/>
                <w:color w:val="000000" w:themeColor="text1"/>
                <w:szCs w:val="20"/>
              </w:rPr>
              <w:tab/>
              <w:t>1 to 3 months</w:t>
            </w:r>
          </w:p>
          <w:p w14:paraId="11CD15A3" w14:textId="64B4101D" w:rsidR="00EE4CBF" w:rsidRPr="00617A89" w:rsidRDefault="00EE4CBF" w:rsidP="00EE4CBF">
            <w:pPr>
              <w:ind w:left="567" w:hanging="567"/>
              <w:rPr>
                <w:color w:val="000000" w:themeColor="text1"/>
              </w:rPr>
            </w:pPr>
            <w:r w:rsidRPr="00617A89">
              <w:rPr>
                <w:rFonts w:eastAsia="Calibri" w:cs="Arial"/>
                <w:color w:val="000000" w:themeColor="text1"/>
                <w:szCs w:val="20"/>
              </w:rPr>
              <w:t>3.</w:t>
            </w:r>
            <w:r w:rsidRPr="00617A89">
              <w:rPr>
                <w:rFonts w:eastAsia="Calibri" w:cs="Arial"/>
                <w:color w:val="000000" w:themeColor="text1"/>
                <w:szCs w:val="20"/>
              </w:rPr>
              <w:tab/>
              <w:t>More than 3 months</w:t>
            </w:r>
          </w:p>
        </w:tc>
      </w:tr>
      <w:tr w:rsidR="00C22852" w:rsidRPr="00617A89" w14:paraId="57F36FD5" w14:textId="77777777" w:rsidTr="00D74D0C">
        <w:trPr>
          <w:trHeight w:val="1683"/>
        </w:trPr>
        <w:tc>
          <w:tcPr>
            <w:tcW w:w="0" w:type="dxa"/>
          </w:tcPr>
          <w:p w14:paraId="09A5210F" w14:textId="60269D31" w:rsidR="00EE4CBF" w:rsidRPr="00617A89" w:rsidRDefault="00EE4CBF" w:rsidP="00ED7300">
            <w:pPr>
              <w:pStyle w:val="Default"/>
              <w:spacing w:before="40" w:after="40"/>
              <w:rPr>
                <w:color w:val="000000" w:themeColor="text1"/>
                <w:sz w:val="20"/>
                <w:szCs w:val="20"/>
              </w:rPr>
            </w:pPr>
            <w:r w:rsidRPr="00617A89">
              <w:rPr>
                <w:color w:val="000000" w:themeColor="text1"/>
                <w:sz w:val="20"/>
                <w:szCs w:val="20"/>
              </w:rPr>
              <w:t>AWAYPAID (new in 2025)</w:t>
            </w:r>
          </w:p>
        </w:tc>
        <w:tc>
          <w:tcPr>
            <w:tcW w:w="0" w:type="dxa"/>
          </w:tcPr>
          <w:p w14:paraId="19753608" w14:textId="38F85489" w:rsidR="00EE4CBF" w:rsidRPr="00617A89" w:rsidRDefault="00EE4CBF" w:rsidP="00ED7300">
            <w:pPr>
              <w:pStyle w:val="InterviewerNote"/>
              <w:ind w:left="0"/>
              <w:rPr>
                <w:rFonts w:cs="Arial"/>
                <w:i/>
                <w:iCs/>
                <w:color w:val="000000" w:themeColor="text1"/>
                <w:szCs w:val="20"/>
              </w:rPr>
            </w:pPr>
            <w:r w:rsidRPr="00617A89">
              <w:rPr>
                <w:color w:val="000000" w:themeColor="text1"/>
              </w:rPr>
              <w:t xml:space="preserve">Were you paid, or will you be paid, for any part of the </w:t>
            </w:r>
            <w:r w:rsidRPr="00617A89">
              <w:rPr>
                <w:b/>
                <w:bCs/>
                <w:color w:val="000000" w:themeColor="text1"/>
              </w:rPr>
              <w:t>last 4 weeks</w:t>
            </w:r>
            <w:r w:rsidRPr="00617A89">
              <w:rPr>
                <w:color w:val="000000" w:themeColor="text1"/>
              </w:rPr>
              <w:t>?</w:t>
            </w:r>
            <w:r w:rsidRPr="00617A89">
              <w:rPr>
                <w:rFonts w:cs="Arial"/>
                <w:i/>
                <w:iCs/>
                <w:color w:val="000000" w:themeColor="text1"/>
                <w:szCs w:val="20"/>
              </w:rPr>
              <w:t>.</w:t>
            </w:r>
          </w:p>
          <w:p w14:paraId="40A68176" w14:textId="77777777" w:rsidR="00EE4CBF" w:rsidRPr="00617A89" w:rsidRDefault="00EE4CBF" w:rsidP="00ED7300">
            <w:pPr>
              <w:pStyle w:val="QNameText"/>
              <w:spacing w:before="40" w:after="40"/>
              <w:ind w:left="28" w:hanging="28"/>
              <w:rPr>
                <w:color w:val="000000" w:themeColor="text1"/>
              </w:rPr>
            </w:pPr>
          </w:p>
        </w:tc>
        <w:tc>
          <w:tcPr>
            <w:tcW w:w="0" w:type="dxa"/>
          </w:tcPr>
          <w:p w14:paraId="56288CA7" w14:textId="77777777" w:rsidR="00EE4CBF" w:rsidRPr="00617A89" w:rsidRDefault="00EE4CBF" w:rsidP="00EE4CBF">
            <w:pPr>
              <w:pStyle w:val="1ResponseFrame"/>
              <w:ind w:left="567"/>
              <w:rPr>
                <w:rStyle w:val="normaltextrun"/>
                <w:color w:val="000000" w:themeColor="text1"/>
              </w:rPr>
            </w:pPr>
            <w:r w:rsidRPr="00617A89">
              <w:rPr>
                <w:rStyle w:val="normaltextrun"/>
                <w:color w:val="000000" w:themeColor="text1"/>
              </w:rPr>
              <w:t>1.</w:t>
            </w:r>
            <w:r w:rsidRPr="00617A89">
              <w:rPr>
                <w:rStyle w:val="normaltextrun"/>
                <w:color w:val="000000" w:themeColor="text1"/>
              </w:rPr>
              <w:tab/>
              <w:t>Yes, I received workers’ compensation and expect to return to employer</w:t>
            </w:r>
          </w:p>
          <w:p w14:paraId="6CA8CA37" w14:textId="77777777" w:rsidR="00EE4CBF" w:rsidRPr="00617A89" w:rsidRDefault="00EE4CBF" w:rsidP="00EE4CBF">
            <w:pPr>
              <w:pStyle w:val="1ResponseFrame"/>
              <w:ind w:left="567"/>
              <w:rPr>
                <w:rStyle w:val="normaltextrun"/>
                <w:color w:val="000000" w:themeColor="text1"/>
              </w:rPr>
            </w:pPr>
            <w:r w:rsidRPr="00617A89">
              <w:rPr>
                <w:rStyle w:val="normaltextrun"/>
                <w:color w:val="000000" w:themeColor="text1"/>
              </w:rPr>
              <w:t>2.</w:t>
            </w:r>
            <w:r w:rsidRPr="00617A89">
              <w:rPr>
                <w:rStyle w:val="normaltextrun"/>
                <w:color w:val="000000" w:themeColor="text1"/>
              </w:rPr>
              <w:tab/>
              <w:t>Yes, I received workers’ compensation and do not expect to return to employer</w:t>
            </w:r>
          </w:p>
          <w:p w14:paraId="2262A13C" w14:textId="77777777" w:rsidR="00EE4CBF" w:rsidRPr="00617A89" w:rsidRDefault="00EE4CBF" w:rsidP="00EE4CBF">
            <w:pPr>
              <w:pStyle w:val="1ResponseFrame"/>
              <w:ind w:left="567"/>
              <w:rPr>
                <w:rStyle w:val="normaltextrun"/>
                <w:color w:val="000000" w:themeColor="text1"/>
              </w:rPr>
            </w:pPr>
            <w:r w:rsidRPr="00617A89">
              <w:rPr>
                <w:rStyle w:val="normaltextrun"/>
                <w:color w:val="000000" w:themeColor="text1"/>
              </w:rPr>
              <w:t>3.</w:t>
            </w:r>
            <w:r w:rsidRPr="00617A89">
              <w:rPr>
                <w:rStyle w:val="normaltextrun"/>
                <w:color w:val="000000" w:themeColor="text1"/>
              </w:rPr>
              <w:tab/>
              <w:t>Yes, I received other form of payment from employer</w:t>
            </w:r>
          </w:p>
          <w:p w14:paraId="57F11D07" w14:textId="3CD03B03" w:rsidR="00EE4CBF" w:rsidRPr="00617A89" w:rsidRDefault="00EE4CBF" w:rsidP="00EE4CBF">
            <w:pPr>
              <w:pStyle w:val="1ResponseFrame"/>
              <w:ind w:left="567"/>
              <w:rPr>
                <w:color w:val="000000" w:themeColor="text1"/>
              </w:rPr>
            </w:pPr>
            <w:r w:rsidRPr="00617A89">
              <w:rPr>
                <w:rStyle w:val="normaltextrun"/>
                <w:color w:val="000000" w:themeColor="text1"/>
              </w:rPr>
              <w:t>4.</w:t>
            </w:r>
            <w:r w:rsidRPr="00617A89">
              <w:rPr>
                <w:rStyle w:val="normaltextrun"/>
                <w:color w:val="000000" w:themeColor="text1"/>
              </w:rPr>
              <w:tab/>
              <w:t>No</w:t>
            </w:r>
          </w:p>
        </w:tc>
      </w:tr>
    </w:tbl>
    <w:p w14:paraId="67840975" w14:textId="06752AA0" w:rsidR="00E03DCF" w:rsidRPr="00617A89" w:rsidRDefault="00E03DCF" w:rsidP="00BC457C">
      <w:pPr>
        <w:pStyle w:val="Heading4"/>
      </w:pPr>
      <w:r w:rsidRPr="00617A89">
        <w:t>Unemployment</w:t>
      </w:r>
      <w:r w:rsidR="00721357" w:rsidRPr="00617A89">
        <w:t>/</w:t>
      </w:r>
      <w:r w:rsidR="0077448E" w:rsidRPr="00617A89">
        <w:t>marginal attachment to the labour force</w:t>
      </w:r>
    </w:p>
    <w:p w14:paraId="263BE97A" w14:textId="77777777" w:rsidR="0077448E" w:rsidRPr="00617A89" w:rsidRDefault="0077448E" w:rsidP="00E13088">
      <w:pPr>
        <w:pStyle w:val="Body"/>
        <w:rPr>
          <w:color w:val="000000" w:themeColor="text1"/>
        </w:rPr>
      </w:pPr>
      <w:r w:rsidRPr="00617A89">
        <w:rPr>
          <w:color w:val="000000" w:themeColor="text1"/>
        </w:rPr>
        <w:t>This set of questions allow for identification of graduates who were unemployed but in the labour force versus those not in the labour force but marginally attached.</w:t>
      </w:r>
    </w:p>
    <w:p w14:paraId="4B02D454" w14:textId="72F1183E" w:rsidR="00E13088" w:rsidRPr="00617A89" w:rsidRDefault="00E13088" w:rsidP="00D74D0C">
      <w:pPr>
        <w:pStyle w:val="Body"/>
        <w:rPr>
          <w:color w:val="000000" w:themeColor="text1"/>
        </w:rPr>
      </w:pPr>
      <w:r w:rsidRPr="00617A89">
        <w:rPr>
          <w:color w:val="000000" w:themeColor="text1"/>
        </w:rPr>
        <w:t xml:space="preserve">Changes to existing questions (LOOKFTWK and LOOKPTWK) enable identification of graduates who either </w:t>
      </w:r>
      <w:r w:rsidRPr="00617A89">
        <w:rPr>
          <w:b/>
          <w:bCs/>
          <w:color w:val="000000" w:themeColor="text1"/>
        </w:rPr>
        <w:t>actively</w:t>
      </w:r>
      <w:r w:rsidRPr="00617A89">
        <w:rPr>
          <w:color w:val="000000" w:themeColor="text1"/>
        </w:rPr>
        <w:t xml:space="preserve"> or </w:t>
      </w:r>
      <w:r w:rsidRPr="00617A89">
        <w:rPr>
          <w:b/>
          <w:bCs/>
          <w:color w:val="000000" w:themeColor="text1"/>
        </w:rPr>
        <w:t>passively</w:t>
      </w:r>
      <w:r w:rsidRPr="00617A89">
        <w:rPr>
          <w:color w:val="000000" w:themeColor="text1"/>
        </w:rPr>
        <w:t xml:space="preserve"> looked for work. Passive job seekers not employed at the time of the survey can now be excluded from the labour force, aligning with the ABS definition.</w:t>
      </w:r>
    </w:p>
    <w:p w14:paraId="4F6BCE28" w14:textId="02D21EFF" w:rsidR="00E03DCF" w:rsidRPr="00617A89" w:rsidRDefault="00E03DCF" w:rsidP="00E03DCF">
      <w:pPr>
        <w:pStyle w:val="Caption"/>
        <w:keepNext/>
        <w:rPr>
          <w:color w:val="000000" w:themeColor="text1"/>
        </w:rPr>
      </w:pPr>
      <w:bookmarkStart w:id="198" w:name="_Toc222868484"/>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14</w:t>
      </w:r>
      <w:r w:rsidR="00DB7C31" w:rsidRPr="00617A89">
        <w:rPr>
          <w:noProof/>
          <w:color w:val="000000" w:themeColor="text1"/>
        </w:rPr>
        <w:fldChar w:fldCharType="end"/>
      </w:r>
      <w:r w:rsidR="0062339E" w:rsidRPr="00617A89">
        <w:rPr>
          <w:color w:val="000000" w:themeColor="text1"/>
        </w:rPr>
        <w:tab/>
      </w:r>
      <w:r w:rsidR="00D75F13" w:rsidRPr="00617A89">
        <w:rPr>
          <w:color w:val="000000" w:themeColor="text1"/>
        </w:rPr>
        <w:t>Attachment to labour force</w:t>
      </w:r>
      <w:r w:rsidRPr="00617A89">
        <w:rPr>
          <w:color w:val="000000" w:themeColor="text1"/>
        </w:rPr>
        <w:t xml:space="preserve"> questions</w:t>
      </w:r>
      <w:bookmarkEnd w:id="198"/>
    </w:p>
    <w:tbl>
      <w:tblPr>
        <w:tblStyle w:val="TableGrid"/>
        <w:tblW w:w="10201" w:type="dxa"/>
        <w:tblLayout w:type="fixed"/>
        <w:tblLook w:val="0020" w:firstRow="1" w:lastRow="0" w:firstColumn="0" w:lastColumn="0" w:noHBand="0" w:noVBand="0"/>
      </w:tblPr>
      <w:tblGrid>
        <w:gridCol w:w="1701"/>
        <w:gridCol w:w="3686"/>
        <w:gridCol w:w="4814"/>
      </w:tblGrid>
      <w:tr w:rsidR="00C22852" w:rsidRPr="00617A89" w14:paraId="0802FE8E" w14:textId="77777777" w:rsidTr="00ED7300">
        <w:trPr>
          <w:cnfStyle w:val="100000000000" w:firstRow="1" w:lastRow="0" w:firstColumn="0" w:lastColumn="0" w:oddVBand="0" w:evenVBand="0" w:oddHBand="0" w:evenHBand="0" w:firstRowFirstColumn="0" w:firstRowLastColumn="0" w:lastRowFirstColumn="0" w:lastRowLastColumn="0"/>
          <w:trHeight w:val="284"/>
          <w:tblHeader/>
        </w:trPr>
        <w:tc>
          <w:tcPr>
            <w:tcW w:w="1701" w:type="dxa"/>
          </w:tcPr>
          <w:p w14:paraId="75D0A9A6" w14:textId="77777777" w:rsidR="00E03DCF" w:rsidRPr="00617A89" w:rsidRDefault="00E03DCF" w:rsidP="00ED7300">
            <w:pPr>
              <w:pStyle w:val="Default"/>
              <w:spacing w:before="40" w:after="40"/>
              <w:rPr>
                <w:b w:val="0"/>
                <w:bCs/>
                <w:color w:val="000000" w:themeColor="text1"/>
                <w:sz w:val="18"/>
                <w:szCs w:val="18"/>
              </w:rPr>
            </w:pPr>
            <w:r w:rsidRPr="00617A89">
              <w:rPr>
                <w:bCs/>
                <w:color w:val="000000" w:themeColor="text1"/>
                <w:sz w:val="18"/>
                <w:szCs w:val="18"/>
              </w:rPr>
              <w:t>Item</w:t>
            </w:r>
          </w:p>
        </w:tc>
        <w:tc>
          <w:tcPr>
            <w:tcW w:w="3686" w:type="dxa"/>
          </w:tcPr>
          <w:p w14:paraId="61092C54" w14:textId="77777777" w:rsidR="00E03DCF" w:rsidRPr="00617A89" w:rsidRDefault="00E03DCF" w:rsidP="00ED7300">
            <w:pPr>
              <w:pStyle w:val="Default"/>
              <w:spacing w:before="40" w:after="40"/>
              <w:rPr>
                <w:b w:val="0"/>
                <w:bCs/>
                <w:color w:val="000000" w:themeColor="text1"/>
                <w:sz w:val="18"/>
                <w:szCs w:val="18"/>
              </w:rPr>
            </w:pPr>
            <w:r w:rsidRPr="00617A89">
              <w:rPr>
                <w:bCs/>
                <w:color w:val="000000" w:themeColor="text1"/>
                <w:sz w:val="18"/>
                <w:szCs w:val="18"/>
              </w:rPr>
              <w:t>Question stem</w:t>
            </w:r>
          </w:p>
        </w:tc>
        <w:tc>
          <w:tcPr>
            <w:tcW w:w="4814" w:type="dxa"/>
          </w:tcPr>
          <w:p w14:paraId="37F6896D" w14:textId="77777777" w:rsidR="00E03DCF" w:rsidRPr="00617A89" w:rsidRDefault="00E03DCF" w:rsidP="00ED7300">
            <w:pPr>
              <w:pStyle w:val="Default"/>
              <w:spacing w:before="40" w:after="40"/>
              <w:rPr>
                <w:b w:val="0"/>
                <w:bCs/>
                <w:color w:val="000000" w:themeColor="text1"/>
                <w:sz w:val="18"/>
                <w:szCs w:val="18"/>
              </w:rPr>
            </w:pPr>
            <w:r w:rsidRPr="00617A89">
              <w:rPr>
                <w:bCs/>
                <w:color w:val="000000" w:themeColor="text1"/>
                <w:sz w:val="18"/>
                <w:szCs w:val="18"/>
              </w:rPr>
              <w:t xml:space="preserve">Response options </w:t>
            </w:r>
          </w:p>
        </w:tc>
      </w:tr>
      <w:tr w:rsidR="00C22852" w:rsidRPr="00617A89" w14:paraId="02AF4F4E" w14:textId="77777777" w:rsidTr="00ED7300">
        <w:trPr>
          <w:trHeight w:val="2039"/>
        </w:trPr>
        <w:tc>
          <w:tcPr>
            <w:tcW w:w="1701" w:type="dxa"/>
          </w:tcPr>
          <w:p w14:paraId="054F000E" w14:textId="1828C377"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LOOKFTWK (modified in 2025)</w:t>
            </w:r>
          </w:p>
        </w:tc>
        <w:tc>
          <w:tcPr>
            <w:tcW w:w="3686" w:type="dxa"/>
          </w:tcPr>
          <w:p w14:paraId="1FE880F4" w14:textId="50094382" w:rsidR="00E03DCF" w:rsidRPr="00617A89" w:rsidRDefault="006807F6" w:rsidP="00ED7300">
            <w:pPr>
              <w:pStyle w:val="InterviewerNote"/>
              <w:ind w:left="0"/>
              <w:rPr>
                <w:rFonts w:cs="Arial"/>
                <w:i/>
                <w:iCs/>
                <w:color w:val="000000" w:themeColor="text1"/>
                <w:sz w:val="18"/>
                <w:szCs w:val="18"/>
              </w:rPr>
            </w:pPr>
            <w:r w:rsidRPr="00617A89">
              <w:rPr>
                <w:color w:val="000000" w:themeColor="text1"/>
                <w:sz w:val="18"/>
                <w:szCs w:val="18"/>
              </w:rPr>
              <w:t xml:space="preserve">At any time during the </w:t>
            </w:r>
            <w:r w:rsidRPr="00617A89">
              <w:rPr>
                <w:b/>
                <w:bCs/>
                <w:color w:val="000000" w:themeColor="text1"/>
                <w:sz w:val="18"/>
                <w:szCs w:val="18"/>
              </w:rPr>
              <w:t>last 4 weeks</w:t>
            </w:r>
            <w:r w:rsidRPr="00617A89">
              <w:rPr>
                <w:color w:val="000000" w:themeColor="text1"/>
                <w:sz w:val="18"/>
                <w:szCs w:val="18"/>
              </w:rPr>
              <w:t xml:space="preserve"> have you been looking for full-time work?</w:t>
            </w:r>
          </w:p>
          <w:p w14:paraId="35A7C910" w14:textId="7DACC134" w:rsidR="00E03DCF" w:rsidRPr="00617A89" w:rsidRDefault="00E03DCF" w:rsidP="00ED7300">
            <w:pPr>
              <w:pStyle w:val="InterviewerNote"/>
              <w:ind w:left="0"/>
              <w:rPr>
                <w:rFonts w:cs="Arial"/>
                <w:i/>
                <w:iCs/>
                <w:color w:val="000000" w:themeColor="text1"/>
                <w:sz w:val="18"/>
                <w:szCs w:val="18"/>
              </w:rPr>
            </w:pPr>
          </w:p>
          <w:p w14:paraId="1CB8C672" w14:textId="77777777" w:rsidR="006807F6" w:rsidRPr="00617A89" w:rsidRDefault="006807F6" w:rsidP="006807F6">
            <w:pPr>
              <w:rPr>
                <w:i/>
                <w:iCs/>
                <w:color w:val="000000" w:themeColor="text1"/>
                <w:sz w:val="18"/>
                <w:szCs w:val="18"/>
              </w:rPr>
            </w:pPr>
            <w:r w:rsidRPr="00617A89">
              <w:rPr>
                <w:i/>
                <w:iCs/>
                <w:color w:val="000000" w:themeColor="text1"/>
                <w:sz w:val="18"/>
              </w:rPr>
              <w:t>Please note:</w:t>
            </w:r>
          </w:p>
          <w:p w14:paraId="77A1B95C" w14:textId="6DE3E6B3" w:rsidR="006807F6" w:rsidRPr="00617A89" w:rsidRDefault="006807F6" w:rsidP="006807F6">
            <w:pPr>
              <w:rPr>
                <w:i/>
                <w:iCs/>
                <w:color w:val="000000" w:themeColor="text1"/>
                <w:sz w:val="18"/>
                <w:szCs w:val="18"/>
              </w:rPr>
            </w:pPr>
            <w:r w:rsidRPr="00617A89">
              <w:rPr>
                <w:i/>
                <w:iCs/>
                <w:color w:val="000000" w:themeColor="text1"/>
                <w:sz w:val="18"/>
              </w:rPr>
              <w:t>• ‘Actively looking for work' includes written, telephoned or applied to an employer; had an interview with an employer for work; answered an advertisement for a job; checked or registered with an employment agency; taken steps to purchase or start your own business; advertised or tendered for work; and contacted friends or relatives to find work.</w:t>
            </w:r>
          </w:p>
          <w:p w14:paraId="1EC8BFC4" w14:textId="2C918D7D" w:rsidR="006807F6" w:rsidRPr="00617A89" w:rsidRDefault="006807F6" w:rsidP="00D74D0C">
            <w:pPr>
              <w:rPr>
                <w:i/>
                <w:iCs/>
                <w:color w:val="000000" w:themeColor="text1"/>
                <w:sz w:val="18"/>
                <w:szCs w:val="18"/>
              </w:rPr>
            </w:pPr>
            <w:r w:rsidRPr="00617A89">
              <w:rPr>
                <w:i/>
                <w:iCs/>
                <w:color w:val="000000" w:themeColor="text1"/>
                <w:sz w:val="18"/>
                <w:szCs w:val="18"/>
              </w:rPr>
              <w:t>• ‘Passively looking for work’ includes only looking in newspapers, the internet, or notice boards, and not taking any specific action to obtain work from these sources.</w:t>
            </w:r>
          </w:p>
          <w:p w14:paraId="00D93C0A" w14:textId="77777777" w:rsidR="00E03DCF" w:rsidRPr="00617A89" w:rsidRDefault="00E03DCF" w:rsidP="00ED7300">
            <w:pPr>
              <w:rPr>
                <w:color w:val="000000" w:themeColor="text1"/>
                <w:sz w:val="18"/>
                <w:szCs w:val="18"/>
              </w:rPr>
            </w:pPr>
          </w:p>
        </w:tc>
        <w:tc>
          <w:tcPr>
            <w:tcW w:w="4814" w:type="dxa"/>
          </w:tcPr>
          <w:p w14:paraId="7B03DE62" w14:textId="77777777" w:rsidR="006807F6" w:rsidRPr="00617A89" w:rsidRDefault="006807F6" w:rsidP="006807F6">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 </w:t>
            </w:r>
            <w:r w:rsidRPr="00617A89">
              <w:rPr>
                <w:rFonts w:eastAsia="Calibri" w:cs="Arial"/>
                <w:color w:val="000000" w:themeColor="text1"/>
                <w:sz w:val="18"/>
                <w:szCs w:val="18"/>
              </w:rPr>
              <w:tab/>
              <w:t xml:space="preserve">Yes, I have been </w:t>
            </w:r>
            <w:r w:rsidRPr="00617A89">
              <w:rPr>
                <w:rFonts w:eastAsia="Calibri" w:cs="Arial"/>
                <w:b/>
                <w:bCs/>
                <w:color w:val="000000" w:themeColor="text1"/>
                <w:sz w:val="18"/>
                <w:szCs w:val="18"/>
              </w:rPr>
              <w:t>actively</w:t>
            </w:r>
            <w:r w:rsidRPr="00617A89">
              <w:rPr>
                <w:rFonts w:eastAsia="Calibri" w:cs="Arial"/>
                <w:color w:val="000000" w:themeColor="text1"/>
                <w:sz w:val="18"/>
                <w:szCs w:val="18"/>
              </w:rPr>
              <w:t xml:space="preserve"> looking for full-time work</w:t>
            </w:r>
          </w:p>
          <w:p w14:paraId="5E774C5D" w14:textId="77777777" w:rsidR="006807F6" w:rsidRPr="00617A89" w:rsidRDefault="006807F6" w:rsidP="006807F6">
            <w:pPr>
              <w:ind w:left="567" w:hanging="567"/>
              <w:rPr>
                <w:rFonts w:eastAsia="Calibri" w:cs="Arial"/>
                <w:color w:val="000000" w:themeColor="text1"/>
                <w:sz w:val="18"/>
                <w:szCs w:val="18"/>
              </w:rPr>
            </w:pPr>
            <w:r w:rsidRPr="00617A89">
              <w:rPr>
                <w:rFonts w:eastAsia="Calibri" w:cs="Arial"/>
                <w:color w:val="000000" w:themeColor="text1"/>
                <w:sz w:val="18"/>
                <w:szCs w:val="18"/>
              </w:rPr>
              <w:t>2.</w:t>
            </w:r>
            <w:r w:rsidRPr="00617A89">
              <w:rPr>
                <w:rFonts w:eastAsia="Calibri" w:cs="Arial"/>
                <w:color w:val="000000" w:themeColor="text1"/>
                <w:sz w:val="18"/>
                <w:szCs w:val="18"/>
              </w:rPr>
              <w:tab/>
              <w:t xml:space="preserve">Yes, I have been </w:t>
            </w:r>
            <w:r w:rsidRPr="00617A89">
              <w:rPr>
                <w:rFonts w:eastAsia="Calibri" w:cs="Arial"/>
                <w:b/>
                <w:bCs/>
                <w:color w:val="000000" w:themeColor="text1"/>
                <w:sz w:val="18"/>
                <w:szCs w:val="18"/>
              </w:rPr>
              <w:t>passively</w:t>
            </w:r>
            <w:r w:rsidRPr="00617A89">
              <w:rPr>
                <w:rFonts w:eastAsia="Calibri" w:cs="Arial"/>
                <w:color w:val="000000" w:themeColor="text1"/>
                <w:sz w:val="18"/>
                <w:szCs w:val="18"/>
              </w:rPr>
              <w:t xml:space="preserve"> looking for full-time work </w:t>
            </w:r>
          </w:p>
          <w:p w14:paraId="21B961E1" w14:textId="77777777" w:rsidR="006807F6" w:rsidRPr="00617A89" w:rsidRDefault="006807F6" w:rsidP="006807F6">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3. </w:t>
            </w:r>
            <w:r w:rsidRPr="00617A89">
              <w:rPr>
                <w:rFonts w:eastAsia="Calibri" w:cs="Arial"/>
                <w:color w:val="000000" w:themeColor="text1"/>
                <w:sz w:val="18"/>
                <w:szCs w:val="18"/>
              </w:rPr>
              <w:tab/>
              <w:t>No</w:t>
            </w:r>
          </w:p>
          <w:p w14:paraId="3885DE56" w14:textId="5FECC343" w:rsidR="00E03DCF" w:rsidRPr="00617A89" w:rsidRDefault="006807F6" w:rsidP="006807F6">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4.    </w:t>
            </w:r>
            <w:r w:rsidRPr="00617A89">
              <w:rPr>
                <w:rFonts w:eastAsia="Calibri" w:cs="Arial"/>
                <w:color w:val="000000" w:themeColor="text1"/>
                <w:sz w:val="18"/>
                <w:szCs w:val="18"/>
              </w:rPr>
              <w:tab/>
              <w:t>Permanently not intending to work</w:t>
            </w:r>
          </w:p>
        </w:tc>
      </w:tr>
      <w:tr w:rsidR="00C22852" w:rsidRPr="00617A89" w14:paraId="2C7BCAD8" w14:textId="77777777" w:rsidTr="00ED7300">
        <w:trPr>
          <w:trHeight w:val="850"/>
        </w:trPr>
        <w:tc>
          <w:tcPr>
            <w:tcW w:w="1701" w:type="dxa"/>
          </w:tcPr>
          <w:p w14:paraId="1A821072" w14:textId="07313BC9"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 xml:space="preserve">LOOKPTWK </w:t>
            </w:r>
          </w:p>
          <w:p w14:paraId="0ABDA63C" w14:textId="3D0D83A7"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(modified in 2025)</w:t>
            </w:r>
          </w:p>
        </w:tc>
        <w:tc>
          <w:tcPr>
            <w:tcW w:w="3686" w:type="dxa"/>
          </w:tcPr>
          <w:p w14:paraId="701658EE" w14:textId="77777777" w:rsidR="00E03DCF" w:rsidRPr="00617A89" w:rsidRDefault="006807F6" w:rsidP="00ED7300">
            <w:pPr>
              <w:rPr>
                <w:color w:val="000000" w:themeColor="text1"/>
                <w:sz w:val="18"/>
                <w:szCs w:val="18"/>
              </w:rPr>
            </w:pPr>
            <w:r w:rsidRPr="00617A89">
              <w:rPr>
                <w:color w:val="000000" w:themeColor="text1"/>
                <w:sz w:val="18"/>
              </w:rPr>
              <w:t xml:space="preserve">Have you been looking for part-time work at any time during the </w:t>
            </w:r>
            <w:r w:rsidRPr="00617A89">
              <w:rPr>
                <w:b/>
                <w:bCs/>
                <w:color w:val="000000" w:themeColor="text1"/>
                <w:sz w:val="18"/>
              </w:rPr>
              <w:t>last 4 weeks</w:t>
            </w:r>
            <w:r w:rsidRPr="00617A89">
              <w:rPr>
                <w:color w:val="000000" w:themeColor="text1"/>
                <w:sz w:val="18"/>
              </w:rPr>
              <w:t>?</w:t>
            </w:r>
          </w:p>
          <w:p w14:paraId="321FCB0A" w14:textId="77777777" w:rsidR="006807F6" w:rsidRPr="00617A89" w:rsidRDefault="006807F6" w:rsidP="00ED7300">
            <w:pPr>
              <w:rPr>
                <w:color w:val="000000" w:themeColor="text1"/>
                <w:sz w:val="18"/>
                <w:szCs w:val="18"/>
              </w:rPr>
            </w:pPr>
          </w:p>
          <w:p w14:paraId="3B385BE9" w14:textId="77777777" w:rsidR="006807F6" w:rsidRPr="00617A89" w:rsidRDefault="006807F6" w:rsidP="006807F6">
            <w:pPr>
              <w:rPr>
                <w:i/>
                <w:iCs/>
                <w:color w:val="000000" w:themeColor="text1"/>
                <w:sz w:val="18"/>
                <w:szCs w:val="18"/>
              </w:rPr>
            </w:pPr>
            <w:r w:rsidRPr="00617A89">
              <w:rPr>
                <w:i/>
                <w:iCs/>
                <w:color w:val="000000" w:themeColor="text1"/>
                <w:sz w:val="18"/>
              </w:rPr>
              <w:t>Please note:</w:t>
            </w:r>
          </w:p>
          <w:p w14:paraId="7C2AC3BF" w14:textId="70D79435" w:rsidR="006807F6" w:rsidRPr="00617A89" w:rsidRDefault="006807F6" w:rsidP="006807F6">
            <w:pPr>
              <w:rPr>
                <w:i/>
                <w:iCs/>
                <w:color w:val="000000" w:themeColor="text1"/>
                <w:sz w:val="18"/>
                <w:szCs w:val="18"/>
              </w:rPr>
            </w:pPr>
            <w:r w:rsidRPr="00617A89">
              <w:rPr>
                <w:i/>
                <w:iCs/>
                <w:color w:val="000000" w:themeColor="text1"/>
                <w:sz w:val="18"/>
              </w:rPr>
              <w:t>• ‘Actively looked for work' includes written, telephoned or applied to an employer; had an interview with an employer for work; answered an advertisement for a job; checked or registered with an employment agency; taken steps to purchase or start your own business; advertised or tendered for work; and contacted friends or relatives to find work.</w:t>
            </w:r>
          </w:p>
          <w:p w14:paraId="289EF47C" w14:textId="4F276232" w:rsidR="006807F6" w:rsidRPr="00617A89" w:rsidRDefault="006807F6" w:rsidP="006807F6">
            <w:pPr>
              <w:rPr>
                <w:color w:val="000000" w:themeColor="text1"/>
                <w:sz w:val="18"/>
                <w:szCs w:val="18"/>
              </w:rPr>
            </w:pPr>
            <w:r w:rsidRPr="00617A89">
              <w:rPr>
                <w:i/>
                <w:iCs/>
                <w:color w:val="000000" w:themeColor="text1"/>
                <w:sz w:val="18"/>
              </w:rPr>
              <w:t>• ‘Passively looked for work’ includes only looking in newspapers, the internet, or notice boards, and not taking any specific action to obtain work from these sources.</w:t>
            </w:r>
          </w:p>
        </w:tc>
        <w:tc>
          <w:tcPr>
            <w:tcW w:w="4814" w:type="dxa"/>
          </w:tcPr>
          <w:p w14:paraId="67C01681" w14:textId="77777777" w:rsidR="006807F6" w:rsidRPr="00617A89" w:rsidRDefault="006807F6" w:rsidP="006807F6">
            <w:pPr>
              <w:ind w:left="567" w:hanging="567"/>
              <w:rPr>
                <w:rFonts w:eastAsia="Calibri" w:cs="Arial"/>
                <w:color w:val="000000" w:themeColor="text1"/>
                <w:sz w:val="18"/>
                <w:szCs w:val="18"/>
              </w:rPr>
            </w:pPr>
            <w:r w:rsidRPr="00617A89">
              <w:rPr>
                <w:rFonts w:eastAsia="Calibri" w:cs="Arial"/>
                <w:color w:val="000000" w:themeColor="text1"/>
                <w:sz w:val="18"/>
                <w:szCs w:val="18"/>
              </w:rPr>
              <w:t>1.</w:t>
            </w:r>
            <w:r w:rsidRPr="00617A89">
              <w:rPr>
                <w:rFonts w:eastAsia="Calibri" w:cs="Arial"/>
                <w:color w:val="000000" w:themeColor="text1"/>
                <w:sz w:val="18"/>
                <w:szCs w:val="18"/>
              </w:rPr>
              <w:tab/>
              <w:t xml:space="preserve">Yes, I have been </w:t>
            </w:r>
            <w:r w:rsidRPr="00617A89">
              <w:rPr>
                <w:rFonts w:eastAsia="Calibri" w:cs="Arial"/>
                <w:b/>
                <w:bCs/>
                <w:color w:val="000000" w:themeColor="text1"/>
                <w:sz w:val="18"/>
                <w:szCs w:val="18"/>
              </w:rPr>
              <w:t>actively</w:t>
            </w:r>
            <w:r w:rsidRPr="00617A89">
              <w:rPr>
                <w:rFonts w:eastAsia="Calibri" w:cs="Arial"/>
                <w:color w:val="000000" w:themeColor="text1"/>
                <w:sz w:val="18"/>
                <w:szCs w:val="18"/>
              </w:rPr>
              <w:t xml:space="preserve"> looking for part-time work</w:t>
            </w:r>
          </w:p>
          <w:p w14:paraId="4F2C4C3F" w14:textId="77777777" w:rsidR="006807F6" w:rsidRPr="00617A89" w:rsidRDefault="006807F6" w:rsidP="006807F6">
            <w:pPr>
              <w:ind w:left="567" w:hanging="567"/>
              <w:rPr>
                <w:rFonts w:eastAsia="Calibri" w:cs="Arial"/>
                <w:color w:val="000000" w:themeColor="text1"/>
                <w:sz w:val="18"/>
                <w:szCs w:val="18"/>
              </w:rPr>
            </w:pPr>
            <w:r w:rsidRPr="00617A89">
              <w:rPr>
                <w:rFonts w:eastAsia="Calibri" w:cs="Arial"/>
                <w:color w:val="000000" w:themeColor="text1"/>
                <w:sz w:val="18"/>
                <w:szCs w:val="18"/>
              </w:rPr>
              <w:t>2.</w:t>
            </w:r>
            <w:r w:rsidRPr="00617A89">
              <w:rPr>
                <w:rFonts w:eastAsia="Calibri" w:cs="Arial"/>
                <w:color w:val="000000" w:themeColor="text1"/>
                <w:sz w:val="18"/>
                <w:szCs w:val="18"/>
              </w:rPr>
              <w:tab/>
              <w:t xml:space="preserve">Yes, I have been </w:t>
            </w:r>
            <w:r w:rsidRPr="00617A89">
              <w:rPr>
                <w:rFonts w:eastAsia="Calibri" w:cs="Arial"/>
                <w:b/>
                <w:bCs/>
                <w:color w:val="000000" w:themeColor="text1"/>
                <w:sz w:val="18"/>
                <w:szCs w:val="18"/>
              </w:rPr>
              <w:t>passively</w:t>
            </w:r>
            <w:r w:rsidRPr="00617A89">
              <w:rPr>
                <w:rFonts w:eastAsia="Calibri" w:cs="Arial"/>
                <w:color w:val="000000" w:themeColor="text1"/>
                <w:sz w:val="18"/>
                <w:szCs w:val="18"/>
              </w:rPr>
              <w:t xml:space="preserve"> looking for part-time work</w:t>
            </w:r>
          </w:p>
          <w:p w14:paraId="7175F09D" w14:textId="77777777" w:rsidR="006807F6" w:rsidRPr="00617A89" w:rsidRDefault="006807F6" w:rsidP="006807F6">
            <w:pPr>
              <w:ind w:left="567" w:hanging="567"/>
              <w:rPr>
                <w:rFonts w:eastAsia="Calibri" w:cs="Arial"/>
                <w:color w:val="000000" w:themeColor="text1"/>
                <w:sz w:val="18"/>
                <w:szCs w:val="18"/>
              </w:rPr>
            </w:pPr>
            <w:r w:rsidRPr="00617A89">
              <w:rPr>
                <w:rFonts w:eastAsia="Calibri" w:cs="Arial"/>
                <w:color w:val="000000" w:themeColor="text1"/>
                <w:sz w:val="18"/>
                <w:szCs w:val="18"/>
              </w:rPr>
              <w:t>3.</w:t>
            </w:r>
            <w:r w:rsidRPr="00617A89">
              <w:rPr>
                <w:rFonts w:eastAsia="Calibri" w:cs="Arial"/>
                <w:color w:val="000000" w:themeColor="text1"/>
                <w:sz w:val="18"/>
                <w:szCs w:val="18"/>
              </w:rPr>
              <w:tab/>
              <w:t>No</w:t>
            </w:r>
          </w:p>
          <w:p w14:paraId="68C01894" w14:textId="549CAE2C" w:rsidR="00E03DCF" w:rsidRPr="00617A89" w:rsidRDefault="006807F6" w:rsidP="006807F6">
            <w:pPr>
              <w:ind w:left="567" w:hanging="567"/>
              <w:rPr>
                <w:rFonts w:eastAsia="Calibri" w:cs="Arial"/>
                <w:color w:val="000000" w:themeColor="text1"/>
                <w:sz w:val="18"/>
                <w:szCs w:val="18"/>
              </w:rPr>
            </w:pPr>
            <w:r w:rsidRPr="00617A89">
              <w:rPr>
                <w:rFonts w:eastAsia="Calibri" w:cs="Arial"/>
                <w:color w:val="000000" w:themeColor="text1"/>
                <w:sz w:val="18"/>
                <w:szCs w:val="18"/>
              </w:rPr>
              <w:t>4.</w:t>
            </w:r>
            <w:r w:rsidRPr="00617A89">
              <w:rPr>
                <w:rFonts w:eastAsia="Calibri" w:cs="Arial"/>
                <w:color w:val="000000" w:themeColor="text1"/>
                <w:sz w:val="18"/>
                <w:szCs w:val="18"/>
              </w:rPr>
              <w:tab/>
              <w:t>Permanently not intending to work</w:t>
            </w:r>
          </w:p>
        </w:tc>
      </w:tr>
      <w:tr w:rsidR="00C22852" w:rsidRPr="00617A89" w14:paraId="227FE195" w14:textId="77777777" w:rsidTr="00ED7300">
        <w:trPr>
          <w:trHeight w:val="850"/>
        </w:trPr>
        <w:tc>
          <w:tcPr>
            <w:tcW w:w="1701" w:type="dxa"/>
          </w:tcPr>
          <w:p w14:paraId="294BA364" w14:textId="77777777"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WAITWORKFU</w:t>
            </w:r>
          </w:p>
          <w:p w14:paraId="6BE70BC5" w14:textId="4EB4B898"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(new in 2025)</w:t>
            </w:r>
          </w:p>
        </w:tc>
        <w:tc>
          <w:tcPr>
            <w:tcW w:w="3686" w:type="dxa"/>
          </w:tcPr>
          <w:p w14:paraId="4EFBFC5C" w14:textId="77777777" w:rsidR="00E13088" w:rsidRPr="00617A89" w:rsidRDefault="00E13088" w:rsidP="00E13088">
            <w:pPr>
              <w:rPr>
                <w:color w:val="000000" w:themeColor="text1"/>
                <w:sz w:val="18"/>
                <w:szCs w:val="18"/>
              </w:rPr>
            </w:pPr>
            <w:r w:rsidRPr="00617A89">
              <w:rPr>
                <w:color w:val="000000" w:themeColor="text1"/>
                <w:sz w:val="18"/>
              </w:rPr>
              <w:t xml:space="preserve">You mentioned that you didn’t look for work during the </w:t>
            </w:r>
            <w:r w:rsidRPr="00617A89">
              <w:rPr>
                <w:b/>
                <w:bCs/>
                <w:color w:val="000000" w:themeColor="text1"/>
                <w:sz w:val="18"/>
              </w:rPr>
              <w:t>last 4 weeks</w:t>
            </w:r>
            <w:r w:rsidRPr="00617A89">
              <w:rPr>
                <w:color w:val="000000" w:themeColor="text1"/>
                <w:sz w:val="18"/>
              </w:rPr>
              <w:t>. Was that because you were waiting to start work you had already obtained?</w:t>
            </w:r>
          </w:p>
          <w:p w14:paraId="340D4345" w14:textId="77777777" w:rsidR="00E13088" w:rsidRPr="00617A89" w:rsidRDefault="00E13088" w:rsidP="00E13088">
            <w:pPr>
              <w:rPr>
                <w:color w:val="000000" w:themeColor="text1"/>
                <w:sz w:val="18"/>
                <w:szCs w:val="18"/>
              </w:rPr>
            </w:pPr>
          </w:p>
          <w:p w14:paraId="19BB74D0" w14:textId="7BDA6C7A" w:rsidR="002C4421" w:rsidRPr="00617A89" w:rsidRDefault="00E13088" w:rsidP="00E13088">
            <w:pPr>
              <w:rPr>
                <w:i/>
                <w:iCs/>
                <w:color w:val="000000" w:themeColor="text1"/>
                <w:sz w:val="18"/>
                <w:szCs w:val="18"/>
              </w:rPr>
            </w:pPr>
            <w:r w:rsidRPr="00617A89">
              <w:rPr>
                <w:color w:val="000000" w:themeColor="text1"/>
                <w:sz w:val="18"/>
              </w:rPr>
              <w:t>Please note ‘work you had already obtained’ refers to new types of work that you have acquired but not yet commenced. This includes waiting for a graduate role to commence.</w:t>
            </w:r>
          </w:p>
        </w:tc>
        <w:tc>
          <w:tcPr>
            <w:tcW w:w="4814" w:type="dxa"/>
          </w:tcPr>
          <w:p w14:paraId="4BADFCD8" w14:textId="77777777" w:rsidR="002C4421" w:rsidRPr="00617A89" w:rsidRDefault="002C4421" w:rsidP="002C4421">
            <w:pPr>
              <w:ind w:left="567" w:hanging="567"/>
              <w:rPr>
                <w:rFonts w:eastAsia="Calibri" w:cs="Arial"/>
                <w:color w:val="000000" w:themeColor="text1"/>
                <w:sz w:val="18"/>
                <w:szCs w:val="18"/>
              </w:rPr>
            </w:pPr>
            <w:r w:rsidRPr="00617A89">
              <w:rPr>
                <w:rFonts w:eastAsia="Calibri" w:cs="Arial"/>
                <w:color w:val="000000" w:themeColor="text1"/>
                <w:sz w:val="18"/>
                <w:szCs w:val="18"/>
              </w:rPr>
              <w:t>1.</w:t>
            </w:r>
            <w:r w:rsidRPr="00617A89">
              <w:rPr>
                <w:rFonts w:eastAsia="Calibri" w:cs="Arial"/>
                <w:color w:val="000000" w:themeColor="text1"/>
                <w:sz w:val="18"/>
                <w:szCs w:val="18"/>
              </w:rPr>
              <w:tab/>
              <w:t>Yes</w:t>
            </w:r>
          </w:p>
          <w:p w14:paraId="477D06EF" w14:textId="6CC9B7B8" w:rsidR="00E03DCF" w:rsidRPr="00617A89" w:rsidRDefault="002C4421" w:rsidP="002C4421">
            <w:pPr>
              <w:ind w:left="567" w:hanging="567"/>
              <w:rPr>
                <w:rFonts w:eastAsia="Calibri" w:cs="Arial"/>
                <w:color w:val="000000" w:themeColor="text1"/>
                <w:sz w:val="18"/>
                <w:szCs w:val="18"/>
              </w:rPr>
            </w:pPr>
            <w:r w:rsidRPr="00617A89">
              <w:rPr>
                <w:rFonts w:eastAsia="Calibri" w:cs="Arial"/>
                <w:color w:val="000000" w:themeColor="text1"/>
                <w:sz w:val="18"/>
                <w:szCs w:val="18"/>
              </w:rPr>
              <w:t>2.</w:t>
            </w:r>
            <w:r w:rsidRPr="00617A89">
              <w:rPr>
                <w:rFonts w:eastAsia="Calibri" w:cs="Arial"/>
                <w:color w:val="000000" w:themeColor="text1"/>
                <w:sz w:val="18"/>
                <w:szCs w:val="18"/>
              </w:rPr>
              <w:tab/>
              <w:t>No</w:t>
            </w:r>
          </w:p>
        </w:tc>
      </w:tr>
      <w:tr w:rsidR="00C22852" w:rsidRPr="00617A89" w14:paraId="15E83D34" w14:textId="77777777" w:rsidTr="00ED7300">
        <w:trPr>
          <w:trHeight w:val="850"/>
        </w:trPr>
        <w:tc>
          <w:tcPr>
            <w:tcW w:w="1701" w:type="dxa"/>
          </w:tcPr>
          <w:p w14:paraId="1CC57854" w14:textId="77777777" w:rsidR="0077448E" w:rsidRPr="00617A89" w:rsidRDefault="0077448E" w:rsidP="0077448E">
            <w:pPr>
              <w:pStyle w:val="Default"/>
              <w:spacing w:before="40" w:after="40"/>
              <w:rPr>
                <w:color w:val="000000" w:themeColor="text1"/>
                <w:sz w:val="18"/>
                <w:szCs w:val="18"/>
              </w:rPr>
            </w:pPr>
            <w:r w:rsidRPr="00617A89">
              <w:rPr>
                <w:color w:val="000000" w:themeColor="text1"/>
                <w:sz w:val="18"/>
                <w:szCs w:val="18"/>
              </w:rPr>
              <w:t xml:space="preserve">WANTJOB </w:t>
            </w:r>
          </w:p>
          <w:p w14:paraId="67971682" w14:textId="5EA60056" w:rsidR="0077448E" w:rsidRPr="00617A89" w:rsidRDefault="0077448E" w:rsidP="0077448E">
            <w:pPr>
              <w:pStyle w:val="Default"/>
              <w:spacing w:before="40" w:after="40"/>
              <w:rPr>
                <w:color w:val="000000" w:themeColor="text1"/>
                <w:sz w:val="18"/>
                <w:szCs w:val="18"/>
              </w:rPr>
            </w:pPr>
            <w:r w:rsidRPr="00617A89">
              <w:rPr>
                <w:color w:val="000000" w:themeColor="text1"/>
                <w:sz w:val="18"/>
                <w:szCs w:val="18"/>
              </w:rPr>
              <w:t>(new in 2025)</w:t>
            </w:r>
          </w:p>
        </w:tc>
        <w:tc>
          <w:tcPr>
            <w:tcW w:w="3686" w:type="dxa"/>
          </w:tcPr>
          <w:p w14:paraId="2A4769B2" w14:textId="2167CA92" w:rsidR="0077448E" w:rsidRPr="00617A89" w:rsidRDefault="0077448E" w:rsidP="0077448E">
            <w:pPr>
              <w:rPr>
                <w:color w:val="000000" w:themeColor="text1"/>
                <w:sz w:val="18"/>
                <w:szCs w:val="18"/>
              </w:rPr>
            </w:pPr>
            <w:r w:rsidRPr="00617A89">
              <w:rPr>
                <w:color w:val="000000" w:themeColor="text1"/>
                <w:sz w:val="18"/>
              </w:rPr>
              <w:t>Even though you are not currently working, would you like a paid job of any kind at the moment?</w:t>
            </w:r>
          </w:p>
        </w:tc>
        <w:tc>
          <w:tcPr>
            <w:tcW w:w="4814" w:type="dxa"/>
          </w:tcPr>
          <w:p w14:paraId="25D30906" w14:textId="77777777" w:rsidR="0077448E" w:rsidRPr="00617A89" w:rsidRDefault="0077448E" w:rsidP="0077448E">
            <w:pPr>
              <w:pStyle w:val="1ResponseFrame"/>
              <w:ind w:left="567"/>
              <w:rPr>
                <w:color w:val="000000" w:themeColor="text1"/>
                <w:sz w:val="18"/>
                <w:szCs w:val="18"/>
              </w:rPr>
            </w:pPr>
            <w:r w:rsidRPr="00617A89">
              <w:rPr>
                <w:color w:val="000000" w:themeColor="text1"/>
                <w:sz w:val="18"/>
                <w:szCs w:val="18"/>
              </w:rPr>
              <w:t xml:space="preserve">1.  Yes, I </w:t>
            </w:r>
            <w:r w:rsidRPr="00617A89">
              <w:rPr>
                <w:b/>
                <w:bCs/>
                <w:color w:val="000000" w:themeColor="text1"/>
                <w:sz w:val="18"/>
                <w:szCs w:val="18"/>
              </w:rPr>
              <w:t>could</w:t>
            </w:r>
            <w:r w:rsidRPr="00617A89">
              <w:rPr>
                <w:color w:val="000000" w:themeColor="text1"/>
                <w:sz w:val="18"/>
                <w:szCs w:val="18"/>
              </w:rPr>
              <w:t xml:space="preserve"> start within 4 weeks if work was available </w:t>
            </w:r>
          </w:p>
          <w:p w14:paraId="2C0DF7AF" w14:textId="77777777" w:rsidR="0077448E" w:rsidRPr="00617A89" w:rsidRDefault="0077448E" w:rsidP="0077448E">
            <w:pPr>
              <w:pStyle w:val="1ResponseFrame"/>
              <w:ind w:left="567"/>
              <w:rPr>
                <w:color w:val="000000" w:themeColor="text1"/>
                <w:sz w:val="18"/>
                <w:szCs w:val="18"/>
              </w:rPr>
            </w:pPr>
            <w:r w:rsidRPr="00617A89">
              <w:rPr>
                <w:color w:val="000000" w:themeColor="text1"/>
                <w:sz w:val="18"/>
                <w:szCs w:val="18"/>
              </w:rPr>
              <w:t xml:space="preserve">2.  Yes, but I </w:t>
            </w:r>
            <w:r w:rsidRPr="00617A89">
              <w:rPr>
                <w:b/>
                <w:bCs/>
                <w:color w:val="000000" w:themeColor="text1"/>
                <w:sz w:val="18"/>
                <w:szCs w:val="18"/>
              </w:rPr>
              <w:t>could not</w:t>
            </w:r>
            <w:r w:rsidRPr="00617A89">
              <w:rPr>
                <w:color w:val="000000" w:themeColor="text1"/>
                <w:sz w:val="18"/>
                <w:szCs w:val="18"/>
              </w:rPr>
              <w:t xml:space="preserve"> start within 4 weeks if work was available </w:t>
            </w:r>
          </w:p>
          <w:p w14:paraId="10AE9DCB" w14:textId="2EE3B982" w:rsidR="0077448E" w:rsidRPr="00617A89" w:rsidRDefault="0077448E" w:rsidP="0077448E">
            <w:pPr>
              <w:ind w:left="567" w:hanging="567"/>
              <w:rPr>
                <w:rFonts w:eastAsia="Calibri" w:cs="Arial"/>
                <w:color w:val="000000" w:themeColor="text1"/>
                <w:sz w:val="18"/>
                <w:szCs w:val="18"/>
              </w:rPr>
            </w:pPr>
            <w:r w:rsidRPr="00617A89">
              <w:rPr>
                <w:color w:val="000000" w:themeColor="text1"/>
                <w:sz w:val="18"/>
              </w:rPr>
              <w:t>3.  No</w:t>
            </w:r>
          </w:p>
        </w:tc>
      </w:tr>
      <w:tr w:rsidR="00C22852" w:rsidRPr="00617A89" w14:paraId="01ED69CE" w14:textId="77777777" w:rsidTr="00ED7300">
        <w:trPr>
          <w:trHeight w:val="850"/>
        </w:trPr>
        <w:tc>
          <w:tcPr>
            <w:tcW w:w="1701" w:type="dxa"/>
          </w:tcPr>
          <w:p w14:paraId="72C53EEE" w14:textId="77777777"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STARTWKOB</w:t>
            </w:r>
          </w:p>
          <w:p w14:paraId="2EE57840" w14:textId="38920122"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(new in 2025)</w:t>
            </w:r>
          </w:p>
        </w:tc>
        <w:tc>
          <w:tcPr>
            <w:tcW w:w="3686" w:type="dxa"/>
          </w:tcPr>
          <w:p w14:paraId="3442FEE6" w14:textId="174196CB" w:rsidR="00E03DCF" w:rsidRPr="00617A89" w:rsidRDefault="002C4421" w:rsidP="00ED7300">
            <w:pPr>
              <w:rPr>
                <w:color w:val="000000" w:themeColor="text1"/>
                <w:sz w:val="18"/>
                <w:szCs w:val="18"/>
              </w:rPr>
            </w:pPr>
            <w:r w:rsidRPr="00617A89">
              <w:rPr>
                <w:color w:val="000000" w:themeColor="text1"/>
                <w:sz w:val="18"/>
              </w:rPr>
              <w:t xml:space="preserve">Will you be starting that work in the </w:t>
            </w:r>
            <w:r w:rsidRPr="00617A89">
              <w:rPr>
                <w:b/>
                <w:bCs/>
                <w:color w:val="000000" w:themeColor="text1"/>
                <w:sz w:val="18"/>
              </w:rPr>
              <w:t>next 4 weeks</w:t>
            </w:r>
            <w:r w:rsidRPr="00617A89">
              <w:rPr>
                <w:color w:val="000000" w:themeColor="text1"/>
                <w:sz w:val="18"/>
              </w:rPr>
              <w:t>?</w:t>
            </w:r>
          </w:p>
        </w:tc>
        <w:tc>
          <w:tcPr>
            <w:tcW w:w="4814" w:type="dxa"/>
          </w:tcPr>
          <w:p w14:paraId="3D55B78C" w14:textId="77777777" w:rsidR="002C4421" w:rsidRPr="00617A89" w:rsidRDefault="002C4421" w:rsidP="002C4421">
            <w:pPr>
              <w:ind w:left="567" w:hanging="567"/>
              <w:rPr>
                <w:rFonts w:eastAsia="Calibri" w:cs="Arial"/>
                <w:color w:val="000000" w:themeColor="text1"/>
                <w:sz w:val="18"/>
                <w:szCs w:val="18"/>
              </w:rPr>
            </w:pPr>
            <w:r w:rsidRPr="00617A89">
              <w:rPr>
                <w:rFonts w:eastAsia="Calibri" w:cs="Arial"/>
                <w:color w:val="000000" w:themeColor="text1"/>
                <w:sz w:val="18"/>
                <w:szCs w:val="18"/>
              </w:rPr>
              <w:t>1.</w:t>
            </w:r>
            <w:r w:rsidRPr="00617A89">
              <w:rPr>
                <w:rFonts w:eastAsia="Calibri" w:cs="Arial"/>
                <w:color w:val="000000" w:themeColor="text1"/>
                <w:sz w:val="18"/>
                <w:szCs w:val="18"/>
              </w:rPr>
              <w:tab/>
              <w:t>Yes</w:t>
            </w:r>
          </w:p>
          <w:p w14:paraId="09399A9F" w14:textId="1C6F5851" w:rsidR="00E03DCF" w:rsidRPr="00617A89" w:rsidRDefault="002C4421" w:rsidP="002C4421">
            <w:pPr>
              <w:ind w:left="567" w:hanging="567"/>
              <w:rPr>
                <w:rFonts w:eastAsia="Calibri" w:cs="Arial"/>
                <w:color w:val="000000" w:themeColor="text1"/>
                <w:sz w:val="18"/>
                <w:szCs w:val="18"/>
              </w:rPr>
            </w:pPr>
            <w:r w:rsidRPr="00617A89">
              <w:rPr>
                <w:rFonts w:eastAsia="Calibri" w:cs="Arial"/>
                <w:color w:val="000000" w:themeColor="text1"/>
                <w:sz w:val="18"/>
                <w:szCs w:val="18"/>
              </w:rPr>
              <w:t>2.</w:t>
            </w:r>
            <w:r w:rsidRPr="00617A89">
              <w:rPr>
                <w:rFonts w:eastAsia="Calibri" w:cs="Arial"/>
                <w:color w:val="000000" w:themeColor="text1"/>
                <w:sz w:val="18"/>
                <w:szCs w:val="18"/>
              </w:rPr>
              <w:tab/>
              <w:t>No</w:t>
            </w:r>
          </w:p>
        </w:tc>
      </w:tr>
      <w:tr w:rsidR="00C22852" w:rsidRPr="00617A89" w14:paraId="3A98B4CF" w14:textId="77777777" w:rsidTr="00ED7300">
        <w:trPr>
          <w:trHeight w:val="850"/>
        </w:trPr>
        <w:tc>
          <w:tcPr>
            <w:tcW w:w="1701" w:type="dxa"/>
          </w:tcPr>
          <w:p w14:paraId="250D0BB1" w14:textId="793F408D" w:rsidR="00E03DCF" w:rsidRPr="00617A89" w:rsidRDefault="00E03DCF" w:rsidP="00E03DCF">
            <w:pPr>
              <w:pStyle w:val="Default"/>
              <w:spacing w:before="40" w:after="40"/>
              <w:rPr>
                <w:color w:val="000000" w:themeColor="text1"/>
                <w:sz w:val="18"/>
                <w:szCs w:val="18"/>
              </w:rPr>
            </w:pPr>
            <w:r w:rsidRPr="00617A89">
              <w:rPr>
                <w:color w:val="000000" w:themeColor="text1"/>
                <w:sz w:val="18"/>
                <w:szCs w:val="18"/>
              </w:rPr>
              <w:t>STARTNOWK</w:t>
            </w:r>
          </w:p>
          <w:p w14:paraId="47E1904F" w14:textId="00865A59" w:rsidR="00E03DCF" w:rsidRPr="00617A89" w:rsidRDefault="00E03DCF" w:rsidP="00E03DCF">
            <w:pPr>
              <w:pStyle w:val="Default"/>
              <w:spacing w:before="40" w:after="40"/>
              <w:rPr>
                <w:color w:val="000000" w:themeColor="text1"/>
                <w:sz w:val="18"/>
                <w:szCs w:val="18"/>
              </w:rPr>
            </w:pPr>
            <w:r w:rsidRPr="00617A89">
              <w:rPr>
                <w:color w:val="000000" w:themeColor="text1"/>
                <w:sz w:val="18"/>
                <w:szCs w:val="18"/>
              </w:rPr>
              <w:t>(new in 2025)</w:t>
            </w:r>
          </w:p>
        </w:tc>
        <w:tc>
          <w:tcPr>
            <w:tcW w:w="3686" w:type="dxa"/>
          </w:tcPr>
          <w:p w14:paraId="336A064F" w14:textId="690DF0F3" w:rsidR="00E03DCF" w:rsidRPr="00617A89" w:rsidRDefault="002C4421" w:rsidP="00ED7300">
            <w:pPr>
              <w:rPr>
                <w:color w:val="000000" w:themeColor="text1"/>
                <w:sz w:val="18"/>
                <w:szCs w:val="18"/>
              </w:rPr>
            </w:pPr>
            <w:r w:rsidRPr="00617A89">
              <w:rPr>
                <w:color w:val="000000" w:themeColor="text1"/>
                <w:sz w:val="18"/>
              </w:rPr>
              <w:t>Could you have started last week if that work had been available?</w:t>
            </w:r>
          </w:p>
        </w:tc>
        <w:tc>
          <w:tcPr>
            <w:tcW w:w="4814" w:type="dxa"/>
          </w:tcPr>
          <w:p w14:paraId="7B85B14A" w14:textId="77777777" w:rsidR="002C4421" w:rsidRPr="00617A89" w:rsidRDefault="002C4421" w:rsidP="002C4421">
            <w:pPr>
              <w:ind w:left="567" w:hanging="567"/>
              <w:rPr>
                <w:rFonts w:eastAsia="Calibri" w:cs="Arial"/>
                <w:color w:val="000000" w:themeColor="text1"/>
                <w:sz w:val="18"/>
                <w:szCs w:val="18"/>
              </w:rPr>
            </w:pPr>
            <w:r w:rsidRPr="00617A89">
              <w:rPr>
                <w:rFonts w:eastAsia="Calibri" w:cs="Arial"/>
                <w:color w:val="000000" w:themeColor="text1"/>
                <w:sz w:val="18"/>
                <w:szCs w:val="18"/>
              </w:rPr>
              <w:t>1.</w:t>
            </w:r>
            <w:r w:rsidRPr="00617A89">
              <w:rPr>
                <w:rFonts w:eastAsia="Calibri" w:cs="Arial"/>
                <w:color w:val="000000" w:themeColor="text1"/>
                <w:sz w:val="18"/>
                <w:szCs w:val="18"/>
              </w:rPr>
              <w:tab/>
              <w:t>Yes</w:t>
            </w:r>
          </w:p>
          <w:p w14:paraId="0580D5DA" w14:textId="52EF5F4A" w:rsidR="00E03DCF" w:rsidRPr="00617A89" w:rsidRDefault="002C4421" w:rsidP="002C4421">
            <w:pPr>
              <w:ind w:left="567" w:hanging="567"/>
              <w:rPr>
                <w:rFonts w:eastAsia="Calibri" w:cs="Arial"/>
                <w:color w:val="000000" w:themeColor="text1"/>
                <w:sz w:val="18"/>
                <w:szCs w:val="18"/>
              </w:rPr>
            </w:pPr>
            <w:r w:rsidRPr="00617A89">
              <w:rPr>
                <w:rFonts w:eastAsia="Calibri" w:cs="Arial"/>
                <w:color w:val="000000" w:themeColor="text1"/>
                <w:sz w:val="18"/>
                <w:szCs w:val="18"/>
              </w:rPr>
              <w:t>2.</w:t>
            </w:r>
            <w:r w:rsidRPr="00617A89">
              <w:rPr>
                <w:rFonts w:eastAsia="Calibri" w:cs="Arial"/>
                <w:color w:val="000000" w:themeColor="text1"/>
                <w:sz w:val="18"/>
                <w:szCs w:val="18"/>
              </w:rPr>
              <w:tab/>
              <w:t>No</w:t>
            </w:r>
          </w:p>
        </w:tc>
      </w:tr>
    </w:tbl>
    <w:p w14:paraId="05419D13" w14:textId="7F019A57" w:rsidR="009021C8" w:rsidRPr="00617A89" w:rsidRDefault="009021C8" w:rsidP="00BC457C">
      <w:pPr>
        <w:pStyle w:val="Heading4"/>
      </w:pPr>
      <w:r w:rsidRPr="00617A89">
        <w:t>Reasons for working less than usual hours and future availa</w:t>
      </w:r>
      <w:r w:rsidR="006807F6" w:rsidRPr="00617A89">
        <w:t>bil</w:t>
      </w:r>
      <w:r w:rsidRPr="00617A89">
        <w:t>ity</w:t>
      </w:r>
    </w:p>
    <w:p w14:paraId="14FF5265" w14:textId="37D71E27" w:rsidR="0077448E" w:rsidRPr="00617A89" w:rsidRDefault="0077448E" w:rsidP="00D74D0C">
      <w:pPr>
        <w:pStyle w:val="Body"/>
        <w:rPr>
          <w:color w:val="000000" w:themeColor="text1"/>
        </w:rPr>
      </w:pPr>
      <w:r w:rsidRPr="00617A89">
        <w:rPr>
          <w:color w:val="000000" w:themeColor="text1"/>
        </w:rPr>
        <w:t>New questions to understand the reasons graduates worked less than their usual hours in the reference week, and to understand whether those who would prefer to work more hours would be available in the next 4 weeks.</w:t>
      </w:r>
    </w:p>
    <w:p w14:paraId="7FEF5D13" w14:textId="2C6AEE16" w:rsidR="00E03DCF" w:rsidRPr="00617A89" w:rsidRDefault="00E03DCF" w:rsidP="00E03DCF">
      <w:pPr>
        <w:pStyle w:val="Caption"/>
        <w:keepNext/>
        <w:rPr>
          <w:color w:val="000000" w:themeColor="text1"/>
        </w:rPr>
      </w:pPr>
      <w:bookmarkStart w:id="199" w:name="_Toc222868485"/>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15</w:t>
      </w:r>
      <w:r w:rsidR="00DB7C31" w:rsidRPr="00617A89">
        <w:rPr>
          <w:noProof/>
          <w:color w:val="000000" w:themeColor="text1"/>
        </w:rPr>
        <w:fldChar w:fldCharType="end"/>
      </w:r>
      <w:r w:rsidR="0062339E" w:rsidRPr="00617A89">
        <w:rPr>
          <w:color w:val="000000" w:themeColor="text1"/>
        </w:rPr>
        <w:tab/>
      </w:r>
      <w:r w:rsidRPr="00617A89">
        <w:rPr>
          <w:color w:val="000000" w:themeColor="text1"/>
        </w:rPr>
        <w:t>Reasons for working less than usual hours and future availability questions</w:t>
      </w:r>
      <w:bookmarkEnd w:id="199"/>
    </w:p>
    <w:tbl>
      <w:tblPr>
        <w:tblStyle w:val="TableGrid"/>
        <w:tblW w:w="10201" w:type="dxa"/>
        <w:tblLayout w:type="fixed"/>
        <w:tblLook w:val="0020" w:firstRow="1" w:lastRow="0" w:firstColumn="0" w:lastColumn="0" w:noHBand="0" w:noVBand="0"/>
      </w:tblPr>
      <w:tblGrid>
        <w:gridCol w:w="1701"/>
        <w:gridCol w:w="3686"/>
        <w:gridCol w:w="4814"/>
      </w:tblGrid>
      <w:tr w:rsidR="00C22852" w:rsidRPr="00617A89" w14:paraId="314852AA" w14:textId="77777777" w:rsidTr="00ED7300">
        <w:trPr>
          <w:cnfStyle w:val="100000000000" w:firstRow="1" w:lastRow="0" w:firstColumn="0" w:lastColumn="0" w:oddVBand="0" w:evenVBand="0" w:oddHBand="0" w:evenHBand="0" w:firstRowFirstColumn="0" w:firstRowLastColumn="0" w:lastRowFirstColumn="0" w:lastRowLastColumn="0"/>
          <w:trHeight w:val="284"/>
          <w:tblHeader/>
        </w:trPr>
        <w:tc>
          <w:tcPr>
            <w:tcW w:w="1701" w:type="dxa"/>
          </w:tcPr>
          <w:p w14:paraId="1CD290A6" w14:textId="77777777" w:rsidR="00E03DCF" w:rsidRPr="00617A89" w:rsidRDefault="00E03DCF" w:rsidP="00ED7300">
            <w:pPr>
              <w:pStyle w:val="Default"/>
              <w:spacing w:before="40" w:after="40"/>
              <w:rPr>
                <w:b w:val="0"/>
                <w:bCs/>
                <w:color w:val="000000" w:themeColor="text1"/>
                <w:sz w:val="18"/>
                <w:szCs w:val="18"/>
              </w:rPr>
            </w:pPr>
            <w:r w:rsidRPr="00617A89">
              <w:rPr>
                <w:bCs/>
                <w:color w:val="000000" w:themeColor="text1"/>
                <w:sz w:val="18"/>
                <w:szCs w:val="18"/>
              </w:rPr>
              <w:t>Item</w:t>
            </w:r>
          </w:p>
        </w:tc>
        <w:tc>
          <w:tcPr>
            <w:tcW w:w="3686" w:type="dxa"/>
          </w:tcPr>
          <w:p w14:paraId="5503F5C3" w14:textId="77777777" w:rsidR="00E03DCF" w:rsidRPr="00617A89" w:rsidRDefault="00E03DCF" w:rsidP="00ED7300">
            <w:pPr>
              <w:pStyle w:val="Default"/>
              <w:spacing w:before="40" w:after="40"/>
              <w:rPr>
                <w:b w:val="0"/>
                <w:bCs/>
                <w:color w:val="000000" w:themeColor="text1"/>
                <w:sz w:val="18"/>
                <w:szCs w:val="18"/>
              </w:rPr>
            </w:pPr>
            <w:r w:rsidRPr="00617A89">
              <w:rPr>
                <w:bCs/>
                <w:color w:val="000000" w:themeColor="text1"/>
                <w:sz w:val="18"/>
                <w:szCs w:val="18"/>
              </w:rPr>
              <w:t>Question stem</w:t>
            </w:r>
          </w:p>
        </w:tc>
        <w:tc>
          <w:tcPr>
            <w:tcW w:w="4814" w:type="dxa"/>
          </w:tcPr>
          <w:p w14:paraId="13F8224B" w14:textId="77777777" w:rsidR="00E03DCF" w:rsidRPr="00617A89" w:rsidRDefault="00E03DCF" w:rsidP="00ED7300">
            <w:pPr>
              <w:pStyle w:val="Default"/>
              <w:spacing w:before="40" w:after="40"/>
              <w:rPr>
                <w:b w:val="0"/>
                <w:bCs/>
                <w:color w:val="000000" w:themeColor="text1"/>
                <w:sz w:val="18"/>
                <w:szCs w:val="18"/>
              </w:rPr>
            </w:pPr>
            <w:r w:rsidRPr="00617A89">
              <w:rPr>
                <w:bCs/>
                <w:color w:val="000000" w:themeColor="text1"/>
                <w:sz w:val="18"/>
                <w:szCs w:val="18"/>
              </w:rPr>
              <w:t xml:space="preserve">Response options </w:t>
            </w:r>
          </w:p>
        </w:tc>
      </w:tr>
      <w:tr w:rsidR="00C22852" w:rsidRPr="00617A89" w14:paraId="60686513" w14:textId="77777777" w:rsidTr="00ED7300">
        <w:trPr>
          <w:trHeight w:val="2039"/>
        </w:trPr>
        <w:tc>
          <w:tcPr>
            <w:tcW w:w="1701" w:type="dxa"/>
          </w:tcPr>
          <w:p w14:paraId="3E981F2C" w14:textId="15ADF8E7"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RSACTLHRS</w:t>
            </w:r>
          </w:p>
          <w:p w14:paraId="6CF0A589" w14:textId="77777777"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(modified in 2025)</w:t>
            </w:r>
          </w:p>
        </w:tc>
        <w:tc>
          <w:tcPr>
            <w:tcW w:w="3686" w:type="dxa"/>
          </w:tcPr>
          <w:p w14:paraId="607C821B" w14:textId="77777777" w:rsidR="00E03DCF" w:rsidRPr="00617A89" w:rsidRDefault="00E03DCF" w:rsidP="00ED7300">
            <w:pPr>
              <w:pStyle w:val="QNameText"/>
              <w:spacing w:before="40" w:after="40"/>
              <w:ind w:left="0" w:firstLine="0"/>
              <w:rPr>
                <w:color w:val="000000" w:themeColor="text1"/>
                <w:sz w:val="18"/>
                <w:szCs w:val="18"/>
              </w:rPr>
            </w:pPr>
            <w:r w:rsidRPr="00617A89">
              <w:rPr>
                <w:color w:val="000000" w:themeColor="text1"/>
                <w:sz w:val="18"/>
                <w:szCs w:val="18"/>
              </w:rPr>
              <w:t xml:space="preserve">What was the </w:t>
            </w:r>
            <w:r w:rsidRPr="00617A89">
              <w:rPr>
                <w:b/>
                <w:bCs/>
                <w:color w:val="000000" w:themeColor="text1"/>
                <w:sz w:val="18"/>
                <w:szCs w:val="18"/>
              </w:rPr>
              <w:t>main reason</w:t>
            </w:r>
            <w:r w:rsidRPr="00617A89">
              <w:rPr>
                <w:color w:val="000000" w:themeColor="text1"/>
                <w:sz w:val="18"/>
                <w:szCs w:val="18"/>
              </w:rPr>
              <w:t xml:space="preserve"> you worked less than your usual hours last week?</w:t>
            </w:r>
          </w:p>
          <w:p w14:paraId="0F5214A6" w14:textId="77777777" w:rsidR="00E03DCF" w:rsidRPr="00617A89" w:rsidRDefault="00E03DCF" w:rsidP="00E03DCF">
            <w:pPr>
              <w:pStyle w:val="InterviewerNote"/>
              <w:ind w:left="0"/>
              <w:rPr>
                <w:rFonts w:cs="Arial"/>
                <w:i/>
                <w:iCs/>
                <w:color w:val="000000" w:themeColor="text1"/>
                <w:sz w:val="18"/>
                <w:szCs w:val="18"/>
              </w:rPr>
            </w:pPr>
          </w:p>
          <w:p w14:paraId="3A654417" w14:textId="5016A202" w:rsidR="00E03DCF" w:rsidRPr="00617A89" w:rsidRDefault="00E03DCF" w:rsidP="00D74D0C">
            <w:pPr>
              <w:pStyle w:val="InterviewerNote"/>
              <w:ind w:left="0"/>
              <w:rPr>
                <w:rFonts w:cs="Arial"/>
                <w:i/>
                <w:iCs/>
                <w:color w:val="000000" w:themeColor="text1"/>
                <w:sz w:val="18"/>
                <w:szCs w:val="18"/>
              </w:rPr>
            </w:pPr>
            <w:r w:rsidRPr="00617A89">
              <w:rPr>
                <w:rFonts w:cs="Arial"/>
                <w:i/>
                <w:iCs/>
                <w:color w:val="000000" w:themeColor="text1"/>
                <w:sz w:val="18"/>
                <w:szCs w:val="18"/>
              </w:rPr>
              <w:t>Please select only one answer.</w:t>
            </w:r>
          </w:p>
          <w:p w14:paraId="670B6EB4" w14:textId="20EC24CC" w:rsidR="00E03DCF" w:rsidRPr="00617A89" w:rsidRDefault="00E03DCF" w:rsidP="00D74D0C">
            <w:pPr>
              <w:rPr>
                <w:color w:val="000000" w:themeColor="text1"/>
                <w:sz w:val="18"/>
                <w:szCs w:val="18"/>
              </w:rPr>
            </w:pPr>
          </w:p>
        </w:tc>
        <w:tc>
          <w:tcPr>
            <w:tcW w:w="4814" w:type="dxa"/>
          </w:tcPr>
          <w:p w14:paraId="0B1CC3AF" w14:textId="1490A799"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1.</w:t>
            </w:r>
            <w:r w:rsidRPr="00617A89">
              <w:rPr>
                <w:rFonts w:eastAsia="Calibri" w:cs="Arial"/>
                <w:color w:val="000000" w:themeColor="text1"/>
                <w:sz w:val="18"/>
                <w:szCs w:val="18"/>
              </w:rPr>
              <w:tab/>
              <w:t>Annual leave/holidays/flextime/long service leave</w:t>
            </w:r>
          </w:p>
          <w:p w14:paraId="698BC792"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2.</w:t>
            </w:r>
            <w:r w:rsidRPr="00617A89">
              <w:rPr>
                <w:rFonts w:eastAsia="Calibri" w:cs="Arial"/>
                <w:color w:val="000000" w:themeColor="text1"/>
                <w:sz w:val="18"/>
                <w:szCs w:val="18"/>
              </w:rPr>
              <w:tab/>
              <w:t>Own illness or injury/sick leave</w:t>
            </w:r>
          </w:p>
          <w:p w14:paraId="32741251"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3.</w:t>
            </w:r>
            <w:r w:rsidRPr="00617A89">
              <w:rPr>
                <w:rFonts w:eastAsia="Calibri" w:cs="Arial"/>
                <w:color w:val="000000" w:themeColor="text1"/>
                <w:sz w:val="18"/>
                <w:szCs w:val="18"/>
              </w:rPr>
              <w:tab/>
              <w:t>Standard work arrangements/shift work</w:t>
            </w:r>
          </w:p>
          <w:p w14:paraId="29EF84F2"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4.</w:t>
            </w:r>
            <w:r w:rsidRPr="00617A89">
              <w:rPr>
                <w:rFonts w:eastAsia="Calibri" w:cs="Arial"/>
                <w:color w:val="000000" w:themeColor="text1"/>
                <w:sz w:val="18"/>
                <w:szCs w:val="18"/>
              </w:rPr>
              <w:tab/>
              <w:t>Personal reasons/study/caring for sick/injured family</w:t>
            </w:r>
          </w:p>
          <w:p w14:paraId="64CBF162"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5.</w:t>
            </w:r>
            <w:r w:rsidRPr="00617A89">
              <w:rPr>
                <w:rFonts w:eastAsia="Calibri" w:cs="Arial"/>
                <w:color w:val="000000" w:themeColor="text1"/>
                <w:sz w:val="18"/>
                <w:szCs w:val="18"/>
              </w:rPr>
              <w:tab/>
              <w:t xml:space="preserve">Maternity leave or paternity leave </w:t>
            </w:r>
          </w:p>
          <w:p w14:paraId="7EF822A6"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6.</w:t>
            </w:r>
            <w:r w:rsidRPr="00617A89">
              <w:rPr>
                <w:rFonts w:eastAsia="Calibri" w:cs="Arial"/>
                <w:color w:val="000000" w:themeColor="text1"/>
                <w:sz w:val="18"/>
                <w:szCs w:val="18"/>
              </w:rPr>
              <w:tab/>
              <w:t>Parental leave</w:t>
            </w:r>
          </w:p>
          <w:p w14:paraId="105649A5"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7.</w:t>
            </w:r>
            <w:r w:rsidRPr="00617A89">
              <w:rPr>
                <w:rFonts w:eastAsia="Calibri" w:cs="Arial"/>
                <w:color w:val="000000" w:themeColor="text1"/>
                <w:sz w:val="18"/>
                <w:szCs w:val="18"/>
              </w:rPr>
              <w:tab/>
              <w:t>No work/not enough work available</w:t>
            </w:r>
          </w:p>
          <w:p w14:paraId="595404D9"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8.</w:t>
            </w:r>
            <w:r w:rsidRPr="00617A89">
              <w:rPr>
                <w:rFonts w:eastAsia="Calibri" w:cs="Arial"/>
                <w:color w:val="000000" w:themeColor="text1"/>
                <w:sz w:val="18"/>
                <w:szCs w:val="18"/>
              </w:rPr>
              <w:tab/>
              <w:t>Stood down</w:t>
            </w:r>
          </w:p>
          <w:p w14:paraId="074AE4BC"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9.</w:t>
            </w:r>
            <w:r w:rsidRPr="00617A89">
              <w:rPr>
                <w:rFonts w:eastAsia="Calibri" w:cs="Arial"/>
                <w:color w:val="000000" w:themeColor="text1"/>
                <w:sz w:val="18"/>
                <w:szCs w:val="18"/>
              </w:rPr>
              <w:tab/>
              <w:t>Bad weather/plant breakdown</w:t>
            </w:r>
          </w:p>
          <w:p w14:paraId="5F35A2FD"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10.  </w:t>
            </w:r>
            <w:r w:rsidRPr="00617A89">
              <w:rPr>
                <w:rFonts w:eastAsia="Calibri" w:cs="Arial"/>
                <w:color w:val="000000" w:themeColor="text1"/>
                <w:sz w:val="18"/>
                <w:szCs w:val="18"/>
              </w:rPr>
              <w:tab/>
              <w:t>On strike/locked out/industrial dispute</w:t>
            </w:r>
          </w:p>
          <w:p w14:paraId="27BAA193"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11.  </w:t>
            </w:r>
            <w:r w:rsidRPr="00617A89">
              <w:rPr>
                <w:rFonts w:eastAsia="Calibri" w:cs="Arial"/>
                <w:color w:val="000000" w:themeColor="text1"/>
                <w:sz w:val="18"/>
                <w:szCs w:val="18"/>
              </w:rPr>
              <w:tab/>
              <w:t>Seasonal work/end of season</w:t>
            </w:r>
          </w:p>
          <w:p w14:paraId="3DD539D4" w14:textId="77777777"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12.  </w:t>
            </w:r>
            <w:r w:rsidRPr="00617A89">
              <w:rPr>
                <w:rFonts w:eastAsia="Calibri" w:cs="Arial"/>
                <w:color w:val="000000" w:themeColor="text1"/>
                <w:sz w:val="18"/>
                <w:szCs w:val="18"/>
              </w:rPr>
              <w:tab/>
              <w:t>Began/left/lost job during the week</w:t>
            </w:r>
          </w:p>
          <w:p w14:paraId="064AD938" w14:textId="3818410C"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13.  </w:t>
            </w:r>
            <w:r w:rsidRPr="00617A89">
              <w:rPr>
                <w:rFonts w:eastAsia="Calibri" w:cs="Arial"/>
                <w:color w:val="000000" w:themeColor="text1"/>
                <w:sz w:val="18"/>
                <w:szCs w:val="18"/>
              </w:rPr>
              <w:tab/>
              <w:t>Other (Please specify)</w:t>
            </w:r>
          </w:p>
        </w:tc>
      </w:tr>
      <w:tr w:rsidR="00C22852" w:rsidRPr="00617A89" w14:paraId="31BA81ED" w14:textId="77777777" w:rsidTr="00ED7300">
        <w:trPr>
          <w:trHeight w:val="850"/>
        </w:trPr>
        <w:tc>
          <w:tcPr>
            <w:tcW w:w="1701" w:type="dxa"/>
          </w:tcPr>
          <w:p w14:paraId="559C8135" w14:textId="77777777"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 xml:space="preserve">AVFMHRS </w:t>
            </w:r>
          </w:p>
          <w:p w14:paraId="2C53104F" w14:textId="3D287EFD" w:rsidR="00E03DCF" w:rsidRPr="00617A89" w:rsidRDefault="00E03DCF" w:rsidP="00ED7300">
            <w:pPr>
              <w:pStyle w:val="Default"/>
              <w:spacing w:before="40" w:after="40"/>
              <w:rPr>
                <w:color w:val="000000" w:themeColor="text1"/>
                <w:sz w:val="18"/>
                <w:szCs w:val="18"/>
              </w:rPr>
            </w:pPr>
            <w:r w:rsidRPr="00617A89">
              <w:rPr>
                <w:color w:val="000000" w:themeColor="text1"/>
                <w:sz w:val="18"/>
                <w:szCs w:val="18"/>
              </w:rPr>
              <w:t>(new in 2025)</w:t>
            </w:r>
          </w:p>
        </w:tc>
        <w:tc>
          <w:tcPr>
            <w:tcW w:w="3686" w:type="dxa"/>
          </w:tcPr>
          <w:p w14:paraId="2AD9E6FC" w14:textId="2F247822" w:rsidR="00E03DCF" w:rsidRPr="00617A89" w:rsidRDefault="00E03DCF" w:rsidP="00ED7300">
            <w:pPr>
              <w:rPr>
                <w:color w:val="000000" w:themeColor="text1"/>
                <w:sz w:val="18"/>
                <w:szCs w:val="18"/>
              </w:rPr>
            </w:pPr>
            <w:r w:rsidRPr="00617A89">
              <w:rPr>
                <w:color w:val="000000" w:themeColor="text1"/>
                <w:sz w:val="18"/>
              </w:rPr>
              <w:t xml:space="preserve">In the next </w:t>
            </w:r>
            <w:r w:rsidRPr="00617A89">
              <w:rPr>
                <w:b/>
                <w:bCs/>
                <w:color w:val="000000" w:themeColor="text1"/>
                <w:sz w:val="18"/>
              </w:rPr>
              <w:t>4 weeks</w:t>
            </w:r>
            <w:r w:rsidRPr="00617A89">
              <w:rPr>
                <w:color w:val="000000" w:themeColor="text1"/>
                <w:sz w:val="18"/>
              </w:rPr>
              <w:t>, would you be available to work more hours than you usually work?</w:t>
            </w:r>
          </w:p>
        </w:tc>
        <w:tc>
          <w:tcPr>
            <w:tcW w:w="4814" w:type="dxa"/>
          </w:tcPr>
          <w:p w14:paraId="047F12C7" w14:textId="1166876F" w:rsidR="00E03DCF" w:rsidRPr="00617A89" w:rsidRDefault="00E03DCF" w:rsidP="00ED7300">
            <w:pPr>
              <w:ind w:left="567" w:hanging="567"/>
              <w:rPr>
                <w:rFonts w:eastAsia="Calibri" w:cs="Arial"/>
                <w:color w:val="000000" w:themeColor="text1"/>
                <w:sz w:val="18"/>
                <w:szCs w:val="18"/>
              </w:rPr>
            </w:pPr>
            <w:r w:rsidRPr="00617A89">
              <w:rPr>
                <w:rFonts w:eastAsia="Calibri" w:cs="Arial"/>
                <w:color w:val="000000" w:themeColor="text1"/>
                <w:sz w:val="18"/>
                <w:szCs w:val="18"/>
              </w:rPr>
              <w:t>1.</w:t>
            </w:r>
            <w:r w:rsidRPr="00617A89">
              <w:rPr>
                <w:rFonts w:eastAsia="Calibri" w:cs="Arial"/>
                <w:color w:val="000000" w:themeColor="text1"/>
                <w:sz w:val="18"/>
                <w:szCs w:val="18"/>
              </w:rPr>
              <w:tab/>
              <w:t>Yes</w:t>
            </w:r>
          </w:p>
          <w:p w14:paraId="0D37D386" w14:textId="268D13B9" w:rsidR="00E03DCF" w:rsidRPr="00617A89" w:rsidRDefault="00E03DCF" w:rsidP="00E03DCF">
            <w:pPr>
              <w:ind w:left="567" w:hanging="567"/>
              <w:rPr>
                <w:rFonts w:eastAsia="Calibri" w:cs="Arial"/>
                <w:color w:val="000000" w:themeColor="text1"/>
                <w:sz w:val="18"/>
                <w:szCs w:val="18"/>
              </w:rPr>
            </w:pPr>
            <w:r w:rsidRPr="00617A89">
              <w:rPr>
                <w:rFonts w:eastAsia="Calibri" w:cs="Arial"/>
                <w:color w:val="000000" w:themeColor="text1"/>
                <w:sz w:val="18"/>
                <w:szCs w:val="18"/>
              </w:rPr>
              <w:t>2.</w:t>
            </w:r>
            <w:r w:rsidRPr="00617A89">
              <w:rPr>
                <w:rFonts w:eastAsia="Calibri" w:cs="Arial"/>
                <w:color w:val="000000" w:themeColor="text1"/>
                <w:sz w:val="18"/>
                <w:szCs w:val="18"/>
              </w:rPr>
              <w:tab/>
              <w:t>No</w:t>
            </w:r>
          </w:p>
        </w:tc>
      </w:tr>
    </w:tbl>
    <w:p w14:paraId="473CC230" w14:textId="05373D74" w:rsidR="00536C5B" w:rsidRPr="00617A89" w:rsidRDefault="00536C5B" w:rsidP="00BC457C">
      <w:pPr>
        <w:pStyle w:val="Heading4"/>
      </w:pPr>
      <w:r w:rsidRPr="00617A89">
        <w:t>Reasons for unemployment or no</w:t>
      </w:r>
      <w:r w:rsidR="006807F6" w:rsidRPr="00617A89">
        <w:t>n-</w:t>
      </w:r>
      <w:r w:rsidRPr="00617A89">
        <w:t>participati</w:t>
      </w:r>
      <w:r w:rsidR="006807F6" w:rsidRPr="00617A89">
        <w:t>on</w:t>
      </w:r>
      <w:r w:rsidRPr="00617A89">
        <w:t xml:space="preserve"> in the labour force</w:t>
      </w:r>
    </w:p>
    <w:p w14:paraId="2E2A73A5" w14:textId="33DA41F7" w:rsidR="006F01A3" w:rsidRPr="00617A89" w:rsidRDefault="006F01A3" w:rsidP="00D74D0C">
      <w:pPr>
        <w:pStyle w:val="Bullets1"/>
        <w:numPr>
          <w:ilvl w:val="0"/>
          <w:numId w:val="0"/>
        </w:numPr>
        <w:rPr>
          <w:color w:val="000000" w:themeColor="text1"/>
        </w:rPr>
      </w:pPr>
      <w:r w:rsidRPr="00617A89">
        <w:rPr>
          <w:color w:val="000000" w:themeColor="text1"/>
        </w:rPr>
        <w:t>The following questions provide insight into why graduates are unemployed or not available for employment. Reasons include both temporary and permanent reasons, as well as labour market specific reasons.</w:t>
      </w:r>
    </w:p>
    <w:p w14:paraId="097FCE0B" w14:textId="2770D673" w:rsidR="00E5099D" w:rsidRPr="00617A89" w:rsidRDefault="00E5099D" w:rsidP="00FA0808">
      <w:pPr>
        <w:pStyle w:val="Caption"/>
        <w:keepNext/>
        <w:rPr>
          <w:color w:val="000000" w:themeColor="text1"/>
        </w:rPr>
      </w:pPr>
      <w:bookmarkStart w:id="200" w:name="_Ref207698628"/>
      <w:bookmarkStart w:id="201" w:name="_Toc222868486"/>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16</w:t>
      </w:r>
      <w:r w:rsidR="00DB7C31" w:rsidRPr="00617A89">
        <w:rPr>
          <w:noProof/>
          <w:color w:val="000000" w:themeColor="text1"/>
        </w:rPr>
        <w:fldChar w:fldCharType="end"/>
      </w:r>
      <w:bookmarkEnd w:id="200"/>
      <w:r w:rsidR="0062339E" w:rsidRPr="00617A89">
        <w:rPr>
          <w:color w:val="000000" w:themeColor="text1"/>
        </w:rPr>
        <w:tab/>
      </w:r>
      <w:r w:rsidRPr="00617A89">
        <w:rPr>
          <w:color w:val="000000" w:themeColor="text1"/>
        </w:rPr>
        <w:t>Reasons for unemployment or not available for employment</w:t>
      </w:r>
      <w:bookmarkEnd w:id="201"/>
    </w:p>
    <w:tbl>
      <w:tblPr>
        <w:tblStyle w:val="TableGrid"/>
        <w:tblW w:w="10201" w:type="dxa"/>
        <w:tblLayout w:type="fixed"/>
        <w:tblLook w:val="0020" w:firstRow="1" w:lastRow="0" w:firstColumn="0" w:lastColumn="0" w:noHBand="0" w:noVBand="0"/>
      </w:tblPr>
      <w:tblGrid>
        <w:gridCol w:w="1696"/>
        <w:gridCol w:w="3686"/>
        <w:gridCol w:w="4819"/>
      </w:tblGrid>
      <w:tr w:rsidR="00C22852" w:rsidRPr="00617A89" w14:paraId="74930933" w14:textId="77777777" w:rsidTr="0074146B">
        <w:trPr>
          <w:cnfStyle w:val="100000000000" w:firstRow="1" w:lastRow="0" w:firstColumn="0" w:lastColumn="0" w:oddVBand="0" w:evenVBand="0" w:oddHBand="0" w:evenHBand="0" w:firstRowFirstColumn="0" w:firstRowLastColumn="0" w:lastRowFirstColumn="0" w:lastRowLastColumn="0"/>
          <w:trHeight w:val="284"/>
          <w:tblHeader/>
        </w:trPr>
        <w:tc>
          <w:tcPr>
            <w:tcW w:w="1696" w:type="dxa"/>
          </w:tcPr>
          <w:p w14:paraId="1EE4DA26" w14:textId="39C0AE02" w:rsidR="00E5099D" w:rsidRPr="00617A89" w:rsidRDefault="00E5099D" w:rsidP="00ED7300">
            <w:pPr>
              <w:pStyle w:val="Default"/>
              <w:spacing w:before="40" w:after="40"/>
              <w:rPr>
                <w:b w:val="0"/>
                <w:bCs/>
                <w:color w:val="000000" w:themeColor="text1"/>
                <w:sz w:val="18"/>
                <w:szCs w:val="18"/>
              </w:rPr>
            </w:pPr>
            <w:r w:rsidRPr="00617A89">
              <w:rPr>
                <w:bCs/>
                <w:color w:val="000000" w:themeColor="text1"/>
                <w:sz w:val="18"/>
                <w:szCs w:val="18"/>
              </w:rPr>
              <w:t>Item</w:t>
            </w:r>
          </w:p>
        </w:tc>
        <w:tc>
          <w:tcPr>
            <w:tcW w:w="3686" w:type="dxa"/>
          </w:tcPr>
          <w:p w14:paraId="4C91981B" w14:textId="4BBAFA52" w:rsidR="00E5099D" w:rsidRPr="00617A89" w:rsidRDefault="00E5099D" w:rsidP="00ED7300">
            <w:pPr>
              <w:pStyle w:val="Default"/>
              <w:spacing w:before="40" w:after="40"/>
              <w:rPr>
                <w:b w:val="0"/>
                <w:bCs/>
                <w:color w:val="000000" w:themeColor="text1"/>
                <w:sz w:val="18"/>
                <w:szCs w:val="18"/>
              </w:rPr>
            </w:pPr>
            <w:r w:rsidRPr="00617A89">
              <w:rPr>
                <w:bCs/>
                <w:color w:val="000000" w:themeColor="text1"/>
                <w:sz w:val="18"/>
                <w:szCs w:val="18"/>
              </w:rPr>
              <w:t>Question stem</w:t>
            </w:r>
          </w:p>
        </w:tc>
        <w:tc>
          <w:tcPr>
            <w:tcW w:w="4819" w:type="dxa"/>
          </w:tcPr>
          <w:p w14:paraId="08851569" w14:textId="77777777" w:rsidR="00E5099D" w:rsidRPr="00617A89" w:rsidRDefault="00E5099D" w:rsidP="00ED7300">
            <w:pPr>
              <w:pStyle w:val="Default"/>
              <w:spacing w:before="40" w:after="40"/>
              <w:rPr>
                <w:b w:val="0"/>
                <w:bCs/>
                <w:color w:val="000000" w:themeColor="text1"/>
                <w:sz w:val="18"/>
                <w:szCs w:val="18"/>
              </w:rPr>
            </w:pPr>
            <w:r w:rsidRPr="00617A89">
              <w:rPr>
                <w:bCs/>
                <w:color w:val="000000" w:themeColor="text1"/>
                <w:sz w:val="18"/>
                <w:szCs w:val="18"/>
              </w:rPr>
              <w:t xml:space="preserve">Response options </w:t>
            </w:r>
          </w:p>
        </w:tc>
      </w:tr>
      <w:tr w:rsidR="00C22852" w:rsidRPr="00617A89" w14:paraId="4FE65FDA" w14:textId="77777777" w:rsidTr="0074146B">
        <w:trPr>
          <w:trHeight w:val="683"/>
        </w:trPr>
        <w:tc>
          <w:tcPr>
            <w:tcW w:w="1696" w:type="dxa"/>
          </w:tcPr>
          <w:p w14:paraId="0F7A4F57" w14:textId="77777777" w:rsidR="00E5099D" w:rsidRPr="00617A89" w:rsidRDefault="00E5099D" w:rsidP="00ED7300">
            <w:pPr>
              <w:pStyle w:val="Default"/>
              <w:spacing w:before="40" w:after="40"/>
              <w:rPr>
                <w:color w:val="000000" w:themeColor="text1"/>
                <w:sz w:val="18"/>
                <w:szCs w:val="18"/>
              </w:rPr>
            </w:pPr>
            <w:r w:rsidRPr="00617A89">
              <w:rPr>
                <w:color w:val="000000" w:themeColor="text1"/>
                <w:sz w:val="18"/>
                <w:szCs w:val="18"/>
              </w:rPr>
              <w:t>RSNILF1</w:t>
            </w:r>
          </w:p>
          <w:p w14:paraId="47D4E23D" w14:textId="77483358" w:rsidR="00EE4CBF" w:rsidRPr="00617A89" w:rsidRDefault="00EE4CBF" w:rsidP="00ED7300">
            <w:pPr>
              <w:pStyle w:val="Default"/>
              <w:spacing w:before="40" w:after="40"/>
              <w:rPr>
                <w:color w:val="000000" w:themeColor="text1"/>
                <w:sz w:val="18"/>
                <w:szCs w:val="18"/>
              </w:rPr>
            </w:pPr>
            <w:r w:rsidRPr="00617A89">
              <w:rPr>
                <w:color w:val="000000" w:themeColor="text1"/>
                <w:sz w:val="18"/>
                <w:szCs w:val="18"/>
              </w:rPr>
              <w:t>(new in 2025)</w:t>
            </w:r>
          </w:p>
        </w:tc>
        <w:tc>
          <w:tcPr>
            <w:tcW w:w="3686" w:type="dxa"/>
          </w:tcPr>
          <w:p w14:paraId="05631671" w14:textId="65329C93" w:rsidR="00E5099D" w:rsidRPr="00617A89" w:rsidRDefault="00E5099D" w:rsidP="00D74D0C">
            <w:pPr>
              <w:pStyle w:val="Body"/>
              <w:rPr>
                <w:rFonts w:cs="Arial"/>
                <w:color w:val="000000" w:themeColor="text1"/>
                <w:sz w:val="18"/>
                <w:szCs w:val="18"/>
              </w:rPr>
            </w:pPr>
            <w:r w:rsidRPr="00617A89">
              <w:rPr>
                <w:rFonts w:cs="Arial"/>
                <w:color w:val="000000" w:themeColor="text1"/>
                <w:sz w:val="18"/>
                <w:szCs w:val="18"/>
              </w:rPr>
              <w:t>You mentioned that you are not currently working. What is the main reason you are not currently working?</w:t>
            </w:r>
          </w:p>
          <w:p w14:paraId="4560A240" w14:textId="77777777" w:rsidR="00E5099D" w:rsidRPr="00617A89" w:rsidRDefault="00E5099D" w:rsidP="00E5099D">
            <w:pPr>
              <w:pStyle w:val="QNameText"/>
              <w:spacing w:before="40" w:after="40"/>
              <w:rPr>
                <w:rFonts w:cs="Arial"/>
                <w:color w:val="000000" w:themeColor="text1"/>
                <w:sz w:val="18"/>
                <w:szCs w:val="18"/>
              </w:rPr>
            </w:pPr>
          </w:p>
          <w:p w14:paraId="4CF8099D" w14:textId="273D49BE" w:rsidR="00E5099D" w:rsidRPr="00617A89" w:rsidRDefault="00E5099D" w:rsidP="00E5099D">
            <w:pPr>
              <w:pStyle w:val="QNameText"/>
              <w:spacing w:before="40" w:after="40"/>
              <w:ind w:left="0" w:firstLine="0"/>
              <w:rPr>
                <w:rFonts w:cs="Arial"/>
                <w:i/>
                <w:iCs/>
                <w:color w:val="000000" w:themeColor="text1"/>
                <w:sz w:val="18"/>
                <w:szCs w:val="18"/>
              </w:rPr>
            </w:pPr>
            <w:r w:rsidRPr="00617A89">
              <w:rPr>
                <w:rFonts w:cs="Arial"/>
                <w:i/>
                <w:iCs/>
                <w:color w:val="000000" w:themeColor="text1"/>
                <w:sz w:val="18"/>
                <w:szCs w:val="18"/>
              </w:rPr>
              <w:t>Please select only one answer.</w:t>
            </w:r>
          </w:p>
        </w:tc>
        <w:tc>
          <w:tcPr>
            <w:tcW w:w="4819" w:type="dxa"/>
          </w:tcPr>
          <w:p w14:paraId="315E7B94"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1.</w:t>
            </w:r>
            <w:r w:rsidRPr="00617A89">
              <w:rPr>
                <w:rFonts w:eastAsia="Calibri" w:cs="Arial"/>
                <w:color w:val="000000" w:themeColor="text1"/>
                <w:sz w:val="18"/>
                <w:szCs w:val="18"/>
              </w:rPr>
              <w:tab/>
              <w:t>No jobs or vacancies in local area</w:t>
            </w:r>
          </w:p>
          <w:p w14:paraId="10B7A60C"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2.  </w:t>
            </w:r>
            <w:r w:rsidRPr="00617A89">
              <w:rPr>
                <w:rFonts w:eastAsia="Calibri" w:cs="Arial"/>
                <w:color w:val="000000" w:themeColor="text1"/>
                <w:sz w:val="18"/>
                <w:szCs w:val="18"/>
              </w:rPr>
              <w:tab/>
              <w:t xml:space="preserve">No jobs in my line of work </w:t>
            </w:r>
          </w:p>
          <w:p w14:paraId="7069E68F"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3.  </w:t>
            </w:r>
            <w:r w:rsidRPr="00617A89">
              <w:rPr>
                <w:rFonts w:eastAsia="Calibri" w:cs="Arial"/>
                <w:color w:val="000000" w:themeColor="text1"/>
                <w:sz w:val="18"/>
                <w:szCs w:val="18"/>
              </w:rPr>
              <w:tab/>
              <w:t>No jobs with suitable conditions/arrangements/hours in my local area</w:t>
            </w:r>
          </w:p>
          <w:p w14:paraId="29BEF1BD"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4.  </w:t>
            </w:r>
            <w:r w:rsidRPr="00617A89">
              <w:rPr>
                <w:rFonts w:eastAsia="Calibri" w:cs="Arial"/>
                <w:color w:val="000000" w:themeColor="text1"/>
                <w:sz w:val="18"/>
                <w:szCs w:val="18"/>
              </w:rPr>
              <w:tab/>
              <w:t>Not enough work experience/skills/training</w:t>
            </w:r>
          </w:p>
          <w:p w14:paraId="1D4CA7D2"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5. </w:t>
            </w:r>
            <w:r w:rsidRPr="00617A89">
              <w:rPr>
                <w:rFonts w:eastAsia="Calibri" w:cs="Arial"/>
                <w:color w:val="000000" w:themeColor="text1"/>
                <w:sz w:val="18"/>
                <w:szCs w:val="18"/>
              </w:rPr>
              <w:tab/>
              <w:t>Employers unwilling to hire me due to ill health or disability</w:t>
            </w:r>
          </w:p>
          <w:p w14:paraId="20CED3B2"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6.  </w:t>
            </w:r>
            <w:r w:rsidRPr="00617A89">
              <w:rPr>
                <w:rFonts w:eastAsia="Calibri" w:cs="Arial"/>
                <w:color w:val="000000" w:themeColor="text1"/>
                <w:sz w:val="18"/>
                <w:szCs w:val="18"/>
              </w:rPr>
              <w:tab/>
              <w:t>Considered to be too old by employers</w:t>
            </w:r>
          </w:p>
          <w:p w14:paraId="399C142E"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7.</w:t>
            </w:r>
            <w:r w:rsidRPr="00617A89">
              <w:rPr>
                <w:rFonts w:eastAsia="Calibri" w:cs="Arial"/>
                <w:color w:val="000000" w:themeColor="text1"/>
                <w:sz w:val="18"/>
                <w:szCs w:val="18"/>
              </w:rPr>
              <w:tab/>
              <w:t>Retired</w:t>
            </w:r>
          </w:p>
          <w:p w14:paraId="33BEEB40"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8.  </w:t>
            </w:r>
            <w:r w:rsidRPr="00617A89">
              <w:rPr>
                <w:rFonts w:eastAsia="Calibri" w:cs="Arial"/>
                <w:color w:val="000000" w:themeColor="text1"/>
                <w:sz w:val="18"/>
                <w:szCs w:val="18"/>
              </w:rPr>
              <w:tab/>
              <w:t>Difficulties with language or ethnic background</w:t>
            </w:r>
          </w:p>
          <w:p w14:paraId="3E53B51E"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9.  </w:t>
            </w:r>
            <w:r w:rsidRPr="00617A89">
              <w:rPr>
                <w:rFonts w:eastAsia="Calibri" w:cs="Arial"/>
                <w:color w:val="000000" w:themeColor="text1"/>
                <w:sz w:val="18"/>
                <w:szCs w:val="18"/>
              </w:rPr>
              <w:tab/>
              <w:t>Waiting for accreditation/registration</w:t>
            </w:r>
          </w:p>
          <w:p w14:paraId="2C580296"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10.  </w:t>
            </w:r>
            <w:r w:rsidRPr="00617A89">
              <w:rPr>
                <w:rFonts w:eastAsia="Calibri" w:cs="Arial"/>
                <w:color w:val="000000" w:themeColor="text1"/>
                <w:sz w:val="18"/>
                <w:szCs w:val="18"/>
              </w:rPr>
              <w:tab/>
              <w:t>Long-term health condition or disability</w:t>
            </w:r>
          </w:p>
          <w:p w14:paraId="4768014B"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11.  </w:t>
            </w:r>
            <w:r w:rsidRPr="00617A89">
              <w:rPr>
                <w:rFonts w:eastAsia="Calibri" w:cs="Arial"/>
                <w:color w:val="000000" w:themeColor="text1"/>
                <w:sz w:val="18"/>
                <w:szCs w:val="18"/>
              </w:rPr>
              <w:tab/>
              <w:t>Short-term illness or injury</w:t>
            </w:r>
          </w:p>
          <w:p w14:paraId="7C067B0D"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12.  </w:t>
            </w:r>
            <w:r w:rsidRPr="00617A89">
              <w:rPr>
                <w:rFonts w:eastAsia="Calibri" w:cs="Arial"/>
                <w:color w:val="000000" w:themeColor="text1"/>
                <w:sz w:val="18"/>
                <w:szCs w:val="18"/>
              </w:rPr>
              <w:tab/>
              <w:t>Caring for a person with a health condition or disability</w:t>
            </w:r>
          </w:p>
          <w:p w14:paraId="1FAB95A4"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13.  </w:t>
            </w:r>
            <w:r w:rsidRPr="00617A89">
              <w:rPr>
                <w:rFonts w:eastAsia="Calibri" w:cs="Arial"/>
                <w:color w:val="000000" w:themeColor="text1"/>
                <w:sz w:val="18"/>
                <w:szCs w:val="18"/>
              </w:rPr>
              <w:tab/>
              <w:t>Caring for children</w:t>
            </w:r>
          </w:p>
          <w:p w14:paraId="1498680F"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14.  </w:t>
            </w:r>
            <w:r w:rsidRPr="00617A89">
              <w:rPr>
                <w:rFonts w:eastAsia="Calibri" w:cs="Arial"/>
                <w:color w:val="000000" w:themeColor="text1"/>
                <w:sz w:val="18"/>
                <w:szCs w:val="18"/>
              </w:rPr>
              <w:tab/>
              <w:t>Pregnancy</w:t>
            </w:r>
          </w:p>
          <w:p w14:paraId="35DCB2C2"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15.  </w:t>
            </w:r>
            <w:r w:rsidRPr="00617A89">
              <w:rPr>
                <w:rFonts w:eastAsia="Calibri" w:cs="Arial"/>
                <w:color w:val="000000" w:themeColor="text1"/>
                <w:sz w:val="18"/>
                <w:szCs w:val="18"/>
              </w:rPr>
              <w:tab/>
              <w:t>Performing home duties</w:t>
            </w:r>
          </w:p>
          <w:p w14:paraId="6EC295DD"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16.  </w:t>
            </w:r>
            <w:r w:rsidRPr="00617A89">
              <w:rPr>
                <w:rFonts w:eastAsia="Calibri" w:cs="Arial"/>
                <w:color w:val="000000" w:themeColor="text1"/>
                <w:sz w:val="18"/>
                <w:szCs w:val="18"/>
              </w:rPr>
              <w:tab/>
              <w:t>Studying or returning to studies</w:t>
            </w:r>
          </w:p>
          <w:p w14:paraId="39FC33E0"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17.  </w:t>
            </w:r>
            <w:r w:rsidRPr="00617A89">
              <w:rPr>
                <w:rFonts w:eastAsia="Calibri" w:cs="Arial"/>
                <w:color w:val="000000" w:themeColor="text1"/>
                <w:sz w:val="18"/>
                <w:szCs w:val="18"/>
              </w:rPr>
              <w:tab/>
              <w:t>On a temporary holiday or leisure activity</w:t>
            </w:r>
          </w:p>
          <w:p w14:paraId="1B5EE421"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18.  </w:t>
            </w:r>
            <w:r w:rsidRPr="00617A89">
              <w:rPr>
                <w:rFonts w:eastAsia="Calibri" w:cs="Arial"/>
                <w:color w:val="000000" w:themeColor="text1"/>
                <w:sz w:val="18"/>
                <w:szCs w:val="18"/>
              </w:rPr>
              <w:tab/>
              <w:t>Lifestyle choice</w:t>
            </w:r>
          </w:p>
          <w:p w14:paraId="226291F8"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19.  </w:t>
            </w:r>
            <w:r w:rsidRPr="00617A89">
              <w:rPr>
                <w:rFonts w:eastAsia="Calibri" w:cs="Arial"/>
                <w:color w:val="000000" w:themeColor="text1"/>
                <w:sz w:val="18"/>
                <w:szCs w:val="18"/>
              </w:rPr>
              <w:tab/>
              <w:t>Visa restrictions</w:t>
            </w:r>
          </w:p>
          <w:p w14:paraId="3A86919D"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20.  </w:t>
            </w:r>
            <w:r w:rsidRPr="00617A89">
              <w:rPr>
                <w:rFonts w:eastAsia="Calibri" w:cs="Arial"/>
                <w:color w:val="000000" w:themeColor="text1"/>
                <w:sz w:val="18"/>
                <w:szCs w:val="18"/>
              </w:rPr>
              <w:tab/>
              <w:t>Waiting for permanent residency</w:t>
            </w:r>
          </w:p>
          <w:p w14:paraId="78898CAA" w14:textId="356466E4" w:rsidR="00E5099D"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21. </w:t>
            </w:r>
            <w:r w:rsidRPr="00617A89">
              <w:rPr>
                <w:rFonts w:eastAsia="Calibri" w:cs="Arial"/>
                <w:color w:val="000000" w:themeColor="text1"/>
                <w:sz w:val="18"/>
                <w:szCs w:val="18"/>
              </w:rPr>
              <w:tab/>
              <w:t>Other (Please specify)</w:t>
            </w:r>
          </w:p>
        </w:tc>
      </w:tr>
      <w:tr w:rsidR="00C22852" w:rsidRPr="00617A89" w14:paraId="148B65E5" w14:textId="77777777" w:rsidTr="0074146B">
        <w:trPr>
          <w:trHeight w:val="3824"/>
        </w:trPr>
        <w:tc>
          <w:tcPr>
            <w:tcW w:w="1696" w:type="dxa"/>
          </w:tcPr>
          <w:p w14:paraId="2BD32069" w14:textId="77777777" w:rsidR="008E041B" w:rsidRPr="00617A89" w:rsidRDefault="008E041B" w:rsidP="008E041B">
            <w:pPr>
              <w:pStyle w:val="Default"/>
              <w:spacing w:before="40" w:after="40"/>
              <w:rPr>
                <w:color w:val="000000" w:themeColor="text1"/>
                <w:sz w:val="18"/>
                <w:szCs w:val="18"/>
              </w:rPr>
            </w:pPr>
            <w:r w:rsidRPr="00617A89">
              <w:rPr>
                <w:color w:val="000000" w:themeColor="text1"/>
                <w:sz w:val="18"/>
                <w:szCs w:val="18"/>
              </w:rPr>
              <w:t xml:space="preserve">RSNILF2 </w:t>
            </w:r>
          </w:p>
          <w:p w14:paraId="53F7FF0B" w14:textId="2278B0D5" w:rsidR="00EE4CBF" w:rsidRPr="00617A89" w:rsidRDefault="00EE4CBF" w:rsidP="008E041B">
            <w:pPr>
              <w:pStyle w:val="Default"/>
              <w:spacing w:before="40" w:after="40"/>
              <w:rPr>
                <w:color w:val="000000" w:themeColor="text1"/>
                <w:sz w:val="18"/>
                <w:szCs w:val="18"/>
              </w:rPr>
            </w:pPr>
            <w:r w:rsidRPr="00617A89">
              <w:rPr>
                <w:color w:val="000000" w:themeColor="text1"/>
                <w:sz w:val="18"/>
                <w:szCs w:val="18"/>
              </w:rPr>
              <w:t>(new in 2025)</w:t>
            </w:r>
          </w:p>
        </w:tc>
        <w:tc>
          <w:tcPr>
            <w:tcW w:w="3686" w:type="dxa"/>
          </w:tcPr>
          <w:p w14:paraId="6F6D1C95" w14:textId="77777777" w:rsidR="008E041B" w:rsidRPr="00617A89" w:rsidRDefault="008E041B" w:rsidP="008E041B">
            <w:pPr>
              <w:pStyle w:val="QNameText"/>
              <w:spacing w:before="40" w:after="40"/>
              <w:ind w:left="0" w:firstLine="0"/>
              <w:rPr>
                <w:rFonts w:cs="Arial"/>
                <w:color w:val="000000" w:themeColor="text1"/>
                <w:sz w:val="18"/>
                <w:szCs w:val="18"/>
              </w:rPr>
            </w:pPr>
            <w:r w:rsidRPr="00617A89">
              <w:rPr>
                <w:rFonts w:cs="Arial"/>
                <w:color w:val="000000" w:themeColor="text1"/>
                <w:sz w:val="18"/>
                <w:szCs w:val="18"/>
              </w:rPr>
              <w:t>You mentioned that you are not intending to work permanently. What is the main reason you are not intending to work?</w:t>
            </w:r>
          </w:p>
          <w:p w14:paraId="6C002275" w14:textId="4BC97C71" w:rsidR="008E041B" w:rsidRPr="00617A89" w:rsidRDefault="008E041B" w:rsidP="00D74D0C">
            <w:pPr>
              <w:rPr>
                <w:rFonts w:cs="Arial"/>
                <w:color w:val="000000" w:themeColor="text1"/>
                <w:sz w:val="18"/>
                <w:szCs w:val="18"/>
              </w:rPr>
            </w:pPr>
            <w:r w:rsidRPr="00617A89">
              <w:rPr>
                <w:rFonts w:eastAsia="Calibri" w:cs="Arial"/>
                <w:i/>
                <w:color w:val="000000" w:themeColor="text1"/>
                <w:sz w:val="18"/>
                <w:szCs w:val="18"/>
              </w:rPr>
              <w:t>Please select only one answer.</w:t>
            </w:r>
          </w:p>
        </w:tc>
        <w:tc>
          <w:tcPr>
            <w:tcW w:w="4819" w:type="dxa"/>
          </w:tcPr>
          <w:p w14:paraId="3C71DD4C"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1.</w:t>
            </w:r>
            <w:r w:rsidRPr="00617A89">
              <w:rPr>
                <w:rFonts w:eastAsia="Calibri" w:cs="Arial"/>
                <w:color w:val="000000" w:themeColor="text1"/>
                <w:sz w:val="18"/>
                <w:szCs w:val="18"/>
              </w:rPr>
              <w:tab/>
              <w:t>No jobs or vacancies in local area</w:t>
            </w:r>
          </w:p>
          <w:p w14:paraId="77437BE1"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2.  </w:t>
            </w:r>
            <w:r w:rsidRPr="00617A89">
              <w:rPr>
                <w:rFonts w:eastAsia="Calibri" w:cs="Arial"/>
                <w:color w:val="000000" w:themeColor="text1"/>
                <w:sz w:val="18"/>
                <w:szCs w:val="18"/>
              </w:rPr>
              <w:tab/>
              <w:t xml:space="preserve">No jobs in my line of work </w:t>
            </w:r>
          </w:p>
          <w:p w14:paraId="72F46DAE" w14:textId="24ED126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3.  </w:t>
            </w:r>
            <w:r w:rsidRPr="00617A89">
              <w:rPr>
                <w:rFonts w:eastAsia="Calibri" w:cs="Arial"/>
                <w:color w:val="000000" w:themeColor="text1"/>
                <w:sz w:val="18"/>
                <w:szCs w:val="18"/>
              </w:rPr>
              <w:tab/>
              <w:t>No jobs with suitable conditions/arrangements/hours in my local area</w:t>
            </w:r>
          </w:p>
          <w:p w14:paraId="2620B1A9"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4. </w:t>
            </w:r>
            <w:r w:rsidRPr="00617A89">
              <w:rPr>
                <w:rFonts w:eastAsia="Calibri" w:cs="Arial"/>
                <w:color w:val="000000" w:themeColor="text1"/>
                <w:sz w:val="18"/>
                <w:szCs w:val="18"/>
              </w:rPr>
              <w:tab/>
              <w:t>Employers unwilling to hire me due to ill health or disability</w:t>
            </w:r>
          </w:p>
          <w:p w14:paraId="4F4C6733"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5.</w:t>
            </w:r>
            <w:r w:rsidRPr="00617A89">
              <w:rPr>
                <w:rFonts w:eastAsia="Calibri" w:cs="Arial"/>
                <w:color w:val="000000" w:themeColor="text1"/>
                <w:sz w:val="18"/>
                <w:szCs w:val="18"/>
              </w:rPr>
              <w:tab/>
              <w:t>Retired</w:t>
            </w:r>
          </w:p>
          <w:p w14:paraId="41200251"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6.  </w:t>
            </w:r>
            <w:r w:rsidRPr="00617A89">
              <w:rPr>
                <w:rFonts w:eastAsia="Calibri" w:cs="Arial"/>
                <w:color w:val="000000" w:themeColor="text1"/>
                <w:sz w:val="18"/>
                <w:szCs w:val="18"/>
              </w:rPr>
              <w:tab/>
              <w:t>Difficulties with language or ethnic background</w:t>
            </w:r>
          </w:p>
          <w:p w14:paraId="0405C1C2"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7.  </w:t>
            </w:r>
            <w:r w:rsidRPr="00617A89">
              <w:rPr>
                <w:rFonts w:eastAsia="Calibri" w:cs="Arial"/>
                <w:color w:val="000000" w:themeColor="text1"/>
                <w:sz w:val="18"/>
                <w:szCs w:val="18"/>
              </w:rPr>
              <w:tab/>
              <w:t>Considered to be too old by employers</w:t>
            </w:r>
          </w:p>
          <w:p w14:paraId="6BE6EB44"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8.  </w:t>
            </w:r>
            <w:r w:rsidRPr="00617A89">
              <w:rPr>
                <w:rFonts w:eastAsia="Calibri" w:cs="Arial"/>
                <w:color w:val="000000" w:themeColor="text1"/>
                <w:sz w:val="18"/>
                <w:szCs w:val="18"/>
              </w:rPr>
              <w:tab/>
              <w:t>Long-term health condition or disability</w:t>
            </w:r>
          </w:p>
          <w:p w14:paraId="14DC8DF6"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9.  </w:t>
            </w:r>
            <w:r w:rsidRPr="00617A89">
              <w:rPr>
                <w:rFonts w:eastAsia="Calibri" w:cs="Arial"/>
                <w:color w:val="000000" w:themeColor="text1"/>
                <w:sz w:val="18"/>
                <w:szCs w:val="18"/>
              </w:rPr>
              <w:tab/>
              <w:t>Caring for a person with a health condition or disability</w:t>
            </w:r>
          </w:p>
          <w:p w14:paraId="6C3ECC63"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10.  </w:t>
            </w:r>
            <w:r w:rsidRPr="00617A89">
              <w:rPr>
                <w:rFonts w:eastAsia="Calibri" w:cs="Arial"/>
                <w:color w:val="000000" w:themeColor="text1"/>
                <w:sz w:val="18"/>
                <w:szCs w:val="18"/>
              </w:rPr>
              <w:tab/>
              <w:t>Caring for children</w:t>
            </w:r>
          </w:p>
          <w:p w14:paraId="4033F0BE"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11.  </w:t>
            </w:r>
            <w:r w:rsidRPr="00617A89">
              <w:rPr>
                <w:rFonts w:eastAsia="Calibri" w:cs="Arial"/>
                <w:color w:val="000000" w:themeColor="text1"/>
                <w:sz w:val="18"/>
                <w:szCs w:val="18"/>
              </w:rPr>
              <w:tab/>
              <w:t>Pregnancy</w:t>
            </w:r>
          </w:p>
          <w:p w14:paraId="23A78FC1"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12.  </w:t>
            </w:r>
            <w:r w:rsidRPr="00617A89">
              <w:rPr>
                <w:rFonts w:eastAsia="Calibri" w:cs="Arial"/>
                <w:color w:val="000000" w:themeColor="text1"/>
                <w:sz w:val="18"/>
                <w:szCs w:val="18"/>
              </w:rPr>
              <w:tab/>
              <w:t>Performing home duties</w:t>
            </w:r>
          </w:p>
          <w:p w14:paraId="6E4293B6"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13.  </w:t>
            </w:r>
            <w:r w:rsidRPr="00617A89">
              <w:rPr>
                <w:rFonts w:eastAsia="Calibri" w:cs="Arial"/>
                <w:color w:val="000000" w:themeColor="text1"/>
                <w:sz w:val="18"/>
                <w:szCs w:val="18"/>
              </w:rPr>
              <w:tab/>
              <w:t>Lifestyle choice</w:t>
            </w:r>
          </w:p>
          <w:p w14:paraId="0B299A97" w14:textId="77777777" w:rsidR="008E041B" w:rsidRPr="00617A89" w:rsidRDefault="008E041B" w:rsidP="00D74D0C">
            <w:pPr>
              <w:ind w:left="567" w:hanging="567"/>
              <w:rPr>
                <w:rFonts w:eastAsia="Calibri" w:cs="Arial"/>
                <w:color w:val="000000" w:themeColor="text1"/>
                <w:sz w:val="18"/>
                <w:szCs w:val="18"/>
              </w:rPr>
            </w:pPr>
            <w:r w:rsidRPr="00617A89">
              <w:rPr>
                <w:rFonts w:eastAsia="Calibri" w:cs="Arial"/>
                <w:color w:val="000000" w:themeColor="text1"/>
                <w:sz w:val="18"/>
                <w:szCs w:val="18"/>
              </w:rPr>
              <w:t xml:space="preserve">14.  </w:t>
            </w:r>
            <w:r w:rsidRPr="00617A89">
              <w:rPr>
                <w:rFonts w:eastAsia="Calibri" w:cs="Arial"/>
                <w:color w:val="000000" w:themeColor="text1"/>
                <w:sz w:val="18"/>
                <w:szCs w:val="18"/>
              </w:rPr>
              <w:tab/>
              <w:t>Visa restrictions</w:t>
            </w:r>
          </w:p>
          <w:p w14:paraId="0FD25ECC" w14:textId="561C54DE" w:rsidR="008E041B" w:rsidRPr="00617A89" w:rsidRDefault="008E041B" w:rsidP="00D74D0C">
            <w:pPr>
              <w:ind w:left="567" w:hanging="567"/>
              <w:rPr>
                <w:rFonts w:cs="Arial"/>
                <w:color w:val="000000" w:themeColor="text1"/>
                <w:sz w:val="18"/>
                <w:szCs w:val="18"/>
              </w:rPr>
            </w:pPr>
            <w:r w:rsidRPr="00617A89">
              <w:rPr>
                <w:rFonts w:eastAsia="Calibri" w:cs="Arial"/>
                <w:color w:val="000000" w:themeColor="text1"/>
                <w:sz w:val="18"/>
                <w:szCs w:val="18"/>
              </w:rPr>
              <w:t xml:space="preserve">15. </w:t>
            </w:r>
            <w:r w:rsidRPr="00617A89">
              <w:rPr>
                <w:rFonts w:eastAsia="Calibri" w:cs="Arial"/>
                <w:color w:val="000000" w:themeColor="text1"/>
                <w:sz w:val="18"/>
                <w:szCs w:val="18"/>
              </w:rPr>
              <w:tab/>
              <w:t>Other (Please specify)</w:t>
            </w:r>
          </w:p>
        </w:tc>
      </w:tr>
      <w:tr w:rsidR="00C22852" w:rsidRPr="00617A89" w14:paraId="17EBF4A2" w14:textId="77777777" w:rsidTr="0074146B">
        <w:trPr>
          <w:trHeight w:val="2532"/>
        </w:trPr>
        <w:tc>
          <w:tcPr>
            <w:tcW w:w="1696" w:type="dxa"/>
          </w:tcPr>
          <w:p w14:paraId="6064A8B4" w14:textId="77777777" w:rsidR="00E5099D" w:rsidRPr="00617A89" w:rsidRDefault="008E041B" w:rsidP="00ED7300">
            <w:pPr>
              <w:pStyle w:val="Default"/>
              <w:spacing w:before="40" w:after="40"/>
              <w:rPr>
                <w:color w:val="000000" w:themeColor="text1"/>
                <w:sz w:val="18"/>
                <w:szCs w:val="18"/>
              </w:rPr>
            </w:pPr>
            <w:r w:rsidRPr="00617A89">
              <w:rPr>
                <w:color w:val="000000" w:themeColor="text1"/>
                <w:sz w:val="18"/>
                <w:szCs w:val="18"/>
              </w:rPr>
              <w:t>RSNOTWRK</w:t>
            </w:r>
          </w:p>
          <w:p w14:paraId="42D0B4FE" w14:textId="60B818F8" w:rsidR="00EE4CBF" w:rsidRPr="00617A89" w:rsidRDefault="00EE4CBF" w:rsidP="00ED7300">
            <w:pPr>
              <w:pStyle w:val="Default"/>
              <w:spacing w:before="40" w:after="40"/>
              <w:rPr>
                <w:color w:val="000000" w:themeColor="text1"/>
                <w:sz w:val="18"/>
                <w:szCs w:val="18"/>
              </w:rPr>
            </w:pPr>
            <w:r w:rsidRPr="00617A89">
              <w:rPr>
                <w:color w:val="000000" w:themeColor="text1"/>
                <w:sz w:val="18"/>
                <w:szCs w:val="18"/>
              </w:rPr>
              <w:t>(new in 2025)</w:t>
            </w:r>
          </w:p>
        </w:tc>
        <w:tc>
          <w:tcPr>
            <w:tcW w:w="3686" w:type="dxa"/>
          </w:tcPr>
          <w:p w14:paraId="7F4C6F07" w14:textId="77777777" w:rsidR="008E041B" w:rsidRPr="00617A89" w:rsidRDefault="008E041B" w:rsidP="008E041B">
            <w:pPr>
              <w:pStyle w:val="2Questionstem"/>
              <w:ind w:left="0" w:firstLine="0"/>
              <w:rPr>
                <w:color w:val="000000" w:themeColor="text1"/>
                <w:sz w:val="18"/>
                <w:szCs w:val="18"/>
              </w:rPr>
            </w:pPr>
            <w:r w:rsidRPr="00617A89">
              <w:rPr>
                <w:color w:val="000000" w:themeColor="text1"/>
                <w:sz w:val="18"/>
              </w:rPr>
              <w:t xml:space="preserve">You mentioned that you are not currently working and you have been away from your job for 1 month or more. What is the </w:t>
            </w:r>
            <w:r w:rsidRPr="00617A89">
              <w:rPr>
                <w:b/>
                <w:bCs/>
                <w:color w:val="000000" w:themeColor="text1"/>
                <w:sz w:val="18"/>
              </w:rPr>
              <w:t>main reason</w:t>
            </w:r>
            <w:r w:rsidRPr="00617A89">
              <w:rPr>
                <w:color w:val="000000" w:themeColor="text1"/>
                <w:sz w:val="18"/>
              </w:rPr>
              <w:t xml:space="preserve"> you are not currently working?</w:t>
            </w:r>
          </w:p>
          <w:p w14:paraId="324C5242" w14:textId="77777777" w:rsidR="008E041B" w:rsidRPr="00617A89" w:rsidRDefault="008E041B" w:rsidP="008E041B">
            <w:pPr>
              <w:pStyle w:val="2Questionstem"/>
              <w:rPr>
                <w:color w:val="000000" w:themeColor="text1"/>
                <w:sz w:val="18"/>
                <w:szCs w:val="18"/>
              </w:rPr>
            </w:pPr>
          </w:p>
          <w:p w14:paraId="34FC8B6A" w14:textId="77777777" w:rsidR="008E041B" w:rsidRPr="00617A89" w:rsidRDefault="008E041B" w:rsidP="00D74D0C">
            <w:pPr>
              <w:pStyle w:val="InterviewerNote"/>
              <w:ind w:left="0"/>
              <w:rPr>
                <w:rFonts w:cs="Arial"/>
                <w:i/>
                <w:iCs/>
                <w:color w:val="000000" w:themeColor="text1"/>
                <w:sz w:val="18"/>
                <w:szCs w:val="18"/>
              </w:rPr>
            </w:pPr>
            <w:r w:rsidRPr="00617A89">
              <w:rPr>
                <w:rFonts w:cs="Arial"/>
                <w:i/>
                <w:iCs/>
                <w:color w:val="000000" w:themeColor="text1"/>
                <w:sz w:val="18"/>
                <w:szCs w:val="18"/>
              </w:rPr>
              <w:t>Please select only one answer.</w:t>
            </w:r>
          </w:p>
          <w:p w14:paraId="5BBC53F5" w14:textId="73EA51AE" w:rsidR="00E5099D" w:rsidRPr="00617A89" w:rsidRDefault="00E5099D" w:rsidP="00ED7300">
            <w:pPr>
              <w:pStyle w:val="QNameText"/>
              <w:spacing w:before="40" w:after="40"/>
              <w:ind w:left="28" w:hanging="28"/>
              <w:rPr>
                <w:rFonts w:cs="Arial"/>
                <w:color w:val="000000" w:themeColor="text1"/>
                <w:sz w:val="18"/>
                <w:szCs w:val="18"/>
              </w:rPr>
            </w:pPr>
          </w:p>
        </w:tc>
        <w:tc>
          <w:tcPr>
            <w:tcW w:w="4819" w:type="dxa"/>
          </w:tcPr>
          <w:p w14:paraId="179AE973"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1.</w:t>
            </w:r>
            <w:r w:rsidRPr="00617A89">
              <w:rPr>
                <w:rStyle w:val="normaltextrun"/>
                <w:color w:val="000000" w:themeColor="text1"/>
                <w:sz w:val="18"/>
                <w:szCs w:val="18"/>
              </w:rPr>
              <w:tab/>
              <w:t>Time off work</w:t>
            </w:r>
          </w:p>
          <w:p w14:paraId="2CFA8DBC"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2.</w:t>
            </w:r>
            <w:r w:rsidRPr="00617A89">
              <w:rPr>
                <w:rStyle w:val="normaltextrun"/>
                <w:color w:val="000000" w:themeColor="text1"/>
                <w:sz w:val="18"/>
                <w:szCs w:val="18"/>
              </w:rPr>
              <w:tab/>
              <w:t>Own illness or injury</w:t>
            </w:r>
          </w:p>
          <w:p w14:paraId="231C3E8A"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3.</w:t>
            </w:r>
            <w:r w:rsidRPr="00617A89">
              <w:rPr>
                <w:rStyle w:val="normaltextrun"/>
                <w:color w:val="000000" w:themeColor="text1"/>
                <w:sz w:val="18"/>
                <w:szCs w:val="18"/>
              </w:rPr>
              <w:tab/>
              <w:t>Personal reasons</w:t>
            </w:r>
          </w:p>
          <w:p w14:paraId="0D97F46D"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4.</w:t>
            </w:r>
            <w:r w:rsidRPr="00617A89">
              <w:rPr>
                <w:rStyle w:val="normaltextrun"/>
                <w:color w:val="000000" w:themeColor="text1"/>
                <w:sz w:val="18"/>
                <w:szCs w:val="18"/>
              </w:rPr>
              <w:tab/>
              <w:t>Study</w:t>
            </w:r>
          </w:p>
          <w:p w14:paraId="1988A73B"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5.</w:t>
            </w:r>
            <w:r w:rsidRPr="00617A89">
              <w:rPr>
                <w:rStyle w:val="normaltextrun"/>
                <w:color w:val="000000" w:themeColor="text1"/>
                <w:sz w:val="18"/>
                <w:szCs w:val="18"/>
              </w:rPr>
              <w:tab/>
              <w:t>Caring for sick/injured family</w:t>
            </w:r>
          </w:p>
          <w:p w14:paraId="2A844DAA"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6.</w:t>
            </w:r>
            <w:r w:rsidRPr="00617A89">
              <w:rPr>
                <w:rStyle w:val="normaltextrun"/>
                <w:color w:val="000000" w:themeColor="text1"/>
                <w:sz w:val="18"/>
                <w:szCs w:val="18"/>
              </w:rPr>
              <w:tab/>
              <w:t xml:space="preserve">Maternity leave or paternity leave </w:t>
            </w:r>
          </w:p>
          <w:p w14:paraId="30A43452"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7.</w:t>
            </w:r>
            <w:r w:rsidRPr="00617A89">
              <w:rPr>
                <w:rStyle w:val="normaltextrun"/>
                <w:color w:val="000000" w:themeColor="text1"/>
                <w:sz w:val="18"/>
                <w:szCs w:val="18"/>
              </w:rPr>
              <w:tab/>
              <w:t>Parental leave</w:t>
            </w:r>
          </w:p>
          <w:p w14:paraId="26780528"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8.</w:t>
            </w:r>
            <w:r w:rsidRPr="00617A89">
              <w:rPr>
                <w:rStyle w:val="normaltextrun"/>
                <w:color w:val="000000" w:themeColor="text1"/>
                <w:sz w:val="18"/>
                <w:szCs w:val="18"/>
              </w:rPr>
              <w:tab/>
              <w:t>No work/not enough work available</w:t>
            </w:r>
          </w:p>
          <w:p w14:paraId="656AA16D"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9.</w:t>
            </w:r>
            <w:r w:rsidRPr="00617A89">
              <w:rPr>
                <w:rStyle w:val="normaltextrun"/>
                <w:color w:val="000000" w:themeColor="text1"/>
                <w:sz w:val="18"/>
                <w:szCs w:val="18"/>
              </w:rPr>
              <w:tab/>
              <w:t>Stood down</w:t>
            </w:r>
          </w:p>
          <w:p w14:paraId="46BFC0E4"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10.</w:t>
            </w:r>
            <w:r w:rsidRPr="00617A89">
              <w:rPr>
                <w:rStyle w:val="normaltextrun"/>
                <w:color w:val="000000" w:themeColor="text1"/>
                <w:sz w:val="18"/>
                <w:szCs w:val="18"/>
              </w:rPr>
              <w:tab/>
              <w:t>Bad weather/plant breakdown</w:t>
            </w:r>
          </w:p>
          <w:p w14:paraId="4557D30E" w14:textId="77777777" w:rsidR="008E041B" w:rsidRPr="00617A89" w:rsidRDefault="008E041B" w:rsidP="00D74D0C">
            <w:pPr>
              <w:pStyle w:val="1ResponseFrame"/>
              <w:ind w:left="567"/>
              <w:rPr>
                <w:rStyle w:val="normaltextrun"/>
                <w:color w:val="000000" w:themeColor="text1"/>
                <w:sz w:val="18"/>
                <w:szCs w:val="18"/>
              </w:rPr>
            </w:pPr>
            <w:r w:rsidRPr="00617A89">
              <w:rPr>
                <w:rStyle w:val="normaltextrun"/>
                <w:color w:val="000000" w:themeColor="text1"/>
                <w:sz w:val="18"/>
                <w:szCs w:val="18"/>
              </w:rPr>
              <w:t>11.</w:t>
            </w:r>
            <w:r w:rsidRPr="00617A89">
              <w:rPr>
                <w:rStyle w:val="normaltextrun"/>
                <w:color w:val="000000" w:themeColor="text1"/>
                <w:sz w:val="18"/>
                <w:szCs w:val="18"/>
              </w:rPr>
              <w:tab/>
              <w:t>Seasonal work/end of season</w:t>
            </w:r>
          </w:p>
          <w:p w14:paraId="579F5E27" w14:textId="5CE6ED7B" w:rsidR="00E5099D" w:rsidRPr="00617A89" w:rsidRDefault="008E041B" w:rsidP="00D74D0C">
            <w:pPr>
              <w:pStyle w:val="1ResponseFrame"/>
              <w:ind w:left="567"/>
              <w:rPr>
                <w:color w:val="000000" w:themeColor="text1"/>
                <w:sz w:val="18"/>
                <w:szCs w:val="18"/>
              </w:rPr>
            </w:pPr>
            <w:r w:rsidRPr="00617A89">
              <w:rPr>
                <w:rStyle w:val="normaltextrun"/>
                <w:color w:val="000000" w:themeColor="text1"/>
                <w:sz w:val="18"/>
                <w:szCs w:val="18"/>
              </w:rPr>
              <w:t>12.</w:t>
            </w:r>
            <w:r w:rsidRPr="00617A89">
              <w:rPr>
                <w:rStyle w:val="normaltextrun"/>
                <w:color w:val="000000" w:themeColor="text1"/>
                <w:sz w:val="18"/>
                <w:szCs w:val="18"/>
              </w:rPr>
              <w:tab/>
              <w:t>Other (Please specify)</w:t>
            </w:r>
          </w:p>
        </w:tc>
      </w:tr>
    </w:tbl>
    <w:p w14:paraId="7A87C592" w14:textId="58619EFC" w:rsidR="000727CB" w:rsidRPr="00617A89" w:rsidRDefault="000727CB" w:rsidP="00AB4EA3">
      <w:pPr>
        <w:pStyle w:val="Appendix2"/>
        <w:rPr>
          <w:color w:val="000000" w:themeColor="text1"/>
        </w:rPr>
      </w:pPr>
      <w:bookmarkStart w:id="202" w:name="_Toc207707342"/>
      <w:bookmarkStart w:id="203" w:name="_Toc207707343"/>
      <w:bookmarkStart w:id="204" w:name="_Toc207707344"/>
      <w:bookmarkStart w:id="205" w:name="_Toc204871627"/>
      <w:bookmarkStart w:id="206" w:name="_Toc222868461"/>
      <w:bookmarkEnd w:id="202"/>
      <w:bookmarkEnd w:id="203"/>
      <w:bookmarkEnd w:id="204"/>
      <w:r w:rsidRPr="00617A89">
        <w:rPr>
          <w:color w:val="000000" w:themeColor="text1"/>
        </w:rPr>
        <w:t xml:space="preserve">Impact on the 2025 </w:t>
      </w:r>
      <w:r w:rsidR="00AE502E" w:rsidRPr="00617A89">
        <w:rPr>
          <w:color w:val="000000" w:themeColor="text1"/>
        </w:rPr>
        <w:t xml:space="preserve">GOS and 2025 </w:t>
      </w:r>
      <w:r w:rsidRPr="00617A89">
        <w:rPr>
          <w:color w:val="000000" w:themeColor="text1"/>
        </w:rPr>
        <w:t>GOS-L data</w:t>
      </w:r>
      <w:bookmarkEnd w:id="205"/>
      <w:bookmarkEnd w:id="206"/>
    </w:p>
    <w:p w14:paraId="0EC0625D" w14:textId="6815F7B9" w:rsidR="00FA0808" w:rsidRPr="00617A89" w:rsidRDefault="00FA0808" w:rsidP="000727CB">
      <w:pPr>
        <w:pStyle w:val="Body"/>
        <w:rPr>
          <w:color w:val="000000" w:themeColor="text1"/>
        </w:rPr>
      </w:pPr>
      <w:r w:rsidRPr="00617A89">
        <w:rPr>
          <w:color w:val="000000" w:themeColor="text1"/>
        </w:rPr>
        <w:t>Changes to existing questions LOOKFTWK (looked for full-time work) and LOOKPTWK (looked for part-time work) (</w:t>
      </w:r>
      <w:r w:rsidRPr="00617A89">
        <w:rPr>
          <w:b/>
          <w:bCs/>
          <w:color w:val="000000" w:themeColor="text1"/>
        </w:rPr>
        <w:fldChar w:fldCharType="begin"/>
      </w:r>
      <w:r w:rsidRPr="00617A89">
        <w:rPr>
          <w:b/>
          <w:bCs/>
          <w:color w:val="000000" w:themeColor="text1"/>
        </w:rPr>
        <w:instrText xml:space="preserve"> REF _Ref207698628 \h  \* MERGEFORMAT </w:instrText>
      </w:r>
      <w:r w:rsidRPr="00617A89">
        <w:rPr>
          <w:b/>
          <w:bCs/>
          <w:color w:val="000000" w:themeColor="text1"/>
        </w:rPr>
      </w:r>
      <w:r w:rsidRPr="00617A89">
        <w:rPr>
          <w:b/>
          <w:bCs/>
          <w:color w:val="000000" w:themeColor="text1"/>
        </w:rPr>
        <w:fldChar w:fldCharType="separate"/>
      </w:r>
      <w:r w:rsidR="00AE502E" w:rsidRPr="00617A89">
        <w:rPr>
          <w:b/>
          <w:bCs/>
          <w:color w:val="000000" w:themeColor="text1"/>
        </w:rPr>
        <w:t xml:space="preserve">Table </w:t>
      </w:r>
      <w:r w:rsidR="00AE502E" w:rsidRPr="00617A89">
        <w:rPr>
          <w:b/>
          <w:bCs/>
          <w:noProof/>
          <w:color w:val="000000" w:themeColor="text1"/>
        </w:rPr>
        <w:t>16</w:t>
      </w:r>
      <w:r w:rsidRPr="00617A89">
        <w:rPr>
          <w:b/>
          <w:bCs/>
          <w:color w:val="000000" w:themeColor="text1"/>
        </w:rPr>
        <w:fldChar w:fldCharType="end"/>
      </w:r>
      <w:r w:rsidRPr="00617A89">
        <w:rPr>
          <w:color w:val="000000" w:themeColor="text1"/>
        </w:rPr>
        <w:t>)</w:t>
      </w:r>
      <w:r w:rsidR="007F49D8" w:rsidRPr="00617A89">
        <w:rPr>
          <w:color w:val="000000" w:themeColor="text1"/>
        </w:rPr>
        <w:t>,</w:t>
      </w:r>
      <w:r w:rsidRPr="00617A89">
        <w:rPr>
          <w:color w:val="000000" w:themeColor="text1"/>
        </w:rPr>
        <w:t xml:space="preserve"> which are used in establishing whether unemployed graduates are considered available for employment and therefore in the labour force</w:t>
      </w:r>
      <w:r w:rsidR="002503FF" w:rsidRPr="00617A89">
        <w:rPr>
          <w:color w:val="000000" w:themeColor="text1"/>
        </w:rPr>
        <w:t>,</w:t>
      </w:r>
      <w:r w:rsidRPr="00617A89">
        <w:rPr>
          <w:color w:val="000000" w:themeColor="text1"/>
        </w:rPr>
        <w:t xml:space="preserve"> led to a change in response patterns relative to prior years. </w:t>
      </w:r>
    </w:p>
    <w:p w14:paraId="35173B79" w14:textId="77777777" w:rsidR="0094289B" w:rsidRPr="00617A89" w:rsidRDefault="0094289B" w:rsidP="0094289B">
      <w:pPr>
        <w:pStyle w:val="Body"/>
        <w:rPr>
          <w:color w:val="000000" w:themeColor="text1"/>
        </w:rPr>
      </w:pPr>
      <w:r w:rsidRPr="00617A89">
        <w:rPr>
          <w:color w:val="000000" w:themeColor="text1"/>
        </w:rPr>
        <w:t>Previously, respondents could answer ‘yes’ or ‘no’ when asked if they had looked for full-time/part-time work. In 2025, respondents could answer ‘yes, actively’, ‘yes, passively’, or ‘no’. The total proportion responding ‘yes’ (either actively or passively) was markedly higher compared to previous years and the proportion answering ‘no’ decreased substantially. These findings indicated that respondents who may have previously been searching for work passively were previously answering either ‘yes’ or ‘no’.</w:t>
      </w:r>
    </w:p>
    <w:p w14:paraId="7356FCAD" w14:textId="7E98A45C" w:rsidR="000727CB" w:rsidRPr="00617A89" w:rsidRDefault="0094289B" w:rsidP="000727CB">
      <w:pPr>
        <w:pStyle w:val="Body"/>
        <w:rPr>
          <w:color w:val="000000" w:themeColor="text1"/>
        </w:rPr>
      </w:pPr>
      <w:r w:rsidRPr="00617A89">
        <w:rPr>
          <w:color w:val="000000" w:themeColor="text1"/>
        </w:rPr>
        <w:t>Focussing on active job seekers shows a marked decrease in the proportion of respondents looking for work. As a result, the improved alignment with ABS definitions have led to changes to the labour force participation rate, and the full-time and overall employment rates presented in the GOS and GOS-L</w:t>
      </w:r>
      <w:r w:rsidR="000727CB" w:rsidRPr="00617A89">
        <w:rPr>
          <w:color w:val="000000" w:themeColor="text1"/>
        </w:rPr>
        <w:t>.</w:t>
      </w:r>
    </w:p>
    <w:p w14:paraId="42B86C2F" w14:textId="46583C77" w:rsidR="000727CB" w:rsidRPr="00617A89" w:rsidRDefault="007F49D8" w:rsidP="00D74D0C">
      <w:pPr>
        <w:pStyle w:val="Appendix3"/>
        <w:rPr>
          <w:color w:val="000000" w:themeColor="text1"/>
        </w:rPr>
      </w:pPr>
      <w:bookmarkStart w:id="207" w:name="_Toc207707346"/>
      <w:bookmarkStart w:id="208" w:name="_Toc207707347"/>
      <w:bookmarkStart w:id="209" w:name="_Toc207707348"/>
      <w:bookmarkStart w:id="210" w:name="_Toc207707349"/>
      <w:bookmarkStart w:id="211" w:name="_Toc207707350"/>
      <w:bookmarkStart w:id="212" w:name="_Toc207707351"/>
      <w:bookmarkStart w:id="213" w:name="_Toc222868462"/>
      <w:bookmarkEnd w:id="207"/>
      <w:bookmarkEnd w:id="208"/>
      <w:bookmarkEnd w:id="209"/>
      <w:bookmarkEnd w:id="210"/>
      <w:bookmarkEnd w:id="211"/>
      <w:bookmarkEnd w:id="212"/>
      <w:r w:rsidRPr="00617A89">
        <w:rPr>
          <w:color w:val="000000" w:themeColor="text1"/>
        </w:rPr>
        <w:t>Changes to k</w:t>
      </w:r>
      <w:r w:rsidR="000727CB" w:rsidRPr="00617A89">
        <w:rPr>
          <w:color w:val="000000" w:themeColor="text1"/>
        </w:rPr>
        <w:t xml:space="preserve">ey labour </w:t>
      </w:r>
      <w:r w:rsidR="00CD5F10" w:rsidRPr="00617A89">
        <w:rPr>
          <w:color w:val="000000" w:themeColor="text1"/>
        </w:rPr>
        <w:t xml:space="preserve">market </w:t>
      </w:r>
      <w:r w:rsidR="000727CB" w:rsidRPr="00617A89">
        <w:rPr>
          <w:color w:val="000000" w:themeColor="text1"/>
        </w:rPr>
        <w:t>indicator definition</w:t>
      </w:r>
      <w:r w:rsidRPr="00617A89">
        <w:rPr>
          <w:color w:val="000000" w:themeColor="text1"/>
        </w:rPr>
        <w:t>s</w:t>
      </w:r>
      <w:bookmarkEnd w:id="213"/>
    </w:p>
    <w:p w14:paraId="7AE950C4" w14:textId="77777777" w:rsidR="009117DD" w:rsidRPr="00617A89" w:rsidRDefault="009117DD" w:rsidP="00BC457C">
      <w:pPr>
        <w:pStyle w:val="Heading4"/>
      </w:pPr>
      <w:r w:rsidRPr="00617A89">
        <w:t>Labour force participation rate</w:t>
      </w:r>
    </w:p>
    <w:p w14:paraId="65F669E8" w14:textId="00FF53E5" w:rsidR="002B33DE" w:rsidRPr="00617A89" w:rsidRDefault="009117DD" w:rsidP="009117DD">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 xml:space="preserve">The labour force participation rate is defined as the proportion of graduates who were </w:t>
      </w:r>
      <w:r w:rsidRPr="00617A89">
        <w:rPr>
          <w:rFonts w:eastAsia="Times New Roman" w:cs="Times New Roman"/>
          <w:i/>
          <w:iCs/>
          <w:color w:val="000000" w:themeColor="text1"/>
          <w:szCs w:val="20"/>
        </w:rPr>
        <w:t>available</w:t>
      </w:r>
      <w:r w:rsidRPr="00617A89">
        <w:rPr>
          <w:rFonts w:eastAsia="Times New Roman" w:cs="Times New Roman"/>
          <w:color w:val="000000" w:themeColor="text1"/>
          <w:szCs w:val="20"/>
        </w:rPr>
        <w:t xml:space="preserve"> for employment out of the </w:t>
      </w:r>
      <w:r w:rsidR="002B33DE" w:rsidRPr="00617A89">
        <w:rPr>
          <w:rFonts w:eastAsia="Times New Roman" w:cs="Times New Roman"/>
          <w:color w:val="000000" w:themeColor="text1"/>
          <w:szCs w:val="20"/>
        </w:rPr>
        <w:t xml:space="preserve">total </w:t>
      </w:r>
      <w:r w:rsidRPr="00617A89">
        <w:rPr>
          <w:rFonts w:eastAsia="Times New Roman" w:cs="Times New Roman"/>
          <w:color w:val="000000" w:themeColor="text1"/>
          <w:szCs w:val="20"/>
        </w:rPr>
        <w:t xml:space="preserve">number of respondents. ‘Available for employment’ (and ‘available for full-time employment’) is defined as graduates who were </w:t>
      </w:r>
      <w:r w:rsidR="002B33DE" w:rsidRPr="00617A89">
        <w:rPr>
          <w:rFonts w:eastAsia="Times New Roman" w:cs="Times New Roman"/>
          <w:color w:val="000000" w:themeColor="text1"/>
          <w:szCs w:val="20"/>
        </w:rPr>
        <w:t xml:space="preserve">(full-time) </w:t>
      </w:r>
      <w:r w:rsidRPr="00617A89">
        <w:rPr>
          <w:rFonts w:eastAsia="Times New Roman" w:cs="Times New Roman"/>
          <w:color w:val="000000" w:themeColor="text1"/>
          <w:szCs w:val="20"/>
        </w:rPr>
        <w:t xml:space="preserve">employed, looking for </w:t>
      </w:r>
      <w:r w:rsidR="002B33DE" w:rsidRPr="00617A89">
        <w:rPr>
          <w:rFonts w:eastAsia="Times New Roman" w:cs="Times New Roman"/>
          <w:color w:val="000000" w:themeColor="text1"/>
          <w:szCs w:val="20"/>
        </w:rPr>
        <w:t xml:space="preserve">(full-time) </w:t>
      </w:r>
      <w:r w:rsidRPr="00617A89">
        <w:rPr>
          <w:rFonts w:eastAsia="Times New Roman" w:cs="Times New Roman"/>
          <w:color w:val="000000" w:themeColor="text1"/>
          <w:szCs w:val="20"/>
        </w:rPr>
        <w:t xml:space="preserve">employment or waiting to start a job in the week prior to the survey. </w:t>
      </w:r>
    </w:p>
    <w:p w14:paraId="63CC5E8B" w14:textId="344BBEF0" w:rsidR="009117DD" w:rsidRPr="00617A89" w:rsidRDefault="009117DD" w:rsidP="009117DD">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 xml:space="preserve">As </w:t>
      </w:r>
      <w:r w:rsidR="002B33DE" w:rsidRPr="00617A89">
        <w:rPr>
          <w:rFonts w:eastAsia="Times New Roman" w:cs="Times New Roman"/>
          <w:color w:val="000000" w:themeColor="text1"/>
          <w:szCs w:val="20"/>
        </w:rPr>
        <w:t>discussed earlier, r</w:t>
      </w:r>
      <w:r w:rsidRPr="00617A89">
        <w:rPr>
          <w:rFonts w:eastAsia="Times New Roman" w:cs="Times New Roman"/>
          <w:color w:val="000000" w:themeColor="text1"/>
          <w:szCs w:val="20"/>
        </w:rPr>
        <w:t xml:space="preserve">espondents who answered that they were passively looking for </w:t>
      </w:r>
      <w:r w:rsidR="002B33DE" w:rsidRPr="00617A89">
        <w:rPr>
          <w:rFonts w:eastAsia="Times New Roman" w:cs="Times New Roman"/>
          <w:color w:val="000000" w:themeColor="text1"/>
          <w:szCs w:val="20"/>
        </w:rPr>
        <w:t xml:space="preserve">(full-time/part-time) </w:t>
      </w:r>
      <w:r w:rsidRPr="00617A89">
        <w:rPr>
          <w:rFonts w:eastAsia="Times New Roman" w:cs="Times New Roman"/>
          <w:color w:val="000000" w:themeColor="text1"/>
          <w:szCs w:val="20"/>
        </w:rPr>
        <w:t xml:space="preserve">work </w:t>
      </w:r>
      <w:r w:rsidR="002B33DE" w:rsidRPr="00617A89">
        <w:rPr>
          <w:rFonts w:eastAsia="Times New Roman" w:cs="Times New Roman"/>
          <w:color w:val="000000" w:themeColor="text1"/>
          <w:szCs w:val="20"/>
        </w:rPr>
        <w:t>were classed</w:t>
      </w:r>
      <w:r w:rsidRPr="00617A89">
        <w:rPr>
          <w:rFonts w:eastAsia="Times New Roman" w:cs="Times New Roman"/>
          <w:color w:val="000000" w:themeColor="text1"/>
          <w:szCs w:val="20"/>
        </w:rPr>
        <w:t xml:space="preserve"> as ‘</w:t>
      </w:r>
      <w:r w:rsidR="002B33DE" w:rsidRPr="00617A89">
        <w:rPr>
          <w:rFonts w:eastAsia="Times New Roman" w:cs="Times New Roman"/>
          <w:color w:val="000000" w:themeColor="text1"/>
          <w:szCs w:val="20"/>
        </w:rPr>
        <w:t>n</w:t>
      </w:r>
      <w:r w:rsidRPr="00617A89">
        <w:rPr>
          <w:rFonts w:eastAsia="Times New Roman" w:cs="Times New Roman"/>
          <w:color w:val="000000" w:themeColor="text1"/>
          <w:szCs w:val="20"/>
        </w:rPr>
        <w:t>ot in the labour force’</w:t>
      </w:r>
      <w:r w:rsidR="002B33DE" w:rsidRPr="00617A89">
        <w:rPr>
          <w:rFonts w:eastAsia="Times New Roman" w:cs="Times New Roman"/>
          <w:color w:val="000000" w:themeColor="text1"/>
          <w:szCs w:val="20"/>
        </w:rPr>
        <w:t xml:space="preserve"> in 2025, if the other criteria for ‘available for employment’ were not met</w:t>
      </w:r>
      <w:r w:rsidRPr="00617A89">
        <w:rPr>
          <w:rFonts w:eastAsia="Times New Roman" w:cs="Times New Roman"/>
          <w:color w:val="000000" w:themeColor="text1"/>
          <w:szCs w:val="20"/>
        </w:rPr>
        <w:t xml:space="preserve">. </w:t>
      </w:r>
      <w:r w:rsidR="002B33DE" w:rsidRPr="00617A89">
        <w:rPr>
          <w:rFonts w:eastAsia="Times New Roman" w:cs="Times New Roman"/>
          <w:color w:val="000000" w:themeColor="text1"/>
          <w:szCs w:val="20"/>
        </w:rPr>
        <w:t xml:space="preserve">This has reduced the number of respondents considered available for employment which has resulted in a decreased labour force participation rate in 2025. </w:t>
      </w:r>
    </w:p>
    <w:p w14:paraId="4CCC3105" w14:textId="03CFDE82" w:rsidR="002B33DE" w:rsidRPr="00617A89" w:rsidRDefault="00DB7C31" w:rsidP="009117DD">
      <w:pPr>
        <w:spacing w:before="120" w:after="120" w:line="300" w:lineRule="auto"/>
        <w:rPr>
          <w:rFonts w:eastAsia="Times New Roman" w:cs="Arial"/>
          <w:color w:val="000000" w:themeColor="text1"/>
          <w:szCs w:val="20"/>
        </w:rPr>
      </w:pPr>
      <w:r w:rsidRPr="00617A89">
        <w:rPr>
          <w:rFonts w:cs="Arial"/>
          <w:color w:val="000000" w:themeColor="text1"/>
          <w:szCs w:val="20"/>
          <w:lang w:val="en-GB"/>
        </w:rPr>
        <w:t>‘Available for</w:t>
      </w:r>
      <w:r w:rsidRPr="00617A89">
        <w:rPr>
          <w:rFonts w:cs="Arial"/>
          <w:color w:val="000000" w:themeColor="text1"/>
          <w:szCs w:val="20"/>
        </w:rPr>
        <w:t> f</w:t>
      </w:r>
      <w:r w:rsidRPr="00617A89">
        <w:rPr>
          <w:rFonts w:cs="Arial"/>
          <w:color w:val="000000" w:themeColor="text1"/>
          <w:szCs w:val="20"/>
          <w:lang w:val="en-GB"/>
        </w:rPr>
        <w:t>ull-time employmen</w:t>
      </w:r>
      <w:r w:rsidRPr="00617A89">
        <w:rPr>
          <w:rFonts w:cs="Arial"/>
          <w:color w:val="000000" w:themeColor="text1"/>
          <w:szCs w:val="20"/>
        </w:rPr>
        <w:t>t’ </w:t>
      </w:r>
      <w:r w:rsidRPr="00617A89">
        <w:rPr>
          <w:rFonts w:cs="Arial"/>
          <w:color w:val="000000" w:themeColor="text1"/>
          <w:szCs w:val="20"/>
          <w:lang w:val="en-GB"/>
        </w:rPr>
        <w:t>and</w:t>
      </w:r>
      <w:r w:rsidRPr="00617A89">
        <w:rPr>
          <w:rFonts w:cs="Arial"/>
          <w:color w:val="000000" w:themeColor="text1"/>
          <w:szCs w:val="20"/>
        </w:rPr>
        <w:t> ‘</w:t>
      </w:r>
      <w:r w:rsidRPr="00617A89">
        <w:rPr>
          <w:rFonts w:cs="Arial"/>
          <w:color w:val="000000" w:themeColor="text1"/>
          <w:szCs w:val="20"/>
          <w:lang w:val="en-GB"/>
        </w:rPr>
        <w:t>available for employmen</w:t>
      </w:r>
      <w:r w:rsidRPr="00617A89">
        <w:rPr>
          <w:rFonts w:cs="Arial"/>
          <w:color w:val="000000" w:themeColor="text1"/>
          <w:szCs w:val="20"/>
        </w:rPr>
        <w:t>t’ </w:t>
      </w:r>
      <w:r w:rsidRPr="00617A89">
        <w:rPr>
          <w:rFonts w:cs="Arial"/>
          <w:color w:val="000000" w:themeColor="text1"/>
          <w:szCs w:val="20"/>
          <w:lang w:val="en-GB"/>
        </w:rPr>
        <w:t>in general are key variables used in the calculation of the full-time and overall employment rates, respectively, and thus have implications on these measures.</w:t>
      </w:r>
      <w:r w:rsidRPr="00617A89" w:rsidDel="00DB7C31">
        <w:rPr>
          <w:rFonts w:eastAsia="Times New Roman" w:cs="Arial"/>
          <w:color w:val="000000" w:themeColor="text1"/>
          <w:szCs w:val="20"/>
        </w:rPr>
        <w:t xml:space="preserve"> </w:t>
      </w:r>
    </w:p>
    <w:p w14:paraId="03B802AF" w14:textId="7839A34C" w:rsidR="000727CB" w:rsidRPr="00617A89" w:rsidRDefault="000727CB" w:rsidP="00BC457C">
      <w:pPr>
        <w:pStyle w:val="Heading4"/>
      </w:pPr>
      <w:bookmarkStart w:id="214" w:name="_Toc204871632"/>
      <w:r w:rsidRPr="00617A89">
        <w:t xml:space="preserve">Full-time </w:t>
      </w:r>
      <w:r w:rsidR="00C64B0E" w:rsidRPr="00617A89">
        <w:t>e</w:t>
      </w:r>
      <w:r w:rsidRPr="00617A89">
        <w:t xml:space="preserve">mployment </w:t>
      </w:r>
      <w:r w:rsidR="00C64B0E" w:rsidRPr="00617A89">
        <w:t>r</w:t>
      </w:r>
      <w:r w:rsidRPr="00617A89">
        <w:t>ate</w:t>
      </w:r>
      <w:bookmarkEnd w:id="214"/>
    </w:p>
    <w:p w14:paraId="454BB18A" w14:textId="23A9F09A" w:rsidR="000727CB" w:rsidRPr="00617A89" w:rsidRDefault="002B33DE" w:rsidP="000727CB">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 xml:space="preserve">Graduates are considered full-time employed if they were usually or actually in paid employment for at least 35 hours per week in the week before the survey. </w:t>
      </w:r>
    </w:p>
    <w:p w14:paraId="410C090A" w14:textId="34C2E327" w:rsidR="002B33DE" w:rsidRPr="00617A89" w:rsidRDefault="002B33DE" w:rsidP="000727CB">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The full-time employment rate is defined as graduates employed full-time, as a proportion of those available for full-time employment. Given the proportion available for full-time employment was reduced in 2025,</w:t>
      </w:r>
      <w:r w:rsidR="004F3DE9" w:rsidRPr="00617A89">
        <w:rPr>
          <w:rFonts w:eastAsia="Times New Roman" w:cs="Times New Roman"/>
          <w:color w:val="000000" w:themeColor="text1"/>
          <w:szCs w:val="20"/>
        </w:rPr>
        <w:t xml:space="preserve"> expected declines in</w:t>
      </w:r>
      <w:r w:rsidRPr="00617A89">
        <w:rPr>
          <w:rFonts w:eastAsia="Times New Roman" w:cs="Times New Roman"/>
          <w:color w:val="000000" w:themeColor="text1"/>
          <w:szCs w:val="20"/>
        </w:rPr>
        <w:t xml:space="preserve"> the full</w:t>
      </w:r>
      <w:r w:rsidR="004F3DE9" w:rsidRPr="00617A89">
        <w:rPr>
          <w:rFonts w:eastAsia="Times New Roman" w:cs="Times New Roman"/>
          <w:color w:val="000000" w:themeColor="text1"/>
          <w:szCs w:val="20"/>
        </w:rPr>
        <w:t xml:space="preserve">-time employment rate in 2025 </w:t>
      </w:r>
      <w:r w:rsidR="0074146B" w:rsidRPr="00617A89">
        <w:rPr>
          <w:rFonts w:eastAsia="Times New Roman" w:cs="Times New Roman"/>
          <w:color w:val="000000" w:themeColor="text1"/>
          <w:szCs w:val="20"/>
        </w:rPr>
        <w:t xml:space="preserve">(consistent with ABS data) </w:t>
      </w:r>
      <w:r w:rsidR="004F3DE9" w:rsidRPr="00617A89">
        <w:rPr>
          <w:rFonts w:eastAsia="Times New Roman" w:cs="Times New Roman"/>
          <w:color w:val="000000" w:themeColor="text1"/>
          <w:szCs w:val="20"/>
        </w:rPr>
        <w:t>were not observed. This has had a greater impact on the undergraduate rate due to the greater likelihood of undergraduates not being available for employment due to</w:t>
      </w:r>
      <w:r w:rsidR="0094289B" w:rsidRPr="00617A89">
        <w:rPr>
          <w:rFonts w:eastAsia="Times New Roman" w:cs="Times New Roman"/>
          <w:color w:val="000000" w:themeColor="text1"/>
          <w:szCs w:val="20"/>
        </w:rPr>
        <w:t xml:space="preserve"> </w:t>
      </w:r>
      <w:r w:rsidR="0094289B" w:rsidRPr="00617A89">
        <w:rPr>
          <w:rFonts w:eastAsia="Times New Roman" w:cs="Times New Roman"/>
          <w:szCs w:val="20"/>
        </w:rPr>
        <w:t>their higher propensity for pursuing</w:t>
      </w:r>
      <w:r w:rsidR="004F3DE9" w:rsidRPr="00617A89">
        <w:rPr>
          <w:rFonts w:eastAsia="Times New Roman" w:cs="Times New Roman"/>
          <w:color w:val="000000" w:themeColor="text1"/>
          <w:szCs w:val="20"/>
        </w:rPr>
        <w:t xml:space="preserve"> further studies. </w:t>
      </w:r>
    </w:p>
    <w:p w14:paraId="03E6DD4B" w14:textId="4D6BFA18" w:rsidR="000727CB" w:rsidRPr="00617A89" w:rsidRDefault="000727CB" w:rsidP="00BC457C">
      <w:pPr>
        <w:pStyle w:val="Heading4"/>
      </w:pPr>
      <w:bookmarkStart w:id="215" w:name="_Toc204871633"/>
      <w:r w:rsidRPr="00617A89">
        <w:t xml:space="preserve">Overall </w:t>
      </w:r>
      <w:r w:rsidR="00C64B0E" w:rsidRPr="00617A89">
        <w:t>e</w:t>
      </w:r>
      <w:r w:rsidRPr="00617A89">
        <w:t xml:space="preserve">mployment </w:t>
      </w:r>
      <w:r w:rsidR="00C64B0E" w:rsidRPr="00617A89">
        <w:t>r</w:t>
      </w:r>
      <w:r w:rsidRPr="00617A89">
        <w:t>ate</w:t>
      </w:r>
      <w:bookmarkEnd w:id="215"/>
    </w:p>
    <w:p w14:paraId="56D9E150" w14:textId="77777777" w:rsidR="00AE0E17" w:rsidRPr="00617A89" w:rsidRDefault="004F3DE9" w:rsidP="000727CB">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Graduates are considered employed if they were usually or actually in paid employment for one or more hours in the week before the survey.</w:t>
      </w:r>
    </w:p>
    <w:p w14:paraId="41332F23" w14:textId="289B53D4" w:rsidR="00CD5F10" w:rsidRPr="00617A89" w:rsidRDefault="00AE0E17" w:rsidP="000727CB">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The o</w:t>
      </w:r>
      <w:r w:rsidR="000727CB" w:rsidRPr="00617A89">
        <w:rPr>
          <w:rFonts w:eastAsia="Times New Roman" w:cs="Times New Roman"/>
          <w:color w:val="000000" w:themeColor="text1"/>
          <w:szCs w:val="20"/>
        </w:rPr>
        <w:t xml:space="preserve">verall employment rate is defined as </w:t>
      </w:r>
      <w:r w:rsidRPr="00617A89">
        <w:rPr>
          <w:rFonts w:eastAsia="Times New Roman" w:cs="Times New Roman"/>
          <w:color w:val="000000" w:themeColor="text1"/>
          <w:szCs w:val="20"/>
        </w:rPr>
        <w:t>employed graduates, as a proportion of those available for employment.</w:t>
      </w:r>
      <w:r w:rsidR="00CD5F10" w:rsidRPr="00617A89">
        <w:rPr>
          <w:rFonts w:eastAsia="Times New Roman" w:cs="Times New Roman"/>
          <w:color w:val="000000" w:themeColor="text1"/>
          <w:szCs w:val="20"/>
        </w:rPr>
        <w:t xml:space="preserve"> Changes to those considered ‘available for employment’ have had a similar impact on the overall employment rate as the effect on the full-time employment rate. </w:t>
      </w:r>
    </w:p>
    <w:p w14:paraId="5113D9DB" w14:textId="77777777" w:rsidR="000539F2" w:rsidRPr="00617A89" w:rsidRDefault="000539F2" w:rsidP="000539F2">
      <w:pPr>
        <w:pStyle w:val="Appendix2"/>
        <w:rPr>
          <w:color w:val="000000" w:themeColor="text1"/>
        </w:rPr>
      </w:pPr>
      <w:bookmarkStart w:id="216" w:name="_Toc207707353"/>
      <w:bookmarkStart w:id="217" w:name="_Toc207707354"/>
      <w:bookmarkStart w:id="218" w:name="_Toc222868463"/>
      <w:bookmarkStart w:id="219" w:name="_Toc204871635"/>
      <w:bookmarkEnd w:id="216"/>
      <w:bookmarkEnd w:id="217"/>
      <w:r w:rsidRPr="00617A89">
        <w:rPr>
          <w:color w:val="000000" w:themeColor="text1"/>
        </w:rPr>
        <w:t>Analysis of time series break</w:t>
      </w:r>
      <w:bookmarkEnd w:id="218"/>
    </w:p>
    <w:p w14:paraId="220FF7E7" w14:textId="32C556AC" w:rsidR="000539F2" w:rsidRPr="00617A89" w:rsidRDefault="000539F2" w:rsidP="000539F2">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The Department of Education undertook analysis of the propensities of graduates to search for work, and their characteristics, at the aggregate study level for each of the domestic and international graduate cohorts, in the GOS and GOS-L separately. This analysis focussed on an econometric approach that leveraged data available through the ABS Labour Force, Australia to estimate the propensities of graduates to search for work had the previous methodology continued in 2025. This approach enabled the impact of the methodology change to be estimated in a way that reflected the underlying labour market conditions in 2025, noting these conditions may affect the propensity for graduates to pursue employment or further study.</w:t>
      </w:r>
    </w:p>
    <w:p w14:paraId="5C7B2969" w14:textId="77777777" w:rsidR="000539F2" w:rsidRPr="00617A89" w:rsidRDefault="000539F2" w:rsidP="000539F2">
      <w:pPr>
        <w:pStyle w:val="Body"/>
        <w:numPr>
          <w:ilvl w:val="0"/>
          <w:numId w:val="37"/>
        </w:numPr>
      </w:pPr>
      <w:r w:rsidRPr="00617A89">
        <w:t>There is a strong counter-cyclical relationship between higher education enrolments and labour market conditions.</w:t>
      </w:r>
    </w:p>
    <w:p w14:paraId="7BF07822" w14:textId="77777777" w:rsidR="000539F2" w:rsidRPr="00617A89" w:rsidRDefault="000539F2" w:rsidP="000539F2">
      <w:pPr>
        <w:pStyle w:val="Body"/>
        <w:numPr>
          <w:ilvl w:val="0"/>
          <w:numId w:val="37"/>
        </w:numPr>
      </w:pPr>
      <w:r w:rsidRPr="00617A89">
        <w:t>When there is a rise in unemployment, individuals often choose to return to study or postpone entry into the workforce. For example, during the initial period of the pandemic (2020 and 2021), higher unemployment and the business restrictions in place at the time contributed to an increase in higher education enrolments.</w:t>
      </w:r>
    </w:p>
    <w:p w14:paraId="533DAC22" w14:textId="77777777" w:rsidR="000539F2" w:rsidRPr="00617A89" w:rsidRDefault="000539F2" w:rsidP="000539F2">
      <w:pPr>
        <w:pStyle w:val="Body"/>
        <w:numPr>
          <w:ilvl w:val="0"/>
          <w:numId w:val="37"/>
        </w:numPr>
      </w:pPr>
      <w:r w:rsidRPr="00617A89">
        <w:t>Conversely, when employment conditions are favourable (especially for young individuals) higher education enrolments tend to decline. This is demonstrated by the recent strong labour markets (2022-2024) contributing to a decline in higher education commencements as more potential enrolments chose to pursue immediate employment opportunities.</w:t>
      </w:r>
    </w:p>
    <w:p w14:paraId="000170E4" w14:textId="77777777" w:rsidR="000539F2" w:rsidRPr="00617A89" w:rsidRDefault="000539F2" w:rsidP="000539F2">
      <w:pPr>
        <w:pStyle w:val="Body"/>
      </w:pPr>
      <w:r w:rsidRPr="00617A89">
        <w:t>Only the propensities for those reporting that they were not in employment and looking for work, or not in full-time employment but available for full-time employment, needed to be assessed. Due to the way the labour force framework filters individuals into the three mutually exclusive groups of employed, unemployed, and not in the labour force, these were the only groups that were affected by the methodology change, as those considered employed were taken as reported.</w:t>
      </w:r>
    </w:p>
    <w:p w14:paraId="52549AD1" w14:textId="77777777" w:rsidR="000539F2" w:rsidRPr="00617A89" w:rsidRDefault="000539F2" w:rsidP="000539F2">
      <w:pPr>
        <w:pStyle w:val="Body"/>
        <w:numPr>
          <w:ilvl w:val="0"/>
          <w:numId w:val="38"/>
        </w:numPr>
      </w:pPr>
      <w:r w:rsidRPr="00617A89">
        <w:t>The specific groups that required analysis were:</w:t>
      </w:r>
    </w:p>
    <w:p w14:paraId="12C4226A" w14:textId="77777777" w:rsidR="000539F2" w:rsidRPr="00617A89" w:rsidRDefault="000539F2" w:rsidP="000539F2">
      <w:pPr>
        <w:pStyle w:val="Body"/>
        <w:numPr>
          <w:ilvl w:val="1"/>
          <w:numId w:val="38"/>
        </w:numPr>
      </w:pPr>
      <w:r w:rsidRPr="00617A89">
        <w:t>Unemployed looking for full-time work (LFCLASS=5),</w:t>
      </w:r>
    </w:p>
    <w:p w14:paraId="0968FFB9" w14:textId="77777777" w:rsidR="000539F2" w:rsidRPr="00617A89" w:rsidRDefault="000539F2" w:rsidP="000539F2">
      <w:pPr>
        <w:pStyle w:val="Body"/>
        <w:numPr>
          <w:ilvl w:val="1"/>
          <w:numId w:val="38"/>
        </w:numPr>
      </w:pPr>
      <w:r w:rsidRPr="00617A89">
        <w:t xml:space="preserve">Unemployed looking for part-time work (LFCLASS=6), and </w:t>
      </w:r>
    </w:p>
    <w:p w14:paraId="1C270D10" w14:textId="77777777" w:rsidR="000539F2" w:rsidRPr="00617A89" w:rsidRDefault="000539F2" w:rsidP="000539F2">
      <w:pPr>
        <w:pStyle w:val="Body"/>
        <w:numPr>
          <w:ilvl w:val="1"/>
          <w:numId w:val="38"/>
        </w:numPr>
      </w:pPr>
      <w:r w:rsidRPr="00617A89">
        <w:t>Available for full-time work (AVAILFT=1), via the subsets of:</w:t>
      </w:r>
    </w:p>
    <w:p w14:paraId="212CE2C6" w14:textId="77777777" w:rsidR="000539F2" w:rsidRPr="00617A89" w:rsidRDefault="000539F2" w:rsidP="000539F2">
      <w:pPr>
        <w:pStyle w:val="Body"/>
        <w:numPr>
          <w:ilvl w:val="2"/>
          <w:numId w:val="38"/>
        </w:numPr>
      </w:pPr>
      <w:r w:rsidRPr="00617A89">
        <w:t>Employed part-time, but available for full-time work,</w:t>
      </w:r>
    </w:p>
    <w:p w14:paraId="5204961A" w14:textId="2D80B220" w:rsidR="000539F2" w:rsidRPr="00617A89" w:rsidRDefault="000539F2" w:rsidP="000539F2">
      <w:pPr>
        <w:pStyle w:val="Body"/>
        <w:numPr>
          <w:ilvl w:val="2"/>
          <w:numId w:val="38"/>
        </w:numPr>
      </w:pPr>
      <w:r w:rsidRPr="00617A89">
        <w:t>Not employed, but available for full-time work (under the GOS and GOS</w:t>
      </w:r>
      <w:r w:rsidR="0018058F" w:rsidRPr="00617A89">
        <w:t>-</w:t>
      </w:r>
      <w:r w:rsidRPr="00617A89">
        <w:t>L this is the same group as LFCLASS=5), and</w:t>
      </w:r>
    </w:p>
    <w:p w14:paraId="14FF4AED" w14:textId="77777777" w:rsidR="000539F2" w:rsidRPr="00617A89" w:rsidRDefault="000539F2" w:rsidP="000539F2">
      <w:pPr>
        <w:pStyle w:val="Body"/>
        <w:numPr>
          <w:ilvl w:val="2"/>
          <w:numId w:val="38"/>
        </w:numPr>
      </w:pPr>
      <w:r w:rsidRPr="00617A89">
        <w:t>Employed full-time, and available for full-time work (these were unaffected by the change in methodology and were taken as reported).</w:t>
      </w:r>
    </w:p>
    <w:p w14:paraId="20EA13A8" w14:textId="77777777" w:rsidR="000539F2" w:rsidRPr="00617A89" w:rsidRDefault="000539F2" w:rsidP="000539F2">
      <w:pPr>
        <w:pStyle w:val="Body"/>
        <w:numPr>
          <w:ilvl w:val="0"/>
          <w:numId w:val="38"/>
        </w:numPr>
      </w:pPr>
      <w:r w:rsidRPr="00617A89">
        <w:t>Those considered unemployed and waiting to start work (LFCLASS=7), were unaffected by the change in methodology and were taken as reported.</w:t>
      </w:r>
    </w:p>
    <w:p w14:paraId="4F00D84A" w14:textId="77777777" w:rsidR="000539F2" w:rsidRPr="00617A89" w:rsidRDefault="000539F2" w:rsidP="000539F2">
      <w:pPr>
        <w:pStyle w:val="Body"/>
        <w:numPr>
          <w:ilvl w:val="0"/>
          <w:numId w:val="38"/>
        </w:numPr>
      </w:pPr>
      <w:r w:rsidRPr="00617A89">
        <w:t>Those considered not in the labour force (LFCLASS=8) were calculated as a balancing item based on estimated changes to LFCLASS=5 and LFCLASS=6.</w:t>
      </w:r>
    </w:p>
    <w:p w14:paraId="6E767AED" w14:textId="77777777" w:rsidR="000539F2" w:rsidRPr="00617A89" w:rsidRDefault="000539F2" w:rsidP="000539F2">
      <w:pPr>
        <w:pStyle w:val="Body"/>
      </w:pPr>
      <w:r w:rsidRPr="00617A89">
        <w:t xml:space="preserve">Initial analysis was performed to support the identification of appropriate data from the ABS </w:t>
      </w:r>
      <w:r w:rsidRPr="00617A89">
        <w:rPr>
          <w:i/>
          <w:iCs/>
        </w:rPr>
        <w:t>Labour Force, Australia</w:t>
      </w:r>
      <w:r w:rsidRPr="00617A89">
        <w:t>. This included the assessment of graduate age profiles for each of the analysed labour force classifications to identify the key age groups, by study level for each of the domestic and international graduate cohorts, in the GOS and GOS</w:t>
      </w:r>
      <w:r w:rsidRPr="00617A89">
        <w:noBreakHyphen/>
        <w:t>L separately. For international graduates in each study level, additional analysis was conducted that verified the majority of graduates in these labour force classifications remained in Australia, in both the GOS and GOS</w:t>
      </w:r>
      <w:r w:rsidRPr="00617A89">
        <w:noBreakHyphen/>
        <w:t xml:space="preserve">L. </w:t>
      </w:r>
    </w:p>
    <w:p w14:paraId="5256D374" w14:textId="77777777" w:rsidR="000539F2" w:rsidRPr="00617A89" w:rsidRDefault="000539F2" w:rsidP="000539F2">
      <w:pPr>
        <w:pStyle w:val="Body"/>
      </w:pPr>
      <w:r w:rsidRPr="00617A89">
        <w:t xml:space="preserve">The estimates of propensities to search for work involved using predictors selected from the ABS </w:t>
      </w:r>
      <w:r w:rsidRPr="00617A89">
        <w:rPr>
          <w:i/>
          <w:iCs/>
        </w:rPr>
        <w:t>Labour Force, Australia</w:t>
      </w:r>
      <w:r w:rsidRPr="00617A89">
        <w:t xml:space="preserve"> data that were consistent with each of the labour force classifications analysed</w:t>
      </w:r>
      <w:r w:rsidRPr="00617A89">
        <w:rPr>
          <w:rStyle w:val="FootnoteReference"/>
        </w:rPr>
        <w:footnoteReference w:id="19"/>
      </w:r>
      <w:r w:rsidRPr="00617A89">
        <w:t xml:space="preserve">, by study level, for each of the domestic and international graduate cohorts, in the GOS and GOS-L separately. These data were accessed through TableBuilder as well as select tables available through the </w:t>
      </w:r>
      <w:r w:rsidRPr="00617A89">
        <w:rPr>
          <w:i/>
          <w:iCs/>
        </w:rPr>
        <w:t>Labour Force, Australia</w:t>
      </w:r>
      <w:r w:rsidRPr="00617A89">
        <w:t xml:space="preserve"> publication, including data on the flows into and out of employment (GM1) and data on labour force status by the level of highest educational attainment (LQ1). Data were selected to align to survey fieldwork periods for the GOS and GOS-L separately. Dummy variables were incorporated to reflect border closures and business restrictions in place during the pandemic. </w:t>
      </w:r>
    </w:p>
    <w:p w14:paraId="67FADEA2" w14:textId="77777777" w:rsidR="000539F2" w:rsidRPr="00617A89" w:rsidRDefault="000539F2" w:rsidP="000539F2">
      <w:pPr>
        <w:pStyle w:val="Body"/>
      </w:pPr>
      <w:r w:rsidRPr="00617A89">
        <w:t xml:space="preserve">Quality controls were used to ensure the estimates generated for each of the assessed labour force classifications were credible. This included validating each of the estimates against the expected range of results, specifically, a slightly higher count of respondents than the reported active job seekers, but notably less than the total count of those responding they were either actively or passively searching for work. The estimated proportional breakdown of respondents by labour force classification were also compared to historical proportions. </w:t>
      </w:r>
    </w:p>
    <w:p w14:paraId="1B78358C" w14:textId="22459203" w:rsidR="000539F2" w:rsidRPr="00617A89" w:rsidRDefault="000539F2" w:rsidP="000539F2">
      <w:pPr>
        <w:spacing w:before="120" w:after="120" w:line="300" w:lineRule="auto"/>
        <w:rPr>
          <w:rFonts w:eastAsia="Times New Roman" w:cs="Times New Roman"/>
          <w:color w:val="000000" w:themeColor="text1"/>
          <w:szCs w:val="20"/>
        </w:rPr>
      </w:pPr>
      <w:r w:rsidRPr="00617A89">
        <w:rPr>
          <w:rFonts w:eastAsia="Times New Roman" w:cs="Times New Roman"/>
          <w:color w:val="000000" w:themeColor="text1"/>
          <w:szCs w:val="20"/>
        </w:rPr>
        <w:t>The analysis generated estimated impacts of the methodology change by study level, for each of the domestic and international graduate cohorts, in the GOS and GOS-L separately (</w:t>
      </w:r>
      <w:r w:rsidRPr="00617A89">
        <w:rPr>
          <w:rFonts w:eastAsia="Times New Roman" w:cs="Times New Roman"/>
          <w:b/>
          <w:bCs/>
          <w:color w:val="000000" w:themeColor="text1"/>
          <w:szCs w:val="20"/>
        </w:rPr>
        <w:fldChar w:fldCharType="begin"/>
      </w:r>
      <w:r w:rsidRPr="00617A89">
        <w:rPr>
          <w:rFonts w:eastAsia="Times New Roman" w:cs="Times New Roman"/>
          <w:b/>
          <w:bCs/>
          <w:color w:val="000000" w:themeColor="text1"/>
          <w:szCs w:val="20"/>
        </w:rPr>
        <w:instrText xml:space="preserve"> REF _Ref222868402 \h  \* MERGEFORMAT </w:instrText>
      </w:r>
      <w:r w:rsidRPr="00617A89">
        <w:rPr>
          <w:rFonts w:eastAsia="Times New Roman" w:cs="Times New Roman"/>
          <w:b/>
          <w:bCs/>
          <w:color w:val="000000" w:themeColor="text1"/>
          <w:szCs w:val="20"/>
        </w:rPr>
      </w:r>
      <w:r w:rsidRPr="00617A89">
        <w:rPr>
          <w:rFonts w:eastAsia="Times New Roman" w:cs="Times New Roman"/>
          <w:b/>
          <w:bCs/>
          <w:color w:val="000000" w:themeColor="text1"/>
          <w:szCs w:val="20"/>
        </w:rPr>
        <w:fldChar w:fldCharType="separate"/>
      </w:r>
      <w:r w:rsidRPr="00617A89">
        <w:rPr>
          <w:b/>
          <w:bCs/>
        </w:rPr>
        <w:t xml:space="preserve">Table </w:t>
      </w:r>
      <w:r w:rsidRPr="00617A89">
        <w:rPr>
          <w:b/>
          <w:bCs/>
          <w:noProof/>
        </w:rPr>
        <w:t>17</w:t>
      </w:r>
      <w:r w:rsidRPr="00617A89">
        <w:rPr>
          <w:rFonts w:eastAsia="Times New Roman" w:cs="Times New Roman"/>
          <w:b/>
          <w:bCs/>
          <w:color w:val="000000" w:themeColor="text1"/>
          <w:szCs w:val="20"/>
        </w:rPr>
        <w:fldChar w:fldCharType="end"/>
      </w:r>
      <w:r w:rsidRPr="00617A89">
        <w:rPr>
          <w:rFonts w:eastAsia="Times New Roman" w:cs="Times New Roman"/>
          <w:color w:val="000000" w:themeColor="text1"/>
          <w:szCs w:val="20"/>
        </w:rPr>
        <w:t>).</w:t>
      </w:r>
    </w:p>
    <w:p w14:paraId="16B58A93" w14:textId="27638D47" w:rsidR="000539F2" w:rsidRPr="00617A89" w:rsidRDefault="000539F2" w:rsidP="000539F2">
      <w:pPr>
        <w:pStyle w:val="Caption"/>
        <w:rPr>
          <w:rFonts w:cs="Times New Roman"/>
          <w:color w:val="auto"/>
          <w:szCs w:val="20"/>
        </w:rPr>
      </w:pPr>
      <w:bookmarkStart w:id="220" w:name="_Ref222868402"/>
      <w:bookmarkStart w:id="221" w:name="_Toc222868487"/>
      <w:r w:rsidRPr="00617A89">
        <w:rPr>
          <w:color w:val="auto"/>
        </w:rPr>
        <w:t xml:space="preserve">Table </w:t>
      </w:r>
      <w:r w:rsidRPr="00617A89">
        <w:rPr>
          <w:color w:val="auto"/>
        </w:rPr>
        <w:fldChar w:fldCharType="begin"/>
      </w:r>
      <w:r w:rsidRPr="00617A89">
        <w:rPr>
          <w:color w:val="auto"/>
        </w:rPr>
        <w:instrText xml:space="preserve"> SEQ Table \* ARABIC </w:instrText>
      </w:r>
      <w:r w:rsidRPr="00617A89">
        <w:rPr>
          <w:color w:val="auto"/>
        </w:rPr>
        <w:fldChar w:fldCharType="separate"/>
      </w:r>
      <w:r w:rsidRPr="00617A89">
        <w:rPr>
          <w:noProof/>
          <w:color w:val="auto"/>
        </w:rPr>
        <w:t>17</w:t>
      </w:r>
      <w:r w:rsidRPr="00617A89">
        <w:rPr>
          <w:color w:val="auto"/>
        </w:rPr>
        <w:fldChar w:fldCharType="end"/>
      </w:r>
      <w:bookmarkEnd w:id="220"/>
      <w:r w:rsidRPr="00617A89">
        <w:rPr>
          <w:color w:val="auto"/>
        </w:rPr>
        <w:tab/>
        <w:t>Estimated impact of methodology change</w:t>
      </w:r>
      <w:bookmarkEnd w:id="221"/>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558"/>
        <w:gridCol w:w="1479"/>
        <w:gridCol w:w="1480"/>
        <w:gridCol w:w="1479"/>
        <w:gridCol w:w="1480"/>
      </w:tblGrid>
      <w:tr w:rsidR="000539F2" w:rsidRPr="00617A89" w14:paraId="061A74FE" w14:textId="77777777" w:rsidTr="000539F2">
        <w:trPr>
          <w:trHeight w:val="331"/>
        </w:trPr>
        <w:tc>
          <w:tcPr>
            <w:tcW w:w="2359" w:type="dxa"/>
            <w:vMerge w:val="restart"/>
            <w:vAlign w:val="center"/>
          </w:tcPr>
          <w:p w14:paraId="35E1CA90" w14:textId="0C85A780" w:rsidR="000539F2" w:rsidRPr="00617A89" w:rsidRDefault="000539F2" w:rsidP="00AF5881">
            <w:pPr>
              <w:jc w:val="center"/>
              <w:rPr>
                <w:rFonts w:eastAsia="Times New Roman" w:cs="Arial"/>
                <w:b/>
                <w:bCs/>
                <w:color w:val="000000"/>
                <w:sz w:val="18"/>
                <w:lang w:eastAsia="en-AU"/>
              </w:rPr>
            </w:pPr>
            <w:r w:rsidRPr="00617A89">
              <w:rPr>
                <w:rFonts w:eastAsia="Times New Roman" w:cs="Arial"/>
                <w:b/>
                <w:bCs/>
                <w:color w:val="000000"/>
                <w:sz w:val="18"/>
                <w:lang w:eastAsia="en-AU"/>
              </w:rPr>
              <w:t>Study level: Indicator</w:t>
            </w:r>
          </w:p>
        </w:tc>
        <w:tc>
          <w:tcPr>
            <w:tcW w:w="1558" w:type="dxa"/>
            <w:vMerge w:val="restart"/>
            <w:vAlign w:val="center"/>
          </w:tcPr>
          <w:p w14:paraId="3224D64C" w14:textId="77777777" w:rsidR="000539F2" w:rsidRPr="00617A89" w:rsidRDefault="000539F2" w:rsidP="00AF5881">
            <w:pPr>
              <w:jc w:val="center"/>
              <w:rPr>
                <w:rFonts w:eastAsia="Times New Roman" w:cs="Arial"/>
                <w:b/>
                <w:bCs/>
                <w:color w:val="000000"/>
                <w:sz w:val="18"/>
                <w:lang w:eastAsia="en-AU"/>
              </w:rPr>
            </w:pPr>
            <w:r w:rsidRPr="00617A89">
              <w:rPr>
                <w:rFonts w:eastAsia="Times New Roman" w:cs="Arial"/>
                <w:b/>
                <w:bCs/>
                <w:color w:val="000000"/>
                <w:sz w:val="18"/>
                <w:lang w:eastAsia="en-AU"/>
              </w:rPr>
              <w:t>Direction of change</w:t>
            </w:r>
          </w:p>
        </w:tc>
        <w:tc>
          <w:tcPr>
            <w:tcW w:w="2959" w:type="dxa"/>
            <w:gridSpan w:val="2"/>
            <w:noWrap/>
            <w:vAlign w:val="center"/>
          </w:tcPr>
          <w:p w14:paraId="4A3DEF3C" w14:textId="77777777" w:rsidR="000539F2" w:rsidRPr="00617A89" w:rsidRDefault="000539F2" w:rsidP="00AF5881">
            <w:pPr>
              <w:jc w:val="center"/>
              <w:rPr>
                <w:rFonts w:eastAsia="Times New Roman" w:cs="Arial"/>
                <w:b/>
                <w:bCs/>
                <w:color w:val="000000"/>
                <w:sz w:val="18"/>
                <w:lang w:eastAsia="en-AU"/>
              </w:rPr>
            </w:pPr>
            <w:r w:rsidRPr="00617A89">
              <w:rPr>
                <w:rFonts w:eastAsia="Times New Roman" w:cs="Arial"/>
                <w:b/>
                <w:bCs/>
                <w:color w:val="000000"/>
                <w:sz w:val="18"/>
                <w:lang w:eastAsia="en-AU"/>
              </w:rPr>
              <w:t>GOS</w:t>
            </w:r>
          </w:p>
        </w:tc>
        <w:tc>
          <w:tcPr>
            <w:tcW w:w="2959" w:type="dxa"/>
            <w:gridSpan w:val="2"/>
            <w:noWrap/>
            <w:vAlign w:val="center"/>
          </w:tcPr>
          <w:p w14:paraId="450FB188" w14:textId="77777777" w:rsidR="000539F2" w:rsidRPr="00617A89" w:rsidRDefault="000539F2" w:rsidP="00AF5881">
            <w:pPr>
              <w:jc w:val="center"/>
              <w:rPr>
                <w:rFonts w:eastAsia="Times New Roman" w:cs="Arial"/>
                <w:b/>
                <w:bCs/>
                <w:color w:val="000000"/>
                <w:sz w:val="18"/>
                <w:lang w:eastAsia="en-AU"/>
              </w:rPr>
            </w:pPr>
            <w:r w:rsidRPr="00617A89">
              <w:rPr>
                <w:rFonts w:eastAsia="Times New Roman" w:cs="Arial"/>
                <w:b/>
                <w:bCs/>
                <w:color w:val="000000"/>
                <w:sz w:val="18"/>
                <w:lang w:eastAsia="en-AU"/>
              </w:rPr>
              <w:t>GOS-L</w:t>
            </w:r>
          </w:p>
        </w:tc>
      </w:tr>
      <w:tr w:rsidR="000539F2" w:rsidRPr="00617A89" w14:paraId="3153EA01" w14:textId="77777777" w:rsidTr="000539F2">
        <w:trPr>
          <w:trHeight w:val="567"/>
        </w:trPr>
        <w:tc>
          <w:tcPr>
            <w:tcW w:w="2359" w:type="dxa"/>
            <w:vMerge/>
            <w:noWrap/>
            <w:vAlign w:val="center"/>
          </w:tcPr>
          <w:p w14:paraId="6490BB70" w14:textId="77777777" w:rsidR="000539F2" w:rsidRPr="00617A89" w:rsidRDefault="000539F2" w:rsidP="00AF5881">
            <w:pPr>
              <w:rPr>
                <w:rFonts w:eastAsia="Times New Roman" w:cs="Arial"/>
                <w:b/>
                <w:bCs/>
                <w:color w:val="000000"/>
                <w:sz w:val="18"/>
                <w:lang w:eastAsia="en-AU"/>
              </w:rPr>
            </w:pPr>
          </w:p>
        </w:tc>
        <w:tc>
          <w:tcPr>
            <w:tcW w:w="1558" w:type="dxa"/>
            <w:vMerge/>
            <w:noWrap/>
            <w:vAlign w:val="center"/>
          </w:tcPr>
          <w:p w14:paraId="1F7398B9" w14:textId="77777777" w:rsidR="000539F2" w:rsidRPr="00617A89" w:rsidRDefault="000539F2" w:rsidP="00AF5881">
            <w:pPr>
              <w:jc w:val="center"/>
              <w:rPr>
                <w:rFonts w:eastAsia="Times New Roman" w:cs="Arial"/>
                <w:b/>
                <w:bCs/>
                <w:color w:val="000000"/>
                <w:sz w:val="18"/>
                <w:lang w:eastAsia="en-AU"/>
              </w:rPr>
            </w:pPr>
          </w:p>
        </w:tc>
        <w:tc>
          <w:tcPr>
            <w:tcW w:w="1479" w:type="dxa"/>
            <w:noWrap/>
            <w:vAlign w:val="center"/>
            <w:hideMark/>
          </w:tcPr>
          <w:p w14:paraId="30B6AD4D" w14:textId="77777777" w:rsidR="000539F2" w:rsidRPr="00617A89" w:rsidRDefault="000539F2" w:rsidP="00AF5881">
            <w:pPr>
              <w:jc w:val="center"/>
              <w:rPr>
                <w:rFonts w:eastAsia="Times New Roman" w:cs="Arial"/>
                <w:b/>
                <w:bCs/>
                <w:color w:val="000000"/>
                <w:sz w:val="18"/>
                <w:lang w:eastAsia="en-AU"/>
              </w:rPr>
            </w:pPr>
            <w:r w:rsidRPr="00617A89">
              <w:rPr>
                <w:rFonts w:eastAsia="Times New Roman" w:cs="Arial"/>
                <w:b/>
                <w:bCs/>
                <w:color w:val="000000"/>
                <w:sz w:val="18"/>
                <w:lang w:eastAsia="en-AU"/>
              </w:rPr>
              <w:t>Domestic</w:t>
            </w:r>
          </w:p>
        </w:tc>
        <w:tc>
          <w:tcPr>
            <w:tcW w:w="1480" w:type="dxa"/>
            <w:noWrap/>
            <w:vAlign w:val="center"/>
            <w:hideMark/>
          </w:tcPr>
          <w:p w14:paraId="6B23305F" w14:textId="77777777" w:rsidR="000539F2" w:rsidRPr="00617A89" w:rsidRDefault="000539F2" w:rsidP="00AF5881">
            <w:pPr>
              <w:jc w:val="center"/>
              <w:rPr>
                <w:rFonts w:eastAsia="Times New Roman" w:cs="Arial"/>
                <w:b/>
                <w:bCs/>
                <w:color w:val="000000"/>
                <w:sz w:val="18"/>
                <w:lang w:eastAsia="en-AU"/>
              </w:rPr>
            </w:pPr>
            <w:r w:rsidRPr="00617A89">
              <w:rPr>
                <w:rFonts w:eastAsia="Times New Roman" w:cs="Arial"/>
                <w:b/>
                <w:bCs/>
                <w:color w:val="000000"/>
                <w:sz w:val="18"/>
                <w:lang w:eastAsia="en-AU"/>
              </w:rPr>
              <w:t>International</w:t>
            </w:r>
          </w:p>
        </w:tc>
        <w:tc>
          <w:tcPr>
            <w:tcW w:w="1479" w:type="dxa"/>
            <w:noWrap/>
            <w:vAlign w:val="center"/>
            <w:hideMark/>
          </w:tcPr>
          <w:p w14:paraId="40039EB4" w14:textId="77777777" w:rsidR="000539F2" w:rsidRPr="00617A89" w:rsidRDefault="000539F2" w:rsidP="00AF5881">
            <w:pPr>
              <w:jc w:val="center"/>
              <w:rPr>
                <w:rFonts w:eastAsia="Times New Roman" w:cs="Arial"/>
                <w:b/>
                <w:bCs/>
                <w:color w:val="000000"/>
                <w:sz w:val="18"/>
                <w:lang w:eastAsia="en-AU"/>
              </w:rPr>
            </w:pPr>
            <w:r w:rsidRPr="00617A89">
              <w:rPr>
                <w:rFonts w:eastAsia="Times New Roman" w:cs="Arial"/>
                <w:b/>
                <w:bCs/>
                <w:color w:val="000000"/>
                <w:sz w:val="18"/>
                <w:lang w:eastAsia="en-AU"/>
              </w:rPr>
              <w:t>Domestic</w:t>
            </w:r>
          </w:p>
        </w:tc>
        <w:tc>
          <w:tcPr>
            <w:tcW w:w="1480" w:type="dxa"/>
            <w:noWrap/>
            <w:vAlign w:val="center"/>
            <w:hideMark/>
          </w:tcPr>
          <w:p w14:paraId="65EC3256" w14:textId="77777777" w:rsidR="000539F2" w:rsidRPr="00617A89" w:rsidRDefault="000539F2" w:rsidP="00AF5881">
            <w:pPr>
              <w:jc w:val="center"/>
              <w:rPr>
                <w:rFonts w:eastAsia="Times New Roman" w:cs="Arial"/>
                <w:b/>
                <w:bCs/>
                <w:color w:val="000000"/>
                <w:sz w:val="18"/>
                <w:lang w:eastAsia="en-AU"/>
              </w:rPr>
            </w:pPr>
            <w:r w:rsidRPr="00617A89">
              <w:rPr>
                <w:rFonts w:eastAsia="Times New Roman" w:cs="Arial"/>
                <w:b/>
                <w:bCs/>
                <w:color w:val="000000"/>
                <w:sz w:val="18"/>
                <w:lang w:eastAsia="en-AU"/>
              </w:rPr>
              <w:t>International</w:t>
            </w:r>
          </w:p>
        </w:tc>
      </w:tr>
      <w:tr w:rsidR="000539F2" w:rsidRPr="00617A89" w14:paraId="563CD2BF" w14:textId="77777777" w:rsidTr="000539F2">
        <w:trPr>
          <w:trHeight w:val="443"/>
        </w:trPr>
        <w:tc>
          <w:tcPr>
            <w:tcW w:w="2359" w:type="dxa"/>
            <w:noWrap/>
            <w:vAlign w:val="center"/>
            <w:hideMark/>
          </w:tcPr>
          <w:p w14:paraId="20B49F1A" w14:textId="249C7EE4" w:rsidR="000539F2" w:rsidRPr="00617A89" w:rsidRDefault="000539F2" w:rsidP="00AF5881">
            <w:pPr>
              <w:rPr>
                <w:rFonts w:eastAsia="Times New Roman" w:cs="Arial"/>
                <w:color w:val="000000"/>
                <w:sz w:val="18"/>
                <w:lang w:eastAsia="en-AU"/>
              </w:rPr>
            </w:pPr>
            <w:r w:rsidRPr="00617A89">
              <w:rPr>
                <w:rFonts w:eastAsia="Times New Roman" w:cs="Arial"/>
                <w:color w:val="000000"/>
                <w:sz w:val="18"/>
                <w:lang w:eastAsia="en-AU"/>
              </w:rPr>
              <w:t>Undergraduate: Labour force participation rate</w:t>
            </w:r>
          </w:p>
        </w:tc>
        <w:tc>
          <w:tcPr>
            <w:tcW w:w="1558" w:type="dxa"/>
            <w:noWrap/>
            <w:vAlign w:val="center"/>
            <w:hideMark/>
          </w:tcPr>
          <w:p w14:paraId="4C485EEB"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Down</w:t>
            </w:r>
          </w:p>
        </w:tc>
        <w:tc>
          <w:tcPr>
            <w:tcW w:w="1479" w:type="dxa"/>
            <w:noWrap/>
            <w:vAlign w:val="center"/>
            <w:hideMark/>
          </w:tcPr>
          <w:p w14:paraId="0F6E393D"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2.5-3.5 ppts</w:t>
            </w:r>
          </w:p>
        </w:tc>
        <w:tc>
          <w:tcPr>
            <w:tcW w:w="1480" w:type="dxa"/>
            <w:noWrap/>
            <w:vAlign w:val="center"/>
            <w:hideMark/>
          </w:tcPr>
          <w:p w14:paraId="129680CD"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2.5-3.5 ppts</w:t>
            </w:r>
          </w:p>
        </w:tc>
        <w:tc>
          <w:tcPr>
            <w:tcW w:w="1479" w:type="dxa"/>
            <w:noWrap/>
            <w:vAlign w:val="center"/>
            <w:hideMark/>
          </w:tcPr>
          <w:p w14:paraId="32D7EF52"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80" w:type="dxa"/>
            <w:noWrap/>
            <w:vAlign w:val="center"/>
            <w:hideMark/>
          </w:tcPr>
          <w:p w14:paraId="2104F522"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1.5-2.5 ppts</w:t>
            </w:r>
          </w:p>
        </w:tc>
      </w:tr>
      <w:tr w:rsidR="000539F2" w:rsidRPr="00617A89" w14:paraId="40A70AEE" w14:textId="77777777" w:rsidTr="000539F2">
        <w:trPr>
          <w:trHeight w:val="443"/>
        </w:trPr>
        <w:tc>
          <w:tcPr>
            <w:tcW w:w="2359" w:type="dxa"/>
            <w:noWrap/>
            <w:vAlign w:val="center"/>
            <w:hideMark/>
          </w:tcPr>
          <w:p w14:paraId="6CB090B0" w14:textId="2774DF20" w:rsidR="000539F2" w:rsidRPr="00617A89" w:rsidRDefault="000539F2" w:rsidP="00AF5881">
            <w:pPr>
              <w:rPr>
                <w:rFonts w:eastAsia="Times New Roman" w:cs="Arial"/>
                <w:color w:val="000000"/>
                <w:sz w:val="18"/>
                <w:lang w:eastAsia="en-AU"/>
              </w:rPr>
            </w:pPr>
            <w:r w:rsidRPr="00617A89">
              <w:rPr>
                <w:rFonts w:eastAsia="Times New Roman" w:cs="Arial"/>
                <w:color w:val="000000"/>
                <w:sz w:val="18"/>
                <w:lang w:eastAsia="en-AU"/>
              </w:rPr>
              <w:t>Undergraduate: Full-time employment rate</w:t>
            </w:r>
          </w:p>
        </w:tc>
        <w:tc>
          <w:tcPr>
            <w:tcW w:w="1558" w:type="dxa"/>
            <w:noWrap/>
            <w:vAlign w:val="center"/>
            <w:hideMark/>
          </w:tcPr>
          <w:p w14:paraId="4CAB9BC2"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479" w:type="dxa"/>
            <w:noWrap/>
            <w:vAlign w:val="center"/>
            <w:hideMark/>
          </w:tcPr>
          <w:p w14:paraId="6E834A00"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3.5-4.5 ppts</w:t>
            </w:r>
          </w:p>
        </w:tc>
        <w:tc>
          <w:tcPr>
            <w:tcW w:w="1480" w:type="dxa"/>
            <w:noWrap/>
            <w:vAlign w:val="center"/>
            <w:hideMark/>
          </w:tcPr>
          <w:p w14:paraId="3DBACAC0"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2.5-3.5 ppts</w:t>
            </w:r>
          </w:p>
        </w:tc>
        <w:tc>
          <w:tcPr>
            <w:tcW w:w="1479" w:type="dxa"/>
            <w:noWrap/>
            <w:vAlign w:val="center"/>
            <w:hideMark/>
          </w:tcPr>
          <w:p w14:paraId="4200FF31"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c>
          <w:tcPr>
            <w:tcW w:w="1480" w:type="dxa"/>
            <w:noWrap/>
            <w:vAlign w:val="center"/>
            <w:hideMark/>
          </w:tcPr>
          <w:p w14:paraId="3B4AD3AB"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1-2 ppts</w:t>
            </w:r>
          </w:p>
        </w:tc>
      </w:tr>
      <w:tr w:rsidR="000539F2" w:rsidRPr="00617A89" w14:paraId="5FCC2692" w14:textId="77777777" w:rsidTr="000539F2">
        <w:trPr>
          <w:trHeight w:val="443"/>
        </w:trPr>
        <w:tc>
          <w:tcPr>
            <w:tcW w:w="2359" w:type="dxa"/>
            <w:noWrap/>
            <w:vAlign w:val="center"/>
            <w:hideMark/>
          </w:tcPr>
          <w:p w14:paraId="3D0F702B" w14:textId="30FECAD7" w:rsidR="000539F2" w:rsidRPr="00617A89" w:rsidRDefault="000539F2" w:rsidP="00AF5881">
            <w:pPr>
              <w:rPr>
                <w:rFonts w:eastAsia="Times New Roman" w:cs="Arial"/>
                <w:color w:val="000000"/>
                <w:sz w:val="18"/>
                <w:lang w:eastAsia="en-AU"/>
              </w:rPr>
            </w:pPr>
            <w:r w:rsidRPr="00617A89">
              <w:rPr>
                <w:rFonts w:eastAsia="Times New Roman" w:cs="Arial"/>
                <w:color w:val="000000"/>
                <w:sz w:val="18"/>
                <w:lang w:eastAsia="en-AU"/>
              </w:rPr>
              <w:t>Undergraduate: Overall employment rate</w:t>
            </w:r>
          </w:p>
        </w:tc>
        <w:tc>
          <w:tcPr>
            <w:tcW w:w="1558" w:type="dxa"/>
            <w:noWrap/>
            <w:vAlign w:val="center"/>
            <w:hideMark/>
          </w:tcPr>
          <w:p w14:paraId="144EF4CB"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479" w:type="dxa"/>
            <w:noWrap/>
            <w:vAlign w:val="center"/>
            <w:hideMark/>
          </w:tcPr>
          <w:p w14:paraId="3411DB0D"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2.5-3.5 ppts</w:t>
            </w:r>
          </w:p>
        </w:tc>
        <w:tc>
          <w:tcPr>
            <w:tcW w:w="1480" w:type="dxa"/>
            <w:noWrap/>
            <w:vAlign w:val="center"/>
            <w:hideMark/>
          </w:tcPr>
          <w:p w14:paraId="2C0D4A41"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2.5-3.5 ppts</w:t>
            </w:r>
          </w:p>
        </w:tc>
        <w:tc>
          <w:tcPr>
            <w:tcW w:w="1479" w:type="dxa"/>
            <w:noWrap/>
            <w:vAlign w:val="center"/>
            <w:hideMark/>
          </w:tcPr>
          <w:p w14:paraId="14E672DD"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80" w:type="dxa"/>
            <w:noWrap/>
            <w:vAlign w:val="center"/>
            <w:hideMark/>
          </w:tcPr>
          <w:p w14:paraId="67D13431"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1.5-2.5 ppts</w:t>
            </w:r>
          </w:p>
        </w:tc>
      </w:tr>
      <w:tr w:rsidR="000539F2" w:rsidRPr="00617A89" w14:paraId="50EF4D9D" w14:textId="77777777" w:rsidTr="000539F2">
        <w:trPr>
          <w:trHeight w:val="443"/>
        </w:trPr>
        <w:tc>
          <w:tcPr>
            <w:tcW w:w="2359" w:type="dxa"/>
            <w:noWrap/>
            <w:vAlign w:val="center"/>
            <w:hideMark/>
          </w:tcPr>
          <w:p w14:paraId="6C9119ED" w14:textId="39828B23" w:rsidR="000539F2" w:rsidRPr="00617A89" w:rsidRDefault="000539F2" w:rsidP="00AF5881">
            <w:pPr>
              <w:rPr>
                <w:rFonts w:eastAsia="Times New Roman" w:cs="Arial"/>
                <w:color w:val="000000"/>
                <w:sz w:val="18"/>
                <w:lang w:eastAsia="en-AU"/>
              </w:rPr>
            </w:pPr>
            <w:r w:rsidRPr="00617A89">
              <w:rPr>
                <w:rFonts w:eastAsia="Times New Roman" w:cs="Arial"/>
                <w:color w:val="000000"/>
                <w:sz w:val="18"/>
                <w:lang w:eastAsia="en-AU"/>
              </w:rPr>
              <w:t>Postgraduate coursework: Labour force participation rate</w:t>
            </w:r>
          </w:p>
        </w:tc>
        <w:tc>
          <w:tcPr>
            <w:tcW w:w="1558" w:type="dxa"/>
            <w:noWrap/>
            <w:vAlign w:val="center"/>
            <w:hideMark/>
          </w:tcPr>
          <w:p w14:paraId="159C95A2"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Down</w:t>
            </w:r>
          </w:p>
        </w:tc>
        <w:tc>
          <w:tcPr>
            <w:tcW w:w="1479" w:type="dxa"/>
            <w:noWrap/>
            <w:vAlign w:val="center"/>
            <w:hideMark/>
          </w:tcPr>
          <w:p w14:paraId="33251722"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c>
          <w:tcPr>
            <w:tcW w:w="1480" w:type="dxa"/>
            <w:noWrap/>
            <w:vAlign w:val="center"/>
            <w:hideMark/>
          </w:tcPr>
          <w:p w14:paraId="30F53E6E"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79" w:type="dxa"/>
            <w:noWrap/>
            <w:vAlign w:val="center"/>
            <w:hideMark/>
          </w:tcPr>
          <w:p w14:paraId="4B68DBF3"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80" w:type="dxa"/>
            <w:noWrap/>
            <w:vAlign w:val="center"/>
            <w:hideMark/>
          </w:tcPr>
          <w:p w14:paraId="10CAD8E4"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r>
      <w:tr w:rsidR="000539F2" w:rsidRPr="00617A89" w14:paraId="2E67BAEF" w14:textId="77777777" w:rsidTr="000539F2">
        <w:trPr>
          <w:trHeight w:val="443"/>
        </w:trPr>
        <w:tc>
          <w:tcPr>
            <w:tcW w:w="2359" w:type="dxa"/>
            <w:noWrap/>
            <w:vAlign w:val="center"/>
            <w:hideMark/>
          </w:tcPr>
          <w:p w14:paraId="06C0EACE" w14:textId="328CB52D" w:rsidR="000539F2" w:rsidRPr="00617A89" w:rsidRDefault="000539F2" w:rsidP="00AF5881">
            <w:pPr>
              <w:rPr>
                <w:rFonts w:eastAsia="Times New Roman" w:cs="Arial"/>
                <w:color w:val="000000"/>
                <w:sz w:val="18"/>
                <w:lang w:eastAsia="en-AU"/>
              </w:rPr>
            </w:pPr>
            <w:r w:rsidRPr="00617A89">
              <w:rPr>
                <w:rFonts w:eastAsia="Times New Roman" w:cs="Arial"/>
                <w:color w:val="000000"/>
                <w:sz w:val="18"/>
                <w:lang w:eastAsia="en-AU"/>
              </w:rPr>
              <w:t>Postgraduate coursework: Full-time employment rate</w:t>
            </w:r>
          </w:p>
        </w:tc>
        <w:tc>
          <w:tcPr>
            <w:tcW w:w="1558" w:type="dxa"/>
            <w:noWrap/>
            <w:vAlign w:val="center"/>
            <w:hideMark/>
          </w:tcPr>
          <w:p w14:paraId="31FC839B"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479" w:type="dxa"/>
            <w:noWrap/>
            <w:vAlign w:val="center"/>
            <w:hideMark/>
          </w:tcPr>
          <w:p w14:paraId="3F518F93"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c>
          <w:tcPr>
            <w:tcW w:w="1480" w:type="dxa"/>
            <w:noWrap/>
            <w:vAlign w:val="center"/>
            <w:hideMark/>
          </w:tcPr>
          <w:p w14:paraId="36FDD212"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c>
          <w:tcPr>
            <w:tcW w:w="1479" w:type="dxa"/>
            <w:noWrap/>
            <w:vAlign w:val="center"/>
            <w:hideMark/>
          </w:tcPr>
          <w:p w14:paraId="4270C3F2"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80" w:type="dxa"/>
            <w:noWrap/>
            <w:vAlign w:val="center"/>
            <w:hideMark/>
          </w:tcPr>
          <w:p w14:paraId="7B19F8B9"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1-2 ppts</w:t>
            </w:r>
          </w:p>
        </w:tc>
      </w:tr>
      <w:tr w:rsidR="000539F2" w:rsidRPr="00617A89" w14:paraId="02A6989C" w14:textId="77777777" w:rsidTr="000539F2">
        <w:trPr>
          <w:trHeight w:val="443"/>
        </w:trPr>
        <w:tc>
          <w:tcPr>
            <w:tcW w:w="2359" w:type="dxa"/>
            <w:noWrap/>
            <w:vAlign w:val="center"/>
            <w:hideMark/>
          </w:tcPr>
          <w:p w14:paraId="7AC845FC" w14:textId="5B0F4B79" w:rsidR="000539F2" w:rsidRPr="00617A89" w:rsidRDefault="000539F2" w:rsidP="00AF5881">
            <w:pPr>
              <w:rPr>
                <w:rFonts w:eastAsia="Times New Roman" w:cs="Arial"/>
                <w:color w:val="000000"/>
                <w:sz w:val="18"/>
                <w:lang w:eastAsia="en-AU"/>
              </w:rPr>
            </w:pPr>
            <w:r w:rsidRPr="00617A89">
              <w:rPr>
                <w:rFonts w:eastAsia="Times New Roman" w:cs="Arial"/>
                <w:color w:val="000000"/>
                <w:sz w:val="18"/>
                <w:lang w:eastAsia="en-AU"/>
              </w:rPr>
              <w:t>Postgraduate coursework: Overall employment rate</w:t>
            </w:r>
          </w:p>
        </w:tc>
        <w:tc>
          <w:tcPr>
            <w:tcW w:w="1558" w:type="dxa"/>
            <w:noWrap/>
            <w:vAlign w:val="center"/>
            <w:hideMark/>
          </w:tcPr>
          <w:p w14:paraId="7031C7B6"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479" w:type="dxa"/>
            <w:noWrap/>
            <w:vAlign w:val="center"/>
            <w:hideMark/>
          </w:tcPr>
          <w:p w14:paraId="40C77200"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c>
          <w:tcPr>
            <w:tcW w:w="1480" w:type="dxa"/>
            <w:noWrap/>
            <w:vAlign w:val="center"/>
            <w:hideMark/>
          </w:tcPr>
          <w:p w14:paraId="3E6D3E98"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79" w:type="dxa"/>
            <w:noWrap/>
            <w:vAlign w:val="center"/>
            <w:hideMark/>
          </w:tcPr>
          <w:p w14:paraId="000729D6"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80" w:type="dxa"/>
            <w:noWrap/>
            <w:vAlign w:val="center"/>
            <w:hideMark/>
          </w:tcPr>
          <w:p w14:paraId="2DDC9756"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r>
      <w:tr w:rsidR="000539F2" w:rsidRPr="00617A89" w14:paraId="6DC0967F" w14:textId="77777777" w:rsidTr="000539F2">
        <w:trPr>
          <w:trHeight w:val="443"/>
        </w:trPr>
        <w:tc>
          <w:tcPr>
            <w:tcW w:w="2359" w:type="dxa"/>
            <w:noWrap/>
            <w:vAlign w:val="center"/>
            <w:hideMark/>
          </w:tcPr>
          <w:p w14:paraId="4F8C8410" w14:textId="3F37D873" w:rsidR="000539F2" w:rsidRPr="00617A89" w:rsidRDefault="000539F2" w:rsidP="00AF5881">
            <w:pPr>
              <w:rPr>
                <w:rFonts w:eastAsia="Times New Roman" w:cs="Arial"/>
                <w:color w:val="000000"/>
                <w:sz w:val="18"/>
                <w:lang w:eastAsia="en-AU"/>
              </w:rPr>
            </w:pPr>
            <w:r w:rsidRPr="00617A89">
              <w:rPr>
                <w:rFonts w:eastAsia="Times New Roman" w:cs="Arial"/>
                <w:color w:val="000000"/>
                <w:sz w:val="18"/>
                <w:lang w:eastAsia="en-AU"/>
              </w:rPr>
              <w:t>Postgraduate research: Labour force participation rate</w:t>
            </w:r>
          </w:p>
        </w:tc>
        <w:tc>
          <w:tcPr>
            <w:tcW w:w="1558" w:type="dxa"/>
            <w:noWrap/>
            <w:vAlign w:val="center"/>
            <w:hideMark/>
          </w:tcPr>
          <w:p w14:paraId="5CB32C88"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Down</w:t>
            </w:r>
          </w:p>
        </w:tc>
        <w:tc>
          <w:tcPr>
            <w:tcW w:w="1479" w:type="dxa"/>
            <w:noWrap/>
            <w:vAlign w:val="center"/>
            <w:hideMark/>
          </w:tcPr>
          <w:p w14:paraId="60C04BA0"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c>
          <w:tcPr>
            <w:tcW w:w="1480" w:type="dxa"/>
            <w:noWrap/>
            <w:vAlign w:val="center"/>
            <w:hideMark/>
          </w:tcPr>
          <w:p w14:paraId="4C221A62"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79" w:type="dxa"/>
            <w:noWrap/>
            <w:vAlign w:val="center"/>
            <w:hideMark/>
          </w:tcPr>
          <w:p w14:paraId="535AF299"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1.5-2.5 ppts</w:t>
            </w:r>
          </w:p>
        </w:tc>
        <w:tc>
          <w:tcPr>
            <w:tcW w:w="1480" w:type="dxa"/>
            <w:noWrap/>
            <w:vAlign w:val="center"/>
            <w:hideMark/>
          </w:tcPr>
          <w:p w14:paraId="6319BEFB"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r>
      <w:tr w:rsidR="000539F2" w:rsidRPr="00617A89" w14:paraId="6D78EE82" w14:textId="77777777" w:rsidTr="000539F2">
        <w:trPr>
          <w:trHeight w:val="443"/>
        </w:trPr>
        <w:tc>
          <w:tcPr>
            <w:tcW w:w="2359" w:type="dxa"/>
            <w:noWrap/>
            <w:vAlign w:val="center"/>
            <w:hideMark/>
          </w:tcPr>
          <w:p w14:paraId="7942C78F" w14:textId="0F646F88" w:rsidR="000539F2" w:rsidRPr="00617A89" w:rsidRDefault="000539F2" w:rsidP="00AF5881">
            <w:pPr>
              <w:rPr>
                <w:rFonts w:eastAsia="Times New Roman" w:cs="Arial"/>
                <w:color w:val="000000"/>
                <w:sz w:val="18"/>
                <w:lang w:eastAsia="en-AU"/>
              </w:rPr>
            </w:pPr>
            <w:r w:rsidRPr="00617A89">
              <w:rPr>
                <w:rFonts w:eastAsia="Times New Roman" w:cs="Arial"/>
                <w:color w:val="000000"/>
                <w:sz w:val="18"/>
                <w:lang w:eastAsia="en-AU"/>
              </w:rPr>
              <w:t>Postgraduate research: Full-time employment rate</w:t>
            </w:r>
          </w:p>
        </w:tc>
        <w:tc>
          <w:tcPr>
            <w:tcW w:w="1558" w:type="dxa"/>
            <w:noWrap/>
            <w:vAlign w:val="center"/>
            <w:hideMark/>
          </w:tcPr>
          <w:p w14:paraId="11EEA167"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479" w:type="dxa"/>
            <w:noWrap/>
            <w:vAlign w:val="center"/>
            <w:hideMark/>
          </w:tcPr>
          <w:p w14:paraId="0AB2A7FD"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1.5-2.5 ppts</w:t>
            </w:r>
          </w:p>
        </w:tc>
        <w:tc>
          <w:tcPr>
            <w:tcW w:w="1480" w:type="dxa"/>
            <w:noWrap/>
            <w:vAlign w:val="center"/>
            <w:hideMark/>
          </w:tcPr>
          <w:p w14:paraId="02E357E6"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79" w:type="dxa"/>
            <w:noWrap/>
            <w:vAlign w:val="center"/>
            <w:hideMark/>
          </w:tcPr>
          <w:p w14:paraId="66AFD4DD"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1.5-2.5 ppts</w:t>
            </w:r>
          </w:p>
        </w:tc>
        <w:tc>
          <w:tcPr>
            <w:tcW w:w="1480" w:type="dxa"/>
            <w:noWrap/>
            <w:vAlign w:val="center"/>
            <w:hideMark/>
          </w:tcPr>
          <w:p w14:paraId="028618FA"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ppts</w:t>
            </w:r>
          </w:p>
        </w:tc>
      </w:tr>
      <w:tr w:rsidR="000539F2" w:rsidRPr="00617A89" w14:paraId="4375F6B0" w14:textId="77777777" w:rsidTr="000539F2">
        <w:trPr>
          <w:trHeight w:val="443"/>
        </w:trPr>
        <w:tc>
          <w:tcPr>
            <w:tcW w:w="2359" w:type="dxa"/>
            <w:noWrap/>
            <w:vAlign w:val="center"/>
            <w:hideMark/>
          </w:tcPr>
          <w:p w14:paraId="1259D9BB" w14:textId="1B176E2E" w:rsidR="000539F2" w:rsidRPr="00617A89" w:rsidRDefault="000539F2" w:rsidP="00AF5881">
            <w:pPr>
              <w:rPr>
                <w:rFonts w:eastAsia="Times New Roman" w:cs="Arial"/>
                <w:color w:val="000000"/>
                <w:sz w:val="18"/>
                <w:lang w:eastAsia="en-AU"/>
              </w:rPr>
            </w:pPr>
            <w:r w:rsidRPr="00617A89">
              <w:rPr>
                <w:rFonts w:eastAsia="Times New Roman" w:cs="Arial"/>
                <w:color w:val="000000"/>
                <w:sz w:val="18"/>
                <w:lang w:eastAsia="en-AU"/>
              </w:rPr>
              <w:t>Postgraduate research: Overall employment rate</w:t>
            </w:r>
          </w:p>
        </w:tc>
        <w:tc>
          <w:tcPr>
            <w:tcW w:w="1558" w:type="dxa"/>
            <w:noWrap/>
            <w:vAlign w:val="center"/>
            <w:hideMark/>
          </w:tcPr>
          <w:p w14:paraId="1C02906F"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Up</w:t>
            </w:r>
          </w:p>
        </w:tc>
        <w:tc>
          <w:tcPr>
            <w:tcW w:w="1479" w:type="dxa"/>
            <w:noWrap/>
            <w:vAlign w:val="center"/>
            <w:hideMark/>
          </w:tcPr>
          <w:p w14:paraId="296BC054"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c>
          <w:tcPr>
            <w:tcW w:w="1480" w:type="dxa"/>
            <w:noWrap/>
            <w:vAlign w:val="center"/>
            <w:hideMark/>
          </w:tcPr>
          <w:p w14:paraId="25BE0D5D"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 ppt</w:t>
            </w:r>
          </w:p>
        </w:tc>
        <w:tc>
          <w:tcPr>
            <w:tcW w:w="1479" w:type="dxa"/>
            <w:noWrap/>
            <w:vAlign w:val="center"/>
            <w:hideMark/>
          </w:tcPr>
          <w:p w14:paraId="07138121"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1.5-2.5 ppts</w:t>
            </w:r>
          </w:p>
        </w:tc>
        <w:tc>
          <w:tcPr>
            <w:tcW w:w="1480" w:type="dxa"/>
            <w:noWrap/>
            <w:vAlign w:val="center"/>
            <w:hideMark/>
          </w:tcPr>
          <w:p w14:paraId="124D8863" w14:textId="77777777" w:rsidR="000539F2" w:rsidRPr="00617A89" w:rsidRDefault="000539F2" w:rsidP="00AF5881">
            <w:pPr>
              <w:jc w:val="center"/>
              <w:rPr>
                <w:rFonts w:eastAsia="Times New Roman" w:cs="Arial"/>
                <w:color w:val="000000"/>
                <w:sz w:val="18"/>
                <w:lang w:eastAsia="en-AU"/>
              </w:rPr>
            </w:pPr>
            <w:r w:rsidRPr="00617A89">
              <w:rPr>
                <w:rFonts w:eastAsia="Times New Roman" w:cs="Arial"/>
                <w:color w:val="000000"/>
                <w:sz w:val="18"/>
                <w:lang w:eastAsia="en-AU"/>
              </w:rPr>
              <w:t>&lt;1.5 ppts</w:t>
            </w:r>
          </w:p>
        </w:tc>
      </w:tr>
    </w:tbl>
    <w:p w14:paraId="7847257C" w14:textId="77777777" w:rsidR="00A434E8" w:rsidRPr="00617A89" w:rsidRDefault="00A434E8" w:rsidP="000539F2">
      <w:pPr>
        <w:spacing w:before="120" w:after="120" w:line="300" w:lineRule="auto"/>
      </w:pPr>
      <w:r w:rsidRPr="00617A89">
        <w:t>Note: ppts’ refers to percentage points, indicating the absolute change between two percentage values.</w:t>
      </w:r>
    </w:p>
    <w:p w14:paraId="16D98131" w14:textId="6662D30A" w:rsidR="000539F2" w:rsidRPr="00617A89" w:rsidRDefault="000539F2" w:rsidP="000539F2">
      <w:pPr>
        <w:spacing w:before="120" w:after="120" w:line="300" w:lineRule="auto"/>
        <w:rPr>
          <w:rFonts w:eastAsia="Times New Roman" w:cs="Times New Roman"/>
          <w:szCs w:val="20"/>
        </w:rPr>
      </w:pPr>
      <w:r w:rsidRPr="00617A89">
        <w:t>A direction of change is shown for each impact. These directions indicate that labour force participation rates are relatively lower under the new methodology, while full-time and overall employment rates are relatively higher.</w:t>
      </w:r>
    </w:p>
    <w:p w14:paraId="4CE1B8C8" w14:textId="77777777" w:rsidR="000539F2" w:rsidRPr="00617A89" w:rsidRDefault="000539F2" w:rsidP="000539F2">
      <w:pPr>
        <w:spacing w:before="120" w:after="120" w:line="300" w:lineRule="auto"/>
        <w:rPr>
          <w:rFonts w:eastAsia="Times New Roman" w:cs="Times New Roman"/>
          <w:color w:val="000000" w:themeColor="text1"/>
          <w:szCs w:val="20"/>
        </w:rPr>
      </w:pPr>
    </w:p>
    <w:p w14:paraId="5D0AFE23" w14:textId="45B2FB49" w:rsidR="000727CB" w:rsidRPr="00617A89" w:rsidRDefault="000727CB" w:rsidP="00CD5F10">
      <w:pPr>
        <w:pStyle w:val="Appendix2"/>
        <w:rPr>
          <w:color w:val="000000" w:themeColor="text1"/>
        </w:rPr>
      </w:pPr>
      <w:bookmarkStart w:id="222" w:name="_Toc222868464"/>
      <w:r w:rsidRPr="00617A89">
        <w:rPr>
          <w:color w:val="000000" w:themeColor="text1"/>
        </w:rPr>
        <w:t>Conclusion</w:t>
      </w:r>
      <w:bookmarkEnd w:id="219"/>
      <w:bookmarkEnd w:id="222"/>
    </w:p>
    <w:p w14:paraId="70EAB55E" w14:textId="77777777" w:rsidR="000539F2" w:rsidRPr="00617A89" w:rsidRDefault="000539F2" w:rsidP="000539F2">
      <w:pPr>
        <w:pStyle w:val="Body"/>
        <w:rPr>
          <w:color w:val="000000" w:themeColor="text1"/>
        </w:rPr>
      </w:pPr>
      <w:r w:rsidRPr="00617A89">
        <w:rPr>
          <w:color w:val="000000" w:themeColor="text1"/>
        </w:rPr>
        <w:t>The changes to the 2025 GOS and 2025 GOS-L instruments represent a step toward improved alignment with ABS labour force definitions. These changes did, however, impact comparability of key labour market indicators with prior years and are considered to be a break in the time series.</w:t>
      </w:r>
    </w:p>
    <w:p w14:paraId="053A7087" w14:textId="773CCBE2" w:rsidR="0008035B" w:rsidRPr="00617A89" w:rsidRDefault="000539F2" w:rsidP="000539F2">
      <w:pPr>
        <w:pStyle w:val="Body"/>
        <w:rPr>
          <w:color w:val="000000" w:themeColor="text1"/>
        </w:rPr>
      </w:pPr>
      <w:r w:rsidRPr="00617A89">
        <w:rPr>
          <w:color w:val="000000" w:themeColor="text1"/>
        </w:rPr>
        <w:t>Analysis of differences in labour force participation rates, full-time employment rates, and overall employment rates between 2019–2024 and 2025 data should be approached with caution, as they partly reflect the change in methodology. Estimates of the impact of the change in methodology for each study level for domestic and international graduates have been provided to assist users with their interpretation.</w:t>
      </w:r>
    </w:p>
    <w:p w14:paraId="72E26EDE" w14:textId="61D5CDAA" w:rsidR="00C9079F" w:rsidRPr="00617A89" w:rsidRDefault="00C9079F" w:rsidP="0008035B">
      <w:pPr>
        <w:pStyle w:val="Body"/>
        <w:rPr>
          <w:color w:val="000000" w:themeColor="text1"/>
        </w:rPr>
        <w:sectPr w:rsidR="00C9079F" w:rsidRPr="00617A89" w:rsidSect="007D477C">
          <w:headerReference w:type="default" r:id="rId118"/>
          <w:footerReference w:type="default" r:id="rId119"/>
          <w:pgSz w:w="11900" w:h="16840"/>
          <w:pgMar w:top="720" w:right="720" w:bottom="720" w:left="720" w:header="397" w:footer="397" w:gutter="0"/>
          <w:cols w:space="708"/>
          <w:docGrid w:linePitch="360"/>
        </w:sectPr>
      </w:pPr>
    </w:p>
    <w:p w14:paraId="7BE7D52A" w14:textId="77777777" w:rsidR="00085412" w:rsidRPr="00617A89" w:rsidRDefault="00085412" w:rsidP="00085412">
      <w:pPr>
        <w:pStyle w:val="Appendix1"/>
        <w:rPr>
          <w:color w:val="000000" w:themeColor="text1"/>
        </w:rPr>
      </w:pPr>
      <w:bookmarkStart w:id="223" w:name="_Toc222868465"/>
      <w:r w:rsidRPr="00617A89">
        <w:rPr>
          <w:color w:val="000000" w:themeColor="text1"/>
        </w:rPr>
        <w:t>Labour market and graduate satisfaction definitions</w:t>
      </w:r>
      <w:bookmarkEnd w:id="223"/>
    </w:p>
    <w:p w14:paraId="3C7A21A1" w14:textId="61B7D778" w:rsidR="00085412" w:rsidRPr="00617A89" w:rsidRDefault="00085412" w:rsidP="00085412">
      <w:pPr>
        <w:spacing w:before="120" w:after="120" w:line="300" w:lineRule="auto"/>
        <w:rPr>
          <w:rFonts w:eastAsia="Times New Roman" w:cs="Times New Roman"/>
          <w:szCs w:val="20"/>
        </w:rPr>
      </w:pPr>
      <w:r w:rsidRPr="00617A89">
        <w:rPr>
          <w:rFonts w:eastAsia="Times New Roman" w:cs="Times New Roman"/>
          <w:szCs w:val="20"/>
        </w:rPr>
        <w:t>The 2025 GOS-L uses labour force indicator definitions informed by the Standards for Labour Force Statistics used by the ABS. Definitions for indicators used throughout this report are presented in</w:t>
      </w:r>
      <w:r w:rsidRPr="00617A89">
        <w:rPr>
          <w:rFonts w:eastAsia="Times New Roman" w:cs="Times New Roman"/>
          <w:b/>
          <w:bCs/>
          <w:szCs w:val="20"/>
        </w:rPr>
        <w:t xml:space="preserve"> </w:t>
      </w:r>
      <w:r w:rsidRPr="00617A89">
        <w:rPr>
          <w:rFonts w:eastAsia="Times New Roman" w:cs="Times New Roman"/>
          <w:b/>
          <w:bCs/>
          <w:szCs w:val="20"/>
        </w:rPr>
        <w:fldChar w:fldCharType="begin"/>
      </w:r>
      <w:r w:rsidRPr="00617A89">
        <w:rPr>
          <w:rFonts w:eastAsia="Times New Roman" w:cs="Times New Roman"/>
          <w:b/>
          <w:bCs/>
          <w:szCs w:val="20"/>
        </w:rPr>
        <w:instrText xml:space="preserve"> REF _Ref149253021 \h  \* MERGEFORMAT </w:instrText>
      </w:r>
      <w:r w:rsidRPr="00617A89">
        <w:rPr>
          <w:rFonts w:eastAsia="Times New Roman" w:cs="Times New Roman"/>
          <w:b/>
          <w:bCs/>
          <w:szCs w:val="20"/>
        </w:rPr>
      </w:r>
      <w:r w:rsidRPr="00617A89">
        <w:rPr>
          <w:rFonts w:eastAsia="Times New Roman" w:cs="Times New Roman"/>
          <w:b/>
          <w:bCs/>
          <w:szCs w:val="20"/>
        </w:rPr>
        <w:fldChar w:fldCharType="separate"/>
      </w:r>
      <w:r w:rsidR="000539F2" w:rsidRPr="00617A89">
        <w:rPr>
          <w:rFonts w:eastAsia="Times New Roman" w:cs="Times New Roman"/>
          <w:b/>
          <w:bCs/>
          <w:szCs w:val="20"/>
        </w:rPr>
        <w:t xml:space="preserve">Table </w:t>
      </w:r>
      <w:r w:rsidR="000539F2" w:rsidRPr="00617A89">
        <w:rPr>
          <w:rFonts w:eastAsia="Times New Roman" w:cs="Times New Roman"/>
          <w:b/>
          <w:bCs/>
          <w:noProof/>
          <w:szCs w:val="20"/>
        </w:rPr>
        <w:t>18</w:t>
      </w:r>
      <w:r w:rsidRPr="00617A89">
        <w:rPr>
          <w:rFonts w:eastAsia="Times New Roman" w:cs="Times New Roman"/>
          <w:b/>
          <w:bCs/>
          <w:szCs w:val="20"/>
        </w:rPr>
        <w:fldChar w:fldCharType="end"/>
      </w:r>
      <w:r w:rsidRPr="00617A89">
        <w:rPr>
          <w:rFonts w:eastAsia="Times New Roman" w:cs="Times New Roman"/>
          <w:szCs w:val="20"/>
        </w:rPr>
        <w:t>.</w:t>
      </w:r>
    </w:p>
    <w:p w14:paraId="3469038B" w14:textId="243B65E9" w:rsidR="00085412" w:rsidRPr="00617A89" w:rsidRDefault="00085412" w:rsidP="00085412">
      <w:pPr>
        <w:pStyle w:val="Caption"/>
        <w:rPr>
          <w:color w:val="000000" w:themeColor="text1"/>
        </w:rPr>
      </w:pPr>
      <w:bookmarkStart w:id="224" w:name="_Ref149253021"/>
      <w:bookmarkStart w:id="225" w:name="_Toc191490627"/>
      <w:bookmarkStart w:id="226" w:name="_Toc214995747"/>
      <w:bookmarkStart w:id="227" w:name="_Toc216345040"/>
      <w:bookmarkStart w:id="228" w:name="_Toc222868488"/>
      <w:r w:rsidRPr="00617A89">
        <w:rPr>
          <w:color w:val="000000" w:themeColor="text1"/>
        </w:rPr>
        <w:t xml:space="preserve">Table </w:t>
      </w:r>
      <w:r w:rsidRPr="00617A89">
        <w:rPr>
          <w:color w:val="000000" w:themeColor="text1"/>
        </w:rPr>
        <w:fldChar w:fldCharType="begin"/>
      </w:r>
      <w:r w:rsidRPr="00617A89">
        <w:rPr>
          <w:color w:val="000000" w:themeColor="text1"/>
        </w:rPr>
        <w:instrText xml:space="preserve"> SEQ Table \* ARABIC </w:instrText>
      </w:r>
      <w:r w:rsidRPr="00617A89">
        <w:rPr>
          <w:color w:val="000000" w:themeColor="text1"/>
        </w:rPr>
        <w:fldChar w:fldCharType="separate"/>
      </w:r>
      <w:r w:rsidR="000539F2" w:rsidRPr="00617A89">
        <w:rPr>
          <w:noProof/>
          <w:color w:val="000000" w:themeColor="text1"/>
        </w:rPr>
        <w:t>18</w:t>
      </w:r>
      <w:r w:rsidRPr="00617A89">
        <w:rPr>
          <w:color w:val="000000" w:themeColor="text1"/>
        </w:rPr>
        <w:fldChar w:fldCharType="end"/>
      </w:r>
      <w:bookmarkEnd w:id="224"/>
      <w:r w:rsidRPr="00617A89">
        <w:rPr>
          <w:color w:val="000000" w:themeColor="text1"/>
        </w:rPr>
        <w:t xml:space="preserve"> </w:t>
      </w:r>
      <w:r w:rsidR="002013A6" w:rsidRPr="00617A89">
        <w:rPr>
          <w:color w:val="000000" w:themeColor="text1"/>
        </w:rPr>
        <w:tab/>
      </w:r>
      <w:r w:rsidRPr="00617A89">
        <w:rPr>
          <w:color w:val="000000" w:themeColor="text1"/>
        </w:rPr>
        <w:t>Indicator definitions</w:t>
      </w:r>
      <w:bookmarkEnd w:id="225"/>
      <w:bookmarkEnd w:id="226"/>
      <w:bookmarkEnd w:id="227"/>
      <w:bookmarkEnd w:id="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5805"/>
      </w:tblGrid>
      <w:tr w:rsidR="00085412" w:rsidRPr="00617A89" w14:paraId="4146C14B" w14:textId="77777777" w:rsidTr="00D06B50">
        <w:tc>
          <w:tcPr>
            <w:tcW w:w="3823" w:type="dxa"/>
            <w:tcMar>
              <w:top w:w="44" w:type="dxa"/>
              <w:left w:w="86" w:type="dxa"/>
              <w:bottom w:w="86" w:type="dxa"/>
              <w:right w:w="44" w:type="dxa"/>
            </w:tcMar>
            <w:vAlign w:val="bottom"/>
            <w:hideMark/>
          </w:tcPr>
          <w:p w14:paraId="3BB9AE1C" w14:textId="77777777" w:rsidR="00085412" w:rsidRPr="00617A89" w:rsidRDefault="00085412" w:rsidP="00D06B50">
            <w:pPr>
              <w:rPr>
                <w:rFonts w:eastAsia="Yu Gothic" w:cs="Arial"/>
                <w:b/>
                <w:spacing w:val="-2"/>
                <w:sz w:val="18"/>
                <w:lang w:val="en-GB"/>
              </w:rPr>
            </w:pPr>
            <w:r w:rsidRPr="00617A89">
              <w:rPr>
                <w:rFonts w:eastAsia="Yu Gothic" w:cs="Arial"/>
                <w:b/>
                <w:spacing w:val="-2"/>
                <w:sz w:val="18"/>
                <w:lang w:val="en-GB"/>
              </w:rPr>
              <w:t>Indicator/element</w:t>
            </w:r>
          </w:p>
        </w:tc>
        <w:tc>
          <w:tcPr>
            <w:tcW w:w="5805" w:type="dxa"/>
            <w:tcMar>
              <w:top w:w="44" w:type="dxa"/>
              <w:left w:w="86" w:type="dxa"/>
              <w:bottom w:w="86" w:type="dxa"/>
              <w:right w:w="44" w:type="dxa"/>
            </w:tcMar>
            <w:vAlign w:val="bottom"/>
            <w:hideMark/>
          </w:tcPr>
          <w:p w14:paraId="5D592E01" w14:textId="77777777" w:rsidR="00085412" w:rsidRPr="00617A89" w:rsidRDefault="00085412" w:rsidP="00D06B50">
            <w:pPr>
              <w:rPr>
                <w:rFonts w:eastAsia="Yu Gothic" w:cs="Arial"/>
                <w:b/>
                <w:spacing w:val="-2"/>
                <w:sz w:val="18"/>
                <w:lang w:val="en-GB"/>
              </w:rPr>
            </w:pPr>
            <w:r w:rsidRPr="00617A89">
              <w:rPr>
                <w:rFonts w:eastAsia="Yu Gothic" w:cs="Arial"/>
                <w:b/>
                <w:spacing w:val="-2"/>
                <w:sz w:val="18"/>
                <w:lang w:val="en-GB"/>
              </w:rPr>
              <w:t>Definition</w:t>
            </w:r>
          </w:p>
        </w:tc>
      </w:tr>
      <w:tr w:rsidR="00085412" w:rsidRPr="00617A89" w14:paraId="5FE1C8A0" w14:textId="77777777" w:rsidTr="00D06B50">
        <w:tc>
          <w:tcPr>
            <w:tcW w:w="3823" w:type="dxa"/>
            <w:tcMar>
              <w:top w:w="44" w:type="dxa"/>
              <w:left w:w="86" w:type="dxa"/>
              <w:bottom w:w="86" w:type="dxa"/>
              <w:right w:w="44" w:type="dxa"/>
            </w:tcMar>
          </w:tcPr>
          <w:p w14:paraId="5272276C"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Available for employment</w:t>
            </w:r>
            <w:r w:rsidRPr="00617A89">
              <w:rPr>
                <w:rFonts w:eastAsia="Yu Gothic" w:cs="Arial"/>
                <w:spacing w:val="-2"/>
                <w:sz w:val="18"/>
                <w:vertAlign w:val="superscript"/>
                <w:lang w:val="en-GB"/>
              </w:rPr>
              <w:t>†</w:t>
            </w:r>
          </w:p>
        </w:tc>
        <w:tc>
          <w:tcPr>
            <w:tcW w:w="5805" w:type="dxa"/>
            <w:tcMar>
              <w:top w:w="44" w:type="dxa"/>
              <w:left w:w="86" w:type="dxa"/>
              <w:bottom w:w="86" w:type="dxa"/>
              <w:right w:w="44" w:type="dxa"/>
            </w:tcMar>
          </w:tcPr>
          <w:p w14:paraId="005F3786"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 xml:space="preserve">Graduates who were employed, </w:t>
            </w:r>
            <w:r w:rsidRPr="00617A89">
              <w:rPr>
                <w:rFonts w:eastAsia="Yu Gothic" w:cs="Arial"/>
                <w:i/>
                <w:iCs/>
                <w:spacing w:val="-2"/>
                <w:sz w:val="18"/>
                <w:lang w:val="en-GB"/>
              </w:rPr>
              <w:t xml:space="preserve">actively </w:t>
            </w:r>
            <w:r w:rsidRPr="00617A89">
              <w:rPr>
                <w:rFonts w:eastAsia="Yu Gothic" w:cs="Arial"/>
                <w:spacing w:val="-2"/>
                <w:sz w:val="18"/>
                <w:lang w:val="en-GB"/>
              </w:rPr>
              <w:t>looking for employment or waiting to start a job in the week prior to the survey.</w:t>
            </w:r>
          </w:p>
        </w:tc>
      </w:tr>
      <w:tr w:rsidR="00085412" w:rsidRPr="00617A89" w14:paraId="42F01181" w14:textId="77777777" w:rsidTr="00D06B50">
        <w:tc>
          <w:tcPr>
            <w:tcW w:w="3823" w:type="dxa"/>
            <w:tcMar>
              <w:top w:w="44" w:type="dxa"/>
              <w:left w:w="86" w:type="dxa"/>
              <w:bottom w:w="86" w:type="dxa"/>
              <w:right w:w="44" w:type="dxa"/>
            </w:tcMar>
          </w:tcPr>
          <w:p w14:paraId="73DA7DC3"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Available for full-time employment</w:t>
            </w:r>
            <w:r w:rsidRPr="00617A89">
              <w:rPr>
                <w:rFonts w:eastAsia="Yu Gothic" w:cs="Arial"/>
                <w:spacing w:val="-2"/>
                <w:sz w:val="18"/>
                <w:vertAlign w:val="superscript"/>
                <w:lang w:val="en-GB"/>
              </w:rPr>
              <w:t>†</w:t>
            </w:r>
          </w:p>
        </w:tc>
        <w:tc>
          <w:tcPr>
            <w:tcW w:w="5805" w:type="dxa"/>
            <w:tcMar>
              <w:top w:w="44" w:type="dxa"/>
              <w:left w:w="86" w:type="dxa"/>
              <w:bottom w:w="86" w:type="dxa"/>
              <w:right w:w="44" w:type="dxa"/>
            </w:tcMar>
          </w:tcPr>
          <w:p w14:paraId="20178FB0"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 xml:space="preserve">Graduates who were employed full-time or </w:t>
            </w:r>
            <w:r w:rsidRPr="00617A89">
              <w:rPr>
                <w:rFonts w:eastAsia="Yu Gothic" w:cs="Arial"/>
                <w:i/>
                <w:iCs/>
                <w:spacing w:val="-2"/>
                <w:sz w:val="18"/>
                <w:lang w:val="en-GB"/>
              </w:rPr>
              <w:t xml:space="preserve">actively </w:t>
            </w:r>
            <w:r w:rsidRPr="00617A89">
              <w:rPr>
                <w:rFonts w:eastAsia="Yu Gothic" w:cs="Arial"/>
                <w:spacing w:val="-2"/>
                <w:sz w:val="18"/>
                <w:lang w:val="en-GB"/>
              </w:rPr>
              <w:t>looking for full-time employment in the week prior to the survey. This includes those in part-time employment and looking for full-time work in the week prior to the survey.</w:t>
            </w:r>
          </w:p>
        </w:tc>
      </w:tr>
      <w:tr w:rsidR="00085412" w:rsidRPr="00617A89" w14:paraId="535C89AE" w14:textId="77777777" w:rsidTr="00D06B50">
        <w:tc>
          <w:tcPr>
            <w:tcW w:w="3823" w:type="dxa"/>
            <w:tcMar>
              <w:top w:w="44" w:type="dxa"/>
              <w:left w:w="86" w:type="dxa"/>
              <w:bottom w:w="86" w:type="dxa"/>
              <w:right w:w="44" w:type="dxa"/>
            </w:tcMar>
            <w:hideMark/>
          </w:tcPr>
          <w:p w14:paraId="0EDC4F0B"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Employed</w:t>
            </w:r>
          </w:p>
        </w:tc>
        <w:tc>
          <w:tcPr>
            <w:tcW w:w="5805" w:type="dxa"/>
            <w:tcMar>
              <w:top w:w="44" w:type="dxa"/>
              <w:left w:w="86" w:type="dxa"/>
              <w:bottom w:w="86" w:type="dxa"/>
              <w:right w:w="44" w:type="dxa"/>
            </w:tcMar>
            <w:hideMark/>
          </w:tcPr>
          <w:p w14:paraId="34D10FEB"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 xml:space="preserve">Graduates who were usually or actually in paid employment for one or more hours in the week before the survey. </w:t>
            </w:r>
          </w:p>
        </w:tc>
      </w:tr>
      <w:tr w:rsidR="00085412" w:rsidRPr="00617A89" w14:paraId="2F8ADF75" w14:textId="77777777" w:rsidTr="00D06B50">
        <w:tc>
          <w:tcPr>
            <w:tcW w:w="3823" w:type="dxa"/>
            <w:tcMar>
              <w:top w:w="44" w:type="dxa"/>
              <w:left w:w="86" w:type="dxa"/>
              <w:bottom w:w="86" w:type="dxa"/>
              <w:right w:w="44" w:type="dxa"/>
            </w:tcMar>
            <w:hideMark/>
          </w:tcPr>
          <w:p w14:paraId="201AB3DA"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Employed full-time</w:t>
            </w:r>
          </w:p>
        </w:tc>
        <w:tc>
          <w:tcPr>
            <w:tcW w:w="5805" w:type="dxa"/>
            <w:tcMar>
              <w:top w:w="44" w:type="dxa"/>
              <w:left w:w="86" w:type="dxa"/>
              <w:bottom w:w="86" w:type="dxa"/>
              <w:right w:w="44" w:type="dxa"/>
            </w:tcMar>
            <w:hideMark/>
          </w:tcPr>
          <w:p w14:paraId="3B726B4B"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Graduates who were usually or actually in paid employment for at least 35 hours per week in the week before the survey.</w:t>
            </w:r>
          </w:p>
        </w:tc>
      </w:tr>
      <w:tr w:rsidR="00085412" w:rsidRPr="00617A89" w14:paraId="4C409CDE" w14:textId="77777777" w:rsidTr="00D06B50">
        <w:tc>
          <w:tcPr>
            <w:tcW w:w="3823" w:type="dxa"/>
            <w:tcMar>
              <w:top w:w="44" w:type="dxa"/>
              <w:left w:w="86" w:type="dxa"/>
              <w:bottom w:w="86" w:type="dxa"/>
              <w:right w:w="44" w:type="dxa"/>
            </w:tcMar>
          </w:tcPr>
          <w:p w14:paraId="7DAB62B8"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Employed part-time</w:t>
            </w:r>
          </w:p>
        </w:tc>
        <w:tc>
          <w:tcPr>
            <w:tcW w:w="5805" w:type="dxa"/>
            <w:tcMar>
              <w:top w:w="44" w:type="dxa"/>
              <w:left w:w="86" w:type="dxa"/>
              <w:bottom w:w="86" w:type="dxa"/>
              <w:right w:w="44" w:type="dxa"/>
            </w:tcMar>
          </w:tcPr>
          <w:p w14:paraId="32F7172B"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Graduates who were usually or actually in paid employment for</w:t>
            </w:r>
            <w:r w:rsidRPr="00617A89">
              <w:rPr>
                <w:rFonts w:ascii="Aptos Display" w:eastAsia="Yu Gothic" w:hAnsi="Aptos Display" w:cs="Gotham-Light"/>
                <w:color w:val="000A23"/>
                <w:spacing w:val="-2"/>
                <w:lang w:val="en-GB"/>
              </w:rPr>
              <w:t xml:space="preserve"> </w:t>
            </w:r>
            <w:r w:rsidRPr="00617A89">
              <w:rPr>
                <w:rFonts w:eastAsia="Yu Gothic" w:cs="Arial"/>
                <w:spacing w:val="-2"/>
                <w:sz w:val="18"/>
                <w:lang w:val="en-GB"/>
              </w:rPr>
              <w:t>at least one hour but less than 35 hours in the week before the survey.</w:t>
            </w:r>
          </w:p>
        </w:tc>
      </w:tr>
      <w:tr w:rsidR="00085412" w:rsidRPr="00617A89" w14:paraId="6A9691F3" w14:textId="77777777" w:rsidTr="00D06B50">
        <w:tc>
          <w:tcPr>
            <w:tcW w:w="3823" w:type="dxa"/>
            <w:tcMar>
              <w:top w:w="44" w:type="dxa"/>
              <w:left w:w="86" w:type="dxa"/>
              <w:bottom w:w="86" w:type="dxa"/>
              <w:right w:w="44" w:type="dxa"/>
            </w:tcMar>
          </w:tcPr>
          <w:p w14:paraId="65CEDF17"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Full-time employment rate</w:t>
            </w:r>
          </w:p>
        </w:tc>
        <w:tc>
          <w:tcPr>
            <w:tcW w:w="5805" w:type="dxa"/>
            <w:tcMar>
              <w:top w:w="44" w:type="dxa"/>
              <w:left w:w="86" w:type="dxa"/>
              <w:bottom w:w="86" w:type="dxa"/>
              <w:right w:w="44" w:type="dxa"/>
            </w:tcMar>
          </w:tcPr>
          <w:p w14:paraId="4C516B84"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Graduates employed full-time, as a proportion of those available for full-time work. Note that some graduates available for full-time work may be in part-time employment and looking for full-time work.</w:t>
            </w:r>
          </w:p>
        </w:tc>
      </w:tr>
      <w:tr w:rsidR="00085412" w:rsidRPr="00617A89" w14:paraId="1E511600" w14:textId="77777777" w:rsidTr="00D06B50">
        <w:tc>
          <w:tcPr>
            <w:tcW w:w="3823" w:type="dxa"/>
            <w:tcMar>
              <w:top w:w="44" w:type="dxa"/>
              <w:left w:w="86" w:type="dxa"/>
              <w:bottom w:w="86" w:type="dxa"/>
              <w:right w:w="44" w:type="dxa"/>
            </w:tcMar>
          </w:tcPr>
          <w:p w14:paraId="2D69FFCE"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Further full-time study rate</w:t>
            </w:r>
          </w:p>
        </w:tc>
        <w:tc>
          <w:tcPr>
            <w:tcW w:w="5805" w:type="dxa"/>
            <w:tcMar>
              <w:top w:w="44" w:type="dxa"/>
              <w:left w:w="86" w:type="dxa"/>
              <w:bottom w:w="86" w:type="dxa"/>
              <w:right w:w="44" w:type="dxa"/>
            </w:tcMar>
          </w:tcPr>
          <w:p w14:paraId="56874439" w14:textId="77777777" w:rsidR="00085412" w:rsidRPr="00617A89" w:rsidRDefault="00085412" w:rsidP="00D06B50">
            <w:pPr>
              <w:rPr>
                <w:rFonts w:eastAsia="Yu Gothic" w:cs="Arial"/>
                <w:spacing w:val="-2"/>
                <w:sz w:val="18"/>
                <w:lang w:val="en-GB"/>
              </w:rPr>
            </w:pPr>
            <w:bookmarkStart w:id="229" w:name="_Hlk153201430"/>
            <w:r w:rsidRPr="00617A89">
              <w:rPr>
                <w:rFonts w:eastAsia="Yu Gothic" w:cs="Arial"/>
                <w:spacing w:val="-2"/>
                <w:sz w:val="18"/>
                <w:lang w:val="en-GB"/>
              </w:rPr>
              <w:t>Graduates who reported being in further full-time study, as a proportion of all graduates.</w:t>
            </w:r>
            <w:bookmarkEnd w:id="229"/>
          </w:p>
        </w:tc>
      </w:tr>
      <w:tr w:rsidR="00085412" w:rsidRPr="00617A89" w14:paraId="24316F71" w14:textId="77777777" w:rsidTr="00D06B50">
        <w:tc>
          <w:tcPr>
            <w:tcW w:w="3823" w:type="dxa"/>
            <w:tcMar>
              <w:top w:w="44" w:type="dxa"/>
              <w:left w:w="86" w:type="dxa"/>
              <w:bottom w:w="86" w:type="dxa"/>
              <w:right w:w="44" w:type="dxa"/>
            </w:tcMar>
          </w:tcPr>
          <w:p w14:paraId="27C5C8EE"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Labour force participation rate</w:t>
            </w:r>
          </w:p>
        </w:tc>
        <w:tc>
          <w:tcPr>
            <w:tcW w:w="5805" w:type="dxa"/>
            <w:tcMar>
              <w:top w:w="44" w:type="dxa"/>
              <w:left w:w="86" w:type="dxa"/>
              <w:bottom w:w="86" w:type="dxa"/>
              <w:right w:w="44" w:type="dxa"/>
            </w:tcMar>
          </w:tcPr>
          <w:p w14:paraId="69BA1E83"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Graduates available for employment, as a proportion of all graduates.</w:t>
            </w:r>
          </w:p>
        </w:tc>
      </w:tr>
      <w:tr w:rsidR="00085412" w:rsidRPr="00617A89" w14:paraId="7DAAA8AA" w14:textId="77777777" w:rsidTr="00D06B50">
        <w:tc>
          <w:tcPr>
            <w:tcW w:w="3823" w:type="dxa"/>
            <w:tcMar>
              <w:top w:w="44" w:type="dxa"/>
              <w:left w:w="86" w:type="dxa"/>
              <w:bottom w:w="86" w:type="dxa"/>
              <w:right w:w="44" w:type="dxa"/>
            </w:tcMar>
          </w:tcPr>
          <w:p w14:paraId="178D1274"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Median salary</w:t>
            </w:r>
          </w:p>
        </w:tc>
        <w:tc>
          <w:tcPr>
            <w:tcW w:w="5805" w:type="dxa"/>
            <w:tcMar>
              <w:top w:w="44" w:type="dxa"/>
              <w:left w:w="86" w:type="dxa"/>
              <w:bottom w:w="86" w:type="dxa"/>
              <w:right w:w="44" w:type="dxa"/>
            </w:tcMar>
          </w:tcPr>
          <w:p w14:paraId="1A099BCC"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The median annual salary of graduates employed full-time.</w:t>
            </w:r>
          </w:p>
        </w:tc>
      </w:tr>
      <w:tr w:rsidR="00085412" w:rsidRPr="00617A89" w14:paraId="0223089E" w14:textId="77777777" w:rsidTr="00D06B50">
        <w:tc>
          <w:tcPr>
            <w:tcW w:w="3823" w:type="dxa"/>
            <w:tcMar>
              <w:top w:w="44" w:type="dxa"/>
              <w:left w:w="86" w:type="dxa"/>
              <w:bottom w:w="86" w:type="dxa"/>
              <w:right w:w="44" w:type="dxa"/>
            </w:tcMar>
          </w:tcPr>
          <w:p w14:paraId="17156D82"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Overall course satisfaction indicator (Undergraduate and postgraduate coursework)</w:t>
            </w:r>
          </w:p>
        </w:tc>
        <w:tc>
          <w:tcPr>
            <w:tcW w:w="5805" w:type="dxa"/>
            <w:tcMar>
              <w:top w:w="44" w:type="dxa"/>
              <w:left w:w="86" w:type="dxa"/>
              <w:bottom w:w="86" w:type="dxa"/>
              <w:right w:w="44" w:type="dxa"/>
            </w:tcMar>
          </w:tcPr>
          <w:p w14:paraId="2C16CF7F"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The proportion of graduates who ‘agreed’ or ‘strongly agreed’ that they were satisfied with the overall quality of their course.</w:t>
            </w:r>
          </w:p>
        </w:tc>
      </w:tr>
      <w:tr w:rsidR="00085412" w:rsidRPr="00617A89" w14:paraId="2B1E5A08" w14:textId="77777777" w:rsidTr="00D06B50">
        <w:tc>
          <w:tcPr>
            <w:tcW w:w="3823" w:type="dxa"/>
            <w:tcMar>
              <w:top w:w="44" w:type="dxa"/>
              <w:left w:w="86" w:type="dxa"/>
              <w:bottom w:w="86" w:type="dxa"/>
              <w:right w:w="44" w:type="dxa"/>
            </w:tcMar>
          </w:tcPr>
          <w:p w14:paraId="150E41D5"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Overall employment rate</w:t>
            </w:r>
          </w:p>
        </w:tc>
        <w:tc>
          <w:tcPr>
            <w:tcW w:w="5805" w:type="dxa"/>
            <w:tcMar>
              <w:top w:w="44" w:type="dxa"/>
              <w:left w:w="86" w:type="dxa"/>
              <w:bottom w:w="86" w:type="dxa"/>
              <w:right w:w="44" w:type="dxa"/>
            </w:tcMar>
          </w:tcPr>
          <w:p w14:paraId="5F005734"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Graduates employed for one or more hours, as a proportion of those available for employment.</w:t>
            </w:r>
          </w:p>
        </w:tc>
      </w:tr>
      <w:tr w:rsidR="00085412" w:rsidRPr="00617A89" w14:paraId="058C155F" w14:textId="77777777" w:rsidTr="00D06B50">
        <w:tc>
          <w:tcPr>
            <w:tcW w:w="3823" w:type="dxa"/>
            <w:tcMar>
              <w:top w:w="44" w:type="dxa"/>
              <w:left w:w="86" w:type="dxa"/>
              <w:bottom w:w="86" w:type="dxa"/>
              <w:right w:w="44" w:type="dxa"/>
            </w:tcMar>
          </w:tcPr>
          <w:p w14:paraId="4670AD36" w14:textId="77777777" w:rsidR="00085412" w:rsidRPr="00617A89" w:rsidRDefault="00085412" w:rsidP="00D06B50">
            <w:pPr>
              <w:rPr>
                <w:rFonts w:eastAsia="Yu Gothic" w:cs="Arial"/>
                <w:spacing w:val="-2"/>
                <w:sz w:val="18"/>
                <w:lang w:val="en-GB"/>
              </w:rPr>
            </w:pPr>
            <w:bookmarkStart w:id="230" w:name="_Hlk153201747"/>
            <w:r w:rsidRPr="00617A89">
              <w:rPr>
                <w:rFonts w:eastAsia="Yu Gothic" w:cs="Arial"/>
                <w:spacing w:val="-2"/>
                <w:sz w:val="18"/>
                <w:lang w:val="en-GB"/>
              </w:rPr>
              <w:t>Postgraduate research graduate satisfaction:</w:t>
            </w:r>
          </w:p>
          <w:p w14:paraId="6BB1D552" w14:textId="77777777" w:rsidR="00085412" w:rsidRPr="00617A89" w:rsidRDefault="00085412" w:rsidP="00D06B50">
            <w:pPr>
              <w:numPr>
                <w:ilvl w:val="0"/>
                <w:numId w:val="35"/>
              </w:numPr>
              <w:rPr>
                <w:rFonts w:eastAsia="Yu Gothic" w:cs="Arial"/>
                <w:spacing w:val="-2"/>
                <w:sz w:val="18"/>
                <w:lang w:val="en-GB"/>
              </w:rPr>
            </w:pPr>
            <w:r w:rsidRPr="00617A89">
              <w:rPr>
                <w:rFonts w:eastAsia="Yu Gothic" w:cs="Arial"/>
                <w:spacing w:val="-2"/>
                <w:sz w:val="18"/>
                <w:lang w:val="en-GB"/>
              </w:rPr>
              <w:t>Overall satisfaction</w:t>
            </w:r>
          </w:p>
          <w:p w14:paraId="2051896D" w14:textId="77777777" w:rsidR="00085412" w:rsidRPr="00617A89" w:rsidRDefault="00085412" w:rsidP="00D06B50">
            <w:pPr>
              <w:numPr>
                <w:ilvl w:val="0"/>
                <w:numId w:val="35"/>
              </w:numPr>
              <w:rPr>
                <w:rFonts w:eastAsia="Yu Gothic" w:cs="Arial"/>
                <w:spacing w:val="-2"/>
                <w:sz w:val="18"/>
                <w:lang w:val="en-GB"/>
              </w:rPr>
            </w:pPr>
            <w:r w:rsidRPr="00617A89">
              <w:rPr>
                <w:rFonts w:eastAsia="Yu Gothic" w:cs="Arial"/>
                <w:spacing w:val="-2"/>
                <w:sz w:val="18"/>
                <w:lang w:val="en-GB"/>
              </w:rPr>
              <w:t>Intellectual climate</w:t>
            </w:r>
          </w:p>
          <w:p w14:paraId="7311DDF5" w14:textId="77777777" w:rsidR="00085412" w:rsidRPr="00617A89" w:rsidRDefault="00085412" w:rsidP="00D06B50">
            <w:pPr>
              <w:numPr>
                <w:ilvl w:val="0"/>
                <w:numId w:val="35"/>
              </w:numPr>
              <w:rPr>
                <w:rFonts w:eastAsia="Yu Gothic" w:cs="Arial"/>
                <w:spacing w:val="-2"/>
                <w:sz w:val="18"/>
                <w:lang w:val="en-GB"/>
              </w:rPr>
            </w:pPr>
            <w:r w:rsidRPr="00617A89">
              <w:rPr>
                <w:rFonts w:eastAsia="Yu Gothic" w:cs="Arial"/>
                <w:spacing w:val="-2"/>
                <w:sz w:val="18"/>
                <w:lang w:val="en-GB"/>
              </w:rPr>
              <w:t>Infrastructure</w:t>
            </w:r>
          </w:p>
          <w:p w14:paraId="0F7CE529" w14:textId="77777777" w:rsidR="00085412" w:rsidRPr="00617A89" w:rsidRDefault="00085412" w:rsidP="00D06B50">
            <w:pPr>
              <w:numPr>
                <w:ilvl w:val="0"/>
                <w:numId w:val="35"/>
              </w:numPr>
              <w:rPr>
                <w:rFonts w:eastAsia="Yu Gothic" w:cs="Arial"/>
                <w:spacing w:val="-2"/>
                <w:sz w:val="18"/>
                <w:lang w:val="en-GB"/>
              </w:rPr>
            </w:pPr>
            <w:r w:rsidRPr="00617A89">
              <w:rPr>
                <w:rFonts w:eastAsia="Yu Gothic" w:cs="Arial"/>
                <w:spacing w:val="-2"/>
                <w:sz w:val="18"/>
                <w:lang w:val="en-GB"/>
              </w:rPr>
              <w:t>Goals and expectations</w:t>
            </w:r>
          </w:p>
          <w:p w14:paraId="457011C3" w14:textId="77777777" w:rsidR="00085412" w:rsidRPr="00617A89" w:rsidRDefault="00085412" w:rsidP="00D06B50">
            <w:pPr>
              <w:numPr>
                <w:ilvl w:val="0"/>
                <w:numId w:val="35"/>
              </w:numPr>
              <w:rPr>
                <w:rFonts w:eastAsia="Yu Gothic" w:cs="Arial"/>
                <w:spacing w:val="-2"/>
                <w:sz w:val="18"/>
                <w:lang w:val="en-GB"/>
              </w:rPr>
            </w:pPr>
            <w:r w:rsidRPr="00617A89">
              <w:rPr>
                <w:rFonts w:eastAsia="Yu Gothic" w:cs="Arial"/>
                <w:spacing w:val="-2"/>
                <w:sz w:val="18"/>
                <w:lang w:val="en-GB"/>
              </w:rPr>
              <w:t>Supervision</w:t>
            </w:r>
          </w:p>
          <w:p w14:paraId="776644B2" w14:textId="77777777" w:rsidR="00085412" w:rsidRPr="00617A89" w:rsidRDefault="00085412" w:rsidP="00D06B50">
            <w:pPr>
              <w:numPr>
                <w:ilvl w:val="0"/>
                <w:numId w:val="35"/>
              </w:numPr>
              <w:rPr>
                <w:rFonts w:eastAsia="Yu Gothic" w:cs="Arial"/>
                <w:spacing w:val="-2"/>
                <w:sz w:val="18"/>
                <w:lang w:val="en-GB"/>
              </w:rPr>
            </w:pPr>
            <w:r w:rsidRPr="00617A89">
              <w:rPr>
                <w:rFonts w:eastAsia="Yu Gothic" w:cs="Arial"/>
                <w:spacing w:val="-2"/>
                <w:sz w:val="18"/>
                <w:lang w:val="en-GB"/>
              </w:rPr>
              <w:t>Skills development</w:t>
            </w:r>
          </w:p>
          <w:p w14:paraId="29665F38" w14:textId="77777777" w:rsidR="00085412" w:rsidRPr="00617A89" w:rsidRDefault="00085412" w:rsidP="00D06B50">
            <w:pPr>
              <w:numPr>
                <w:ilvl w:val="0"/>
                <w:numId w:val="35"/>
              </w:numPr>
              <w:rPr>
                <w:rFonts w:eastAsia="Yu Gothic" w:cs="Arial"/>
                <w:spacing w:val="-2"/>
                <w:sz w:val="18"/>
                <w:lang w:val="en-GB"/>
              </w:rPr>
            </w:pPr>
            <w:r w:rsidRPr="00617A89">
              <w:rPr>
                <w:rFonts w:eastAsia="Yu Gothic" w:cs="Arial"/>
                <w:spacing w:val="-2"/>
                <w:sz w:val="18"/>
                <w:lang w:val="en-GB"/>
              </w:rPr>
              <w:t>Thesis examination and industry, and</w:t>
            </w:r>
          </w:p>
          <w:p w14:paraId="575FB93D" w14:textId="77777777" w:rsidR="00085412" w:rsidRPr="00617A89" w:rsidRDefault="00085412" w:rsidP="00D06B50">
            <w:pPr>
              <w:numPr>
                <w:ilvl w:val="0"/>
                <w:numId w:val="35"/>
              </w:numPr>
              <w:rPr>
                <w:rFonts w:eastAsia="Yu Gothic" w:cs="Arial"/>
                <w:spacing w:val="-2"/>
                <w:sz w:val="18"/>
                <w:lang w:val="en-GB"/>
              </w:rPr>
            </w:pPr>
            <w:r w:rsidRPr="00617A89">
              <w:rPr>
                <w:rFonts w:eastAsia="Yu Gothic" w:cs="Arial"/>
                <w:spacing w:val="-2"/>
                <w:sz w:val="18"/>
                <w:lang w:val="en-GB"/>
              </w:rPr>
              <w:t>External engagement.</w:t>
            </w:r>
          </w:p>
        </w:tc>
        <w:tc>
          <w:tcPr>
            <w:tcW w:w="5805" w:type="dxa"/>
            <w:tcMar>
              <w:top w:w="44" w:type="dxa"/>
              <w:left w:w="86" w:type="dxa"/>
              <w:bottom w:w="86" w:type="dxa"/>
              <w:right w:w="44" w:type="dxa"/>
            </w:tcMar>
          </w:tcPr>
          <w:p w14:paraId="0E524775"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Calculated from multiple survey items, representing the proportion of graduates who gave a positive response to items associated with each aspect of their higher degree by research (HDR) experience.</w:t>
            </w:r>
          </w:p>
        </w:tc>
      </w:tr>
      <w:bookmarkEnd w:id="230"/>
      <w:tr w:rsidR="00085412" w:rsidRPr="00617A89" w14:paraId="557A9D6F" w14:textId="77777777" w:rsidTr="00D06B50">
        <w:tc>
          <w:tcPr>
            <w:tcW w:w="3823" w:type="dxa"/>
            <w:tcMar>
              <w:top w:w="44" w:type="dxa"/>
              <w:left w:w="86" w:type="dxa"/>
              <w:bottom w:w="86" w:type="dxa"/>
              <w:right w:w="44" w:type="dxa"/>
            </w:tcMar>
          </w:tcPr>
          <w:p w14:paraId="6A1C8406"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Underemployed</w:t>
            </w:r>
          </w:p>
        </w:tc>
        <w:tc>
          <w:tcPr>
            <w:tcW w:w="5805" w:type="dxa"/>
            <w:tcMar>
              <w:top w:w="44" w:type="dxa"/>
              <w:left w:w="86" w:type="dxa"/>
              <w:bottom w:w="86" w:type="dxa"/>
              <w:right w:w="44" w:type="dxa"/>
            </w:tcMar>
            <w:vAlign w:val="center"/>
          </w:tcPr>
          <w:p w14:paraId="6301C1F4" w14:textId="77777777" w:rsidR="00085412" w:rsidRPr="00617A89" w:rsidRDefault="00085412" w:rsidP="00D06B50">
            <w:pPr>
              <w:rPr>
                <w:rFonts w:eastAsia="Yu Gothic" w:cs="Arial"/>
                <w:spacing w:val="-2"/>
                <w:sz w:val="18"/>
                <w:lang w:val="en-GB"/>
              </w:rPr>
            </w:pPr>
            <w:r w:rsidRPr="00617A89">
              <w:rPr>
                <w:rFonts w:eastAsia="Yu Gothic" w:cs="Arial"/>
                <w:spacing w:val="-2"/>
                <w:sz w:val="18"/>
                <w:lang w:val="en-GB"/>
              </w:rPr>
              <w:t>Graduates who were usually or actually in paid employment for fewer than 35 hours per week, in the week before the survey, and who would prefer to work additional hours regardless of if they were available to work those additional hours.</w:t>
            </w:r>
          </w:p>
        </w:tc>
      </w:tr>
    </w:tbl>
    <w:p w14:paraId="5BF68576" w14:textId="77777777" w:rsidR="00085412" w:rsidRPr="00617A89" w:rsidRDefault="00085412" w:rsidP="00085412">
      <w:pPr>
        <w:widowControl w:val="0"/>
        <w:suppressAutoHyphens/>
        <w:autoSpaceDE w:val="0"/>
        <w:autoSpaceDN w:val="0"/>
        <w:adjustRightInd w:val="0"/>
        <w:textAlignment w:val="center"/>
        <w:rPr>
          <w:rFonts w:eastAsia="Aptos" w:cs="Arial"/>
          <w:sz w:val="18"/>
          <w:szCs w:val="16"/>
          <w:lang w:val="en-GB" w:eastAsia="en-GB"/>
        </w:rPr>
      </w:pPr>
      <w:bookmarkStart w:id="231" w:name="_Toc500947613"/>
      <w:bookmarkStart w:id="232" w:name="_Toc500949068"/>
      <w:bookmarkStart w:id="233" w:name="_Toc500949338"/>
      <w:bookmarkStart w:id="234" w:name="_Toc528315531"/>
      <w:bookmarkStart w:id="235" w:name="_Toc22810107"/>
      <w:bookmarkStart w:id="236" w:name="_Toc22810196"/>
      <w:bookmarkStart w:id="237" w:name="_Toc22825145"/>
      <w:bookmarkStart w:id="238" w:name="_Toc112745310"/>
      <w:bookmarkStart w:id="239" w:name="_Toc191481323"/>
      <w:r w:rsidRPr="00617A89">
        <w:rPr>
          <w:rFonts w:eastAsia="Aptos" w:cs="Arial"/>
          <w:sz w:val="18"/>
          <w:szCs w:val="16"/>
          <w:lang w:val="en-GB" w:eastAsia="en-GB"/>
        </w:rPr>
        <w:t>† From 2025 onwards, respondents who were not currently working and only passively looking for work are no longer considered to be available for employment. Prior to 2025,</w:t>
      </w:r>
      <w:r w:rsidRPr="00617A89">
        <w:rPr>
          <w:rFonts w:eastAsia="Aptos" w:cs="Times New Roman"/>
          <w:sz w:val="18"/>
          <w:szCs w:val="16"/>
          <w:lang w:val="en-GB" w:eastAsia="en-GB"/>
        </w:rPr>
        <w:t xml:space="preserve"> </w:t>
      </w:r>
      <w:r w:rsidRPr="00617A89">
        <w:rPr>
          <w:rFonts w:eastAsia="Aptos" w:cs="Arial"/>
          <w:sz w:val="18"/>
          <w:szCs w:val="16"/>
          <w:lang w:val="en-GB" w:eastAsia="en-GB"/>
        </w:rPr>
        <w:t xml:space="preserve">both active and passive job search types were included. </w:t>
      </w:r>
    </w:p>
    <w:p w14:paraId="1B6AED6A" w14:textId="77777777" w:rsidR="00085412" w:rsidRPr="00617A89" w:rsidRDefault="00085412" w:rsidP="00085412">
      <w:pPr>
        <w:widowControl w:val="0"/>
        <w:suppressAutoHyphens/>
        <w:autoSpaceDE w:val="0"/>
        <w:autoSpaceDN w:val="0"/>
        <w:adjustRightInd w:val="0"/>
        <w:textAlignment w:val="center"/>
        <w:rPr>
          <w:rFonts w:eastAsia="Aptos" w:cs="Arial"/>
          <w:sz w:val="16"/>
          <w:szCs w:val="15"/>
          <w:lang w:val="en-GB" w:eastAsia="en-GB"/>
        </w:rPr>
      </w:pPr>
    </w:p>
    <w:p w14:paraId="7022C469" w14:textId="77777777" w:rsidR="00085412" w:rsidRPr="00617A89" w:rsidRDefault="00085412" w:rsidP="00085412">
      <w:pPr>
        <w:pStyle w:val="Appendix2"/>
        <w:rPr>
          <w:color w:val="000000" w:themeColor="text1"/>
        </w:rPr>
      </w:pPr>
      <w:bookmarkStart w:id="240" w:name="_Toc215068912"/>
      <w:bookmarkStart w:id="241" w:name="_Toc215676288"/>
      <w:bookmarkStart w:id="242" w:name="_Toc222868466"/>
      <w:r w:rsidRPr="00617A89">
        <w:rPr>
          <w:color w:val="000000" w:themeColor="text1"/>
        </w:rPr>
        <w:t>Examples of graduate labour market outcomes</w:t>
      </w:r>
      <w:bookmarkEnd w:id="231"/>
      <w:bookmarkEnd w:id="232"/>
      <w:bookmarkEnd w:id="233"/>
      <w:bookmarkEnd w:id="234"/>
      <w:bookmarkEnd w:id="235"/>
      <w:bookmarkEnd w:id="236"/>
      <w:bookmarkEnd w:id="237"/>
      <w:bookmarkEnd w:id="238"/>
      <w:bookmarkEnd w:id="239"/>
      <w:bookmarkEnd w:id="240"/>
      <w:bookmarkEnd w:id="241"/>
      <w:bookmarkEnd w:id="242"/>
    </w:p>
    <w:p w14:paraId="341496DE" w14:textId="09274B56" w:rsidR="00A434E8" w:rsidRPr="00617A89" w:rsidRDefault="00A434E8" w:rsidP="00085412">
      <w:pPr>
        <w:spacing w:before="120" w:after="120" w:line="300" w:lineRule="auto"/>
        <w:rPr>
          <w:rFonts w:eastAsia="Times New Roman" w:cs="Times New Roman"/>
          <w:szCs w:val="20"/>
        </w:rPr>
      </w:pPr>
      <w:bookmarkStart w:id="243" w:name="_Toc22200392"/>
      <w:bookmarkStart w:id="244" w:name="_Toc22200394"/>
      <w:r w:rsidRPr="00617A89">
        <w:rPr>
          <w:rFonts w:eastAsia="Times New Roman" w:cs="Times New Roman"/>
          <w:szCs w:val="20"/>
        </w:rPr>
        <w:t>The names and examples used in this report are fictitious and are provided for illustrative purposes only.</w:t>
      </w:r>
    </w:p>
    <w:p w14:paraId="00D5E63C" w14:textId="5C75F3BE" w:rsidR="00085412" w:rsidRPr="00617A89" w:rsidRDefault="00085412" w:rsidP="00085412">
      <w:pPr>
        <w:spacing w:before="120" w:after="120" w:line="300" w:lineRule="auto"/>
        <w:rPr>
          <w:rFonts w:eastAsia="Times New Roman" w:cs="Times New Roman"/>
          <w:szCs w:val="20"/>
        </w:rPr>
      </w:pPr>
      <w:r w:rsidRPr="00617A89">
        <w:rPr>
          <w:rFonts w:eastAsia="Times New Roman" w:cs="Times New Roman"/>
          <w:b/>
          <w:bCs/>
          <w:szCs w:val="20"/>
        </w:rPr>
        <w:t>Amy</w:t>
      </w:r>
      <w:r w:rsidRPr="00617A89">
        <w:rPr>
          <w:rFonts w:eastAsia="Times New Roman" w:cs="Times New Roman"/>
          <w:szCs w:val="20"/>
        </w:rPr>
        <w:t xml:space="preserve"> works 37 hours a week. Amy is both ‘available for employment’ and ‘available for full-time employment’, as well as both ‘employed’ and ‘employed full-time’. Amy is counted towards the labour force participation rate. Amy’s usual salary is counted towards the median salary figure.</w:t>
      </w:r>
      <w:bookmarkEnd w:id="243"/>
    </w:p>
    <w:p w14:paraId="28EE4977" w14:textId="77777777" w:rsidR="00085412" w:rsidRPr="00617A89" w:rsidRDefault="00085412" w:rsidP="00085412">
      <w:pPr>
        <w:spacing w:before="120" w:after="120" w:line="300" w:lineRule="auto"/>
        <w:rPr>
          <w:rFonts w:eastAsia="Times New Roman" w:cs="Times New Roman"/>
          <w:szCs w:val="20"/>
        </w:rPr>
      </w:pPr>
      <w:bookmarkStart w:id="245" w:name="_Toc22200393"/>
      <w:r w:rsidRPr="00617A89">
        <w:rPr>
          <w:rFonts w:eastAsia="Times New Roman" w:cs="Times New Roman"/>
          <w:b/>
          <w:bCs/>
          <w:szCs w:val="20"/>
        </w:rPr>
        <w:t>Bryan</w:t>
      </w:r>
      <w:r w:rsidRPr="00617A89">
        <w:rPr>
          <w:rFonts w:eastAsia="Times New Roman" w:cs="Times New Roman"/>
          <w:szCs w:val="20"/>
        </w:rPr>
        <w:t xml:space="preserve"> works 20 hours a week while also studying full-time. He does not want to work additional hours. Bryan is ‘available for employment’, ‘employed’ and ‘employed part-time’ but is not ‘available for full-time work’ or ‘employed full-time’. Bryan is counted towards the full-time study rate, overall employment rate and the labour force participation rate. Bryan’s salary is not counted towards the median salary figure.</w:t>
      </w:r>
      <w:bookmarkEnd w:id="245"/>
      <w:r w:rsidRPr="00617A89">
        <w:rPr>
          <w:rFonts w:eastAsia="Times New Roman" w:cs="Times New Roman"/>
          <w:szCs w:val="20"/>
        </w:rPr>
        <w:t xml:space="preserve"> Bryan is not considered ‘underemployed’.</w:t>
      </w:r>
    </w:p>
    <w:bookmarkEnd w:id="244"/>
    <w:p w14:paraId="58852083" w14:textId="77777777" w:rsidR="00085412" w:rsidRPr="00617A89" w:rsidRDefault="00085412" w:rsidP="00085412">
      <w:pPr>
        <w:spacing w:before="120" w:after="120" w:line="300" w:lineRule="auto"/>
        <w:rPr>
          <w:rFonts w:eastAsia="Times New Roman" w:cs="Times New Roman"/>
          <w:szCs w:val="20"/>
        </w:rPr>
      </w:pPr>
      <w:r w:rsidRPr="00617A89">
        <w:rPr>
          <w:rFonts w:eastAsia="Times New Roman" w:cs="Times New Roman"/>
          <w:b/>
          <w:bCs/>
          <w:szCs w:val="20"/>
        </w:rPr>
        <w:t>Krishna</w:t>
      </w:r>
      <w:r w:rsidRPr="00617A89">
        <w:rPr>
          <w:rFonts w:eastAsia="Times New Roman" w:cs="Times New Roman"/>
          <w:szCs w:val="20"/>
        </w:rPr>
        <w:t xml:space="preserve"> works 6 hours a week but would prefer to work 40 hours per week. Krishna is both ‘available for employment’ and ‘available for full-time employment’. Krishna is ‘employed’ and ‘employed part-time’ but not ‘employed full-time’. Krishna is also considered ‘underemployed’. Krishna is counted towards the labour force participation rate. Krishna’s salary is not counted towards the median salary figure.</w:t>
      </w:r>
    </w:p>
    <w:p w14:paraId="063D3578" w14:textId="77777777" w:rsidR="00085412" w:rsidRPr="00617A89" w:rsidRDefault="00085412" w:rsidP="00085412">
      <w:pPr>
        <w:spacing w:before="120" w:after="120" w:line="300" w:lineRule="auto"/>
        <w:rPr>
          <w:rFonts w:eastAsia="Times New Roman" w:cs="Times New Roman"/>
          <w:szCs w:val="20"/>
        </w:rPr>
      </w:pPr>
      <w:bookmarkStart w:id="246" w:name="_Toc22200395"/>
      <w:r w:rsidRPr="00617A89">
        <w:rPr>
          <w:rFonts w:eastAsia="Times New Roman" w:cs="Times New Roman"/>
          <w:b/>
          <w:bCs/>
          <w:szCs w:val="20"/>
        </w:rPr>
        <w:t>Dilek</w:t>
      </w:r>
      <w:r w:rsidRPr="00617A89">
        <w:rPr>
          <w:rFonts w:eastAsia="Times New Roman" w:cs="Times New Roman"/>
          <w:szCs w:val="20"/>
        </w:rPr>
        <w:t xml:space="preserve"> is studying full-time and is neither working nor looking for work. Dilek is ‘not available for employment’ and therefore is not counted towards the labour force participation rate. However, Dilek is counted towards the full-time study rate.</w:t>
      </w:r>
      <w:bookmarkEnd w:id="246"/>
      <w:r w:rsidRPr="00617A89">
        <w:rPr>
          <w:rFonts w:eastAsia="Times New Roman" w:cs="Times New Roman"/>
          <w:szCs w:val="20"/>
        </w:rPr>
        <w:t xml:space="preserve"> </w:t>
      </w:r>
    </w:p>
    <w:p w14:paraId="7538FFBA" w14:textId="77777777" w:rsidR="00085412" w:rsidRPr="00617A89" w:rsidRDefault="00085412" w:rsidP="00085412">
      <w:pPr>
        <w:spacing w:before="120" w:after="120" w:line="300" w:lineRule="auto"/>
        <w:rPr>
          <w:rFonts w:eastAsia="Times New Roman" w:cs="Times New Roman"/>
          <w:szCs w:val="20"/>
        </w:rPr>
      </w:pPr>
      <w:bookmarkStart w:id="247" w:name="_Toc22200396"/>
      <w:r w:rsidRPr="00617A89">
        <w:rPr>
          <w:rFonts w:eastAsia="Times New Roman" w:cs="Times New Roman"/>
          <w:b/>
          <w:bCs/>
          <w:szCs w:val="20"/>
        </w:rPr>
        <w:t>Emily</w:t>
      </w:r>
      <w:r w:rsidRPr="00617A89">
        <w:rPr>
          <w:rFonts w:eastAsia="Times New Roman" w:cs="Times New Roman"/>
          <w:szCs w:val="20"/>
        </w:rPr>
        <w:t xml:space="preserve"> is not working but she has been actively looking for full-time work. Emily is both ‘available for employment’ and ‘available for full-time employment’. Emily is counted towards the labour force participation rate. However, Emily is neither ‘employed’ nor ‘employed full-time’ and can also be referred to as ‘unemployed’.</w:t>
      </w:r>
      <w:bookmarkEnd w:id="247"/>
    </w:p>
    <w:p w14:paraId="4074EEBD" w14:textId="72B418DC" w:rsidR="00085412" w:rsidRPr="00617A89" w:rsidRDefault="00085412" w:rsidP="00085412">
      <w:pPr>
        <w:spacing w:before="120" w:after="120" w:line="300" w:lineRule="auto"/>
        <w:rPr>
          <w:color w:val="000000" w:themeColor="text1"/>
          <w:sz w:val="40"/>
        </w:rPr>
      </w:pPr>
      <w:r w:rsidRPr="00617A89">
        <w:rPr>
          <w:rFonts w:eastAsia="Times New Roman" w:cs="Times New Roman"/>
          <w:b/>
          <w:bCs/>
          <w:szCs w:val="20"/>
        </w:rPr>
        <w:t xml:space="preserve">Xavier </w:t>
      </w:r>
      <w:r w:rsidRPr="00617A89">
        <w:rPr>
          <w:rFonts w:eastAsia="Times New Roman" w:cs="Times New Roman"/>
          <w:szCs w:val="20"/>
        </w:rPr>
        <w:t>is studying full-time and not currently working. He occasionally looks at job ads online but he has not actively looked for a job, such as registered with an employment agency, submitted an application, or asked friends and relatives for assistance in finding a job. Xavier is counted towards the full-time study rate but he is not considered ‘available for employment’ or ‘available for full-time employment’, and he is not counted towards the labour force participation rate.</w:t>
      </w:r>
    </w:p>
    <w:p w14:paraId="17A8F419" w14:textId="77777777" w:rsidR="00085412" w:rsidRPr="00617A89" w:rsidRDefault="00085412" w:rsidP="00085412"/>
    <w:p w14:paraId="3143A17B" w14:textId="45058DDF" w:rsidR="00F62370" w:rsidRPr="00617A89" w:rsidRDefault="00196382" w:rsidP="003A12CC">
      <w:pPr>
        <w:pStyle w:val="Appendix1"/>
        <w:rPr>
          <w:color w:val="000000" w:themeColor="text1"/>
        </w:rPr>
      </w:pPr>
      <w:bookmarkStart w:id="248" w:name="_Toc222868467"/>
      <w:r w:rsidRPr="00617A89">
        <w:rPr>
          <w:color w:val="000000" w:themeColor="text1"/>
        </w:rPr>
        <w:t>Detailed tables</w:t>
      </w:r>
      <w:bookmarkEnd w:id="248"/>
    </w:p>
    <w:p w14:paraId="7CA463D8" w14:textId="4EEA318E" w:rsidR="00B0779E" w:rsidRPr="00617A89" w:rsidRDefault="00B0779E" w:rsidP="00FF7566">
      <w:pPr>
        <w:pStyle w:val="Appendix2"/>
        <w:rPr>
          <w:color w:val="000000" w:themeColor="text1"/>
        </w:rPr>
      </w:pPr>
      <w:bookmarkStart w:id="249" w:name="_Toc207656012"/>
      <w:bookmarkStart w:id="250" w:name="_Toc207656504"/>
      <w:bookmarkStart w:id="251" w:name="_Toc207707357"/>
      <w:bookmarkStart w:id="252" w:name="_Toc207656013"/>
      <w:bookmarkStart w:id="253" w:name="_Toc207656505"/>
      <w:bookmarkStart w:id="254" w:name="_Toc207707358"/>
      <w:bookmarkStart w:id="255" w:name="_Toc207656209"/>
      <w:bookmarkStart w:id="256" w:name="_Toc207656701"/>
      <w:bookmarkStart w:id="257" w:name="_Toc207707554"/>
      <w:bookmarkStart w:id="258" w:name="_Toc222868468"/>
      <w:bookmarkEnd w:id="249"/>
      <w:bookmarkEnd w:id="250"/>
      <w:bookmarkEnd w:id="251"/>
      <w:bookmarkEnd w:id="252"/>
      <w:bookmarkEnd w:id="253"/>
      <w:bookmarkEnd w:id="254"/>
      <w:bookmarkEnd w:id="255"/>
      <w:bookmarkEnd w:id="256"/>
      <w:bookmarkEnd w:id="257"/>
      <w:r w:rsidRPr="00617A89">
        <w:rPr>
          <w:color w:val="000000" w:themeColor="text1"/>
        </w:rPr>
        <w:t>Study area</w:t>
      </w:r>
      <w:bookmarkEnd w:id="258"/>
    </w:p>
    <w:p w14:paraId="4489D83B" w14:textId="5BE45C75" w:rsidR="00B0779E" w:rsidRPr="00617A89" w:rsidRDefault="00B0779E" w:rsidP="00B51705">
      <w:pPr>
        <w:pStyle w:val="Caption"/>
        <w:rPr>
          <w:color w:val="000000" w:themeColor="text1"/>
        </w:rPr>
      </w:pPr>
      <w:bookmarkStart w:id="259" w:name="_Ref206107178"/>
      <w:bookmarkStart w:id="260" w:name="_Toc222868489"/>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19</w:t>
      </w:r>
      <w:r w:rsidR="00DB7C31" w:rsidRPr="00617A89">
        <w:rPr>
          <w:noProof/>
          <w:color w:val="000000" w:themeColor="text1"/>
        </w:rPr>
        <w:fldChar w:fldCharType="end"/>
      </w:r>
      <w:bookmarkEnd w:id="259"/>
      <w:r w:rsidR="0062339E" w:rsidRPr="00617A89">
        <w:rPr>
          <w:color w:val="000000" w:themeColor="text1"/>
        </w:rPr>
        <w:tab/>
      </w:r>
      <w:r w:rsidRPr="00617A89">
        <w:rPr>
          <w:color w:val="000000" w:themeColor="text1"/>
        </w:rPr>
        <w:t xml:space="preserve">Domestic </w:t>
      </w:r>
      <w:r w:rsidR="00FB626D" w:rsidRPr="00617A89">
        <w:rPr>
          <w:color w:val="000000" w:themeColor="text1"/>
        </w:rPr>
        <w:t>postgraduate coursework</w:t>
      </w:r>
      <w:r w:rsidRPr="00617A89">
        <w:rPr>
          <w:color w:val="000000" w:themeColor="text1"/>
        </w:rPr>
        <w:t xml:space="preserve"> labour market outcomes by study area</w:t>
      </w:r>
      <w:bookmarkEnd w:id="260"/>
    </w:p>
    <w:tbl>
      <w:tblPr>
        <w:tblW w:w="500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691"/>
        <w:gridCol w:w="969"/>
        <w:gridCol w:w="970"/>
        <w:gridCol w:w="970"/>
        <w:gridCol w:w="970"/>
        <w:gridCol w:w="970"/>
        <w:gridCol w:w="970"/>
        <w:gridCol w:w="970"/>
        <w:gridCol w:w="970"/>
      </w:tblGrid>
      <w:tr w:rsidR="00C22852" w:rsidRPr="00617A89" w14:paraId="489FFB29" w14:textId="77777777" w:rsidTr="00FD4FC9">
        <w:trPr>
          <w:trHeight w:val="60"/>
          <w:tblHeader/>
        </w:trPr>
        <w:tc>
          <w:tcPr>
            <w:tcW w:w="1288" w:type="pct"/>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vAlign w:val="bottom"/>
          </w:tcPr>
          <w:p w14:paraId="2A99C698" w14:textId="47391137" w:rsidR="0062339E" w:rsidRPr="00617A89" w:rsidRDefault="0062339E" w:rsidP="0062339E">
            <w:pPr>
              <w:widowControl w:val="0"/>
              <w:autoSpaceDE w:val="0"/>
              <w:autoSpaceDN w:val="0"/>
              <w:adjustRightInd w:val="0"/>
              <w:spacing w:line="288" w:lineRule="auto"/>
              <w:textAlignment w:val="center"/>
              <w:rPr>
                <w:rFonts w:eastAsia="MS Mincho" w:cs="Arial"/>
                <w:caps/>
                <w:color w:val="000000" w:themeColor="text1"/>
                <w:sz w:val="18"/>
                <w:lang w:val="en-GB"/>
              </w:rPr>
            </w:pPr>
          </w:p>
        </w:tc>
        <w:tc>
          <w:tcPr>
            <w:tcW w:w="464" w:type="pct"/>
            <w:tcBorders>
              <w:top w:val="single" w:sz="4" w:space="0" w:color="auto"/>
              <w:left w:val="single" w:sz="4" w:space="0" w:color="000000"/>
              <w:bottom w:val="single" w:sz="4" w:space="0" w:color="000000"/>
              <w:right w:val="single" w:sz="4" w:space="0" w:color="000000"/>
            </w:tcBorders>
            <w:vAlign w:val="bottom"/>
          </w:tcPr>
          <w:p w14:paraId="25E4BAB4" w14:textId="77777777"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Full-time</w:t>
            </w:r>
          </w:p>
          <w:p w14:paraId="182828A4" w14:textId="52DB53D8"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Employment rate (%)</w:t>
            </w:r>
          </w:p>
        </w:tc>
        <w:tc>
          <w:tcPr>
            <w:tcW w:w="464" w:type="pct"/>
            <w:tcBorders>
              <w:top w:val="single" w:sz="4" w:space="0" w:color="auto"/>
              <w:left w:val="single" w:sz="4" w:space="0" w:color="000000"/>
              <w:bottom w:val="single" w:sz="4" w:space="0" w:color="000000"/>
              <w:right w:val="single" w:sz="4" w:space="0" w:color="000000"/>
            </w:tcBorders>
            <w:vAlign w:val="bottom"/>
          </w:tcPr>
          <w:p w14:paraId="3432471B" w14:textId="77777777"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Full-time</w:t>
            </w:r>
          </w:p>
          <w:p w14:paraId="74D3E3FD" w14:textId="07DE9F58"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Employment rate (%)</w:t>
            </w:r>
          </w:p>
        </w:tc>
        <w:tc>
          <w:tcPr>
            <w:tcW w:w="464"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bottom"/>
          </w:tcPr>
          <w:p w14:paraId="29D996D6" w14:textId="15E6E310"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Overall</w:t>
            </w:r>
          </w:p>
          <w:p w14:paraId="4AF3F36A" w14:textId="1B7C6B88"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Employment rate (%)</w:t>
            </w:r>
          </w:p>
        </w:tc>
        <w:tc>
          <w:tcPr>
            <w:tcW w:w="464" w:type="pct"/>
            <w:tcBorders>
              <w:top w:val="single" w:sz="4" w:space="0" w:color="auto"/>
              <w:left w:val="single" w:sz="4" w:space="0" w:color="000000"/>
              <w:bottom w:val="single" w:sz="4" w:space="0" w:color="000000"/>
              <w:right w:val="single" w:sz="4" w:space="0" w:color="000000"/>
            </w:tcBorders>
            <w:vAlign w:val="bottom"/>
          </w:tcPr>
          <w:p w14:paraId="5EC63122" w14:textId="55A1A711"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Overall</w:t>
            </w:r>
          </w:p>
          <w:p w14:paraId="10910F40" w14:textId="7457C8EE"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Employment rate (%)</w:t>
            </w:r>
          </w:p>
        </w:tc>
        <w:tc>
          <w:tcPr>
            <w:tcW w:w="464"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bottom"/>
          </w:tcPr>
          <w:p w14:paraId="3216A052" w14:textId="317F4F48"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Labour force participation rate (%)</w:t>
            </w:r>
          </w:p>
        </w:tc>
        <w:tc>
          <w:tcPr>
            <w:tcW w:w="464" w:type="pct"/>
            <w:tcBorders>
              <w:top w:val="single" w:sz="4" w:space="0" w:color="auto"/>
              <w:left w:val="single" w:sz="4" w:space="0" w:color="000000"/>
              <w:bottom w:val="single" w:sz="4" w:space="0" w:color="000000"/>
              <w:right w:val="single" w:sz="4" w:space="0" w:color="000000"/>
            </w:tcBorders>
            <w:vAlign w:val="bottom"/>
          </w:tcPr>
          <w:p w14:paraId="2802BA22" w14:textId="40154861"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Labour force participation rate (%)</w:t>
            </w:r>
          </w:p>
        </w:tc>
        <w:tc>
          <w:tcPr>
            <w:tcW w:w="464"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0" w:type="dxa"/>
            </w:tcMar>
            <w:vAlign w:val="bottom"/>
          </w:tcPr>
          <w:p w14:paraId="2004ADE5" w14:textId="3C8B2CA7"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bCs/>
                <w:color w:val="000000" w:themeColor="text1"/>
                <w:sz w:val="18"/>
                <w:lang w:val="en-GB"/>
              </w:rPr>
              <w:t>Median annual full-time salary ($)</w:t>
            </w:r>
          </w:p>
        </w:tc>
        <w:tc>
          <w:tcPr>
            <w:tcW w:w="464" w:type="pct"/>
            <w:tcBorders>
              <w:top w:val="single" w:sz="4" w:space="0" w:color="auto"/>
              <w:left w:val="single" w:sz="4" w:space="0" w:color="000000"/>
              <w:bottom w:val="single" w:sz="4" w:space="0" w:color="000000"/>
              <w:right w:val="single" w:sz="4" w:space="0" w:color="000000"/>
            </w:tcBorders>
            <w:vAlign w:val="bottom"/>
          </w:tcPr>
          <w:p w14:paraId="0BAB6074" w14:textId="3462B336"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bCs/>
                <w:color w:val="000000" w:themeColor="text1"/>
                <w:sz w:val="18"/>
                <w:lang w:val="en-GB"/>
              </w:rPr>
              <w:t>Median annual full-time salary ($)</w:t>
            </w:r>
          </w:p>
        </w:tc>
      </w:tr>
      <w:tr w:rsidR="00C22852" w:rsidRPr="00617A89" w14:paraId="190E9CF8" w14:textId="77777777" w:rsidTr="00FD4FC9">
        <w:trPr>
          <w:trHeight w:val="60"/>
          <w:tblHeader/>
        </w:trPr>
        <w:tc>
          <w:tcPr>
            <w:tcW w:w="1288" w:type="pct"/>
            <w:tcBorders>
              <w:left w:val="single" w:sz="4" w:space="0" w:color="auto"/>
            </w:tcBorders>
            <w:tcMar>
              <w:top w:w="57" w:type="dxa"/>
              <w:left w:w="57" w:type="dxa"/>
              <w:bottom w:w="57" w:type="dxa"/>
            </w:tcMar>
            <w:vAlign w:val="bottom"/>
          </w:tcPr>
          <w:p w14:paraId="3C733680" w14:textId="54D89137" w:rsidR="002C245C" w:rsidRPr="00617A89" w:rsidRDefault="0062339E" w:rsidP="0062339E">
            <w:pPr>
              <w:rPr>
                <w:rFonts w:eastAsia="Aptos" w:cs="Arial"/>
                <w:b/>
                <w:color w:val="000000" w:themeColor="text1"/>
                <w:sz w:val="18"/>
              </w:rPr>
            </w:pPr>
            <w:r w:rsidRPr="00617A89">
              <w:rPr>
                <w:rFonts w:eastAsia="MS Mincho" w:cs="Arial"/>
                <w:b/>
                <w:color w:val="000000" w:themeColor="text1"/>
                <w:sz w:val="18"/>
                <w:lang w:val="en-GB"/>
              </w:rPr>
              <w:t>Study</w:t>
            </w:r>
            <w:r w:rsidRPr="00617A89">
              <w:rPr>
                <w:rFonts w:eastAsia="MS Mincho" w:cs="Arial"/>
                <w:b/>
                <w:caps/>
                <w:color w:val="000000" w:themeColor="text1"/>
                <w:sz w:val="18"/>
                <w:lang w:val="en-GB"/>
              </w:rPr>
              <w:t xml:space="preserve"> </w:t>
            </w:r>
            <w:r w:rsidRPr="00617A89">
              <w:rPr>
                <w:rFonts w:eastAsia="MS Mincho" w:cs="Arial"/>
                <w:b/>
                <w:color w:val="000000" w:themeColor="text1"/>
                <w:sz w:val="18"/>
                <w:lang w:val="en-GB"/>
              </w:rPr>
              <w:t>area</w:t>
            </w:r>
          </w:p>
        </w:tc>
        <w:tc>
          <w:tcPr>
            <w:tcW w:w="464" w:type="pct"/>
            <w:tcBorders>
              <w:top w:val="single" w:sz="4" w:space="0" w:color="000000"/>
              <w:left w:val="single" w:sz="4" w:space="0" w:color="000000"/>
              <w:bottom w:val="single" w:sz="4" w:space="0" w:color="000000"/>
              <w:right w:val="single" w:sz="4" w:space="0" w:color="000000"/>
            </w:tcBorders>
            <w:vAlign w:val="bottom"/>
          </w:tcPr>
          <w:p w14:paraId="2AFEA7D7" w14:textId="77777777" w:rsidR="002C245C" w:rsidRPr="00617A89" w:rsidRDefault="002C245C" w:rsidP="0062339E">
            <w:pPr>
              <w:widowControl w:val="0"/>
              <w:autoSpaceDE w:val="0"/>
              <w:autoSpaceDN w:val="0"/>
              <w:adjustRightInd w:val="0"/>
              <w:spacing w:line="288" w:lineRule="auto"/>
              <w:jc w:val="center"/>
              <w:textAlignment w:val="center"/>
              <w:rPr>
                <w:rFonts w:eastAsia="MS Mincho" w:cs="Arial"/>
                <w:b/>
                <w:caps/>
                <w:color w:val="000000" w:themeColor="text1"/>
                <w:sz w:val="18"/>
                <w:lang w:val="en-GB"/>
              </w:rPr>
            </w:pPr>
            <w:r w:rsidRPr="00617A89">
              <w:rPr>
                <w:rFonts w:eastAsia="MS Mincho" w:cs="Arial"/>
                <w:b/>
                <w:caps/>
                <w:color w:val="000000" w:themeColor="text1"/>
                <w:sz w:val="18"/>
                <w:lang w:val="en-GB"/>
              </w:rPr>
              <w:t>S</w:t>
            </w:r>
            <w:r w:rsidRPr="00617A89">
              <w:rPr>
                <w:rFonts w:eastAsia="MS Mincho" w:cs="Arial"/>
                <w:b/>
                <w:color w:val="000000" w:themeColor="text1"/>
                <w:sz w:val="18"/>
                <w:lang w:val="en-GB"/>
              </w:rPr>
              <w:t>hort-term (2022)</w:t>
            </w:r>
          </w:p>
        </w:tc>
        <w:tc>
          <w:tcPr>
            <w:tcW w:w="464" w:type="pct"/>
            <w:tcBorders>
              <w:top w:val="single" w:sz="4" w:space="0" w:color="000000"/>
              <w:left w:val="single" w:sz="4" w:space="0" w:color="000000"/>
              <w:bottom w:val="single" w:sz="4" w:space="0" w:color="000000"/>
              <w:right w:val="single" w:sz="4" w:space="0" w:color="000000"/>
            </w:tcBorders>
            <w:vAlign w:val="bottom"/>
          </w:tcPr>
          <w:p w14:paraId="0679A6B2" w14:textId="77777777" w:rsidR="002C245C" w:rsidRPr="00617A89" w:rsidRDefault="002C245C" w:rsidP="0062339E">
            <w:pPr>
              <w:widowControl w:val="0"/>
              <w:autoSpaceDE w:val="0"/>
              <w:autoSpaceDN w:val="0"/>
              <w:adjustRightInd w:val="0"/>
              <w:spacing w:line="288" w:lineRule="auto"/>
              <w:jc w:val="center"/>
              <w:textAlignment w:val="center"/>
              <w:rPr>
                <w:rFonts w:eastAsia="MS Mincho" w:cs="Arial"/>
                <w:b/>
                <w:caps/>
                <w:color w:val="000000" w:themeColor="text1"/>
                <w:sz w:val="18"/>
                <w:lang w:val="en-GB"/>
              </w:rPr>
            </w:pPr>
            <w:r w:rsidRPr="00617A89">
              <w:rPr>
                <w:rFonts w:eastAsia="MS Mincho" w:cs="Arial"/>
                <w:b/>
                <w:color w:val="000000" w:themeColor="text1"/>
                <w:sz w:val="18"/>
                <w:lang w:val="en-GB"/>
              </w:rPr>
              <w:t>Medium-term (2025)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FCA800" w14:textId="77777777" w:rsidR="002C245C" w:rsidRPr="00617A89" w:rsidRDefault="002C245C"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aps/>
                <w:color w:val="000000" w:themeColor="text1"/>
                <w:sz w:val="18"/>
                <w:lang w:val="en-GB"/>
              </w:rPr>
              <w:t>S</w:t>
            </w:r>
            <w:r w:rsidRPr="00617A89">
              <w:rPr>
                <w:rFonts w:eastAsia="MS Mincho" w:cs="Arial"/>
                <w:b/>
                <w:color w:val="000000" w:themeColor="text1"/>
                <w:sz w:val="18"/>
                <w:lang w:val="en-GB"/>
              </w:rPr>
              <w:t>hort-term (2022)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EC5B75C" w14:textId="77777777" w:rsidR="002C245C" w:rsidRPr="00617A89" w:rsidRDefault="002C245C"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Medium-term (2025)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17F01B" w14:textId="77777777" w:rsidR="002C245C" w:rsidRPr="00617A89" w:rsidRDefault="002C245C"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aps/>
                <w:color w:val="000000" w:themeColor="text1"/>
                <w:sz w:val="18"/>
                <w:lang w:val="en-GB"/>
              </w:rPr>
              <w:t>S</w:t>
            </w:r>
            <w:r w:rsidRPr="00617A89">
              <w:rPr>
                <w:rFonts w:eastAsia="MS Mincho" w:cs="Arial"/>
                <w:b/>
                <w:color w:val="000000" w:themeColor="text1"/>
                <w:sz w:val="18"/>
                <w:lang w:val="en-GB"/>
              </w:rPr>
              <w:t>hort-term (2022)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6311AC" w14:textId="77777777" w:rsidR="002C245C" w:rsidRPr="00617A89" w:rsidRDefault="002C245C"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Medium-term (2025)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2A9F9D5" w14:textId="77777777" w:rsidR="002C245C" w:rsidRPr="00617A89" w:rsidRDefault="002C245C"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aps/>
                <w:color w:val="000000" w:themeColor="text1"/>
                <w:sz w:val="18"/>
                <w:lang w:val="en-GB"/>
              </w:rPr>
              <w:t>S</w:t>
            </w:r>
            <w:r w:rsidRPr="00617A89">
              <w:rPr>
                <w:rFonts w:eastAsia="MS Mincho" w:cs="Arial"/>
                <w:b/>
                <w:color w:val="000000" w:themeColor="text1"/>
                <w:sz w:val="18"/>
                <w:lang w:val="en-GB"/>
              </w:rPr>
              <w:t>hort-term (2022)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DE22E14" w14:textId="77777777" w:rsidR="002C245C" w:rsidRPr="00617A89" w:rsidRDefault="002C245C"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Medium-term (2025)</w:t>
            </w:r>
          </w:p>
        </w:tc>
      </w:tr>
      <w:tr w:rsidR="00C22852" w:rsidRPr="00617A89" w14:paraId="0E95F00D"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60A8988E" w14:textId="77777777" w:rsidR="0082768D" w:rsidRPr="00617A89" w:rsidRDefault="0082768D" w:rsidP="0082768D">
            <w:pPr>
              <w:spacing w:before="85" w:line="288" w:lineRule="auto"/>
              <w:rPr>
                <w:rFonts w:eastAsia="Aptos" w:cs="Arial"/>
                <w:b/>
                <w:bCs/>
                <w:color w:val="000000" w:themeColor="text1"/>
                <w:sz w:val="18"/>
              </w:rPr>
            </w:pPr>
            <w:r w:rsidRPr="00617A89">
              <w:rPr>
                <w:rFonts w:cs="Arial"/>
                <w:color w:val="000000" w:themeColor="text1"/>
                <w:sz w:val="18"/>
              </w:rPr>
              <w:t>Agriculture and environmental studies</w:t>
            </w:r>
          </w:p>
        </w:tc>
        <w:tc>
          <w:tcPr>
            <w:tcW w:w="464" w:type="pct"/>
            <w:tcBorders>
              <w:top w:val="single" w:sz="4" w:space="0" w:color="000000"/>
              <w:left w:val="single" w:sz="4" w:space="0" w:color="000000"/>
              <w:bottom w:val="single" w:sz="4" w:space="0" w:color="000000"/>
              <w:right w:val="single" w:sz="4" w:space="0" w:color="000000"/>
            </w:tcBorders>
            <w:vAlign w:val="center"/>
          </w:tcPr>
          <w:p w14:paraId="3EF15DD9" w14:textId="7C739F5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80.4</w:t>
            </w:r>
          </w:p>
        </w:tc>
        <w:tc>
          <w:tcPr>
            <w:tcW w:w="464" w:type="pct"/>
            <w:tcBorders>
              <w:top w:val="single" w:sz="4" w:space="0" w:color="000000"/>
              <w:left w:val="single" w:sz="4" w:space="0" w:color="000000"/>
              <w:bottom w:val="single" w:sz="4" w:space="0" w:color="000000"/>
              <w:right w:val="single" w:sz="4" w:space="0" w:color="000000"/>
            </w:tcBorders>
            <w:vAlign w:val="center"/>
          </w:tcPr>
          <w:p w14:paraId="4CAA14A4" w14:textId="7AB4E33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E6A402" w14:textId="532DEE3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89.0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2E9EB2" w14:textId="4EB29B86"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8ACE75" w14:textId="350553EC"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1F3666" w14:textId="2871625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92.6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769D01" w14:textId="20D5B89C"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81,000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7200CF" w14:textId="421803D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100,800</w:t>
            </w:r>
          </w:p>
        </w:tc>
      </w:tr>
      <w:tr w:rsidR="00C22852" w:rsidRPr="00617A89" w14:paraId="3901C95C"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2926D719"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Architecture and built environment</w:t>
            </w:r>
          </w:p>
        </w:tc>
        <w:tc>
          <w:tcPr>
            <w:tcW w:w="464" w:type="pct"/>
            <w:tcBorders>
              <w:top w:val="single" w:sz="4" w:space="0" w:color="000000"/>
              <w:left w:val="single" w:sz="4" w:space="0" w:color="000000"/>
              <w:bottom w:val="single" w:sz="4" w:space="0" w:color="000000"/>
              <w:right w:val="single" w:sz="4" w:space="0" w:color="000000"/>
            </w:tcBorders>
            <w:vAlign w:val="center"/>
          </w:tcPr>
          <w:p w14:paraId="5216B2A6" w14:textId="2E57969C"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89.2</w:t>
            </w:r>
          </w:p>
        </w:tc>
        <w:tc>
          <w:tcPr>
            <w:tcW w:w="464" w:type="pct"/>
            <w:tcBorders>
              <w:top w:val="single" w:sz="4" w:space="0" w:color="000000"/>
              <w:left w:val="single" w:sz="4" w:space="0" w:color="000000"/>
              <w:bottom w:val="single" w:sz="4" w:space="0" w:color="000000"/>
              <w:right w:val="single" w:sz="4" w:space="0" w:color="000000"/>
            </w:tcBorders>
            <w:vAlign w:val="center"/>
          </w:tcPr>
          <w:p w14:paraId="4BD0589B" w14:textId="7139BA2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E40508" w14:textId="4EA7886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A1CBC3" w14:textId="401B667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A12D918" w14:textId="24FC129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1F6514" w14:textId="756328C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7597AA" w14:textId="781FBA3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73,000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484812" w14:textId="7438006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93,200</w:t>
            </w:r>
          </w:p>
        </w:tc>
      </w:tr>
      <w:tr w:rsidR="00C22852" w:rsidRPr="00617A89" w14:paraId="3A916214"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4969AB4"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Business and management</w:t>
            </w:r>
          </w:p>
        </w:tc>
        <w:tc>
          <w:tcPr>
            <w:tcW w:w="464" w:type="pct"/>
            <w:tcBorders>
              <w:top w:val="single" w:sz="4" w:space="0" w:color="000000"/>
              <w:left w:val="single" w:sz="4" w:space="0" w:color="000000"/>
              <w:bottom w:val="single" w:sz="4" w:space="0" w:color="000000"/>
              <w:right w:val="single" w:sz="4" w:space="0" w:color="000000"/>
            </w:tcBorders>
            <w:vAlign w:val="center"/>
          </w:tcPr>
          <w:p w14:paraId="70B99B6B" w14:textId="2375998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92.1</w:t>
            </w:r>
          </w:p>
        </w:tc>
        <w:tc>
          <w:tcPr>
            <w:tcW w:w="464" w:type="pct"/>
            <w:tcBorders>
              <w:top w:val="single" w:sz="4" w:space="0" w:color="000000"/>
              <w:left w:val="single" w:sz="4" w:space="0" w:color="000000"/>
              <w:bottom w:val="single" w:sz="4" w:space="0" w:color="000000"/>
              <w:right w:val="single" w:sz="4" w:space="0" w:color="000000"/>
            </w:tcBorders>
            <w:vAlign w:val="center"/>
          </w:tcPr>
          <w:p w14:paraId="1B8C4246" w14:textId="718FF64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D72835" w14:textId="3AE910D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2E5C9C" w14:textId="1A38B1F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A3A11E" w14:textId="0C0F6B9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68CA92" w14:textId="469EDE5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95.4</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30389A" w14:textId="57C5683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115,000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F8458F" w14:textId="4B3B8B9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141,000</w:t>
            </w:r>
          </w:p>
        </w:tc>
      </w:tr>
      <w:tr w:rsidR="00C22852" w:rsidRPr="00617A89" w14:paraId="45FFDDC7"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766C7F04"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Communications</w:t>
            </w:r>
          </w:p>
        </w:tc>
        <w:tc>
          <w:tcPr>
            <w:tcW w:w="464" w:type="pct"/>
            <w:tcBorders>
              <w:top w:val="single" w:sz="4" w:space="0" w:color="000000"/>
              <w:left w:val="single" w:sz="4" w:space="0" w:color="000000"/>
              <w:bottom w:val="single" w:sz="4" w:space="0" w:color="000000"/>
              <w:right w:val="single" w:sz="4" w:space="0" w:color="000000"/>
            </w:tcBorders>
            <w:vAlign w:val="center"/>
          </w:tcPr>
          <w:p w14:paraId="3B51AFEB" w14:textId="46675E5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74.9</w:t>
            </w:r>
          </w:p>
        </w:tc>
        <w:tc>
          <w:tcPr>
            <w:tcW w:w="464" w:type="pct"/>
            <w:tcBorders>
              <w:top w:val="single" w:sz="4" w:space="0" w:color="000000"/>
              <w:left w:val="single" w:sz="4" w:space="0" w:color="000000"/>
              <w:bottom w:val="single" w:sz="4" w:space="0" w:color="000000"/>
              <w:right w:val="single" w:sz="4" w:space="0" w:color="000000"/>
            </w:tcBorders>
            <w:vAlign w:val="center"/>
          </w:tcPr>
          <w:p w14:paraId="47D6A0C3" w14:textId="069A65A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91.1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E2433E" w14:textId="6C3A86C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88.9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3A524C" w14:textId="1C51EC6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743754" w14:textId="0DE69FA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7B65F6" w14:textId="6387B60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92.3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035D0B" w14:textId="685E83F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78,300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153E32" w14:textId="0CF912F1"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92,500</w:t>
            </w:r>
          </w:p>
        </w:tc>
      </w:tr>
      <w:tr w:rsidR="00C22852" w:rsidRPr="00617A89" w14:paraId="0AEF189A"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03EBFE6D"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Computing and information systems</w:t>
            </w:r>
          </w:p>
        </w:tc>
        <w:tc>
          <w:tcPr>
            <w:tcW w:w="464" w:type="pct"/>
            <w:tcBorders>
              <w:top w:val="single" w:sz="4" w:space="0" w:color="000000"/>
              <w:left w:val="single" w:sz="4" w:space="0" w:color="000000"/>
              <w:bottom w:val="single" w:sz="4" w:space="0" w:color="000000"/>
              <w:right w:val="single" w:sz="4" w:space="0" w:color="000000"/>
            </w:tcBorders>
            <w:vAlign w:val="center"/>
          </w:tcPr>
          <w:p w14:paraId="0F8C5AFE" w14:textId="4A585F3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87.3</w:t>
            </w:r>
          </w:p>
        </w:tc>
        <w:tc>
          <w:tcPr>
            <w:tcW w:w="464" w:type="pct"/>
            <w:tcBorders>
              <w:top w:val="single" w:sz="4" w:space="0" w:color="000000"/>
              <w:left w:val="single" w:sz="4" w:space="0" w:color="000000"/>
              <w:bottom w:val="single" w:sz="4" w:space="0" w:color="000000"/>
              <w:right w:val="single" w:sz="4" w:space="0" w:color="000000"/>
            </w:tcBorders>
            <w:vAlign w:val="center"/>
          </w:tcPr>
          <w:p w14:paraId="168B6904" w14:textId="3B49E5F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486E67" w14:textId="1D085A4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89.7</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C06F36" w14:textId="647B0617"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7745F5" w14:textId="5EA58D1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C38B97" w14:textId="1022014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CEF38D" w14:textId="0396A49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101,000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623DF1" w14:textId="4534A1A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127,000</w:t>
            </w:r>
          </w:p>
        </w:tc>
      </w:tr>
      <w:tr w:rsidR="00C22852" w:rsidRPr="00617A89" w14:paraId="1EFA5737"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18F7B74"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Creative arts</w:t>
            </w:r>
          </w:p>
        </w:tc>
        <w:tc>
          <w:tcPr>
            <w:tcW w:w="464" w:type="pct"/>
            <w:tcBorders>
              <w:top w:val="single" w:sz="4" w:space="0" w:color="000000"/>
              <w:left w:val="single" w:sz="4" w:space="0" w:color="000000"/>
              <w:bottom w:val="single" w:sz="4" w:space="0" w:color="000000"/>
              <w:right w:val="single" w:sz="4" w:space="0" w:color="000000"/>
            </w:tcBorders>
            <w:vAlign w:val="center"/>
          </w:tcPr>
          <w:p w14:paraId="487FCAC3" w14:textId="0F2B308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78.9</w:t>
            </w:r>
          </w:p>
        </w:tc>
        <w:tc>
          <w:tcPr>
            <w:tcW w:w="464" w:type="pct"/>
            <w:tcBorders>
              <w:top w:val="single" w:sz="4" w:space="0" w:color="000000"/>
              <w:left w:val="single" w:sz="4" w:space="0" w:color="000000"/>
              <w:bottom w:val="single" w:sz="4" w:space="0" w:color="000000"/>
              <w:right w:val="single" w:sz="4" w:space="0" w:color="000000"/>
            </w:tcBorders>
            <w:vAlign w:val="center"/>
          </w:tcPr>
          <w:p w14:paraId="69926877" w14:textId="06F0A9B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85.8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BE7DF7" w14:textId="59ABBE0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88.5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F33351" w14:textId="2CA6DA2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0461F4" w14:textId="180B02E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2E719B" w14:textId="797BF6E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91.4</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C92858" w14:textId="23BB7CE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67,000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1D740F" w14:textId="6AB31E9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99,000</w:t>
            </w:r>
          </w:p>
        </w:tc>
      </w:tr>
      <w:tr w:rsidR="00C22852" w:rsidRPr="00617A89" w14:paraId="5EC9F850"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04F0A4D0"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Dentistry</w:t>
            </w:r>
          </w:p>
        </w:tc>
        <w:tc>
          <w:tcPr>
            <w:tcW w:w="464" w:type="pct"/>
            <w:tcBorders>
              <w:top w:val="single" w:sz="4" w:space="0" w:color="000000"/>
              <w:left w:val="single" w:sz="4" w:space="0" w:color="000000"/>
              <w:bottom w:val="single" w:sz="4" w:space="0" w:color="000000"/>
              <w:right w:val="single" w:sz="4" w:space="0" w:color="000000"/>
            </w:tcBorders>
            <w:vAlign w:val="center"/>
          </w:tcPr>
          <w:p w14:paraId="1EEF6C26" w14:textId="74A9E9BC"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96.6</w:t>
            </w:r>
          </w:p>
        </w:tc>
        <w:tc>
          <w:tcPr>
            <w:tcW w:w="464" w:type="pct"/>
            <w:tcBorders>
              <w:top w:val="single" w:sz="4" w:space="0" w:color="000000"/>
              <w:left w:val="single" w:sz="4" w:space="0" w:color="000000"/>
              <w:bottom w:val="single" w:sz="4" w:space="0" w:color="000000"/>
              <w:right w:val="single" w:sz="4" w:space="0" w:color="000000"/>
            </w:tcBorders>
            <w:vAlign w:val="center"/>
          </w:tcPr>
          <w:p w14:paraId="6214A433" w14:textId="43C1C64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EC33C9" w14:textId="77156CB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8B7825" w14:textId="53E6DE2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8CD9EA" w14:textId="17717C9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90C1E0" w14:textId="7217459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6A5603" w14:textId="01D69F6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728E4C" w14:textId="21AF217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138CA9E9"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0547F4E6"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Engineering</w:t>
            </w:r>
          </w:p>
        </w:tc>
        <w:tc>
          <w:tcPr>
            <w:tcW w:w="464" w:type="pct"/>
            <w:tcBorders>
              <w:top w:val="single" w:sz="4" w:space="0" w:color="000000"/>
              <w:left w:val="single" w:sz="4" w:space="0" w:color="000000"/>
              <w:bottom w:val="single" w:sz="4" w:space="0" w:color="000000"/>
              <w:right w:val="single" w:sz="4" w:space="0" w:color="000000"/>
            </w:tcBorders>
            <w:vAlign w:val="center"/>
          </w:tcPr>
          <w:p w14:paraId="348ADB3F" w14:textId="56A4B32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93.7</w:t>
            </w:r>
          </w:p>
        </w:tc>
        <w:tc>
          <w:tcPr>
            <w:tcW w:w="464" w:type="pct"/>
            <w:tcBorders>
              <w:top w:val="single" w:sz="4" w:space="0" w:color="000000"/>
              <w:left w:val="single" w:sz="4" w:space="0" w:color="000000"/>
              <w:bottom w:val="single" w:sz="4" w:space="0" w:color="000000"/>
              <w:right w:val="single" w:sz="4" w:space="0" w:color="000000"/>
            </w:tcBorders>
            <w:vAlign w:val="center"/>
          </w:tcPr>
          <w:p w14:paraId="4E09C27F" w14:textId="0779712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776E55" w14:textId="2A4896CB"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D097CE" w14:textId="0AB49C4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98.3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5CAD60" w14:textId="4DDCF63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74194F" w14:textId="30DD5C77"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FBD8F1" w14:textId="3731109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96,800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BE8F4E" w14:textId="7055E55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130,000</w:t>
            </w:r>
          </w:p>
        </w:tc>
      </w:tr>
      <w:tr w:rsidR="00C22852" w:rsidRPr="00617A89" w14:paraId="2B238A5E"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65F0BD1"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Health services and support</w:t>
            </w:r>
          </w:p>
        </w:tc>
        <w:tc>
          <w:tcPr>
            <w:tcW w:w="464" w:type="pct"/>
            <w:tcBorders>
              <w:top w:val="single" w:sz="4" w:space="0" w:color="000000"/>
              <w:left w:val="single" w:sz="4" w:space="0" w:color="000000"/>
              <w:bottom w:val="single" w:sz="4" w:space="0" w:color="000000"/>
              <w:right w:val="single" w:sz="4" w:space="0" w:color="000000"/>
            </w:tcBorders>
            <w:vAlign w:val="center"/>
          </w:tcPr>
          <w:p w14:paraId="5754FEEE" w14:textId="2A4B2F51"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87.6</w:t>
            </w:r>
          </w:p>
        </w:tc>
        <w:tc>
          <w:tcPr>
            <w:tcW w:w="464" w:type="pct"/>
            <w:tcBorders>
              <w:top w:val="single" w:sz="4" w:space="0" w:color="000000"/>
              <w:left w:val="single" w:sz="4" w:space="0" w:color="000000"/>
              <w:bottom w:val="single" w:sz="4" w:space="0" w:color="000000"/>
              <w:right w:val="single" w:sz="4" w:space="0" w:color="000000"/>
            </w:tcBorders>
            <w:vAlign w:val="center"/>
          </w:tcPr>
          <w:p w14:paraId="72C4DE87" w14:textId="2162F6A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99DABB" w14:textId="6C9CBE9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68EACF" w14:textId="54490FA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04EDDA" w14:textId="4D8FE48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259857" w14:textId="6D6319E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93.7</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521AC6" w14:textId="0DE4FBD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92,400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D9D73F" w14:textId="249E7A57"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112,100</w:t>
            </w:r>
          </w:p>
        </w:tc>
      </w:tr>
      <w:tr w:rsidR="00C22852" w:rsidRPr="00617A89" w14:paraId="3B2B229C"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0D800301"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Humanities, culture and social sciences</w:t>
            </w:r>
          </w:p>
        </w:tc>
        <w:tc>
          <w:tcPr>
            <w:tcW w:w="464" w:type="pct"/>
            <w:tcBorders>
              <w:top w:val="single" w:sz="4" w:space="0" w:color="000000"/>
              <w:left w:val="single" w:sz="4" w:space="0" w:color="000000"/>
              <w:bottom w:val="single" w:sz="4" w:space="0" w:color="000000"/>
              <w:right w:val="single" w:sz="4" w:space="0" w:color="000000"/>
            </w:tcBorders>
            <w:vAlign w:val="center"/>
          </w:tcPr>
          <w:p w14:paraId="03000274" w14:textId="6EC8328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80.8</w:t>
            </w:r>
          </w:p>
        </w:tc>
        <w:tc>
          <w:tcPr>
            <w:tcW w:w="464" w:type="pct"/>
            <w:tcBorders>
              <w:top w:val="single" w:sz="4" w:space="0" w:color="000000"/>
              <w:left w:val="single" w:sz="4" w:space="0" w:color="000000"/>
              <w:bottom w:val="single" w:sz="4" w:space="0" w:color="000000"/>
              <w:right w:val="single" w:sz="4" w:space="0" w:color="000000"/>
            </w:tcBorders>
            <w:vAlign w:val="center"/>
          </w:tcPr>
          <w:p w14:paraId="326ABB63" w14:textId="11470D2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92.6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A394FE" w14:textId="6DCF8BB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91.2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979E73" w14:textId="4E2FFEC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A69B3C" w14:textId="224E696C"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92.9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9E3793" w14:textId="352F062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89.1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C6AFA9" w14:textId="680B4581"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86,000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4DB525" w14:textId="1376491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102,100</w:t>
            </w:r>
          </w:p>
        </w:tc>
      </w:tr>
      <w:tr w:rsidR="00C22852" w:rsidRPr="00617A89" w14:paraId="2F80ACDC"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00DB902B"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Law and paralegal studies</w:t>
            </w:r>
          </w:p>
        </w:tc>
        <w:tc>
          <w:tcPr>
            <w:tcW w:w="464" w:type="pct"/>
            <w:tcBorders>
              <w:top w:val="single" w:sz="4" w:space="0" w:color="000000"/>
              <w:left w:val="single" w:sz="4" w:space="0" w:color="000000"/>
              <w:bottom w:val="single" w:sz="4" w:space="0" w:color="000000"/>
              <w:right w:val="single" w:sz="4" w:space="0" w:color="000000"/>
            </w:tcBorders>
            <w:vAlign w:val="center"/>
          </w:tcPr>
          <w:p w14:paraId="02367EC4" w14:textId="3BDDFDE6"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90.5</w:t>
            </w:r>
          </w:p>
        </w:tc>
        <w:tc>
          <w:tcPr>
            <w:tcW w:w="464" w:type="pct"/>
            <w:tcBorders>
              <w:top w:val="single" w:sz="4" w:space="0" w:color="000000"/>
              <w:left w:val="single" w:sz="4" w:space="0" w:color="000000"/>
              <w:bottom w:val="single" w:sz="4" w:space="0" w:color="000000"/>
              <w:right w:val="single" w:sz="4" w:space="0" w:color="000000"/>
            </w:tcBorders>
            <w:vAlign w:val="center"/>
          </w:tcPr>
          <w:p w14:paraId="7FA9E112" w14:textId="4E62298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95.7</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2C59E6" w14:textId="26E04377"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91.2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819C81" w14:textId="0488E5C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96.4</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5DD36F" w14:textId="12E3C9F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85299B" w14:textId="47C75421"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9A08CF" w14:textId="44F3628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84,000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50BD73" w14:textId="4818E95B"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120,000</w:t>
            </w:r>
          </w:p>
        </w:tc>
      </w:tr>
      <w:tr w:rsidR="00C22852" w:rsidRPr="00617A89" w14:paraId="62A80D2F"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767443B8"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Medicine</w:t>
            </w:r>
          </w:p>
        </w:tc>
        <w:tc>
          <w:tcPr>
            <w:tcW w:w="464" w:type="pct"/>
            <w:tcBorders>
              <w:top w:val="single" w:sz="4" w:space="0" w:color="000000"/>
              <w:left w:val="single" w:sz="4" w:space="0" w:color="000000"/>
              <w:bottom w:val="single" w:sz="4" w:space="0" w:color="000000"/>
              <w:right w:val="single" w:sz="4" w:space="0" w:color="000000"/>
            </w:tcBorders>
            <w:vAlign w:val="center"/>
          </w:tcPr>
          <w:p w14:paraId="6556D4D7" w14:textId="7EBD26F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97.3</w:t>
            </w:r>
          </w:p>
        </w:tc>
        <w:tc>
          <w:tcPr>
            <w:tcW w:w="464" w:type="pct"/>
            <w:tcBorders>
              <w:top w:val="single" w:sz="4" w:space="0" w:color="000000"/>
              <w:left w:val="single" w:sz="4" w:space="0" w:color="000000"/>
              <w:bottom w:val="single" w:sz="4" w:space="0" w:color="000000"/>
              <w:right w:val="single" w:sz="4" w:space="0" w:color="000000"/>
            </w:tcBorders>
            <w:vAlign w:val="center"/>
          </w:tcPr>
          <w:p w14:paraId="4F3024A1" w14:textId="398DBD6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98.4</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FA1D3E" w14:textId="0DA9192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408475" w14:textId="2B37A2A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99.2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262111" w14:textId="10668E5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CF7B98" w14:textId="496FA4F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C537B5" w14:textId="5B18F0F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83,500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F6EB26" w14:textId="66E063DB"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130,000</w:t>
            </w:r>
          </w:p>
        </w:tc>
      </w:tr>
      <w:tr w:rsidR="00C22852" w:rsidRPr="00617A89" w14:paraId="13AC6F59"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640EB1FE"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Nursing</w:t>
            </w:r>
          </w:p>
        </w:tc>
        <w:tc>
          <w:tcPr>
            <w:tcW w:w="464" w:type="pct"/>
            <w:tcBorders>
              <w:top w:val="single" w:sz="4" w:space="0" w:color="000000"/>
              <w:left w:val="single" w:sz="4" w:space="0" w:color="000000"/>
              <w:bottom w:val="single" w:sz="4" w:space="0" w:color="000000"/>
              <w:right w:val="single" w:sz="4" w:space="0" w:color="000000"/>
            </w:tcBorders>
            <w:vAlign w:val="center"/>
          </w:tcPr>
          <w:p w14:paraId="22CF4906" w14:textId="4963B0A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94.3</w:t>
            </w:r>
          </w:p>
        </w:tc>
        <w:tc>
          <w:tcPr>
            <w:tcW w:w="464" w:type="pct"/>
            <w:tcBorders>
              <w:top w:val="single" w:sz="4" w:space="0" w:color="000000"/>
              <w:left w:val="single" w:sz="4" w:space="0" w:color="000000"/>
              <w:bottom w:val="single" w:sz="4" w:space="0" w:color="000000"/>
              <w:right w:val="single" w:sz="4" w:space="0" w:color="000000"/>
            </w:tcBorders>
            <w:vAlign w:val="center"/>
          </w:tcPr>
          <w:p w14:paraId="0531264D" w14:textId="107C1C2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971783" w14:textId="0450F431"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96.7</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6DD7A1" w14:textId="30B49E1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98.4</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F60990" w14:textId="1C22C61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D9BD7E" w14:textId="7D15DDA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475EFF" w14:textId="4AE5618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91,800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141667" w14:textId="5CDC513C"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114,000</w:t>
            </w:r>
          </w:p>
        </w:tc>
      </w:tr>
      <w:tr w:rsidR="00C22852" w:rsidRPr="00617A89" w14:paraId="156D3009"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59385B9C"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Pharmacy</w:t>
            </w:r>
          </w:p>
        </w:tc>
        <w:tc>
          <w:tcPr>
            <w:tcW w:w="464" w:type="pct"/>
            <w:tcBorders>
              <w:top w:val="single" w:sz="4" w:space="0" w:color="000000"/>
              <w:left w:val="single" w:sz="4" w:space="0" w:color="000000"/>
              <w:bottom w:val="single" w:sz="4" w:space="0" w:color="000000"/>
              <w:right w:val="single" w:sz="4" w:space="0" w:color="000000"/>
            </w:tcBorders>
            <w:vAlign w:val="center"/>
          </w:tcPr>
          <w:p w14:paraId="621F44F0" w14:textId="0B25640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95.2</w:t>
            </w:r>
          </w:p>
        </w:tc>
        <w:tc>
          <w:tcPr>
            <w:tcW w:w="464" w:type="pct"/>
            <w:tcBorders>
              <w:top w:val="single" w:sz="4" w:space="0" w:color="000000"/>
              <w:left w:val="single" w:sz="4" w:space="0" w:color="000000"/>
              <w:bottom w:val="single" w:sz="4" w:space="0" w:color="000000"/>
              <w:right w:val="single" w:sz="4" w:space="0" w:color="000000"/>
            </w:tcBorders>
            <w:vAlign w:val="center"/>
          </w:tcPr>
          <w:p w14:paraId="64A4A026" w14:textId="347B5CB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A0C067" w14:textId="7BA0180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01E6CB" w14:textId="47C72FB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FFB623" w14:textId="3F7F6C7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FB45FE" w14:textId="1670959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B8DCB0" w14:textId="782716C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87,700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F74DB6" w14:textId="0EA172C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120,000</w:t>
            </w:r>
          </w:p>
        </w:tc>
      </w:tr>
      <w:tr w:rsidR="00C22852" w:rsidRPr="00617A89" w14:paraId="46347280"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8D898D9"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Psychology</w:t>
            </w:r>
          </w:p>
        </w:tc>
        <w:tc>
          <w:tcPr>
            <w:tcW w:w="464" w:type="pct"/>
            <w:tcBorders>
              <w:top w:val="single" w:sz="4" w:space="0" w:color="000000"/>
              <w:left w:val="single" w:sz="4" w:space="0" w:color="000000"/>
              <w:bottom w:val="single" w:sz="4" w:space="0" w:color="000000"/>
              <w:right w:val="single" w:sz="4" w:space="0" w:color="000000"/>
            </w:tcBorders>
            <w:vAlign w:val="center"/>
          </w:tcPr>
          <w:p w14:paraId="486C6C90" w14:textId="62BC6B9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86.8</w:t>
            </w:r>
          </w:p>
        </w:tc>
        <w:tc>
          <w:tcPr>
            <w:tcW w:w="464" w:type="pct"/>
            <w:tcBorders>
              <w:top w:val="single" w:sz="4" w:space="0" w:color="000000"/>
              <w:left w:val="single" w:sz="4" w:space="0" w:color="000000"/>
              <w:bottom w:val="single" w:sz="4" w:space="0" w:color="000000"/>
              <w:right w:val="single" w:sz="4" w:space="0" w:color="000000"/>
            </w:tcBorders>
            <w:vAlign w:val="center"/>
          </w:tcPr>
          <w:p w14:paraId="028D9ED7" w14:textId="71788E5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135F5F" w14:textId="10D7EB0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3E7B03" w14:textId="00B62CD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01CEC0" w14:textId="67E32A7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91.6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65591E" w14:textId="10E1FD51"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18A4AB" w14:textId="48BFCDB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88,000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722CFB" w14:textId="0142BACC"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110,000</w:t>
            </w:r>
          </w:p>
        </w:tc>
      </w:tr>
      <w:tr w:rsidR="00C22852" w:rsidRPr="00617A89" w14:paraId="747DBB40"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65195FC1"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Rehabilitation</w:t>
            </w:r>
          </w:p>
        </w:tc>
        <w:tc>
          <w:tcPr>
            <w:tcW w:w="464" w:type="pct"/>
            <w:tcBorders>
              <w:top w:val="single" w:sz="4" w:space="0" w:color="000000"/>
              <w:left w:val="single" w:sz="4" w:space="0" w:color="000000"/>
              <w:bottom w:val="single" w:sz="4" w:space="0" w:color="000000"/>
              <w:right w:val="single" w:sz="4" w:space="0" w:color="000000"/>
            </w:tcBorders>
            <w:vAlign w:val="center"/>
          </w:tcPr>
          <w:p w14:paraId="197B655A" w14:textId="7804E02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96.8</w:t>
            </w:r>
          </w:p>
        </w:tc>
        <w:tc>
          <w:tcPr>
            <w:tcW w:w="464" w:type="pct"/>
            <w:tcBorders>
              <w:top w:val="single" w:sz="4" w:space="0" w:color="000000"/>
              <w:left w:val="single" w:sz="4" w:space="0" w:color="000000"/>
              <w:bottom w:val="single" w:sz="4" w:space="0" w:color="000000"/>
              <w:right w:val="single" w:sz="4" w:space="0" w:color="000000"/>
            </w:tcBorders>
            <w:vAlign w:val="center"/>
          </w:tcPr>
          <w:p w14:paraId="2DEBF94D" w14:textId="6E17186B"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98.2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C7BD03" w14:textId="7A6A33B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98.0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AB0538" w14:textId="290B04C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98.6</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F3E2C0" w14:textId="26C4254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99.3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4EBC70" w14:textId="4DD6275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9FE29C" w14:textId="2BAF668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70,000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C57747" w14:textId="02FD3EE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93,200</w:t>
            </w:r>
          </w:p>
        </w:tc>
      </w:tr>
      <w:tr w:rsidR="00C22852" w:rsidRPr="00617A89" w14:paraId="5D07F34C"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6858C00"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Science and mathematics</w:t>
            </w:r>
          </w:p>
        </w:tc>
        <w:tc>
          <w:tcPr>
            <w:tcW w:w="464" w:type="pct"/>
            <w:tcBorders>
              <w:top w:val="single" w:sz="4" w:space="0" w:color="000000"/>
              <w:left w:val="single" w:sz="4" w:space="0" w:color="000000"/>
              <w:bottom w:val="single" w:sz="4" w:space="0" w:color="000000"/>
              <w:right w:val="single" w:sz="4" w:space="0" w:color="000000"/>
            </w:tcBorders>
            <w:vAlign w:val="center"/>
          </w:tcPr>
          <w:p w14:paraId="1C589852" w14:textId="525B03F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82.0</w:t>
            </w:r>
          </w:p>
        </w:tc>
        <w:tc>
          <w:tcPr>
            <w:tcW w:w="464" w:type="pct"/>
            <w:tcBorders>
              <w:top w:val="single" w:sz="4" w:space="0" w:color="000000"/>
              <w:left w:val="single" w:sz="4" w:space="0" w:color="000000"/>
              <w:bottom w:val="single" w:sz="4" w:space="0" w:color="000000"/>
              <w:right w:val="single" w:sz="4" w:space="0" w:color="000000"/>
            </w:tcBorders>
            <w:vAlign w:val="center"/>
          </w:tcPr>
          <w:p w14:paraId="0DD83DBC" w14:textId="1CD27D6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C514C3" w14:textId="5222BCD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88.8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BA50EA" w14:textId="19B3D38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95.7</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BECCD8" w14:textId="22C5F3A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C537EA" w14:textId="76F85D3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FEBD62" w14:textId="7540AF77"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89,900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B44D57" w14:textId="4D98593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107,000</w:t>
            </w:r>
          </w:p>
        </w:tc>
      </w:tr>
      <w:tr w:rsidR="00C22852" w:rsidRPr="00617A89" w14:paraId="10F9F679"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50D8BA5"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Social work</w:t>
            </w:r>
          </w:p>
        </w:tc>
        <w:tc>
          <w:tcPr>
            <w:tcW w:w="464" w:type="pct"/>
            <w:tcBorders>
              <w:top w:val="single" w:sz="4" w:space="0" w:color="000000"/>
              <w:left w:val="single" w:sz="4" w:space="0" w:color="000000"/>
              <w:bottom w:val="single" w:sz="4" w:space="0" w:color="000000"/>
              <w:right w:val="single" w:sz="4" w:space="0" w:color="000000"/>
            </w:tcBorders>
            <w:vAlign w:val="center"/>
          </w:tcPr>
          <w:p w14:paraId="43B2F509" w14:textId="68A3B63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88.2</w:t>
            </w:r>
          </w:p>
        </w:tc>
        <w:tc>
          <w:tcPr>
            <w:tcW w:w="464" w:type="pct"/>
            <w:tcBorders>
              <w:top w:val="single" w:sz="4" w:space="0" w:color="000000"/>
              <w:left w:val="single" w:sz="4" w:space="0" w:color="000000"/>
              <w:bottom w:val="single" w:sz="4" w:space="0" w:color="000000"/>
              <w:right w:val="single" w:sz="4" w:space="0" w:color="000000"/>
            </w:tcBorders>
            <w:vAlign w:val="center"/>
          </w:tcPr>
          <w:p w14:paraId="436F27AC" w14:textId="6B93873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93.7</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51BD50" w14:textId="15B7649C"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92.4</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D87902" w14:textId="379B727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96.7</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A71E7D" w14:textId="6183F9A1"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49764E" w14:textId="65AD383F"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91.0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4C6076" w14:textId="3C09305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82,000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1D4557" w14:textId="478FB8A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102,000</w:t>
            </w:r>
          </w:p>
        </w:tc>
      </w:tr>
      <w:tr w:rsidR="00C22852" w:rsidRPr="00617A89" w14:paraId="555FE6EA"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60712798" w14:textId="77777777" w:rsidR="0082768D" w:rsidRPr="00617A89" w:rsidRDefault="0082768D" w:rsidP="0082768D">
            <w:pPr>
              <w:spacing w:before="85" w:line="288" w:lineRule="auto"/>
              <w:rPr>
                <w:rFonts w:eastAsia="Aptos" w:cs="Arial"/>
                <w:b/>
                <w:bCs/>
                <w:color w:val="000000" w:themeColor="text1"/>
                <w:sz w:val="18"/>
              </w:rPr>
            </w:pPr>
            <w:r w:rsidRPr="00617A89">
              <w:rPr>
                <w:rFonts w:cs="Arial"/>
                <w:color w:val="000000" w:themeColor="text1"/>
                <w:sz w:val="18"/>
              </w:rPr>
              <w:t>Teacher education</w:t>
            </w:r>
          </w:p>
        </w:tc>
        <w:tc>
          <w:tcPr>
            <w:tcW w:w="464" w:type="pct"/>
            <w:tcBorders>
              <w:top w:val="single" w:sz="4" w:space="0" w:color="000000"/>
              <w:left w:val="single" w:sz="4" w:space="0" w:color="000000"/>
              <w:bottom w:val="single" w:sz="4" w:space="0" w:color="000000"/>
              <w:right w:val="single" w:sz="4" w:space="0" w:color="000000"/>
            </w:tcBorders>
            <w:vAlign w:val="center"/>
          </w:tcPr>
          <w:p w14:paraId="7008CF6D" w14:textId="6FAB594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90.9</w:t>
            </w:r>
          </w:p>
        </w:tc>
        <w:tc>
          <w:tcPr>
            <w:tcW w:w="464" w:type="pct"/>
            <w:tcBorders>
              <w:top w:val="single" w:sz="4" w:space="0" w:color="000000"/>
              <w:left w:val="single" w:sz="4" w:space="0" w:color="000000"/>
              <w:bottom w:val="single" w:sz="4" w:space="0" w:color="000000"/>
              <w:right w:val="single" w:sz="4" w:space="0" w:color="000000"/>
            </w:tcBorders>
            <w:vAlign w:val="center"/>
          </w:tcPr>
          <w:p w14:paraId="1D0A874E" w14:textId="1B8CA946"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F574CF" w14:textId="7E46A9FC"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95.1</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8EE8E3" w14:textId="77F4144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97.5</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893571" w14:textId="69BB62E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96.7</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D3F5E2" w14:textId="54CD1F4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94.3</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8CC407" w14:textId="5C3633A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89,800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493416" w14:textId="2668320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110,000</w:t>
            </w:r>
          </w:p>
        </w:tc>
      </w:tr>
      <w:tr w:rsidR="00C22852" w:rsidRPr="00617A89" w14:paraId="485C7D56"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5B2A7E51" w14:textId="77777777" w:rsidR="0082768D" w:rsidRPr="00617A89" w:rsidRDefault="0082768D" w:rsidP="0082768D">
            <w:pPr>
              <w:spacing w:before="85" w:line="288" w:lineRule="auto"/>
              <w:rPr>
                <w:rFonts w:eastAsia="Aptos" w:cs="Arial"/>
                <w:b/>
                <w:bCs/>
                <w:color w:val="000000" w:themeColor="text1"/>
                <w:sz w:val="18"/>
              </w:rPr>
            </w:pPr>
            <w:r w:rsidRPr="00617A89">
              <w:rPr>
                <w:rFonts w:cs="Arial"/>
                <w:color w:val="000000" w:themeColor="text1"/>
                <w:sz w:val="18"/>
              </w:rPr>
              <w:t>Tourism, hospitality, personal services, sport and recreation</w:t>
            </w:r>
          </w:p>
        </w:tc>
        <w:tc>
          <w:tcPr>
            <w:tcW w:w="464" w:type="pct"/>
            <w:tcBorders>
              <w:top w:val="single" w:sz="4" w:space="0" w:color="000000"/>
              <w:left w:val="single" w:sz="4" w:space="0" w:color="000000"/>
              <w:bottom w:val="single" w:sz="4" w:space="0" w:color="000000"/>
              <w:right w:val="single" w:sz="4" w:space="0" w:color="000000"/>
            </w:tcBorders>
            <w:vAlign w:val="center"/>
          </w:tcPr>
          <w:p w14:paraId="083CC511" w14:textId="0653543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64" w:type="pct"/>
            <w:tcBorders>
              <w:top w:val="single" w:sz="4" w:space="0" w:color="000000"/>
              <w:left w:val="single" w:sz="4" w:space="0" w:color="000000"/>
              <w:bottom w:val="single" w:sz="4" w:space="0" w:color="000000"/>
              <w:right w:val="single" w:sz="4" w:space="0" w:color="000000"/>
            </w:tcBorders>
            <w:vAlign w:val="center"/>
          </w:tcPr>
          <w:p w14:paraId="1E60D646" w14:textId="45D37603"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08FEA5" w14:textId="5C63205D"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1DB0CB" w14:textId="61DD705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144611" w14:textId="072CA52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D0F0B6" w14:textId="56C8D5A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AF5D99" w14:textId="71B97DF9"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A66423" w14:textId="7422A18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513ABF5C"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F41384B" w14:textId="77777777" w:rsidR="0082768D" w:rsidRPr="00617A89" w:rsidRDefault="0082768D" w:rsidP="0082768D">
            <w:pPr>
              <w:spacing w:before="85" w:line="288" w:lineRule="auto"/>
              <w:rPr>
                <w:rFonts w:eastAsia="Aptos" w:cs="Arial"/>
                <w:b/>
                <w:bCs/>
                <w:color w:val="000000" w:themeColor="text1"/>
                <w:sz w:val="18"/>
              </w:rPr>
            </w:pPr>
            <w:r w:rsidRPr="00617A89">
              <w:rPr>
                <w:rFonts w:cs="Arial"/>
                <w:color w:val="000000" w:themeColor="text1"/>
                <w:sz w:val="18"/>
              </w:rPr>
              <w:t>Veterinary science</w:t>
            </w:r>
          </w:p>
        </w:tc>
        <w:tc>
          <w:tcPr>
            <w:tcW w:w="464" w:type="pct"/>
            <w:tcBorders>
              <w:top w:val="single" w:sz="4" w:space="0" w:color="000000"/>
              <w:left w:val="single" w:sz="4" w:space="0" w:color="000000"/>
              <w:bottom w:val="single" w:sz="4" w:space="0" w:color="000000"/>
              <w:right w:val="single" w:sz="4" w:space="0" w:color="000000"/>
            </w:tcBorders>
            <w:vAlign w:val="center"/>
          </w:tcPr>
          <w:p w14:paraId="241945E0" w14:textId="40F9F04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64" w:type="pct"/>
            <w:tcBorders>
              <w:top w:val="single" w:sz="4" w:space="0" w:color="000000"/>
              <w:left w:val="single" w:sz="4" w:space="0" w:color="000000"/>
              <w:bottom w:val="single" w:sz="4" w:space="0" w:color="000000"/>
              <w:right w:val="single" w:sz="4" w:space="0" w:color="000000"/>
            </w:tcBorders>
            <w:vAlign w:val="center"/>
          </w:tcPr>
          <w:p w14:paraId="789A77CA" w14:textId="6CC1FE6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F28348" w14:textId="767E4C72"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95.9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AA34795" w14:textId="664795D1"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97.8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FE0496" w14:textId="14569100"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029FB8" w14:textId="5D17327E"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91.8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B63CA6" w14:textId="5DF8E875"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69,700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4167DF" w14:textId="30FAC4CB"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118,800</w:t>
            </w:r>
          </w:p>
        </w:tc>
      </w:tr>
      <w:tr w:rsidR="00C22852" w:rsidRPr="00617A89" w14:paraId="0A94545E" w14:textId="77777777" w:rsidTr="00FD4FC9">
        <w:trPr>
          <w:trHeight w:val="60"/>
        </w:trPr>
        <w:tc>
          <w:tcPr>
            <w:tcW w:w="1288"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55CC153F" w14:textId="77777777" w:rsidR="0082768D" w:rsidRPr="00617A89" w:rsidRDefault="0082768D" w:rsidP="0082768D">
            <w:pPr>
              <w:spacing w:before="85" w:line="288" w:lineRule="auto"/>
              <w:rPr>
                <w:rFonts w:eastAsia="Aptos" w:cs="Arial"/>
                <w:b/>
                <w:bCs/>
                <w:color w:val="000000" w:themeColor="text1"/>
                <w:sz w:val="18"/>
              </w:rPr>
            </w:pPr>
            <w:r w:rsidRPr="00617A89">
              <w:rPr>
                <w:rFonts w:cs="Arial"/>
                <w:b/>
                <w:bCs/>
                <w:color w:val="000000" w:themeColor="text1"/>
                <w:sz w:val="18"/>
              </w:rPr>
              <w:t>Total</w:t>
            </w:r>
          </w:p>
        </w:tc>
        <w:tc>
          <w:tcPr>
            <w:tcW w:w="464" w:type="pct"/>
            <w:tcBorders>
              <w:top w:val="single" w:sz="4" w:space="0" w:color="000000"/>
              <w:left w:val="single" w:sz="4" w:space="0" w:color="000000"/>
              <w:bottom w:val="single" w:sz="4" w:space="0" w:color="000000"/>
              <w:right w:val="single" w:sz="4" w:space="0" w:color="000000"/>
            </w:tcBorders>
            <w:vAlign w:val="center"/>
          </w:tcPr>
          <w:p w14:paraId="1157F026" w14:textId="1F5C75FE" w:rsidR="0082768D" w:rsidRPr="00617A89" w:rsidRDefault="0082768D" w:rsidP="0082768D">
            <w:pPr>
              <w:spacing w:before="85" w:line="288" w:lineRule="auto"/>
              <w:jc w:val="center"/>
              <w:rPr>
                <w:rFonts w:eastAsia="Aptos" w:cs="Arial"/>
                <w:b/>
                <w:bCs/>
                <w:color w:val="000000" w:themeColor="text1"/>
                <w:sz w:val="18"/>
              </w:rPr>
            </w:pPr>
            <w:r w:rsidRPr="00617A89">
              <w:rPr>
                <w:rFonts w:cs="Arial"/>
                <w:b/>
                <w:bCs/>
                <w:color w:val="000000" w:themeColor="text1"/>
                <w:sz w:val="18"/>
              </w:rPr>
              <w:t>89.5</w:t>
            </w:r>
          </w:p>
        </w:tc>
        <w:tc>
          <w:tcPr>
            <w:tcW w:w="464" w:type="pct"/>
            <w:tcBorders>
              <w:top w:val="single" w:sz="4" w:space="0" w:color="000000"/>
              <w:left w:val="single" w:sz="4" w:space="0" w:color="000000"/>
              <w:bottom w:val="single" w:sz="4" w:space="0" w:color="000000"/>
              <w:right w:val="single" w:sz="4" w:space="0" w:color="000000"/>
            </w:tcBorders>
            <w:vAlign w:val="center"/>
          </w:tcPr>
          <w:p w14:paraId="75A4A89C" w14:textId="3927475F" w:rsidR="0082768D" w:rsidRPr="00617A89" w:rsidRDefault="0082768D" w:rsidP="0082768D">
            <w:pPr>
              <w:spacing w:before="85" w:line="288" w:lineRule="auto"/>
              <w:jc w:val="center"/>
              <w:rPr>
                <w:rFonts w:eastAsia="Aptos" w:cs="Arial"/>
                <w:b/>
                <w:bCs/>
                <w:color w:val="000000" w:themeColor="text1"/>
                <w:sz w:val="18"/>
              </w:rPr>
            </w:pPr>
            <w:r w:rsidRPr="00617A89">
              <w:rPr>
                <w:rFonts w:cs="Arial"/>
                <w:b/>
                <w:bCs/>
                <w:color w:val="000000" w:themeColor="text1"/>
                <w:sz w:val="18"/>
              </w:rPr>
              <w:t>95.4</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E55B76" w14:textId="32E9E6E6" w:rsidR="0082768D" w:rsidRPr="00617A89" w:rsidRDefault="0082768D" w:rsidP="0082768D">
            <w:pPr>
              <w:spacing w:before="85" w:line="288" w:lineRule="auto"/>
              <w:jc w:val="center"/>
              <w:rPr>
                <w:rFonts w:eastAsia="Aptos" w:cs="Arial"/>
                <w:b/>
                <w:bCs/>
                <w:color w:val="000000" w:themeColor="text1"/>
                <w:sz w:val="18"/>
              </w:rPr>
            </w:pPr>
            <w:r w:rsidRPr="00617A89">
              <w:rPr>
                <w:rFonts w:cs="Arial"/>
                <w:b/>
                <w:bCs/>
                <w:color w:val="000000" w:themeColor="text1"/>
                <w:sz w:val="18"/>
              </w:rPr>
              <w:t>93.8</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F2A233" w14:textId="7735EE75" w:rsidR="0082768D" w:rsidRPr="00617A89" w:rsidRDefault="0082768D" w:rsidP="0082768D">
            <w:pPr>
              <w:spacing w:before="85" w:line="288" w:lineRule="auto"/>
              <w:jc w:val="center"/>
              <w:rPr>
                <w:rFonts w:eastAsia="Aptos" w:cs="Arial"/>
                <w:b/>
                <w:bCs/>
                <w:color w:val="000000" w:themeColor="text1"/>
                <w:sz w:val="18"/>
              </w:rPr>
            </w:pPr>
            <w:r w:rsidRPr="00617A89">
              <w:rPr>
                <w:rFonts w:cs="Arial"/>
                <w:b/>
                <w:bCs/>
                <w:color w:val="000000" w:themeColor="text1"/>
                <w:sz w:val="18"/>
              </w:rPr>
              <w:t>97.0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453A51" w14:textId="3F568A73" w:rsidR="0082768D" w:rsidRPr="00617A89" w:rsidRDefault="0082768D" w:rsidP="0082768D">
            <w:pPr>
              <w:spacing w:before="85" w:line="288" w:lineRule="auto"/>
              <w:jc w:val="center"/>
              <w:rPr>
                <w:rFonts w:eastAsia="Aptos" w:cs="Arial"/>
                <w:b/>
                <w:bCs/>
                <w:color w:val="000000" w:themeColor="text1"/>
                <w:sz w:val="18"/>
              </w:rPr>
            </w:pPr>
            <w:r w:rsidRPr="00617A89">
              <w:rPr>
                <w:rFonts w:cs="Arial"/>
                <w:b/>
                <w:bCs/>
                <w:color w:val="000000" w:themeColor="text1"/>
                <w:sz w:val="18"/>
              </w:rPr>
              <w:t>96.2</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DB33AF" w14:textId="760A215C" w:rsidR="0082768D" w:rsidRPr="00617A89" w:rsidRDefault="0082768D" w:rsidP="0082768D">
            <w:pPr>
              <w:spacing w:before="85" w:line="288" w:lineRule="auto"/>
              <w:jc w:val="center"/>
              <w:rPr>
                <w:rFonts w:eastAsia="Aptos" w:cs="Arial"/>
                <w:b/>
                <w:bCs/>
                <w:color w:val="000000" w:themeColor="text1"/>
                <w:sz w:val="18"/>
              </w:rPr>
            </w:pPr>
            <w:r w:rsidRPr="00617A89">
              <w:rPr>
                <w:rFonts w:cs="Arial"/>
                <w:b/>
                <w:bCs/>
                <w:color w:val="000000" w:themeColor="text1"/>
                <w:sz w:val="18"/>
              </w:rPr>
              <w:t>93.9</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5A7699" w14:textId="7DAEC07A" w:rsidR="0082768D" w:rsidRPr="00617A89" w:rsidRDefault="0082768D" w:rsidP="0082768D">
            <w:pPr>
              <w:spacing w:before="85" w:line="288" w:lineRule="auto"/>
              <w:jc w:val="center"/>
              <w:rPr>
                <w:rFonts w:eastAsia="Aptos" w:cs="Arial"/>
                <w:b/>
                <w:bCs/>
                <w:color w:val="000000" w:themeColor="text1"/>
                <w:sz w:val="18"/>
              </w:rPr>
            </w:pPr>
            <w:r w:rsidRPr="00617A89">
              <w:rPr>
                <w:rFonts w:cs="Arial"/>
                <w:b/>
                <w:bCs/>
                <w:color w:val="000000" w:themeColor="text1"/>
                <w:sz w:val="18"/>
              </w:rPr>
              <w:t>91,300</w:t>
            </w:r>
          </w:p>
        </w:tc>
        <w:tc>
          <w:tcPr>
            <w:tcW w:w="46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84A3FF" w14:textId="341B047A" w:rsidR="0082768D" w:rsidRPr="00617A89" w:rsidRDefault="0082768D" w:rsidP="0082768D">
            <w:pPr>
              <w:spacing w:before="85" w:line="288" w:lineRule="auto"/>
              <w:jc w:val="center"/>
              <w:rPr>
                <w:rFonts w:eastAsia="Aptos" w:cs="Arial"/>
                <w:b/>
                <w:bCs/>
                <w:color w:val="000000" w:themeColor="text1"/>
                <w:sz w:val="18"/>
              </w:rPr>
            </w:pPr>
            <w:r w:rsidRPr="00617A89">
              <w:rPr>
                <w:rFonts w:cs="Arial"/>
                <w:b/>
                <w:bCs/>
                <w:color w:val="000000" w:themeColor="text1"/>
                <w:sz w:val="18"/>
              </w:rPr>
              <w:t>116,000</w:t>
            </w:r>
          </w:p>
        </w:tc>
      </w:tr>
      <w:tr w:rsidR="00C22852" w:rsidRPr="00617A89" w14:paraId="41EDBB39" w14:textId="77777777" w:rsidTr="00FD4FC9">
        <w:trPr>
          <w:trHeight w:val="60"/>
        </w:trPr>
        <w:tc>
          <w:tcPr>
            <w:tcW w:w="1288" w:type="pct"/>
            <w:tcBorders>
              <w:top w:val="single" w:sz="4" w:space="0" w:color="000000"/>
              <w:left w:val="single" w:sz="4" w:space="0" w:color="auto"/>
              <w:bottom w:val="single" w:sz="4" w:space="0" w:color="auto"/>
              <w:right w:val="single" w:sz="4" w:space="0" w:color="000000"/>
            </w:tcBorders>
            <w:tcMar>
              <w:top w:w="57" w:type="dxa"/>
              <w:left w:w="57" w:type="dxa"/>
              <w:bottom w:w="57" w:type="dxa"/>
              <w:right w:w="0" w:type="dxa"/>
            </w:tcMar>
            <w:vAlign w:val="center"/>
          </w:tcPr>
          <w:p w14:paraId="77754EBF" w14:textId="77777777" w:rsidR="0082768D" w:rsidRPr="00617A89" w:rsidRDefault="0082768D" w:rsidP="0082768D">
            <w:pPr>
              <w:spacing w:before="85" w:line="288" w:lineRule="auto"/>
              <w:rPr>
                <w:rFonts w:eastAsia="Aptos" w:cs="Arial"/>
                <w:color w:val="000000" w:themeColor="text1"/>
                <w:sz w:val="18"/>
              </w:rPr>
            </w:pPr>
            <w:r w:rsidRPr="00617A89">
              <w:rPr>
                <w:rFonts w:cs="Arial"/>
                <w:color w:val="000000" w:themeColor="text1"/>
                <w:sz w:val="18"/>
              </w:rPr>
              <w:t>Standard deviation</w:t>
            </w:r>
          </w:p>
        </w:tc>
        <w:tc>
          <w:tcPr>
            <w:tcW w:w="464" w:type="pct"/>
            <w:tcBorders>
              <w:top w:val="single" w:sz="4" w:space="0" w:color="000000"/>
              <w:left w:val="single" w:sz="4" w:space="0" w:color="000000"/>
              <w:bottom w:val="single" w:sz="4" w:space="0" w:color="auto"/>
              <w:right w:val="single" w:sz="4" w:space="0" w:color="000000"/>
            </w:tcBorders>
            <w:vAlign w:val="center"/>
          </w:tcPr>
          <w:p w14:paraId="6A5AE2DB" w14:textId="0B87956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7.2</w:t>
            </w:r>
          </w:p>
        </w:tc>
        <w:tc>
          <w:tcPr>
            <w:tcW w:w="464" w:type="pct"/>
            <w:tcBorders>
              <w:top w:val="single" w:sz="4" w:space="0" w:color="000000"/>
              <w:left w:val="single" w:sz="4" w:space="0" w:color="000000"/>
              <w:bottom w:val="single" w:sz="4" w:space="0" w:color="auto"/>
              <w:right w:val="single" w:sz="4" w:space="0" w:color="000000"/>
            </w:tcBorders>
            <w:vAlign w:val="center"/>
          </w:tcPr>
          <w:p w14:paraId="3BBDD3EF" w14:textId="6FD7B871"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4.0</w:t>
            </w:r>
          </w:p>
        </w:tc>
        <w:tc>
          <w:tcPr>
            <w:tcW w:w="46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C7852A2" w14:textId="03FC952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3.4</w:t>
            </w:r>
          </w:p>
        </w:tc>
        <w:tc>
          <w:tcPr>
            <w:tcW w:w="46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F0716C0" w14:textId="0BF31074"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1.5</w:t>
            </w:r>
          </w:p>
        </w:tc>
        <w:tc>
          <w:tcPr>
            <w:tcW w:w="46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E008E01" w14:textId="06CADB5B"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2.3</w:t>
            </w:r>
          </w:p>
        </w:tc>
        <w:tc>
          <w:tcPr>
            <w:tcW w:w="46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654966E" w14:textId="2F4DE1CA"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2.4</w:t>
            </w:r>
          </w:p>
        </w:tc>
        <w:tc>
          <w:tcPr>
            <w:tcW w:w="46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61BBA2C" w14:textId="59DBD0E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13,500</w:t>
            </w:r>
          </w:p>
        </w:tc>
        <w:tc>
          <w:tcPr>
            <w:tcW w:w="46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0C21D60" w14:textId="60EA3BE8" w:rsidR="0082768D" w:rsidRPr="00617A89" w:rsidRDefault="0082768D" w:rsidP="0082768D">
            <w:pPr>
              <w:spacing w:before="85" w:line="288" w:lineRule="auto"/>
              <w:jc w:val="center"/>
              <w:rPr>
                <w:rFonts w:eastAsia="Aptos" w:cs="Arial"/>
                <w:color w:val="000000" w:themeColor="text1"/>
                <w:sz w:val="18"/>
              </w:rPr>
            </w:pPr>
            <w:r w:rsidRPr="00617A89">
              <w:rPr>
                <w:rFonts w:cs="Arial"/>
                <w:color w:val="000000" w:themeColor="text1"/>
                <w:sz w:val="18"/>
              </w:rPr>
              <w:t>20,800</w:t>
            </w:r>
          </w:p>
        </w:tc>
      </w:tr>
    </w:tbl>
    <w:p w14:paraId="3BB4BFBB" w14:textId="2251888D" w:rsidR="001B68EF" w:rsidRPr="00617A89" w:rsidRDefault="00B0779E" w:rsidP="00930913">
      <w:pPr>
        <w:pStyle w:val="FigureNote"/>
        <w:rPr>
          <w:color w:val="000000" w:themeColor="text1"/>
          <w:sz w:val="18"/>
          <w:szCs w:val="24"/>
        </w:rPr>
      </w:pPr>
      <w:r w:rsidRPr="00617A89">
        <w:rPr>
          <w:color w:val="000000" w:themeColor="text1"/>
          <w:sz w:val="18"/>
          <w:szCs w:val="24"/>
        </w:rPr>
        <w:t>Note: A blank cell indicates there is no data for that cell and n/a indicates a suppressed value (n&lt;25).</w:t>
      </w:r>
    </w:p>
    <w:p w14:paraId="2CF050B5" w14:textId="77777777" w:rsidR="001B68EF" w:rsidRPr="00617A89" w:rsidRDefault="001B68EF">
      <w:pPr>
        <w:spacing w:before="60" w:after="60"/>
        <w:rPr>
          <w:rFonts w:eastAsia="Calibri" w:cs="Times New Roman"/>
          <w:color w:val="000000" w:themeColor="text1"/>
          <w:sz w:val="16"/>
          <w:szCs w:val="22"/>
          <w:lang w:val="en-GB"/>
        </w:rPr>
      </w:pPr>
      <w:r w:rsidRPr="00617A89">
        <w:rPr>
          <w:color w:val="000000" w:themeColor="text1"/>
        </w:rPr>
        <w:br w:type="page"/>
      </w:r>
    </w:p>
    <w:p w14:paraId="6BDFDC91" w14:textId="070A97A8" w:rsidR="003E66E8" w:rsidRPr="00617A89" w:rsidRDefault="003E66E8" w:rsidP="003E66E8">
      <w:pPr>
        <w:pStyle w:val="Caption"/>
        <w:rPr>
          <w:color w:val="000000" w:themeColor="text1"/>
        </w:rPr>
      </w:pPr>
      <w:bookmarkStart w:id="261" w:name="_Ref207708071"/>
      <w:bookmarkStart w:id="262" w:name="_Toc222868490"/>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20</w:t>
      </w:r>
      <w:r w:rsidR="00DB7C31" w:rsidRPr="00617A89">
        <w:rPr>
          <w:noProof/>
          <w:color w:val="000000" w:themeColor="text1"/>
        </w:rPr>
        <w:fldChar w:fldCharType="end"/>
      </w:r>
      <w:bookmarkEnd w:id="261"/>
      <w:r w:rsidR="001B68EF" w:rsidRPr="00617A89">
        <w:rPr>
          <w:color w:val="000000" w:themeColor="text1"/>
        </w:rPr>
        <w:tab/>
      </w:r>
      <w:r w:rsidRPr="00617A89">
        <w:rPr>
          <w:color w:val="000000" w:themeColor="text1"/>
        </w:rPr>
        <w:t>Domestic postgraduate research labour market and further study outcomes by study area</w:t>
      </w:r>
      <w:bookmarkEnd w:id="262"/>
    </w:p>
    <w:tbl>
      <w:tblPr>
        <w:tblW w:w="500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973"/>
        <w:gridCol w:w="935"/>
        <w:gridCol w:w="934"/>
        <w:gridCol w:w="934"/>
        <w:gridCol w:w="936"/>
        <w:gridCol w:w="934"/>
        <w:gridCol w:w="934"/>
        <w:gridCol w:w="934"/>
        <w:gridCol w:w="936"/>
      </w:tblGrid>
      <w:tr w:rsidR="00C22852" w:rsidRPr="00617A89" w14:paraId="2A27B650" w14:textId="77777777" w:rsidTr="0062339E">
        <w:trPr>
          <w:trHeight w:val="60"/>
          <w:tblHeader/>
        </w:trPr>
        <w:tc>
          <w:tcPr>
            <w:tcW w:w="1422" w:type="pct"/>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vAlign w:val="bottom"/>
          </w:tcPr>
          <w:p w14:paraId="3A78445F" w14:textId="5162C0A0"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p>
        </w:tc>
        <w:tc>
          <w:tcPr>
            <w:tcW w:w="447" w:type="pct"/>
            <w:tcBorders>
              <w:top w:val="single" w:sz="4" w:space="0" w:color="auto"/>
              <w:left w:val="single" w:sz="4" w:space="0" w:color="000000"/>
              <w:bottom w:val="single" w:sz="4" w:space="0" w:color="000000"/>
              <w:right w:val="single" w:sz="4" w:space="0" w:color="000000"/>
            </w:tcBorders>
            <w:vAlign w:val="bottom"/>
          </w:tcPr>
          <w:p w14:paraId="0636CF22" w14:textId="77777777"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Full-time</w:t>
            </w:r>
          </w:p>
          <w:p w14:paraId="56B15029" w14:textId="7FB4F109"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Employment rate (%)</w:t>
            </w:r>
          </w:p>
        </w:tc>
        <w:tc>
          <w:tcPr>
            <w:tcW w:w="447" w:type="pct"/>
            <w:tcBorders>
              <w:top w:val="single" w:sz="4" w:space="0" w:color="auto"/>
              <w:left w:val="single" w:sz="4" w:space="0" w:color="000000"/>
              <w:bottom w:val="single" w:sz="4" w:space="0" w:color="000000"/>
              <w:right w:val="single" w:sz="4" w:space="0" w:color="000000"/>
            </w:tcBorders>
            <w:vAlign w:val="bottom"/>
          </w:tcPr>
          <w:p w14:paraId="3605D065" w14:textId="77777777"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Full-time</w:t>
            </w:r>
          </w:p>
          <w:p w14:paraId="68A886ED" w14:textId="18187169"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Employment rate (%)</w:t>
            </w:r>
          </w:p>
        </w:tc>
        <w:tc>
          <w:tcPr>
            <w:tcW w:w="447"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bottom"/>
          </w:tcPr>
          <w:p w14:paraId="6CD13959" w14:textId="1E9D6A1A"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Overall</w:t>
            </w:r>
          </w:p>
          <w:p w14:paraId="71B6BB40" w14:textId="3191EB2B"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Employment rate (%)</w:t>
            </w:r>
          </w:p>
        </w:tc>
        <w:tc>
          <w:tcPr>
            <w:tcW w:w="448" w:type="pct"/>
            <w:tcBorders>
              <w:top w:val="single" w:sz="4" w:space="0" w:color="auto"/>
              <w:left w:val="single" w:sz="4" w:space="0" w:color="000000"/>
              <w:bottom w:val="single" w:sz="4" w:space="0" w:color="000000"/>
              <w:right w:val="single" w:sz="4" w:space="0" w:color="000000"/>
            </w:tcBorders>
            <w:vAlign w:val="bottom"/>
          </w:tcPr>
          <w:p w14:paraId="340A6780" w14:textId="17FC38E5" w:rsidR="0062339E" w:rsidRPr="00617A89" w:rsidRDefault="0062339E" w:rsidP="0062339E">
            <w:pPr>
              <w:widowControl w:val="0"/>
              <w:autoSpaceDE w:val="0"/>
              <w:autoSpaceDN w:val="0"/>
              <w:adjustRightInd w:val="0"/>
              <w:spacing w:line="288" w:lineRule="auto"/>
              <w:jc w:val="center"/>
              <w:textAlignment w:val="center"/>
              <w:rPr>
                <w:rFonts w:eastAsia="MS Mincho" w:cs="Arial"/>
                <w:b/>
                <w:color w:val="000000" w:themeColor="text1"/>
                <w:sz w:val="18"/>
                <w:lang w:val="en-GB"/>
              </w:rPr>
            </w:pPr>
            <w:r w:rsidRPr="00617A89">
              <w:rPr>
                <w:rFonts w:eastAsia="MS Mincho" w:cs="Arial"/>
                <w:b/>
                <w:color w:val="000000" w:themeColor="text1"/>
                <w:sz w:val="18"/>
                <w:lang w:val="en-GB"/>
              </w:rPr>
              <w:t>Overall</w:t>
            </w:r>
          </w:p>
          <w:p w14:paraId="3BA75E29" w14:textId="0E315A9E"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Employment rate (%)</w:t>
            </w:r>
          </w:p>
        </w:tc>
        <w:tc>
          <w:tcPr>
            <w:tcW w:w="447"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bottom"/>
          </w:tcPr>
          <w:p w14:paraId="10C40A05" w14:textId="52FFFA8E"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Labour force participation rate (%)</w:t>
            </w:r>
          </w:p>
        </w:tc>
        <w:tc>
          <w:tcPr>
            <w:tcW w:w="447" w:type="pct"/>
            <w:tcBorders>
              <w:top w:val="single" w:sz="4" w:space="0" w:color="auto"/>
              <w:left w:val="single" w:sz="4" w:space="0" w:color="000000"/>
              <w:bottom w:val="single" w:sz="4" w:space="0" w:color="000000"/>
              <w:right w:val="single" w:sz="4" w:space="0" w:color="000000"/>
            </w:tcBorders>
            <w:vAlign w:val="bottom"/>
          </w:tcPr>
          <w:p w14:paraId="1ED4221D" w14:textId="37B68313"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Labour force participation rate (%)</w:t>
            </w:r>
          </w:p>
        </w:tc>
        <w:tc>
          <w:tcPr>
            <w:tcW w:w="447"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0" w:type="dxa"/>
            </w:tcMar>
            <w:vAlign w:val="bottom"/>
          </w:tcPr>
          <w:p w14:paraId="7258B434" w14:textId="5F204154"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bCs/>
                <w:color w:val="000000" w:themeColor="text1"/>
                <w:sz w:val="18"/>
                <w:lang w:val="en-GB"/>
              </w:rPr>
              <w:t>Median annual full-time salary ($)</w:t>
            </w:r>
          </w:p>
        </w:tc>
        <w:tc>
          <w:tcPr>
            <w:tcW w:w="447" w:type="pct"/>
            <w:tcBorders>
              <w:top w:val="single" w:sz="4" w:space="0" w:color="auto"/>
              <w:left w:val="single" w:sz="4" w:space="0" w:color="000000"/>
              <w:bottom w:val="single" w:sz="4" w:space="0" w:color="000000"/>
              <w:right w:val="single" w:sz="4" w:space="0" w:color="000000"/>
            </w:tcBorders>
            <w:vAlign w:val="bottom"/>
          </w:tcPr>
          <w:p w14:paraId="4B2D767F" w14:textId="397ECB46" w:rsidR="0062339E" w:rsidRPr="00617A89" w:rsidRDefault="0062339E"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bCs/>
                <w:color w:val="000000" w:themeColor="text1"/>
                <w:sz w:val="18"/>
                <w:lang w:val="en-GB"/>
              </w:rPr>
              <w:t>Median annual full-time salary ($)</w:t>
            </w:r>
          </w:p>
        </w:tc>
      </w:tr>
      <w:tr w:rsidR="00C22852" w:rsidRPr="00617A89" w14:paraId="4D2B2FCA" w14:textId="77777777" w:rsidTr="0062339E">
        <w:trPr>
          <w:trHeight w:val="60"/>
          <w:tblHeader/>
        </w:trPr>
        <w:tc>
          <w:tcPr>
            <w:tcW w:w="1422" w:type="pct"/>
            <w:tcBorders>
              <w:left w:val="single" w:sz="4" w:space="0" w:color="auto"/>
            </w:tcBorders>
            <w:tcMar>
              <w:top w:w="57" w:type="dxa"/>
              <w:left w:w="57" w:type="dxa"/>
              <w:bottom w:w="57" w:type="dxa"/>
            </w:tcMar>
            <w:vAlign w:val="bottom"/>
          </w:tcPr>
          <w:p w14:paraId="5089DC2D" w14:textId="4B44D284" w:rsidR="003E66E8" w:rsidRPr="00617A89" w:rsidRDefault="0062339E" w:rsidP="0062339E">
            <w:pPr>
              <w:rPr>
                <w:rFonts w:eastAsia="Aptos" w:cs="Arial"/>
                <w:b/>
                <w:color w:val="000000" w:themeColor="text1"/>
                <w:sz w:val="18"/>
              </w:rPr>
            </w:pPr>
            <w:r w:rsidRPr="00617A89">
              <w:rPr>
                <w:rFonts w:eastAsia="MS Mincho" w:cs="Arial"/>
                <w:b/>
                <w:color w:val="000000" w:themeColor="text1"/>
                <w:sz w:val="18"/>
                <w:lang w:val="en-GB"/>
              </w:rPr>
              <w:t>Study</w:t>
            </w:r>
            <w:r w:rsidRPr="00617A89">
              <w:rPr>
                <w:rFonts w:eastAsia="MS Mincho" w:cs="Arial"/>
                <w:b/>
                <w:caps/>
                <w:color w:val="000000" w:themeColor="text1"/>
                <w:sz w:val="18"/>
                <w:lang w:val="en-GB"/>
              </w:rPr>
              <w:t xml:space="preserve"> </w:t>
            </w:r>
            <w:r w:rsidRPr="00617A89">
              <w:rPr>
                <w:rFonts w:eastAsia="MS Mincho" w:cs="Arial"/>
                <w:b/>
                <w:color w:val="000000" w:themeColor="text1"/>
                <w:sz w:val="18"/>
                <w:lang w:val="en-GB"/>
              </w:rPr>
              <w:t>area</w:t>
            </w:r>
          </w:p>
        </w:tc>
        <w:tc>
          <w:tcPr>
            <w:tcW w:w="447" w:type="pct"/>
            <w:tcBorders>
              <w:top w:val="single" w:sz="4" w:space="0" w:color="000000"/>
              <w:left w:val="single" w:sz="4" w:space="0" w:color="000000"/>
              <w:bottom w:val="single" w:sz="4" w:space="0" w:color="000000"/>
              <w:right w:val="single" w:sz="4" w:space="0" w:color="000000"/>
            </w:tcBorders>
            <w:vAlign w:val="bottom"/>
          </w:tcPr>
          <w:p w14:paraId="53D07E44" w14:textId="77777777" w:rsidR="003E66E8" w:rsidRPr="00617A89" w:rsidRDefault="003E66E8" w:rsidP="0062339E">
            <w:pPr>
              <w:widowControl w:val="0"/>
              <w:autoSpaceDE w:val="0"/>
              <w:autoSpaceDN w:val="0"/>
              <w:adjustRightInd w:val="0"/>
              <w:spacing w:line="288" w:lineRule="auto"/>
              <w:jc w:val="center"/>
              <w:textAlignment w:val="center"/>
              <w:rPr>
                <w:rFonts w:eastAsia="MS Mincho" w:cs="Arial"/>
                <w:b/>
                <w:caps/>
                <w:color w:val="000000" w:themeColor="text1"/>
                <w:sz w:val="18"/>
                <w:lang w:val="en-GB"/>
              </w:rPr>
            </w:pPr>
            <w:r w:rsidRPr="00617A89">
              <w:rPr>
                <w:rFonts w:eastAsia="MS Mincho" w:cs="Arial"/>
                <w:b/>
                <w:caps/>
                <w:color w:val="000000" w:themeColor="text1"/>
                <w:sz w:val="18"/>
                <w:lang w:val="en-GB"/>
              </w:rPr>
              <w:t>S</w:t>
            </w:r>
            <w:r w:rsidRPr="00617A89">
              <w:rPr>
                <w:rFonts w:eastAsia="MS Mincho" w:cs="Arial"/>
                <w:b/>
                <w:color w:val="000000" w:themeColor="text1"/>
                <w:sz w:val="18"/>
                <w:lang w:val="en-GB"/>
              </w:rPr>
              <w:t>hort-term (2022)</w:t>
            </w:r>
          </w:p>
        </w:tc>
        <w:tc>
          <w:tcPr>
            <w:tcW w:w="447" w:type="pct"/>
            <w:tcBorders>
              <w:top w:val="single" w:sz="4" w:space="0" w:color="000000"/>
              <w:left w:val="single" w:sz="4" w:space="0" w:color="000000"/>
              <w:bottom w:val="single" w:sz="4" w:space="0" w:color="000000"/>
              <w:right w:val="single" w:sz="4" w:space="0" w:color="000000"/>
            </w:tcBorders>
            <w:vAlign w:val="bottom"/>
          </w:tcPr>
          <w:p w14:paraId="0088E155" w14:textId="77777777" w:rsidR="003E66E8" w:rsidRPr="00617A89" w:rsidRDefault="003E66E8" w:rsidP="0062339E">
            <w:pPr>
              <w:widowControl w:val="0"/>
              <w:autoSpaceDE w:val="0"/>
              <w:autoSpaceDN w:val="0"/>
              <w:adjustRightInd w:val="0"/>
              <w:spacing w:line="288" w:lineRule="auto"/>
              <w:jc w:val="center"/>
              <w:textAlignment w:val="center"/>
              <w:rPr>
                <w:rFonts w:eastAsia="MS Mincho" w:cs="Arial"/>
                <w:b/>
                <w:caps/>
                <w:color w:val="000000" w:themeColor="text1"/>
                <w:sz w:val="18"/>
                <w:lang w:val="en-GB"/>
              </w:rPr>
            </w:pPr>
            <w:r w:rsidRPr="00617A89">
              <w:rPr>
                <w:rFonts w:eastAsia="MS Mincho" w:cs="Arial"/>
                <w:b/>
                <w:color w:val="000000" w:themeColor="text1"/>
                <w:sz w:val="18"/>
                <w:lang w:val="en-GB"/>
              </w:rPr>
              <w:t>Medium-term (2025)</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391934" w14:textId="77777777" w:rsidR="003E66E8" w:rsidRPr="00617A89" w:rsidRDefault="003E66E8"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aps/>
                <w:color w:val="000000" w:themeColor="text1"/>
                <w:sz w:val="18"/>
                <w:lang w:val="en-GB"/>
              </w:rPr>
              <w:t>S</w:t>
            </w:r>
            <w:r w:rsidRPr="00617A89">
              <w:rPr>
                <w:rFonts w:eastAsia="MS Mincho" w:cs="Arial"/>
                <w:b/>
                <w:color w:val="000000" w:themeColor="text1"/>
                <w:sz w:val="18"/>
                <w:lang w:val="en-GB"/>
              </w:rPr>
              <w:t>hort-term (2022)</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889086" w14:textId="77777777" w:rsidR="003E66E8" w:rsidRPr="00617A89" w:rsidRDefault="003E66E8"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Medium-term (2025)</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1D1F3D" w14:textId="77777777" w:rsidR="003E66E8" w:rsidRPr="00617A89" w:rsidRDefault="003E66E8"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aps/>
                <w:color w:val="000000" w:themeColor="text1"/>
                <w:sz w:val="18"/>
                <w:lang w:val="en-GB"/>
              </w:rPr>
              <w:t>S</w:t>
            </w:r>
            <w:r w:rsidRPr="00617A89">
              <w:rPr>
                <w:rFonts w:eastAsia="MS Mincho" w:cs="Arial"/>
                <w:b/>
                <w:color w:val="000000" w:themeColor="text1"/>
                <w:sz w:val="18"/>
                <w:lang w:val="en-GB"/>
              </w:rPr>
              <w:t>hort-term (2022)</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442BFB" w14:textId="77777777" w:rsidR="003E66E8" w:rsidRPr="00617A89" w:rsidRDefault="003E66E8"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Medium-term (2025)</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75822F2" w14:textId="77777777" w:rsidR="003E66E8" w:rsidRPr="00617A89" w:rsidRDefault="003E66E8"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aps/>
                <w:color w:val="000000" w:themeColor="text1"/>
                <w:sz w:val="18"/>
                <w:lang w:val="en-GB"/>
              </w:rPr>
              <w:t>S</w:t>
            </w:r>
            <w:r w:rsidRPr="00617A89">
              <w:rPr>
                <w:rFonts w:eastAsia="MS Mincho" w:cs="Arial"/>
                <w:b/>
                <w:color w:val="000000" w:themeColor="text1"/>
                <w:sz w:val="18"/>
                <w:lang w:val="en-GB"/>
              </w:rPr>
              <w:t>hort-term (2022)</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418F81" w14:textId="77777777" w:rsidR="003E66E8" w:rsidRPr="00617A89" w:rsidRDefault="003E66E8" w:rsidP="0062339E">
            <w:pPr>
              <w:widowControl w:val="0"/>
              <w:autoSpaceDE w:val="0"/>
              <w:autoSpaceDN w:val="0"/>
              <w:adjustRightInd w:val="0"/>
              <w:spacing w:line="288" w:lineRule="auto"/>
              <w:jc w:val="center"/>
              <w:textAlignment w:val="center"/>
              <w:rPr>
                <w:rFonts w:eastAsia="MS Mincho" w:cs="Arial"/>
                <w:caps/>
                <w:color w:val="000000" w:themeColor="text1"/>
                <w:sz w:val="18"/>
                <w:lang w:val="en-GB"/>
              </w:rPr>
            </w:pPr>
            <w:r w:rsidRPr="00617A89">
              <w:rPr>
                <w:rFonts w:eastAsia="MS Mincho" w:cs="Arial"/>
                <w:b/>
                <w:color w:val="000000" w:themeColor="text1"/>
                <w:sz w:val="18"/>
                <w:lang w:val="en-GB"/>
              </w:rPr>
              <w:t>Medium-term (2025)</w:t>
            </w:r>
          </w:p>
        </w:tc>
      </w:tr>
      <w:tr w:rsidR="00C22852" w:rsidRPr="00617A89" w14:paraId="10C3234C"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0CD52FD4" w14:textId="77777777" w:rsidR="003E66E8" w:rsidRPr="00617A89" w:rsidRDefault="003E66E8" w:rsidP="00ED7300">
            <w:pPr>
              <w:spacing w:before="85" w:line="288" w:lineRule="auto"/>
              <w:rPr>
                <w:rFonts w:eastAsia="Aptos" w:cs="Arial"/>
                <w:b/>
                <w:bCs/>
                <w:color w:val="000000" w:themeColor="text1"/>
                <w:sz w:val="18"/>
              </w:rPr>
            </w:pPr>
            <w:r w:rsidRPr="00617A89">
              <w:rPr>
                <w:rFonts w:cs="Arial"/>
                <w:color w:val="000000" w:themeColor="text1"/>
                <w:sz w:val="18"/>
              </w:rPr>
              <w:t>Agriculture and environmental studies</w:t>
            </w:r>
          </w:p>
        </w:tc>
        <w:tc>
          <w:tcPr>
            <w:tcW w:w="447" w:type="pct"/>
            <w:tcBorders>
              <w:top w:val="single" w:sz="4" w:space="0" w:color="000000"/>
              <w:left w:val="single" w:sz="4" w:space="0" w:color="000000"/>
              <w:bottom w:val="single" w:sz="4" w:space="0" w:color="000000"/>
              <w:right w:val="single" w:sz="4" w:space="0" w:color="000000"/>
            </w:tcBorders>
            <w:vAlign w:val="center"/>
          </w:tcPr>
          <w:p w14:paraId="69988A8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76.4</w:t>
            </w:r>
          </w:p>
        </w:tc>
        <w:tc>
          <w:tcPr>
            <w:tcW w:w="447" w:type="pct"/>
            <w:tcBorders>
              <w:top w:val="single" w:sz="4" w:space="0" w:color="000000"/>
              <w:left w:val="single" w:sz="4" w:space="0" w:color="000000"/>
              <w:bottom w:val="single" w:sz="4" w:space="0" w:color="000000"/>
              <w:right w:val="single" w:sz="4" w:space="0" w:color="000000"/>
            </w:tcBorders>
            <w:vAlign w:val="center"/>
          </w:tcPr>
          <w:p w14:paraId="1C06D42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87.0</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04B83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91.9</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1C526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93.3</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92F2C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98.4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783AD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95.2</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77458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92,500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B3B8B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122,100</w:t>
            </w:r>
          </w:p>
        </w:tc>
      </w:tr>
      <w:tr w:rsidR="00C22852" w:rsidRPr="00617A89" w14:paraId="755588DC"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292DDF05"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Architecture and built environment</w:t>
            </w:r>
          </w:p>
        </w:tc>
        <w:tc>
          <w:tcPr>
            <w:tcW w:w="447" w:type="pct"/>
            <w:tcBorders>
              <w:top w:val="single" w:sz="4" w:space="0" w:color="000000"/>
              <w:left w:val="single" w:sz="4" w:space="0" w:color="000000"/>
              <w:bottom w:val="single" w:sz="4" w:space="0" w:color="000000"/>
              <w:right w:val="single" w:sz="4" w:space="0" w:color="000000"/>
            </w:tcBorders>
            <w:vAlign w:val="center"/>
          </w:tcPr>
          <w:p w14:paraId="5FD1966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vAlign w:val="center"/>
          </w:tcPr>
          <w:p w14:paraId="0685157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943FD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89.7</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628A0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96.2</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56F83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96.7</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7DAB4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86.7</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2187D5"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64CE9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12CFA930"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6D70473F"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Business and management</w:t>
            </w:r>
          </w:p>
        </w:tc>
        <w:tc>
          <w:tcPr>
            <w:tcW w:w="447" w:type="pct"/>
            <w:tcBorders>
              <w:top w:val="single" w:sz="4" w:space="0" w:color="000000"/>
              <w:left w:val="single" w:sz="4" w:space="0" w:color="000000"/>
              <w:bottom w:val="single" w:sz="4" w:space="0" w:color="000000"/>
              <w:right w:val="single" w:sz="4" w:space="0" w:color="000000"/>
            </w:tcBorders>
            <w:vAlign w:val="center"/>
          </w:tcPr>
          <w:p w14:paraId="076A285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86.1</w:t>
            </w:r>
          </w:p>
        </w:tc>
        <w:tc>
          <w:tcPr>
            <w:tcW w:w="447" w:type="pct"/>
            <w:tcBorders>
              <w:top w:val="single" w:sz="4" w:space="0" w:color="000000"/>
              <w:left w:val="single" w:sz="4" w:space="0" w:color="000000"/>
              <w:bottom w:val="single" w:sz="4" w:space="0" w:color="000000"/>
              <w:right w:val="single" w:sz="4" w:space="0" w:color="000000"/>
            </w:tcBorders>
            <w:vAlign w:val="center"/>
          </w:tcPr>
          <w:p w14:paraId="0E99323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92.9</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2962A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90.3</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BB146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95.2</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0AD543"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97.9</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A4525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88.4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F8B0A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103,700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9CA0C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137,500</w:t>
            </w:r>
          </w:p>
        </w:tc>
      </w:tr>
      <w:tr w:rsidR="00C22852" w:rsidRPr="00617A89" w14:paraId="30644003"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439A5C32"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Communications</w:t>
            </w:r>
          </w:p>
        </w:tc>
        <w:tc>
          <w:tcPr>
            <w:tcW w:w="447" w:type="pct"/>
            <w:tcBorders>
              <w:top w:val="single" w:sz="4" w:space="0" w:color="000000"/>
              <w:left w:val="single" w:sz="4" w:space="0" w:color="000000"/>
              <w:bottom w:val="single" w:sz="4" w:space="0" w:color="000000"/>
              <w:right w:val="single" w:sz="4" w:space="0" w:color="000000"/>
            </w:tcBorders>
            <w:vAlign w:val="center"/>
          </w:tcPr>
          <w:p w14:paraId="13CFC82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vAlign w:val="center"/>
          </w:tcPr>
          <w:p w14:paraId="253D44E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89EEA5"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9512C5"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FDFFC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4B85C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5844D6"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55B74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766C9F0D"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0F86F2F"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Computing and information systems</w:t>
            </w:r>
          </w:p>
        </w:tc>
        <w:tc>
          <w:tcPr>
            <w:tcW w:w="447" w:type="pct"/>
            <w:tcBorders>
              <w:top w:val="single" w:sz="4" w:space="0" w:color="000000"/>
              <w:left w:val="single" w:sz="4" w:space="0" w:color="000000"/>
              <w:bottom w:val="single" w:sz="4" w:space="0" w:color="000000"/>
              <w:right w:val="single" w:sz="4" w:space="0" w:color="000000"/>
            </w:tcBorders>
            <w:vAlign w:val="center"/>
          </w:tcPr>
          <w:p w14:paraId="25CE2B7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85.7</w:t>
            </w:r>
          </w:p>
        </w:tc>
        <w:tc>
          <w:tcPr>
            <w:tcW w:w="447" w:type="pct"/>
            <w:tcBorders>
              <w:top w:val="single" w:sz="4" w:space="0" w:color="000000"/>
              <w:left w:val="single" w:sz="4" w:space="0" w:color="000000"/>
              <w:bottom w:val="single" w:sz="4" w:space="0" w:color="000000"/>
              <w:right w:val="single" w:sz="4" w:space="0" w:color="000000"/>
            </w:tcBorders>
            <w:vAlign w:val="center"/>
          </w:tcPr>
          <w:p w14:paraId="7166B325"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95.0</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F38BC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89.1</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452197"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97.7</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C26535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93.9</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58980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89.8</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CE54A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91,400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92AFB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131,000</w:t>
            </w:r>
          </w:p>
        </w:tc>
      </w:tr>
      <w:tr w:rsidR="00C22852" w:rsidRPr="00617A89" w14:paraId="115632FF"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401EBB2C"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Creative arts</w:t>
            </w:r>
          </w:p>
        </w:tc>
        <w:tc>
          <w:tcPr>
            <w:tcW w:w="447" w:type="pct"/>
            <w:tcBorders>
              <w:top w:val="single" w:sz="4" w:space="0" w:color="000000"/>
              <w:left w:val="single" w:sz="4" w:space="0" w:color="000000"/>
              <w:bottom w:val="single" w:sz="4" w:space="0" w:color="000000"/>
              <w:right w:val="single" w:sz="4" w:space="0" w:color="000000"/>
            </w:tcBorders>
            <w:vAlign w:val="center"/>
          </w:tcPr>
          <w:p w14:paraId="75FF4DC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73.4</w:t>
            </w:r>
          </w:p>
        </w:tc>
        <w:tc>
          <w:tcPr>
            <w:tcW w:w="447" w:type="pct"/>
            <w:tcBorders>
              <w:top w:val="single" w:sz="4" w:space="0" w:color="000000"/>
              <w:left w:val="single" w:sz="4" w:space="0" w:color="000000"/>
              <w:bottom w:val="single" w:sz="4" w:space="0" w:color="000000"/>
              <w:right w:val="single" w:sz="4" w:space="0" w:color="000000"/>
            </w:tcBorders>
            <w:vAlign w:val="center"/>
          </w:tcPr>
          <w:p w14:paraId="5E58312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93.0</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63494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87.6</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00643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96.5</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11906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96.7</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DCE9D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93.5</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04198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100,100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550965"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125,000</w:t>
            </w:r>
          </w:p>
        </w:tc>
      </w:tr>
      <w:tr w:rsidR="00C22852" w:rsidRPr="00617A89" w14:paraId="0D7AD314"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32EF292B"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Dentistry</w:t>
            </w:r>
          </w:p>
        </w:tc>
        <w:tc>
          <w:tcPr>
            <w:tcW w:w="447" w:type="pct"/>
            <w:tcBorders>
              <w:top w:val="single" w:sz="4" w:space="0" w:color="000000"/>
              <w:left w:val="single" w:sz="4" w:space="0" w:color="000000"/>
              <w:bottom w:val="single" w:sz="4" w:space="0" w:color="000000"/>
              <w:right w:val="single" w:sz="4" w:space="0" w:color="000000"/>
            </w:tcBorders>
            <w:vAlign w:val="center"/>
          </w:tcPr>
          <w:p w14:paraId="1C0B29D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vAlign w:val="center"/>
          </w:tcPr>
          <w:p w14:paraId="7351FBE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3A5125"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47CC2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6F307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A1E45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C2E66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0CF75E" w14:textId="77777777" w:rsidR="003E66E8" w:rsidRPr="00617A89" w:rsidRDefault="003E66E8" w:rsidP="00ED7300">
            <w:pPr>
              <w:spacing w:before="85" w:line="288" w:lineRule="auto"/>
              <w:jc w:val="center"/>
              <w:rPr>
                <w:rFonts w:eastAsia="Aptos" w:cs="Arial"/>
                <w:color w:val="000000" w:themeColor="text1"/>
                <w:sz w:val="18"/>
              </w:rPr>
            </w:pPr>
          </w:p>
        </w:tc>
      </w:tr>
      <w:tr w:rsidR="00C22852" w:rsidRPr="00617A89" w14:paraId="339C096C"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3C00588B"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Engineering</w:t>
            </w:r>
          </w:p>
        </w:tc>
        <w:tc>
          <w:tcPr>
            <w:tcW w:w="447" w:type="pct"/>
            <w:tcBorders>
              <w:top w:val="single" w:sz="4" w:space="0" w:color="000000"/>
              <w:left w:val="single" w:sz="4" w:space="0" w:color="000000"/>
              <w:bottom w:val="single" w:sz="4" w:space="0" w:color="000000"/>
              <w:right w:val="single" w:sz="4" w:space="0" w:color="000000"/>
            </w:tcBorders>
            <w:vAlign w:val="center"/>
          </w:tcPr>
          <w:p w14:paraId="7451A1C3"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86.1</w:t>
            </w:r>
          </w:p>
        </w:tc>
        <w:tc>
          <w:tcPr>
            <w:tcW w:w="447" w:type="pct"/>
            <w:tcBorders>
              <w:top w:val="single" w:sz="4" w:space="0" w:color="000000"/>
              <w:left w:val="single" w:sz="4" w:space="0" w:color="000000"/>
              <w:bottom w:val="single" w:sz="4" w:space="0" w:color="000000"/>
              <w:right w:val="single" w:sz="4" w:space="0" w:color="000000"/>
            </w:tcBorders>
            <w:vAlign w:val="center"/>
          </w:tcPr>
          <w:p w14:paraId="7AB7AAC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94.6</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20692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93.3</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6E6ED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96.8</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9FAD3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97.6</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C5C34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92.9</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E1EEA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94,800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8E92A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120,000</w:t>
            </w:r>
          </w:p>
        </w:tc>
      </w:tr>
      <w:tr w:rsidR="00C22852" w:rsidRPr="00617A89" w14:paraId="4B1C3E42"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04225379"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Health services and support</w:t>
            </w:r>
          </w:p>
        </w:tc>
        <w:tc>
          <w:tcPr>
            <w:tcW w:w="447" w:type="pct"/>
            <w:tcBorders>
              <w:top w:val="single" w:sz="4" w:space="0" w:color="000000"/>
              <w:left w:val="single" w:sz="4" w:space="0" w:color="000000"/>
              <w:bottom w:val="single" w:sz="4" w:space="0" w:color="000000"/>
              <w:right w:val="single" w:sz="4" w:space="0" w:color="000000"/>
            </w:tcBorders>
            <w:vAlign w:val="center"/>
          </w:tcPr>
          <w:p w14:paraId="33E8F74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89.1</w:t>
            </w:r>
          </w:p>
        </w:tc>
        <w:tc>
          <w:tcPr>
            <w:tcW w:w="447" w:type="pct"/>
            <w:tcBorders>
              <w:top w:val="single" w:sz="4" w:space="0" w:color="000000"/>
              <w:left w:val="single" w:sz="4" w:space="0" w:color="000000"/>
              <w:bottom w:val="single" w:sz="4" w:space="0" w:color="000000"/>
              <w:right w:val="single" w:sz="4" w:space="0" w:color="000000"/>
            </w:tcBorders>
            <w:vAlign w:val="center"/>
          </w:tcPr>
          <w:p w14:paraId="0B62A8E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93.6</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F7289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94.1</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DC43C7"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97.3</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2101D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95.6</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51233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92.5</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C1146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103,000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3987D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125,000</w:t>
            </w:r>
          </w:p>
        </w:tc>
      </w:tr>
      <w:tr w:rsidR="00C22852" w:rsidRPr="00617A89" w14:paraId="32A7AC1E"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58D41F2"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Humanities, culture and social sciences</w:t>
            </w:r>
          </w:p>
        </w:tc>
        <w:tc>
          <w:tcPr>
            <w:tcW w:w="447" w:type="pct"/>
            <w:tcBorders>
              <w:top w:val="single" w:sz="4" w:space="0" w:color="000000"/>
              <w:left w:val="single" w:sz="4" w:space="0" w:color="000000"/>
              <w:bottom w:val="single" w:sz="4" w:space="0" w:color="000000"/>
              <w:right w:val="single" w:sz="4" w:space="0" w:color="000000"/>
            </w:tcBorders>
            <w:vAlign w:val="center"/>
          </w:tcPr>
          <w:p w14:paraId="67279DD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76.5</w:t>
            </w:r>
          </w:p>
        </w:tc>
        <w:tc>
          <w:tcPr>
            <w:tcW w:w="447" w:type="pct"/>
            <w:tcBorders>
              <w:top w:val="single" w:sz="4" w:space="0" w:color="000000"/>
              <w:left w:val="single" w:sz="4" w:space="0" w:color="000000"/>
              <w:bottom w:val="single" w:sz="4" w:space="0" w:color="000000"/>
              <w:right w:val="single" w:sz="4" w:space="0" w:color="000000"/>
            </w:tcBorders>
            <w:vAlign w:val="center"/>
          </w:tcPr>
          <w:p w14:paraId="75DEC1B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91.3</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BA019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91.7</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DCBB2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0590C8"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93.2</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8FFD8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89.1</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FF139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100,000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9E797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113,000</w:t>
            </w:r>
          </w:p>
        </w:tc>
      </w:tr>
      <w:tr w:rsidR="00C22852" w:rsidRPr="00617A89" w14:paraId="07460024"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6582D077"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Law and paralegal studies</w:t>
            </w:r>
          </w:p>
        </w:tc>
        <w:tc>
          <w:tcPr>
            <w:tcW w:w="447" w:type="pct"/>
            <w:tcBorders>
              <w:top w:val="single" w:sz="4" w:space="0" w:color="000000"/>
              <w:left w:val="single" w:sz="4" w:space="0" w:color="000000"/>
              <w:bottom w:val="single" w:sz="4" w:space="0" w:color="000000"/>
              <w:right w:val="single" w:sz="4" w:space="0" w:color="000000"/>
            </w:tcBorders>
            <w:vAlign w:val="center"/>
          </w:tcPr>
          <w:p w14:paraId="66844FB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84.6</w:t>
            </w:r>
          </w:p>
        </w:tc>
        <w:tc>
          <w:tcPr>
            <w:tcW w:w="447" w:type="pct"/>
            <w:tcBorders>
              <w:top w:val="single" w:sz="4" w:space="0" w:color="000000"/>
              <w:left w:val="single" w:sz="4" w:space="0" w:color="000000"/>
              <w:bottom w:val="single" w:sz="4" w:space="0" w:color="000000"/>
              <w:right w:val="single" w:sz="4" w:space="0" w:color="000000"/>
            </w:tcBorders>
            <w:vAlign w:val="center"/>
          </w:tcPr>
          <w:p w14:paraId="7CF28A7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84.0</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B82FB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93.3</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0C140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69AE4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96.8</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4EDFA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90.3</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E72D6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C50463"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0D3DE548"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23802512"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Medicine</w:t>
            </w:r>
          </w:p>
        </w:tc>
        <w:tc>
          <w:tcPr>
            <w:tcW w:w="447" w:type="pct"/>
            <w:tcBorders>
              <w:top w:val="single" w:sz="4" w:space="0" w:color="000000"/>
              <w:left w:val="single" w:sz="4" w:space="0" w:color="000000"/>
              <w:bottom w:val="single" w:sz="4" w:space="0" w:color="000000"/>
              <w:right w:val="single" w:sz="4" w:space="0" w:color="000000"/>
            </w:tcBorders>
            <w:vAlign w:val="center"/>
          </w:tcPr>
          <w:p w14:paraId="061ADBA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90.0</w:t>
            </w:r>
          </w:p>
        </w:tc>
        <w:tc>
          <w:tcPr>
            <w:tcW w:w="447" w:type="pct"/>
            <w:tcBorders>
              <w:top w:val="single" w:sz="4" w:space="0" w:color="000000"/>
              <w:left w:val="single" w:sz="4" w:space="0" w:color="000000"/>
              <w:bottom w:val="single" w:sz="4" w:space="0" w:color="000000"/>
              <w:right w:val="single" w:sz="4" w:space="0" w:color="000000"/>
            </w:tcBorders>
            <w:vAlign w:val="center"/>
          </w:tcPr>
          <w:p w14:paraId="4F69BE1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96.3</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AEF83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96.3</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75FB4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98.4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349DD7"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9827E8"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90.7</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3FD136"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103,700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49EE0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125,000</w:t>
            </w:r>
          </w:p>
        </w:tc>
      </w:tr>
      <w:tr w:rsidR="00C22852" w:rsidRPr="00617A89" w14:paraId="7CDB0446"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A91A126"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Nursing</w:t>
            </w:r>
          </w:p>
        </w:tc>
        <w:tc>
          <w:tcPr>
            <w:tcW w:w="447" w:type="pct"/>
            <w:tcBorders>
              <w:top w:val="single" w:sz="4" w:space="0" w:color="000000"/>
              <w:left w:val="single" w:sz="4" w:space="0" w:color="000000"/>
              <w:bottom w:val="single" w:sz="4" w:space="0" w:color="000000"/>
              <w:right w:val="single" w:sz="4" w:space="0" w:color="000000"/>
            </w:tcBorders>
            <w:vAlign w:val="center"/>
          </w:tcPr>
          <w:p w14:paraId="5FDFE5C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47" w:type="pct"/>
            <w:tcBorders>
              <w:top w:val="single" w:sz="4" w:space="0" w:color="000000"/>
              <w:left w:val="single" w:sz="4" w:space="0" w:color="000000"/>
              <w:bottom w:val="single" w:sz="4" w:space="0" w:color="000000"/>
              <w:right w:val="single" w:sz="4" w:space="0" w:color="000000"/>
            </w:tcBorders>
            <w:vAlign w:val="center"/>
          </w:tcPr>
          <w:p w14:paraId="2B7FCFC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51D04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97.3</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AFA08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AE8DD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97.4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839A43"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86.8</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C1E888"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118,500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02B4B3"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7B66FF60"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793FFC0B"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Pharmacy</w:t>
            </w:r>
          </w:p>
        </w:tc>
        <w:tc>
          <w:tcPr>
            <w:tcW w:w="447" w:type="pct"/>
            <w:tcBorders>
              <w:top w:val="single" w:sz="4" w:space="0" w:color="000000"/>
              <w:left w:val="single" w:sz="4" w:space="0" w:color="000000"/>
              <w:bottom w:val="single" w:sz="4" w:space="0" w:color="000000"/>
              <w:right w:val="single" w:sz="4" w:space="0" w:color="000000"/>
            </w:tcBorders>
            <w:vAlign w:val="center"/>
          </w:tcPr>
          <w:p w14:paraId="26B533B3"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vAlign w:val="center"/>
          </w:tcPr>
          <w:p w14:paraId="108D1DB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B8C39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34BC8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31F2E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40F3B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D2A53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194B36"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2169649A"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395FFEE3"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Psychology</w:t>
            </w:r>
          </w:p>
        </w:tc>
        <w:tc>
          <w:tcPr>
            <w:tcW w:w="447" w:type="pct"/>
            <w:tcBorders>
              <w:top w:val="single" w:sz="4" w:space="0" w:color="000000"/>
              <w:left w:val="single" w:sz="4" w:space="0" w:color="000000"/>
              <w:bottom w:val="single" w:sz="4" w:space="0" w:color="000000"/>
              <w:right w:val="single" w:sz="4" w:space="0" w:color="000000"/>
            </w:tcBorders>
            <w:vAlign w:val="center"/>
          </w:tcPr>
          <w:p w14:paraId="32C20B6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89.9</w:t>
            </w:r>
          </w:p>
        </w:tc>
        <w:tc>
          <w:tcPr>
            <w:tcW w:w="447" w:type="pct"/>
            <w:tcBorders>
              <w:top w:val="single" w:sz="4" w:space="0" w:color="000000"/>
              <w:left w:val="single" w:sz="4" w:space="0" w:color="000000"/>
              <w:bottom w:val="single" w:sz="4" w:space="0" w:color="000000"/>
              <w:right w:val="single" w:sz="4" w:space="0" w:color="000000"/>
            </w:tcBorders>
            <w:vAlign w:val="center"/>
          </w:tcPr>
          <w:p w14:paraId="593D40F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96.1</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F1506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92.3</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A6DDC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99.0</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9805E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95.4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261448"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95.4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E4C095"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93,900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BCF756"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115,100</w:t>
            </w:r>
          </w:p>
        </w:tc>
      </w:tr>
      <w:tr w:rsidR="00C22852" w:rsidRPr="00617A89" w14:paraId="759957D5"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634530EC"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Rehabilitation</w:t>
            </w:r>
          </w:p>
        </w:tc>
        <w:tc>
          <w:tcPr>
            <w:tcW w:w="447" w:type="pct"/>
            <w:tcBorders>
              <w:top w:val="single" w:sz="4" w:space="0" w:color="000000"/>
              <w:left w:val="single" w:sz="4" w:space="0" w:color="000000"/>
              <w:bottom w:val="single" w:sz="4" w:space="0" w:color="000000"/>
              <w:right w:val="single" w:sz="4" w:space="0" w:color="000000"/>
            </w:tcBorders>
            <w:vAlign w:val="center"/>
          </w:tcPr>
          <w:p w14:paraId="7072CAC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vAlign w:val="center"/>
          </w:tcPr>
          <w:p w14:paraId="7EDA874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850EE8"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9998D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898A0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804C03"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F0EE65"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F69AB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76D93F88"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16CB76ED"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Science and mathematics</w:t>
            </w:r>
          </w:p>
        </w:tc>
        <w:tc>
          <w:tcPr>
            <w:tcW w:w="447" w:type="pct"/>
            <w:tcBorders>
              <w:top w:val="single" w:sz="4" w:space="0" w:color="000000"/>
              <w:left w:val="single" w:sz="4" w:space="0" w:color="000000"/>
              <w:bottom w:val="single" w:sz="4" w:space="0" w:color="000000"/>
              <w:right w:val="single" w:sz="4" w:space="0" w:color="000000"/>
            </w:tcBorders>
            <w:vAlign w:val="center"/>
          </w:tcPr>
          <w:p w14:paraId="169E0EF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87.9</w:t>
            </w:r>
          </w:p>
        </w:tc>
        <w:tc>
          <w:tcPr>
            <w:tcW w:w="447" w:type="pct"/>
            <w:tcBorders>
              <w:top w:val="single" w:sz="4" w:space="0" w:color="000000"/>
              <w:left w:val="single" w:sz="4" w:space="0" w:color="000000"/>
              <w:bottom w:val="single" w:sz="4" w:space="0" w:color="000000"/>
              <w:right w:val="single" w:sz="4" w:space="0" w:color="000000"/>
            </w:tcBorders>
            <w:vAlign w:val="center"/>
          </w:tcPr>
          <w:p w14:paraId="48B1857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93.9</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599DE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93.1</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0BEDA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96.2</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A8083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96.3</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50E253"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93.4</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07860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92,500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ACDE4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115,000</w:t>
            </w:r>
          </w:p>
        </w:tc>
      </w:tr>
      <w:tr w:rsidR="00C22852" w:rsidRPr="00617A89" w14:paraId="06A5F05B"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07674583"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Social work</w:t>
            </w:r>
          </w:p>
        </w:tc>
        <w:tc>
          <w:tcPr>
            <w:tcW w:w="447" w:type="pct"/>
            <w:tcBorders>
              <w:top w:val="single" w:sz="4" w:space="0" w:color="000000"/>
              <w:left w:val="single" w:sz="4" w:space="0" w:color="000000"/>
              <w:bottom w:val="single" w:sz="4" w:space="0" w:color="000000"/>
              <w:right w:val="single" w:sz="4" w:space="0" w:color="000000"/>
            </w:tcBorders>
            <w:vAlign w:val="center"/>
          </w:tcPr>
          <w:p w14:paraId="1FE264D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vAlign w:val="center"/>
          </w:tcPr>
          <w:p w14:paraId="4B446DE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399EF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C947EB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CD03A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12C03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65CD7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86FD07"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74C1BD1F"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27027B5F" w14:textId="77777777" w:rsidR="003E66E8" w:rsidRPr="00617A89" w:rsidRDefault="003E66E8" w:rsidP="00ED7300">
            <w:pPr>
              <w:spacing w:before="85" w:line="288" w:lineRule="auto"/>
              <w:rPr>
                <w:rFonts w:eastAsia="Aptos" w:cs="Arial"/>
                <w:b/>
                <w:bCs/>
                <w:color w:val="000000" w:themeColor="text1"/>
                <w:sz w:val="18"/>
              </w:rPr>
            </w:pPr>
            <w:r w:rsidRPr="00617A89">
              <w:rPr>
                <w:rFonts w:cs="Arial"/>
                <w:color w:val="000000" w:themeColor="text1"/>
                <w:sz w:val="18"/>
              </w:rPr>
              <w:t>Teacher education</w:t>
            </w:r>
          </w:p>
        </w:tc>
        <w:tc>
          <w:tcPr>
            <w:tcW w:w="447" w:type="pct"/>
            <w:tcBorders>
              <w:top w:val="single" w:sz="4" w:space="0" w:color="000000"/>
              <w:left w:val="single" w:sz="4" w:space="0" w:color="000000"/>
              <w:bottom w:val="single" w:sz="4" w:space="0" w:color="000000"/>
              <w:right w:val="single" w:sz="4" w:space="0" w:color="000000"/>
            </w:tcBorders>
            <w:vAlign w:val="center"/>
          </w:tcPr>
          <w:p w14:paraId="2543BAB6"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86.1</w:t>
            </w:r>
          </w:p>
        </w:tc>
        <w:tc>
          <w:tcPr>
            <w:tcW w:w="447" w:type="pct"/>
            <w:tcBorders>
              <w:top w:val="single" w:sz="4" w:space="0" w:color="000000"/>
              <w:left w:val="single" w:sz="4" w:space="0" w:color="000000"/>
              <w:bottom w:val="single" w:sz="4" w:space="0" w:color="000000"/>
              <w:right w:val="single" w:sz="4" w:space="0" w:color="000000"/>
            </w:tcBorders>
            <w:vAlign w:val="center"/>
          </w:tcPr>
          <w:p w14:paraId="325EB1BC"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98.0</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D5361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93.4</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87E99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100.0</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182CE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96.5</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80645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90.1</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96AC0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107,500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5298EE"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125,000</w:t>
            </w:r>
          </w:p>
        </w:tc>
      </w:tr>
      <w:tr w:rsidR="00C22852" w:rsidRPr="00617A89" w14:paraId="7CCD0314"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47814639" w14:textId="77777777" w:rsidR="003E66E8" w:rsidRPr="00617A89" w:rsidRDefault="003E66E8" w:rsidP="00ED7300">
            <w:pPr>
              <w:spacing w:before="85" w:line="288" w:lineRule="auto"/>
              <w:rPr>
                <w:rFonts w:eastAsia="Aptos" w:cs="Arial"/>
                <w:b/>
                <w:bCs/>
                <w:color w:val="000000" w:themeColor="text1"/>
                <w:sz w:val="18"/>
              </w:rPr>
            </w:pPr>
            <w:r w:rsidRPr="00617A89">
              <w:rPr>
                <w:rFonts w:cs="Arial"/>
                <w:color w:val="000000" w:themeColor="text1"/>
                <w:sz w:val="18"/>
              </w:rPr>
              <w:t>Tourism, hospitality, personal services, sport and recreation</w:t>
            </w:r>
          </w:p>
        </w:tc>
        <w:tc>
          <w:tcPr>
            <w:tcW w:w="447" w:type="pct"/>
            <w:tcBorders>
              <w:top w:val="single" w:sz="4" w:space="0" w:color="000000"/>
              <w:left w:val="single" w:sz="4" w:space="0" w:color="000000"/>
              <w:bottom w:val="single" w:sz="4" w:space="0" w:color="000000"/>
              <w:right w:val="single" w:sz="4" w:space="0" w:color="000000"/>
            </w:tcBorders>
            <w:vAlign w:val="center"/>
          </w:tcPr>
          <w:p w14:paraId="456FCB34" w14:textId="77777777" w:rsidR="003E66E8" w:rsidRPr="00617A89" w:rsidRDefault="003E66E8" w:rsidP="00ED7300">
            <w:pPr>
              <w:spacing w:before="85" w:line="288" w:lineRule="auto"/>
              <w:jc w:val="center"/>
              <w:rPr>
                <w:rFonts w:eastAsia="Aptos" w:cs="Arial"/>
                <w:color w:val="000000" w:themeColor="text1"/>
                <w:sz w:val="18"/>
              </w:rPr>
            </w:pPr>
          </w:p>
        </w:tc>
        <w:tc>
          <w:tcPr>
            <w:tcW w:w="447" w:type="pct"/>
            <w:tcBorders>
              <w:top w:val="single" w:sz="4" w:space="0" w:color="000000"/>
              <w:left w:val="single" w:sz="4" w:space="0" w:color="000000"/>
              <w:bottom w:val="single" w:sz="4" w:space="0" w:color="000000"/>
              <w:right w:val="single" w:sz="4" w:space="0" w:color="000000"/>
            </w:tcBorders>
            <w:vAlign w:val="center"/>
          </w:tcPr>
          <w:p w14:paraId="6CD36334" w14:textId="77777777" w:rsidR="003E66E8" w:rsidRPr="00617A89" w:rsidRDefault="003E66E8" w:rsidP="00ED7300">
            <w:pPr>
              <w:spacing w:before="85" w:line="288" w:lineRule="auto"/>
              <w:jc w:val="center"/>
              <w:rPr>
                <w:rFonts w:eastAsia="Aptos" w:cs="Arial"/>
                <w:color w:val="000000" w:themeColor="text1"/>
                <w:sz w:val="18"/>
              </w:rPr>
            </w:pP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91AF8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07048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45F4B3"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C97DAD"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E7190F" w14:textId="77777777" w:rsidR="003E66E8" w:rsidRPr="00617A89" w:rsidRDefault="003E66E8" w:rsidP="00ED7300">
            <w:pPr>
              <w:spacing w:before="85" w:line="288" w:lineRule="auto"/>
              <w:jc w:val="center"/>
              <w:rPr>
                <w:rFonts w:eastAsia="Aptos" w:cs="Arial"/>
                <w:color w:val="000000" w:themeColor="text1"/>
                <w:sz w:val="18"/>
              </w:rPr>
            </w:pP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B92BAB" w14:textId="77777777" w:rsidR="003E66E8" w:rsidRPr="00617A89" w:rsidRDefault="003E66E8" w:rsidP="00ED7300">
            <w:pPr>
              <w:spacing w:before="85" w:line="288" w:lineRule="auto"/>
              <w:jc w:val="center"/>
              <w:rPr>
                <w:rFonts w:eastAsia="Aptos" w:cs="Arial"/>
                <w:color w:val="000000" w:themeColor="text1"/>
                <w:sz w:val="18"/>
              </w:rPr>
            </w:pPr>
          </w:p>
        </w:tc>
      </w:tr>
      <w:tr w:rsidR="00C22852" w:rsidRPr="00617A89" w14:paraId="61AC4F89"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5FFC0CCD" w14:textId="77777777" w:rsidR="003E66E8" w:rsidRPr="00617A89" w:rsidRDefault="003E66E8" w:rsidP="00ED7300">
            <w:pPr>
              <w:spacing w:before="85" w:line="288" w:lineRule="auto"/>
              <w:rPr>
                <w:rFonts w:eastAsia="Aptos" w:cs="Arial"/>
                <w:b/>
                <w:bCs/>
                <w:color w:val="000000" w:themeColor="text1"/>
                <w:sz w:val="18"/>
              </w:rPr>
            </w:pPr>
            <w:r w:rsidRPr="00617A89">
              <w:rPr>
                <w:rFonts w:cs="Arial"/>
                <w:color w:val="000000" w:themeColor="text1"/>
                <w:sz w:val="18"/>
              </w:rPr>
              <w:t>Veterinary science</w:t>
            </w:r>
          </w:p>
        </w:tc>
        <w:tc>
          <w:tcPr>
            <w:tcW w:w="447" w:type="pct"/>
            <w:tcBorders>
              <w:top w:val="single" w:sz="4" w:space="0" w:color="000000"/>
              <w:left w:val="single" w:sz="4" w:space="0" w:color="000000"/>
              <w:bottom w:val="single" w:sz="4" w:space="0" w:color="000000"/>
              <w:right w:val="single" w:sz="4" w:space="0" w:color="000000"/>
            </w:tcBorders>
            <w:vAlign w:val="center"/>
          </w:tcPr>
          <w:p w14:paraId="6383FC19"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vAlign w:val="center"/>
          </w:tcPr>
          <w:p w14:paraId="596B2CF0"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A7D591"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B90878"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86D9E8"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626BD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D06A7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91B3D2"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n/a</w:t>
            </w:r>
          </w:p>
        </w:tc>
      </w:tr>
      <w:tr w:rsidR="00C22852" w:rsidRPr="00617A89" w14:paraId="6DD9AB95" w14:textId="77777777" w:rsidTr="0062339E">
        <w:trPr>
          <w:trHeight w:val="60"/>
        </w:trPr>
        <w:tc>
          <w:tcPr>
            <w:tcW w:w="1422" w:type="pct"/>
            <w:tcBorders>
              <w:top w:val="single" w:sz="4" w:space="0" w:color="000000"/>
              <w:left w:val="single" w:sz="4" w:space="0" w:color="auto"/>
              <w:bottom w:val="single" w:sz="4" w:space="0" w:color="000000"/>
              <w:right w:val="single" w:sz="4" w:space="0" w:color="000000"/>
            </w:tcBorders>
            <w:tcMar>
              <w:top w:w="57" w:type="dxa"/>
              <w:left w:w="57" w:type="dxa"/>
              <w:bottom w:w="57" w:type="dxa"/>
              <w:right w:w="0" w:type="dxa"/>
            </w:tcMar>
            <w:vAlign w:val="center"/>
          </w:tcPr>
          <w:p w14:paraId="2A742937" w14:textId="77777777" w:rsidR="003E66E8" w:rsidRPr="00617A89" w:rsidRDefault="003E66E8" w:rsidP="00ED7300">
            <w:pPr>
              <w:spacing w:before="85" w:line="288" w:lineRule="auto"/>
              <w:rPr>
                <w:rFonts w:eastAsia="Aptos" w:cs="Arial"/>
                <w:b/>
                <w:bCs/>
                <w:color w:val="000000" w:themeColor="text1"/>
                <w:sz w:val="18"/>
              </w:rPr>
            </w:pPr>
            <w:r w:rsidRPr="00617A89">
              <w:rPr>
                <w:rFonts w:cs="Arial"/>
                <w:b/>
                <w:bCs/>
                <w:color w:val="000000" w:themeColor="text1"/>
                <w:sz w:val="18"/>
              </w:rPr>
              <w:t>Total</w:t>
            </w:r>
          </w:p>
        </w:tc>
        <w:tc>
          <w:tcPr>
            <w:tcW w:w="447" w:type="pct"/>
            <w:tcBorders>
              <w:top w:val="single" w:sz="4" w:space="0" w:color="000000"/>
              <w:left w:val="single" w:sz="4" w:space="0" w:color="000000"/>
              <w:bottom w:val="single" w:sz="4" w:space="0" w:color="000000"/>
              <w:right w:val="single" w:sz="4" w:space="0" w:color="000000"/>
            </w:tcBorders>
            <w:vAlign w:val="center"/>
          </w:tcPr>
          <w:p w14:paraId="455DF2C7" w14:textId="77777777" w:rsidR="003E66E8" w:rsidRPr="00617A89" w:rsidRDefault="003E66E8" w:rsidP="00ED7300">
            <w:pPr>
              <w:spacing w:before="85" w:line="288" w:lineRule="auto"/>
              <w:jc w:val="center"/>
              <w:rPr>
                <w:rFonts w:eastAsia="Aptos" w:cs="Arial"/>
                <w:b/>
                <w:bCs/>
                <w:color w:val="000000" w:themeColor="text1"/>
                <w:sz w:val="18"/>
              </w:rPr>
            </w:pPr>
            <w:r w:rsidRPr="00617A89">
              <w:rPr>
                <w:rFonts w:cs="Arial"/>
                <w:b/>
                <w:bCs/>
                <w:color w:val="000000" w:themeColor="text1"/>
                <w:sz w:val="18"/>
              </w:rPr>
              <w:t>84.9</w:t>
            </w:r>
          </w:p>
        </w:tc>
        <w:tc>
          <w:tcPr>
            <w:tcW w:w="447" w:type="pct"/>
            <w:tcBorders>
              <w:top w:val="single" w:sz="4" w:space="0" w:color="000000"/>
              <w:left w:val="single" w:sz="4" w:space="0" w:color="000000"/>
              <w:bottom w:val="single" w:sz="4" w:space="0" w:color="000000"/>
              <w:right w:val="single" w:sz="4" w:space="0" w:color="000000"/>
            </w:tcBorders>
            <w:vAlign w:val="center"/>
          </w:tcPr>
          <w:p w14:paraId="4037A74A" w14:textId="77777777" w:rsidR="003E66E8" w:rsidRPr="00617A89" w:rsidRDefault="003E66E8" w:rsidP="00ED7300">
            <w:pPr>
              <w:spacing w:before="85" w:line="288" w:lineRule="auto"/>
              <w:jc w:val="center"/>
              <w:rPr>
                <w:rFonts w:eastAsia="Aptos" w:cs="Arial"/>
                <w:b/>
                <w:bCs/>
                <w:color w:val="000000" w:themeColor="text1"/>
                <w:sz w:val="18"/>
              </w:rPr>
            </w:pPr>
            <w:r w:rsidRPr="00617A89">
              <w:rPr>
                <w:rFonts w:cs="Arial"/>
                <w:b/>
                <w:bCs/>
                <w:color w:val="000000" w:themeColor="text1"/>
                <w:sz w:val="18"/>
              </w:rPr>
              <w:t>93.7</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19AA69" w14:textId="77777777" w:rsidR="003E66E8" w:rsidRPr="00617A89" w:rsidRDefault="003E66E8" w:rsidP="00ED7300">
            <w:pPr>
              <w:spacing w:before="85" w:line="288" w:lineRule="auto"/>
              <w:jc w:val="center"/>
              <w:rPr>
                <w:rFonts w:eastAsia="Aptos" w:cs="Arial"/>
                <w:b/>
                <w:bCs/>
                <w:color w:val="000000" w:themeColor="text1"/>
                <w:sz w:val="18"/>
              </w:rPr>
            </w:pPr>
            <w:r w:rsidRPr="00617A89">
              <w:rPr>
                <w:rFonts w:cs="Arial"/>
                <w:b/>
                <w:bCs/>
                <w:color w:val="000000" w:themeColor="text1"/>
                <w:sz w:val="18"/>
              </w:rPr>
              <w:t>92.7</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AB4089" w14:textId="77777777" w:rsidR="003E66E8" w:rsidRPr="00617A89" w:rsidRDefault="003E66E8" w:rsidP="00ED7300">
            <w:pPr>
              <w:spacing w:before="85" w:line="288" w:lineRule="auto"/>
              <w:jc w:val="center"/>
              <w:rPr>
                <w:rFonts w:eastAsia="Aptos" w:cs="Arial"/>
                <w:b/>
                <w:bCs/>
                <w:color w:val="000000" w:themeColor="text1"/>
                <w:sz w:val="18"/>
              </w:rPr>
            </w:pPr>
            <w:r w:rsidRPr="00617A89">
              <w:rPr>
                <w:rFonts w:cs="Arial"/>
                <w:b/>
                <w:bCs/>
                <w:color w:val="000000" w:themeColor="text1"/>
                <w:sz w:val="18"/>
              </w:rPr>
              <w:t>96.5</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D778B2" w14:textId="77777777" w:rsidR="003E66E8" w:rsidRPr="00617A89" w:rsidRDefault="003E66E8" w:rsidP="00ED7300">
            <w:pPr>
              <w:spacing w:before="85" w:line="288" w:lineRule="auto"/>
              <w:jc w:val="center"/>
              <w:rPr>
                <w:rFonts w:eastAsia="Aptos" w:cs="Arial"/>
                <w:b/>
                <w:bCs/>
                <w:color w:val="000000" w:themeColor="text1"/>
                <w:sz w:val="18"/>
              </w:rPr>
            </w:pPr>
            <w:r w:rsidRPr="00617A89">
              <w:rPr>
                <w:rFonts w:cs="Arial"/>
                <w:b/>
                <w:bCs/>
                <w:color w:val="000000" w:themeColor="text1"/>
                <w:sz w:val="18"/>
              </w:rPr>
              <w:t>95.9</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3E35F4" w14:textId="77777777" w:rsidR="003E66E8" w:rsidRPr="00617A89" w:rsidRDefault="003E66E8" w:rsidP="00ED7300">
            <w:pPr>
              <w:spacing w:before="85" w:line="288" w:lineRule="auto"/>
              <w:jc w:val="center"/>
              <w:rPr>
                <w:rFonts w:eastAsia="Aptos" w:cs="Arial"/>
                <w:b/>
                <w:bCs/>
                <w:color w:val="000000" w:themeColor="text1"/>
                <w:sz w:val="18"/>
              </w:rPr>
            </w:pPr>
            <w:r w:rsidRPr="00617A89">
              <w:rPr>
                <w:rFonts w:cs="Arial"/>
                <w:b/>
                <w:bCs/>
                <w:color w:val="000000" w:themeColor="text1"/>
                <w:sz w:val="18"/>
              </w:rPr>
              <w:t>91.7</w:t>
            </w:r>
          </w:p>
        </w:tc>
        <w:tc>
          <w:tcPr>
            <w:tcW w:w="44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A8C40F" w14:textId="77777777" w:rsidR="003E66E8" w:rsidRPr="00617A89" w:rsidRDefault="003E66E8" w:rsidP="00ED7300">
            <w:pPr>
              <w:spacing w:before="85" w:line="288" w:lineRule="auto"/>
              <w:jc w:val="center"/>
              <w:rPr>
                <w:rFonts w:eastAsia="Aptos" w:cs="Arial"/>
                <w:b/>
                <w:bCs/>
                <w:color w:val="000000" w:themeColor="text1"/>
                <w:sz w:val="18"/>
              </w:rPr>
            </w:pPr>
            <w:r w:rsidRPr="00617A89">
              <w:rPr>
                <w:rFonts w:cs="Arial"/>
                <w:b/>
                <w:bCs/>
                <w:color w:val="000000" w:themeColor="text1"/>
                <w:sz w:val="18"/>
              </w:rPr>
              <w:t>97,000</w:t>
            </w:r>
          </w:p>
        </w:tc>
        <w:tc>
          <w:tcPr>
            <w:tcW w:w="44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7634F0" w14:textId="77777777" w:rsidR="003E66E8" w:rsidRPr="00617A89" w:rsidRDefault="003E66E8" w:rsidP="00ED7300">
            <w:pPr>
              <w:spacing w:before="85" w:line="288" w:lineRule="auto"/>
              <w:jc w:val="center"/>
              <w:rPr>
                <w:rFonts w:eastAsia="Aptos" w:cs="Arial"/>
                <w:b/>
                <w:bCs/>
                <w:color w:val="000000" w:themeColor="text1"/>
                <w:sz w:val="18"/>
              </w:rPr>
            </w:pPr>
            <w:r w:rsidRPr="00617A89">
              <w:rPr>
                <w:rFonts w:cs="Arial"/>
                <w:b/>
                <w:bCs/>
                <w:color w:val="000000" w:themeColor="text1"/>
                <w:sz w:val="18"/>
              </w:rPr>
              <w:t>120,000</w:t>
            </w:r>
          </w:p>
        </w:tc>
      </w:tr>
      <w:tr w:rsidR="00C22852" w:rsidRPr="00617A89" w14:paraId="12AD7B5D" w14:textId="77777777" w:rsidTr="0062339E">
        <w:trPr>
          <w:trHeight w:val="60"/>
        </w:trPr>
        <w:tc>
          <w:tcPr>
            <w:tcW w:w="1422" w:type="pct"/>
            <w:tcBorders>
              <w:top w:val="single" w:sz="4" w:space="0" w:color="000000"/>
              <w:left w:val="single" w:sz="4" w:space="0" w:color="auto"/>
              <w:bottom w:val="single" w:sz="4" w:space="0" w:color="auto"/>
              <w:right w:val="single" w:sz="4" w:space="0" w:color="000000"/>
            </w:tcBorders>
            <w:tcMar>
              <w:top w:w="57" w:type="dxa"/>
              <w:left w:w="57" w:type="dxa"/>
              <w:bottom w:w="57" w:type="dxa"/>
              <w:right w:w="0" w:type="dxa"/>
            </w:tcMar>
            <w:vAlign w:val="center"/>
          </w:tcPr>
          <w:p w14:paraId="52986F82" w14:textId="77777777" w:rsidR="003E66E8" w:rsidRPr="00617A89" w:rsidRDefault="003E66E8" w:rsidP="00ED7300">
            <w:pPr>
              <w:spacing w:before="85" w:line="288" w:lineRule="auto"/>
              <w:rPr>
                <w:rFonts w:eastAsia="Aptos" w:cs="Arial"/>
                <w:color w:val="000000" w:themeColor="text1"/>
                <w:sz w:val="18"/>
              </w:rPr>
            </w:pPr>
            <w:r w:rsidRPr="00617A89">
              <w:rPr>
                <w:rFonts w:cs="Arial"/>
                <w:color w:val="000000" w:themeColor="text1"/>
                <w:sz w:val="18"/>
              </w:rPr>
              <w:t>Standard deviation</w:t>
            </w:r>
          </w:p>
        </w:tc>
        <w:tc>
          <w:tcPr>
            <w:tcW w:w="447" w:type="pct"/>
            <w:tcBorders>
              <w:top w:val="single" w:sz="4" w:space="0" w:color="000000"/>
              <w:left w:val="single" w:sz="4" w:space="0" w:color="000000"/>
              <w:bottom w:val="single" w:sz="4" w:space="0" w:color="auto"/>
              <w:right w:val="single" w:sz="4" w:space="0" w:color="000000"/>
            </w:tcBorders>
            <w:vAlign w:val="center"/>
          </w:tcPr>
          <w:p w14:paraId="3CFABC26"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10.8</w:t>
            </w:r>
          </w:p>
        </w:tc>
        <w:tc>
          <w:tcPr>
            <w:tcW w:w="447" w:type="pct"/>
            <w:tcBorders>
              <w:top w:val="single" w:sz="4" w:space="0" w:color="000000"/>
              <w:left w:val="single" w:sz="4" w:space="0" w:color="000000"/>
              <w:bottom w:val="single" w:sz="4" w:space="0" w:color="auto"/>
              <w:right w:val="single" w:sz="4" w:space="0" w:color="000000"/>
            </w:tcBorders>
            <w:vAlign w:val="center"/>
          </w:tcPr>
          <w:p w14:paraId="7A10C32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5.0</w:t>
            </w:r>
          </w:p>
        </w:tc>
        <w:tc>
          <w:tcPr>
            <w:tcW w:w="447"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01CE9EB"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3.5</w:t>
            </w:r>
          </w:p>
        </w:tc>
        <w:tc>
          <w:tcPr>
            <w:tcW w:w="44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046C25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10.6</w:t>
            </w:r>
          </w:p>
        </w:tc>
        <w:tc>
          <w:tcPr>
            <w:tcW w:w="447"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59AB26A"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2.9</w:t>
            </w:r>
          </w:p>
        </w:tc>
        <w:tc>
          <w:tcPr>
            <w:tcW w:w="447"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ABB5D6F"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5.5</w:t>
            </w:r>
          </w:p>
        </w:tc>
        <w:tc>
          <w:tcPr>
            <w:tcW w:w="447"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0FC256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9,300</w:t>
            </w:r>
          </w:p>
        </w:tc>
        <w:tc>
          <w:tcPr>
            <w:tcW w:w="44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143364C4" w14:textId="77777777" w:rsidR="003E66E8" w:rsidRPr="00617A89" w:rsidRDefault="003E66E8" w:rsidP="00ED7300">
            <w:pPr>
              <w:spacing w:before="85" w:line="288" w:lineRule="auto"/>
              <w:jc w:val="center"/>
              <w:rPr>
                <w:rFonts w:eastAsia="Aptos" w:cs="Arial"/>
                <w:color w:val="000000" w:themeColor="text1"/>
                <w:sz w:val="18"/>
              </w:rPr>
            </w:pPr>
            <w:r w:rsidRPr="00617A89">
              <w:rPr>
                <w:rFonts w:cs="Arial"/>
                <w:color w:val="000000" w:themeColor="text1"/>
                <w:sz w:val="18"/>
              </w:rPr>
              <w:t>10,200</w:t>
            </w:r>
          </w:p>
        </w:tc>
      </w:tr>
    </w:tbl>
    <w:p w14:paraId="24624F31" w14:textId="77777777" w:rsidR="003E66E8" w:rsidRPr="00617A89" w:rsidRDefault="003E66E8" w:rsidP="003E66E8">
      <w:pPr>
        <w:pStyle w:val="FigureNote"/>
        <w:rPr>
          <w:color w:val="000000" w:themeColor="text1"/>
          <w:sz w:val="18"/>
          <w:szCs w:val="24"/>
        </w:rPr>
      </w:pPr>
      <w:r w:rsidRPr="00617A89">
        <w:rPr>
          <w:color w:val="000000" w:themeColor="text1"/>
          <w:sz w:val="18"/>
          <w:szCs w:val="24"/>
        </w:rPr>
        <w:t>Note: A blank cell indicates there is no data for that cell and n/a indicates a suppressed value (n&lt;25).</w:t>
      </w:r>
    </w:p>
    <w:p w14:paraId="4750D5FF" w14:textId="77777777" w:rsidR="00007335" w:rsidRPr="00617A89" w:rsidRDefault="00007335" w:rsidP="00930913">
      <w:pPr>
        <w:pStyle w:val="FigureNote"/>
        <w:rPr>
          <w:color w:val="000000" w:themeColor="text1"/>
        </w:rPr>
      </w:pPr>
    </w:p>
    <w:p w14:paraId="16A03939" w14:textId="3D5CE3E2" w:rsidR="003E66E8" w:rsidRPr="00617A89" w:rsidRDefault="003E66E8" w:rsidP="003E66E8">
      <w:pPr>
        <w:pStyle w:val="Appendix2"/>
        <w:rPr>
          <w:color w:val="000000" w:themeColor="text1"/>
        </w:rPr>
      </w:pPr>
      <w:bookmarkStart w:id="263" w:name="_Toc222868469"/>
      <w:r w:rsidRPr="00617A89">
        <w:rPr>
          <w:color w:val="000000" w:themeColor="text1"/>
        </w:rPr>
        <w:t>Gender pay gap</w:t>
      </w:r>
      <w:bookmarkEnd w:id="263"/>
    </w:p>
    <w:p w14:paraId="1BC00F6F" w14:textId="7BA7E5B5" w:rsidR="003E66E8" w:rsidRPr="00617A89" w:rsidRDefault="003E66E8" w:rsidP="003E66E8">
      <w:pPr>
        <w:pStyle w:val="Caption"/>
        <w:keepNext/>
        <w:rPr>
          <w:color w:val="000000" w:themeColor="text1"/>
        </w:rPr>
      </w:pPr>
      <w:bookmarkStart w:id="264" w:name="_Ref207356837"/>
      <w:bookmarkStart w:id="265" w:name="_Toc222868491"/>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21</w:t>
      </w:r>
      <w:r w:rsidR="00DB7C31" w:rsidRPr="00617A89">
        <w:rPr>
          <w:noProof/>
          <w:color w:val="000000" w:themeColor="text1"/>
        </w:rPr>
        <w:fldChar w:fldCharType="end"/>
      </w:r>
      <w:bookmarkEnd w:id="264"/>
      <w:r w:rsidR="001B68EF" w:rsidRPr="00617A89">
        <w:rPr>
          <w:color w:val="000000" w:themeColor="text1"/>
        </w:rPr>
        <w:tab/>
      </w:r>
      <w:r w:rsidRPr="00617A89">
        <w:rPr>
          <w:color w:val="000000" w:themeColor="text1"/>
        </w:rPr>
        <w:t>Undergraduate median annual full-time salary by gender and study area</w:t>
      </w:r>
      <w:bookmarkStart w:id="266" w:name="_Ref204666665"/>
      <w:bookmarkEnd w:id="265"/>
    </w:p>
    <w:tbl>
      <w:tblPr>
        <w:tblStyle w:val="TableGrid1"/>
        <w:tblW w:w="10693" w:type="dxa"/>
        <w:tblLayout w:type="fixed"/>
        <w:tblLook w:val="04A0" w:firstRow="1" w:lastRow="0" w:firstColumn="1" w:lastColumn="0" w:noHBand="0" w:noVBand="1"/>
      </w:tblPr>
      <w:tblGrid>
        <w:gridCol w:w="3437"/>
        <w:gridCol w:w="1209"/>
        <w:gridCol w:w="1209"/>
        <w:gridCol w:w="1210"/>
        <w:gridCol w:w="1209"/>
        <w:gridCol w:w="1209"/>
        <w:gridCol w:w="1210"/>
      </w:tblGrid>
      <w:tr w:rsidR="00C22852" w:rsidRPr="00617A89" w14:paraId="2B1EEB2F" w14:textId="77777777" w:rsidTr="002D3B23">
        <w:trPr>
          <w:trHeight w:val="549"/>
          <w:tblHeader/>
        </w:trPr>
        <w:tc>
          <w:tcPr>
            <w:tcW w:w="3437" w:type="dxa"/>
            <w:vAlign w:val="center"/>
          </w:tcPr>
          <w:p w14:paraId="321CD2FE" w14:textId="3D5CE906" w:rsidR="002D3B23" w:rsidRPr="00617A89" w:rsidRDefault="002D3B23" w:rsidP="002D3B23">
            <w:pPr>
              <w:rPr>
                <w:rFonts w:cs="Arial"/>
                <w:b/>
                <w:bCs/>
                <w:color w:val="000000" w:themeColor="text1"/>
                <w:sz w:val="18"/>
                <w:lang w:eastAsia="en-AU"/>
              </w:rPr>
            </w:pPr>
          </w:p>
        </w:tc>
        <w:tc>
          <w:tcPr>
            <w:tcW w:w="1209" w:type="dxa"/>
            <w:vAlign w:val="bottom"/>
          </w:tcPr>
          <w:p w14:paraId="0A809FBA" w14:textId="77777777"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Short-term (2022)</w:t>
            </w:r>
          </w:p>
        </w:tc>
        <w:tc>
          <w:tcPr>
            <w:tcW w:w="1209" w:type="dxa"/>
            <w:vAlign w:val="bottom"/>
          </w:tcPr>
          <w:p w14:paraId="037C68A2" w14:textId="42499F1A"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Short-term (2022)</w:t>
            </w:r>
          </w:p>
        </w:tc>
        <w:tc>
          <w:tcPr>
            <w:tcW w:w="1210" w:type="dxa"/>
            <w:vAlign w:val="bottom"/>
          </w:tcPr>
          <w:p w14:paraId="16D7208F" w14:textId="757B47E2"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Short-term (2022)</w:t>
            </w:r>
          </w:p>
        </w:tc>
        <w:tc>
          <w:tcPr>
            <w:tcW w:w="1209" w:type="dxa"/>
            <w:vAlign w:val="bottom"/>
          </w:tcPr>
          <w:p w14:paraId="4E44C38C" w14:textId="77777777"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Medium-term (2025)</w:t>
            </w:r>
          </w:p>
        </w:tc>
        <w:tc>
          <w:tcPr>
            <w:tcW w:w="1209" w:type="dxa"/>
            <w:vAlign w:val="bottom"/>
          </w:tcPr>
          <w:p w14:paraId="3F0EBA3C" w14:textId="05668B89"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Medium-term (2025)</w:t>
            </w:r>
          </w:p>
        </w:tc>
        <w:tc>
          <w:tcPr>
            <w:tcW w:w="1210" w:type="dxa"/>
            <w:vAlign w:val="bottom"/>
          </w:tcPr>
          <w:p w14:paraId="5608CFF6" w14:textId="608ADAD9"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Medium-term (2025)</w:t>
            </w:r>
          </w:p>
        </w:tc>
      </w:tr>
      <w:tr w:rsidR="00C22852" w:rsidRPr="00617A89" w14:paraId="2483DD05" w14:textId="77777777" w:rsidTr="002D3B23">
        <w:trPr>
          <w:trHeight w:val="726"/>
          <w:tblHeader/>
        </w:trPr>
        <w:tc>
          <w:tcPr>
            <w:tcW w:w="3437" w:type="dxa"/>
            <w:vAlign w:val="bottom"/>
            <w:hideMark/>
          </w:tcPr>
          <w:p w14:paraId="5C31233E" w14:textId="30646326" w:rsidR="003E66E8" w:rsidRPr="00617A89" w:rsidRDefault="002D3B23" w:rsidP="002D3B23">
            <w:pPr>
              <w:rPr>
                <w:rFonts w:cs="Arial"/>
                <w:b/>
                <w:bCs/>
                <w:color w:val="000000" w:themeColor="text1"/>
                <w:sz w:val="18"/>
                <w:szCs w:val="18"/>
                <w:lang w:eastAsia="en-AU"/>
              </w:rPr>
            </w:pPr>
            <w:r w:rsidRPr="00617A89">
              <w:rPr>
                <w:rFonts w:cs="Arial"/>
                <w:b/>
                <w:bCs/>
                <w:color w:val="000000" w:themeColor="text1"/>
                <w:sz w:val="18"/>
                <w:szCs w:val="18"/>
                <w:lang w:eastAsia="en-AU"/>
              </w:rPr>
              <w:t> </w:t>
            </w:r>
            <w:r w:rsidRPr="00617A89">
              <w:rPr>
                <w:rFonts w:cs="Arial"/>
                <w:b/>
                <w:bCs/>
                <w:color w:val="000000" w:themeColor="text1"/>
                <w:sz w:val="18"/>
                <w:lang w:eastAsia="en-AU"/>
              </w:rPr>
              <w:t>Study area</w:t>
            </w:r>
          </w:p>
        </w:tc>
        <w:tc>
          <w:tcPr>
            <w:tcW w:w="1209" w:type="dxa"/>
            <w:vAlign w:val="bottom"/>
            <w:hideMark/>
          </w:tcPr>
          <w:p w14:paraId="6421F210" w14:textId="77777777" w:rsidR="003E66E8" w:rsidRPr="00617A89" w:rsidRDefault="003E66E8"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Male median salary ($)</w:t>
            </w:r>
          </w:p>
        </w:tc>
        <w:tc>
          <w:tcPr>
            <w:tcW w:w="1209" w:type="dxa"/>
            <w:vAlign w:val="bottom"/>
            <w:hideMark/>
          </w:tcPr>
          <w:p w14:paraId="05504946" w14:textId="77777777" w:rsidR="003E66E8" w:rsidRPr="00617A89" w:rsidRDefault="003E66E8"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Female median salary ($)</w:t>
            </w:r>
          </w:p>
        </w:tc>
        <w:tc>
          <w:tcPr>
            <w:tcW w:w="1210" w:type="dxa"/>
            <w:vAlign w:val="bottom"/>
            <w:hideMark/>
          </w:tcPr>
          <w:p w14:paraId="7417C6C3" w14:textId="64B8540D" w:rsidR="003E66E8" w:rsidRPr="00617A89" w:rsidRDefault="003E66E8"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Gender pay gap</w:t>
            </w:r>
            <w:r w:rsidR="00612E1A" w:rsidRPr="00617A89">
              <w:rPr>
                <w:rFonts w:cs="Arial"/>
                <w:b/>
                <w:bCs/>
                <w:color w:val="000000" w:themeColor="text1"/>
                <w:sz w:val="18"/>
                <w:szCs w:val="18"/>
                <w:lang w:eastAsia="en-AU"/>
              </w:rPr>
              <w:t xml:space="preserve"> (%)</w:t>
            </w:r>
          </w:p>
        </w:tc>
        <w:tc>
          <w:tcPr>
            <w:tcW w:w="1209" w:type="dxa"/>
            <w:vAlign w:val="bottom"/>
            <w:hideMark/>
          </w:tcPr>
          <w:p w14:paraId="4F3119DB" w14:textId="77777777" w:rsidR="003E66E8" w:rsidRPr="00617A89" w:rsidRDefault="003E66E8"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Male median salary ($)</w:t>
            </w:r>
          </w:p>
        </w:tc>
        <w:tc>
          <w:tcPr>
            <w:tcW w:w="1209" w:type="dxa"/>
            <w:noWrap/>
            <w:vAlign w:val="bottom"/>
            <w:hideMark/>
          </w:tcPr>
          <w:p w14:paraId="29B9B982" w14:textId="77777777" w:rsidR="003E66E8" w:rsidRPr="00617A89" w:rsidRDefault="003E66E8"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Female median salary ($)</w:t>
            </w:r>
          </w:p>
        </w:tc>
        <w:tc>
          <w:tcPr>
            <w:tcW w:w="1210" w:type="dxa"/>
            <w:noWrap/>
            <w:vAlign w:val="bottom"/>
            <w:hideMark/>
          </w:tcPr>
          <w:p w14:paraId="550E66A0" w14:textId="708A8F38" w:rsidR="003E66E8" w:rsidRPr="00617A89" w:rsidRDefault="003E66E8"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Gender pay gap</w:t>
            </w:r>
            <w:r w:rsidR="00612E1A" w:rsidRPr="00617A89">
              <w:rPr>
                <w:rFonts w:cs="Arial"/>
                <w:b/>
                <w:bCs/>
                <w:color w:val="000000" w:themeColor="text1"/>
                <w:sz w:val="18"/>
                <w:szCs w:val="18"/>
                <w:lang w:eastAsia="en-AU"/>
              </w:rPr>
              <w:t xml:space="preserve"> (%)</w:t>
            </w:r>
          </w:p>
        </w:tc>
      </w:tr>
      <w:tr w:rsidR="00C22852" w:rsidRPr="00617A89" w14:paraId="23F64D04" w14:textId="77777777" w:rsidTr="002D3B23">
        <w:trPr>
          <w:trHeight w:val="309"/>
        </w:trPr>
        <w:tc>
          <w:tcPr>
            <w:tcW w:w="3437" w:type="dxa"/>
            <w:noWrap/>
            <w:vAlign w:val="center"/>
            <w:hideMark/>
          </w:tcPr>
          <w:p w14:paraId="71C2DAEF"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Agriculture and environmental studies</w:t>
            </w:r>
          </w:p>
        </w:tc>
        <w:tc>
          <w:tcPr>
            <w:tcW w:w="1209" w:type="dxa"/>
            <w:noWrap/>
            <w:vAlign w:val="center"/>
            <w:hideMark/>
          </w:tcPr>
          <w:p w14:paraId="5B560606"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70,000</w:t>
            </w:r>
          </w:p>
        </w:tc>
        <w:tc>
          <w:tcPr>
            <w:tcW w:w="1209" w:type="dxa"/>
            <w:noWrap/>
            <w:vAlign w:val="center"/>
            <w:hideMark/>
          </w:tcPr>
          <w:p w14:paraId="0E31F01F"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70,000</w:t>
            </w:r>
          </w:p>
        </w:tc>
        <w:tc>
          <w:tcPr>
            <w:tcW w:w="1210" w:type="dxa"/>
            <w:noWrap/>
            <w:vAlign w:val="center"/>
            <w:hideMark/>
          </w:tcPr>
          <w:p w14:paraId="2CD583DE"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0.0</w:t>
            </w:r>
          </w:p>
        </w:tc>
        <w:tc>
          <w:tcPr>
            <w:tcW w:w="1209" w:type="dxa"/>
            <w:noWrap/>
            <w:vAlign w:val="center"/>
            <w:hideMark/>
          </w:tcPr>
          <w:p w14:paraId="1630B4BE"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95,600</w:t>
            </w:r>
          </w:p>
        </w:tc>
        <w:tc>
          <w:tcPr>
            <w:tcW w:w="1209" w:type="dxa"/>
            <w:noWrap/>
            <w:vAlign w:val="center"/>
            <w:hideMark/>
          </w:tcPr>
          <w:p w14:paraId="65928F60"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90,000</w:t>
            </w:r>
          </w:p>
        </w:tc>
        <w:tc>
          <w:tcPr>
            <w:tcW w:w="1210" w:type="dxa"/>
            <w:noWrap/>
            <w:vAlign w:val="center"/>
            <w:hideMark/>
          </w:tcPr>
          <w:p w14:paraId="4293321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5.9</w:t>
            </w:r>
          </w:p>
        </w:tc>
      </w:tr>
      <w:tr w:rsidR="00C22852" w:rsidRPr="00617A89" w14:paraId="4AC29DC4" w14:textId="77777777" w:rsidTr="002D3B23">
        <w:trPr>
          <w:trHeight w:val="309"/>
        </w:trPr>
        <w:tc>
          <w:tcPr>
            <w:tcW w:w="3437" w:type="dxa"/>
            <w:noWrap/>
            <w:vAlign w:val="center"/>
            <w:hideMark/>
          </w:tcPr>
          <w:p w14:paraId="3AF55B0F"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Architecture and built environment</w:t>
            </w:r>
          </w:p>
        </w:tc>
        <w:tc>
          <w:tcPr>
            <w:tcW w:w="1209" w:type="dxa"/>
            <w:noWrap/>
            <w:vAlign w:val="center"/>
            <w:hideMark/>
          </w:tcPr>
          <w:p w14:paraId="71B328A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68,000</w:t>
            </w:r>
          </w:p>
        </w:tc>
        <w:tc>
          <w:tcPr>
            <w:tcW w:w="1209" w:type="dxa"/>
            <w:noWrap/>
            <w:vAlign w:val="center"/>
            <w:hideMark/>
          </w:tcPr>
          <w:p w14:paraId="012BCFEA"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61,000</w:t>
            </w:r>
          </w:p>
        </w:tc>
        <w:tc>
          <w:tcPr>
            <w:tcW w:w="1210" w:type="dxa"/>
            <w:noWrap/>
            <w:vAlign w:val="center"/>
            <w:hideMark/>
          </w:tcPr>
          <w:p w14:paraId="08D3E282"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10.3</w:t>
            </w:r>
          </w:p>
        </w:tc>
        <w:tc>
          <w:tcPr>
            <w:tcW w:w="1209" w:type="dxa"/>
            <w:noWrap/>
            <w:vAlign w:val="center"/>
            <w:hideMark/>
          </w:tcPr>
          <w:p w14:paraId="43A545EE"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90,500</w:t>
            </w:r>
          </w:p>
        </w:tc>
        <w:tc>
          <w:tcPr>
            <w:tcW w:w="1209" w:type="dxa"/>
            <w:noWrap/>
            <w:vAlign w:val="center"/>
            <w:hideMark/>
          </w:tcPr>
          <w:p w14:paraId="3678A35A"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82,100</w:t>
            </w:r>
          </w:p>
        </w:tc>
        <w:tc>
          <w:tcPr>
            <w:tcW w:w="1210" w:type="dxa"/>
            <w:noWrap/>
            <w:vAlign w:val="center"/>
            <w:hideMark/>
          </w:tcPr>
          <w:p w14:paraId="4D1F746F"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9.3</w:t>
            </w:r>
          </w:p>
        </w:tc>
      </w:tr>
      <w:tr w:rsidR="00C22852" w:rsidRPr="00617A89" w14:paraId="6295152D" w14:textId="77777777" w:rsidTr="002D3B23">
        <w:trPr>
          <w:trHeight w:val="309"/>
        </w:trPr>
        <w:tc>
          <w:tcPr>
            <w:tcW w:w="3437" w:type="dxa"/>
            <w:noWrap/>
            <w:vAlign w:val="center"/>
            <w:hideMark/>
          </w:tcPr>
          <w:p w14:paraId="272B4112"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Business and management</w:t>
            </w:r>
          </w:p>
        </w:tc>
        <w:tc>
          <w:tcPr>
            <w:tcW w:w="1209" w:type="dxa"/>
            <w:noWrap/>
            <w:vAlign w:val="center"/>
            <w:hideMark/>
          </w:tcPr>
          <w:p w14:paraId="416C135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66,700</w:t>
            </w:r>
          </w:p>
        </w:tc>
        <w:tc>
          <w:tcPr>
            <w:tcW w:w="1209" w:type="dxa"/>
            <w:noWrap/>
            <w:vAlign w:val="center"/>
            <w:hideMark/>
          </w:tcPr>
          <w:p w14:paraId="6A2F25EE"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65,000</w:t>
            </w:r>
          </w:p>
        </w:tc>
        <w:tc>
          <w:tcPr>
            <w:tcW w:w="1210" w:type="dxa"/>
            <w:noWrap/>
            <w:vAlign w:val="center"/>
            <w:hideMark/>
          </w:tcPr>
          <w:p w14:paraId="2DCF0B2E"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2.5</w:t>
            </w:r>
          </w:p>
        </w:tc>
        <w:tc>
          <w:tcPr>
            <w:tcW w:w="1209" w:type="dxa"/>
            <w:noWrap/>
            <w:vAlign w:val="center"/>
            <w:hideMark/>
          </w:tcPr>
          <w:p w14:paraId="7AECB6E1"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98,000</w:t>
            </w:r>
          </w:p>
        </w:tc>
        <w:tc>
          <w:tcPr>
            <w:tcW w:w="1209" w:type="dxa"/>
            <w:noWrap/>
            <w:vAlign w:val="center"/>
            <w:hideMark/>
          </w:tcPr>
          <w:p w14:paraId="6630C767"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92,000</w:t>
            </w:r>
          </w:p>
        </w:tc>
        <w:tc>
          <w:tcPr>
            <w:tcW w:w="1210" w:type="dxa"/>
            <w:noWrap/>
            <w:vAlign w:val="center"/>
            <w:hideMark/>
          </w:tcPr>
          <w:p w14:paraId="785EA962"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6.1</w:t>
            </w:r>
          </w:p>
        </w:tc>
      </w:tr>
      <w:tr w:rsidR="00C22852" w:rsidRPr="00617A89" w14:paraId="3732F1D1" w14:textId="77777777" w:rsidTr="002D3B23">
        <w:trPr>
          <w:trHeight w:val="309"/>
        </w:trPr>
        <w:tc>
          <w:tcPr>
            <w:tcW w:w="3437" w:type="dxa"/>
            <w:noWrap/>
            <w:vAlign w:val="center"/>
            <w:hideMark/>
          </w:tcPr>
          <w:p w14:paraId="0C5A53DD"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Communications</w:t>
            </w:r>
          </w:p>
        </w:tc>
        <w:tc>
          <w:tcPr>
            <w:tcW w:w="1209" w:type="dxa"/>
            <w:noWrap/>
            <w:vAlign w:val="center"/>
            <w:hideMark/>
          </w:tcPr>
          <w:p w14:paraId="00500A13"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60,000</w:t>
            </w:r>
          </w:p>
        </w:tc>
        <w:tc>
          <w:tcPr>
            <w:tcW w:w="1209" w:type="dxa"/>
            <w:noWrap/>
            <w:vAlign w:val="center"/>
            <w:hideMark/>
          </w:tcPr>
          <w:p w14:paraId="199F24A4"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60,500</w:t>
            </w:r>
          </w:p>
        </w:tc>
        <w:tc>
          <w:tcPr>
            <w:tcW w:w="1210" w:type="dxa"/>
            <w:noWrap/>
            <w:vAlign w:val="center"/>
            <w:hideMark/>
          </w:tcPr>
          <w:p w14:paraId="094D61BA"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-0.8</w:t>
            </w:r>
          </w:p>
        </w:tc>
        <w:tc>
          <w:tcPr>
            <w:tcW w:w="1209" w:type="dxa"/>
            <w:noWrap/>
            <w:vAlign w:val="center"/>
            <w:hideMark/>
          </w:tcPr>
          <w:p w14:paraId="78AADC9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81,000</w:t>
            </w:r>
          </w:p>
        </w:tc>
        <w:tc>
          <w:tcPr>
            <w:tcW w:w="1209" w:type="dxa"/>
            <w:noWrap/>
            <w:vAlign w:val="center"/>
            <w:hideMark/>
          </w:tcPr>
          <w:p w14:paraId="4DDE6056"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80,000</w:t>
            </w:r>
          </w:p>
        </w:tc>
        <w:tc>
          <w:tcPr>
            <w:tcW w:w="1210" w:type="dxa"/>
            <w:noWrap/>
            <w:vAlign w:val="center"/>
            <w:hideMark/>
          </w:tcPr>
          <w:p w14:paraId="6722A57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1.2</w:t>
            </w:r>
          </w:p>
        </w:tc>
      </w:tr>
      <w:tr w:rsidR="00C22852" w:rsidRPr="00617A89" w14:paraId="0419F52E" w14:textId="77777777" w:rsidTr="002D3B23">
        <w:trPr>
          <w:trHeight w:val="309"/>
        </w:trPr>
        <w:tc>
          <w:tcPr>
            <w:tcW w:w="3437" w:type="dxa"/>
            <w:noWrap/>
            <w:vAlign w:val="center"/>
            <w:hideMark/>
          </w:tcPr>
          <w:p w14:paraId="3873B71E"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Computing and information systems</w:t>
            </w:r>
          </w:p>
        </w:tc>
        <w:tc>
          <w:tcPr>
            <w:tcW w:w="1209" w:type="dxa"/>
            <w:noWrap/>
            <w:vAlign w:val="center"/>
            <w:hideMark/>
          </w:tcPr>
          <w:p w14:paraId="4A44CBB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69,800</w:t>
            </w:r>
          </w:p>
        </w:tc>
        <w:tc>
          <w:tcPr>
            <w:tcW w:w="1209" w:type="dxa"/>
            <w:noWrap/>
            <w:vAlign w:val="center"/>
            <w:hideMark/>
          </w:tcPr>
          <w:p w14:paraId="4C48392B"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68,000</w:t>
            </w:r>
          </w:p>
        </w:tc>
        <w:tc>
          <w:tcPr>
            <w:tcW w:w="1210" w:type="dxa"/>
            <w:noWrap/>
            <w:vAlign w:val="center"/>
            <w:hideMark/>
          </w:tcPr>
          <w:p w14:paraId="09C612F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2.6</w:t>
            </w:r>
          </w:p>
        </w:tc>
        <w:tc>
          <w:tcPr>
            <w:tcW w:w="1209" w:type="dxa"/>
            <w:noWrap/>
            <w:vAlign w:val="center"/>
            <w:hideMark/>
          </w:tcPr>
          <w:p w14:paraId="0ED2809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103,000</w:t>
            </w:r>
          </w:p>
        </w:tc>
        <w:tc>
          <w:tcPr>
            <w:tcW w:w="1209" w:type="dxa"/>
            <w:noWrap/>
            <w:vAlign w:val="center"/>
            <w:hideMark/>
          </w:tcPr>
          <w:p w14:paraId="3C9C3284"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94,000</w:t>
            </w:r>
          </w:p>
        </w:tc>
        <w:tc>
          <w:tcPr>
            <w:tcW w:w="1210" w:type="dxa"/>
            <w:noWrap/>
            <w:vAlign w:val="center"/>
            <w:hideMark/>
          </w:tcPr>
          <w:p w14:paraId="4F4ACFF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8.7</w:t>
            </w:r>
          </w:p>
        </w:tc>
      </w:tr>
      <w:tr w:rsidR="00C22852" w:rsidRPr="00617A89" w14:paraId="73B2196B" w14:textId="77777777" w:rsidTr="002D3B23">
        <w:trPr>
          <w:trHeight w:val="309"/>
        </w:trPr>
        <w:tc>
          <w:tcPr>
            <w:tcW w:w="3437" w:type="dxa"/>
            <w:noWrap/>
            <w:vAlign w:val="center"/>
            <w:hideMark/>
          </w:tcPr>
          <w:p w14:paraId="72DF9823"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Creative arts</w:t>
            </w:r>
          </w:p>
        </w:tc>
        <w:tc>
          <w:tcPr>
            <w:tcW w:w="1209" w:type="dxa"/>
            <w:noWrap/>
            <w:vAlign w:val="center"/>
            <w:hideMark/>
          </w:tcPr>
          <w:p w14:paraId="06DC59E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60,000</w:t>
            </w:r>
          </w:p>
        </w:tc>
        <w:tc>
          <w:tcPr>
            <w:tcW w:w="1209" w:type="dxa"/>
            <w:noWrap/>
            <w:vAlign w:val="center"/>
            <w:hideMark/>
          </w:tcPr>
          <w:p w14:paraId="4E727917"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56,000</w:t>
            </w:r>
          </w:p>
        </w:tc>
        <w:tc>
          <w:tcPr>
            <w:tcW w:w="1210" w:type="dxa"/>
            <w:noWrap/>
            <w:vAlign w:val="center"/>
            <w:hideMark/>
          </w:tcPr>
          <w:p w14:paraId="189C56B4"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6.7</w:t>
            </w:r>
          </w:p>
        </w:tc>
        <w:tc>
          <w:tcPr>
            <w:tcW w:w="1209" w:type="dxa"/>
            <w:noWrap/>
            <w:vAlign w:val="center"/>
            <w:hideMark/>
          </w:tcPr>
          <w:p w14:paraId="40B6E7B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75,500</w:t>
            </w:r>
          </w:p>
        </w:tc>
        <w:tc>
          <w:tcPr>
            <w:tcW w:w="1209" w:type="dxa"/>
            <w:noWrap/>
            <w:vAlign w:val="center"/>
            <w:hideMark/>
          </w:tcPr>
          <w:p w14:paraId="43E45DC1"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74,700</w:t>
            </w:r>
          </w:p>
        </w:tc>
        <w:tc>
          <w:tcPr>
            <w:tcW w:w="1210" w:type="dxa"/>
            <w:noWrap/>
            <w:vAlign w:val="center"/>
            <w:hideMark/>
          </w:tcPr>
          <w:p w14:paraId="2AED7BC6"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1.1</w:t>
            </w:r>
          </w:p>
        </w:tc>
      </w:tr>
      <w:tr w:rsidR="00C22852" w:rsidRPr="00617A89" w14:paraId="7FC24843" w14:textId="77777777" w:rsidTr="002D3B23">
        <w:trPr>
          <w:trHeight w:val="309"/>
        </w:trPr>
        <w:tc>
          <w:tcPr>
            <w:tcW w:w="3437" w:type="dxa"/>
            <w:noWrap/>
            <w:vAlign w:val="center"/>
            <w:hideMark/>
          </w:tcPr>
          <w:p w14:paraId="12860A72"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Dentistry</w:t>
            </w:r>
          </w:p>
        </w:tc>
        <w:tc>
          <w:tcPr>
            <w:tcW w:w="1209" w:type="dxa"/>
            <w:noWrap/>
            <w:vAlign w:val="center"/>
            <w:hideMark/>
          </w:tcPr>
          <w:p w14:paraId="3B4B728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c>
          <w:tcPr>
            <w:tcW w:w="1209" w:type="dxa"/>
            <w:noWrap/>
            <w:vAlign w:val="center"/>
            <w:hideMark/>
          </w:tcPr>
          <w:p w14:paraId="5875B14F"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89,500</w:t>
            </w:r>
          </w:p>
        </w:tc>
        <w:tc>
          <w:tcPr>
            <w:tcW w:w="1210" w:type="dxa"/>
            <w:noWrap/>
            <w:vAlign w:val="center"/>
            <w:hideMark/>
          </w:tcPr>
          <w:p w14:paraId="361FFEB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c>
          <w:tcPr>
            <w:tcW w:w="1209" w:type="dxa"/>
            <w:noWrap/>
            <w:vAlign w:val="center"/>
            <w:hideMark/>
          </w:tcPr>
          <w:p w14:paraId="047C66B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337E1E7A"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122,100</w:t>
            </w:r>
          </w:p>
        </w:tc>
        <w:tc>
          <w:tcPr>
            <w:tcW w:w="1210" w:type="dxa"/>
            <w:noWrap/>
            <w:vAlign w:val="center"/>
            <w:hideMark/>
          </w:tcPr>
          <w:p w14:paraId="0864028B"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r>
      <w:tr w:rsidR="00C22852" w:rsidRPr="00617A89" w14:paraId="3A164159" w14:textId="77777777" w:rsidTr="002D3B23">
        <w:trPr>
          <w:trHeight w:val="309"/>
        </w:trPr>
        <w:tc>
          <w:tcPr>
            <w:tcW w:w="3437" w:type="dxa"/>
            <w:noWrap/>
            <w:vAlign w:val="center"/>
            <w:hideMark/>
          </w:tcPr>
          <w:p w14:paraId="5B5B3444"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Engineering</w:t>
            </w:r>
          </w:p>
        </w:tc>
        <w:tc>
          <w:tcPr>
            <w:tcW w:w="1209" w:type="dxa"/>
            <w:noWrap/>
            <w:vAlign w:val="center"/>
            <w:hideMark/>
          </w:tcPr>
          <w:p w14:paraId="54F0ED5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72,100</w:t>
            </w:r>
          </w:p>
        </w:tc>
        <w:tc>
          <w:tcPr>
            <w:tcW w:w="1209" w:type="dxa"/>
            <w:noWrap/>
            <w:vAlign w:val="center"/>
            <w:hideMark/>
          </w:tcPr>
          <w:p w14:paraId="39CE1E3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70,000</w:t>
            </w:r>
          </w:p>
        </w:tc>
        <w:tc>
          <w:tcPr>
            <w:tcW w:w="1210" w:type="dxa"/>
            <w:noWrap/>
            <w:vAlign w:val="center"/>
            <w:hideMark/>
          </w:tcPr>
          <w:p w14:paraId="336AD8C3"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2.9</w:t>
            </w:r>
          </w:p>
        </w:tc>
        <w:tc>
          <w:tcPr>
            <w:tcW w:w="1209" w:type="dxa"/>
            <w:noWrap/>
            <w:vAlign w:val="center"/>
            <w:hideMark/>
          </w:tcPr>
          <w:p w14:paraId="250A7913"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104,400</w:t>
            </w:r>
          </w:p>
        </w:tc>
        <w:tc>
          <w:tcPr>
            <w:tcW w:w="1209" w:type="dxa"/>
            <w:noWrap/>
            <w:vAlign w:val="center"/>
            <w:hideMark/>
          </w:tcPr>
          <w:p w14:paraId="1DD38547"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100,500</w:t>
            </w:r>
          </w:p>
        </w:tc>
        <w:tc>
          <w:tcPr>
            <w:tcW w:w="1210" w:type="dxa"/>
            <w:noWrap/>
            <w:vAlign w:val="center"/>
            <w:hideMark/>
          </w:tcPr>
          <w:p w14:paraId="56ACB12F"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3.7</w:t>
            </w:r>
          </w:p>
        </w:tc>
      </w:tr>
      <w:tr w:rsidR="00C22852" w:rsidRPr="00617A89" w14:paraId="5C61331D" w14:textId="77777777" w:rsidTr="002D3B23">
        <w:trPr>
          <w:trHeight w:val="309"/>
        </w:trPr>
        <w:tc>
          <w:tcPr>
            <w:tcW w:w="3437" w:type="dxa"/>
            <w:noWrap/>
            <w:vAlign w:val="center"/>
            <w:hideMark/>
          </w:tcPr>
          <w:p w14:paraId="02D5D50B"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Health services and support</w:t>
            </w:r>
          </w:p>
        </w:tc>
        <w:tc>
          <w:tcPr>
            <w:tcW w:w="1209" w:type="dxa"/>
            <w:noWrap/>
            <w:vAlign w:val="center"/>
            <w:hideMark/>
          </w:tcPr>
          <w:p w14:paraId="605AB513"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71,800</w:t>
            </w:r>
          </w:p>
        </w:tc>
        <w:tc>
          <w:tcPr>
            <w:tcW w:w="1209" w:type="dxa"/>
            <w:noWrap/>
            <w:vAlign w:val="center"/>
            <w:hideMark/>
          </w:tcPr>
          <w:p w14:paraId="12E18EF2"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69,800</w:t>
            </w:r>
          </w:p>
        </w:tc>
        <w:tc>
          <w:tcPr>
            <w:tcW w:w="1210" w:type="dxa"/>
            <w:noWrap/>
            <w:vAlign w:val="center"/>
            <w:hideMark/>
          </w:tcPr>
          <w:p w14:paraId="723599C0"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2.8</w:t>
            </w:r>
          </w:p>
        </w:tc>
        <w:tc>
          <w:tcPr>
            <w:tcW w:w="1209" w:type="dxa"/>
            <w:noWrap/>
            <w:vAlign w:val="center"/>
            <w:hideMark/>
          </w:tcPr>
          <w:p w14:paraId="0D5851AA"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100,000</w:t>
            </w:r>
          </w:p>
        </w:tc>
        <w:tc>
          <w:tcPr>
            <w:tcW w:w="1209" w:type="dxa"/>
            <w:noWrap/>
            <w:vAlign w:val="center"/>
            <w:hideMark/>
          </w:tcPr>
          <w:p w14:paraId="1041A46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92,000</w:t>
            </w:r>
          </w:p>
        </w:tc>
        <w:tc>
          <w:tcPr>
            <w:tcW w:w="1210" w:type="dxa"/>
            <w:noWrap/>
            <w:vAlign w:val="center"/>
            <w:hideMark/>
          </w:tcPr>
          <w:p w14:paraId="414DAFE1"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8.0</w:t>
            </w:r>
          </w:p>
        </w:tc>
      </w:tr>
      <w:tr w:rsidR="00C22852" w:rsidRPr="00617A89" w14:paraId="17D9CA49" w14:textId="77777777" w:rsidTr="002D3B23">
        <w:trPr>
          <w:trHeight w:val="309"/>
        </w:trPr>
        <w:tc>
          <w:tcPr>
            <w:tcW w:w="3437" w:type="dxa"/>
            <w:noWrap/>
            <w:vAlign w:val="center"/>
            <w:hideMark/>
          </w:tcPr>
          <w:p w14:paraId="17F2BA5A"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Humanities, culture and social sciences</w:t>
            </w:r>
          </w:p>
        </w:tc>
        <w:tc>
          <w:tcPr>
            <w:tcW w:w="1209" w:type="dxa"/>
            <w:noWrap/>
            <w:vAlign w:val="center"/>
            <w:hideMark/>
          </w:tcPr>
          <w:p w14:paraId="55E3C7D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68,000</w:t>
            </w:r>
          </w:p>
        </w:tc>
        <w:tc>
          <w:tcPr>
            <w:tcW w:w="1209" w:type="dxa"/>
            <w:noWrap/>
            <w:vAlign w:val="center"/>
            <w:hideMark/>
          </w:tcPr>
          <w:p w14:paraId="1E7759D4"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66,500</w:t>
            </w:r>
          </w:p>
        </w:tc>
        <w:tc>
          <w:tcPr>
            <w:tcW w:w="1210" w:type="dxa"/>
            <w:noWrap/>
            <w:vAlign w:val="center"/>
            <w:hideMark/>
          </w:tcPr>
          <w:p w14:paraId="63BDED1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2.2</w:t>
            </w:r>
          </w:p>
        </w:tc>
        <w:tc>
          <w:tcPr>
            <w:tcW w:w="1209" w:type="dxa"/>
            <w:noWrap/>
            <w:vAlign w:val="center"/>
            <w:hideMark/>
          </w:tcPr>
          <w:p w14:paraId="083E35E0"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92,000</w:t>
            </w:r>
          </w:p>
        </w:tc>
        <w:tc>
          <w:tcPr>
            <w:tcW w:w="1209" w:type="dxa"/>
            <w:noWrap/>
            <w:vAlign w:val="center"/>
            <w:hideMark/>
          </w:tcPr>
          <w:p w14:paraId="55A578AA"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90,000</w:t>
            </w:r>
          </w:p>
        </w:tc>
        <w:tc>
          <w:tcPr>
            <w:tcW w:w="1210" w:type="dxa"/>
            <w:noWrap/>
            <w:vAlign w:val="center"/>
            <w:hideMark/>
          </w:tcPr>
          <w:p w14:paraId="4812E4A1"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2.2</w:t>
            </w:r>
          </w:p>
        </w:tc>
      </w:tr>
      <w:tr w:rsidR="00C22852" w:rsidRPr="00617A89" w14:paraId="77B7EE2B" w14:textId="77777777" w:rsidTr="002D3B23">
        <w:trPr>
          <w:trHeight w:val="309"/>
        </w:trPr>
        <w:tc>
          <w:tcPr>
            <w:tcW w:w="3437" w:type="dxa"/>
            <w:noWrap/>
            <w:vAlign w:val="center"/>
            <w:hideMark/>
          </w:tcPr>
          <w:p w14:paraId="1932052C"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Law and paralegal studies</w:t>
            </w:r>
          </w:p>
        </w:tc>
        <w:tc>
          <w:tcPr>
            <w:tcW w:w="1209" w:type="dxa"/>
            <w:noWrap/>
            <w:vAlign w:val="center"/>
            <w:hideMark/>
          </w:tcPr>
          <w:p w14:paraId="2EFD3AB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76,000</w:t>
            </w:r>
          </w:p>
        </w:tc>
        <w:tc>
          <w:tcPr>
            <w:tcW w:w="1209" w:type="dxa"/>
            <w:noWrap/>
            <w:vAlign w:val="center"/>
            <w:hideMark/>
          </w:tcPr>
          <w:p w14:paraId="43C2F84B"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68,900</w:t>
            </w:r>
          </w:p>
        </w:tc>
        <w:tc>
          <w:tcPr>
            <w:tcW w:w="1210" w:type="dxa"/>
            <w:noWrap/>
            <w:vAlign w:val="center"/>
            <w:hideMark/>
          </w:tcPr>
          <w:p w14:paraId="29BC1F5A"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9.3</w:t>
            </w:r>
          </w:p>
        </w:tc>
        <w:tc>
          <w:tcPr>
            <w:tcW w:w="1209" w:type="dxa"/>
            <w:noWrap/>
            <w:vAlign w:val="center"/>
            <w:hideMark/>
          </w:tcPr>
          <w:p w14:paraId="310B8BD3"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103,300</w:t>
            </w:r>
          </w:p>
        </w:tc>
        <w:tc>
          <w:tcPr>
            <w:tcW w:w="1209" w:type="dxa"/>
            <w:noWrap/>
            <w:vAlign w:val="center"/>
            <w:hideMark/>
          </w:tcPr>
          <w:p w14:paraId="22FFE61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100,000</w:t>
            </w:r>
          </w:p>
        </w:tc>
        <w:tc>
          <w:tcPr>
            <w:tcW w:w="1210" w:type="dxa"/>
            <w:noWrap/>
            <w:vAlign w:val="center"/>
            <w:hideMark/>
          </w:tcPr>
          <w:p w14:paraId="4E2B8C73"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3.2</w:t>
            </w:r>
          </w:p>
        </w:tc>
      </w:tr>
      <w:tr w:rsidR="00C22852" w:rsidRPr="00617A89" w14:paraId="2F8CFA3E" w14:textId="77777777" w:rsidTr="002D3B23">
        <w:trPr>
          <w:trHeight w:val="309"/>
        </w:trPr>
        <w:tc>
          <w:tcPr>
            <w:tcW w:w="3437" w:type="dxa"/>
            <w:noWrap/>
            <w:vAlign w:val="center"/>
            <w:hideMark/>
          </w:tcPr>
          <w:p w14:paraId="6638D204"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Medicine</w:t>
            </w:r>
          </w:p>
        </w:tc>
        <w:tc>
          <w:tcPr>
            <w:tcW w:w="1209" w:type="dxa"/>
            <w:noWrap/>
            <w:vAlign w:val="center"/>
            <w:hideMark/>
          </w:tcPr>
          <w:p w14:paraId="2CDDE0F6"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81,200</w:t>
            </w:r>
          </w:p>
        </w:tc>
        <w:tc>
          <w:tcPr>
            <w:tcW w:w="1209" w:type="dxa"/>
            <w:noWrap/>
            <w:vAlign w:val="center"/>
            <w:hideMark/>
          </w:tcPr>
          <w:p w14:paraId="570BFA5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79,300</w:t>
            </w:r>
          </w:p>
        </w:tc>
        <w:tc>
          <w:tcPr>
            <w:tcW w:w="1210" w:type="dxa"/>
            <w:noWrap/>
            <w:vAlign w:val="center"/>
            <w:hideMark/>
          </w:tcPr>
          <w:p w14:paraId="01906FB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2.3</w:t>
            </w:r>
          </w:p>
        </w:tc>
        <w:tc>
          <w:tcPr>
            <w:tcW w:w="1209" w:type="dxa"/>
            <w:noWrap/>
            <w:vAlign w:val="center"/>
            <w:hideMark/>
          </w:tcPr>
          <w:p w14:paraId="1D1AA696"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120,000</w:t>
            </w:r>
          </w:p>
        </w:tc>
        <w:tc>
          <w:tcPr>
            <w:tcW w:w="1209" w:type="dxa"/>
            <w:noWrap/>
            <w:vAlign w:val="center"/>
            <w:hideMark/>
          </w:tcPr>
          <w:p w14:paraId="22757993"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110,900</w:t>
            </w:r>
          </w:p>
        </w:tc>
        <w:tc>
          <w:tcPr>
            <w:tcW w:w="1210" w:type="dxa"/>
            <w:noWrap/>
            <w:vAlign w:val="center"/>
            <w:hideMark/>
          </w:tcPr>
          <w:p w14:paraId="0FC5BA6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7.6</w:t>
            </w:r>
          </w:p>
        </w:tc>
      </w:tr>
      <w:tr w:rsidR="00C22852" w:rsidRPr="00617A89" w14:paraId="64D2A7C9" w14:textId="77777777" w:rsidTr="002D3B23">
        <w:trPr>
          <w:trHeight w:val="309"/>
        </w:trPr>
        <w:tc>
          <w:tcPr>
            <w:tcW w:w="3437" w:type="dxa"/>
            <w:noWrap/>
            <w:vAlign w:val="center"/>
            <w:hideMark/>
          </w:tcPr>
          <w:p w14:paraId="4E68DF2C"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Nursing</w:t>
            </w:r>
          </w:p>
        </w:tc>
        <w:tc>
          <w:tcPr>
            <w:tcW w:w="1209" w:type="dxa"/>
            <w:noWrap/>
            <w:vAlign w:val="center"/>
            <w:hideMark/>
          </w:tcPr>
          <w:p w14:paraId="2846777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71,000</w:t>
            </w:r>
          </w:p>
        </w:tc>
        <w:tc>
          <w:tcPr>
            <w:tcW w:w="1209" w:type="dxa"/>
            <w:noWrap/>
            <w:vAlign w:val="center"/>
            <w:hideMark/>
          </w:tcPr>
          <w:p w14:paraId="32629FC6"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68,900</w:t>
            </w:r>
          </w:p>
        </w:tc>
        <w:tc>
          <w:tcPr>
            <w:tcW w:w="1210" w:type="dxa"/>
            <w:noWrap/>
            <w:vAlign w:val="center"/>
            <w:hideMark/>
          </w:tcPr>
          <w:p w14:paraId="0C982C9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3.0</w:t>
            </w:r>
          </w:p>
        </w:tc>
        <w:tc>
          <w:tcPr>
            <w:tcW w:w="1209" w:type="dxa"/>
            <w:noWrap/>
            <w:vAlign w:val="center"/>
            <w:hideMark/>
          </w:tcPr>
          <w:p w14:paraId="44F3AFD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90,200</w:t>
            </w:r>
          </w:p>
        </w:tc>
        <w:tc>
          <w:tcPr>
            <w:tcW w:w="1209" w:type="dxa"/>
            <w:noWrap/>
            <w:vAlign w:val="center"/>
            <w:hideMark/>
          </w:tcPr>
          <w:p w14:paraId="53AE99A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85,000</w:t>
            </w:r>
          </w:p>
        </w:tc>
        <w:tc>
          <w:tcPr>
            <w:tcW w:w="1210" w:type="dxa"/>
            <w:noWrap/>
            <w:vAlign w:val="center"/>
            <w:hideMark/>
          </w:tcPr>
          <w:p w14:paraId="6C49C335"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5.8</w:t>
            </w:r>
          </w:p>
        </w:tc>
      </w:tr>
      <w:tr w:rsidR="00C22852" w:rsidRPr="00617A89" w14:paraId="135A2665" w14:textId="77777777" w:rsidTr="002D3B23">
        <w:trPr>
          <w:trHeight w:val="309"/>
        </w:trPr>
        <w:tc>
          <w:tcPr>
            <w:tcW w:w="3437" w:type="dxa"/>
            <w:noWrap/>
            <w:vAlign w:val="center"/>
            <w:hideMark/>
          </w:tcPr>
          <w:p w14:paraId="007BBAA4"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Pharmacy</w:t>
            </w:r>
          </w:p>
        </w:tc>
        <w:tc>
          <w:tcPr>
            <w:tcW w:w="1209" w:type="dxa"/>
            <w:noWrap/>
            <w:vAlign w:val="center"/>
            <w:hideMark/>
          </w:tcPr>
          <w:p w14:paraId="25B3D94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c>
          <w:tcPr>
            <w:tcW w:w="1209" w:type="dxa"/>
            <w:noWrap/>
            <w:vAlign w:val="center"/>
            <w:hideMark/>
          </w:tcPr>
          <w:p w14:paraId="7FA35F5E"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52,200</w:t>
            </w:r>
          </w:p>
        </w:tc>
        <w:tc>
          <w:tcPr>
            <w:tcW w:w="1210" w:type="dxa"/>
            <w:noWrap/>
            <w:vAlign w:val="center"/>
            <w:hideMark/>
          </w:tcPr>
          <w:p w14:paraId="398E980A"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c>
          <w:tcPr>
            <w:tcW w:w="1209" w:type="dxa"/>
            <w:noWrap/>
            <w:vAlign w:val="center"/>
            <w:hideMark/>
          </w:tcPr>
          <w:p w14:paraId="2E6B95AB"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70599962"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96,900</w:t>
            </w:r>
          </w:p>
        </w:tc>
        <w:tc>
          <w:tcPr>
            <w:tcW w:w="1210" w:type="dxa"/>
            <w:noWrap/>
            <w:vAlign w:val="center"/>
            <w:hideMark/>
          </w:tcPr>
          <w:p w14:paraId="385E43C1"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r>
      <w:tr w:rsidR="00C22852" w:rsidRPr="00617A89" w14:paraId="3CB1F468" w14:textId="77777777" w:rsidTr="002D3B23">
        <w:trPr>
          <w:trHeight w:val="309"/>
        </w:trPr>
        <w:tc>
          <w:tcPr>
            <w:tcW w:w="3437" w:type="dxa"/>
            <w:noWrap/>
            <w:vAlign w:val="center"/>
            <w:hideMark/>
          </w:tcPr>
          <w:p w14:paraId="047FBE05"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Psychology</w:t>
            </w:r>
          </w:p>
        </w:tc>
        <w:tc>
          <w:tcPr>
            <w:tcW w:w="1209" w:type="dxa"/>
            <w:noWrap/>
            <w:vAlign w:val="center"/>
            <w:hideMark/>
          </w:tcPr>
          <w:p w14:paraId="33A98AA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67,900</w:t>
            </w:r>
          </w:p>
        </w:tc>
        <w:tc>
          <w:tcPr>
            <w:tcW w:w="1209" w:type="dxa"/>
            <w:noWrap/>
            <w:vAlign w:val="center"/>
            <w:hideMark/>
          </w:tcPr>
          <w:p w14:paraId="0A39E5EB"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70,000</w:t>
            </w:r>
          </w:p>
        </w:tc>
        <w:tc>
          <w:tcPr>
            <w:tcW w:w="1210" w:type="dxa"/>
            <w:noWrap/>
            <w:vAlign w:val="center"/>
            <w:hideMark/>
          </w:tcPr>
          <w:p w14:paraId="6A361E64"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-3.1</w:t>
            </w:r>
          </w:p>
        </w:tc>
        <w:tc>
          <w:tcPr>
            <w:tcW w:w="1209" w:type="dxa"/>
            <w:noWrap/>
            <w:vAlign w:val="center"/>
            <w:hideMark/>
          </w:tcPr>
          <w:p w14:paraId="3938E11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91,300</w:t>
            </w:r>
          </w:p>
        </w:tc>
        <w:tc>
          <w:tcPr>
            <w:tcW w:w="1209" w:type="dxa"/>
            <w:noWrap/>
            <w:vAlign w:val="center"/>
            <w:hideMark/>
          </w:tcPr>
          <w:p w14:paraId="5620AF8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91,300</w:t>
            </w:r>
          </w:p>
        </w:tc>
        <w:tc>
          <w:tcPr>
            <w:tcW w:w="1210" w:type="dxa"/>
            <w:noWrap/>
            <w:vAlign w:val="center"/>
            <w:hideMark/>
          </w:tcPr>
          <w:p w14:paraId="3EFAF5B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0.0</w:t>
            </w:r>
          </w:p>
        </w:tc>
      </w:tr>
      <w:tr w:rsidR="00C22852" w:rsidRPr="00617A89" w14:paraId="3D795FFB" w14:textId="77777777" w:rsidTr="002D3B23">
        <w:trPr>
          <w:trHeight w:val="309"/>
        </w:trPr>
        <w:tc>
          <w:tcPr>
            <w:tcW w:w="3437" w:type="dxa"/>
            <w:noWrap/>
            <w:vAlign w:val="center"/>
            <w:hideMark/>
          </w:tcPr>
          <w:p w14:paraId="11F9FBB9"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Rehabilitation</w:t>
            </w:r>
          </w:p>
        </w:tc>
        <w:tc>
          <w:tcPr>
            <w:tcW w:w="1209" w:type="dxa"/>
            <w:noWrap/>
            <w:vAlign w:val="center"/>
            <w:hideMark/>
          </w:tcPr>
          <w:p w14:paraId="3E3A95B0"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70,200</w:t>
            </w:r>
          </w:p>
        </w:tc>
        <w:tc>
          <w:tcPr>
            <w:tcW w:w="1209" w:type="dxa"/>
            <w:noWrap/>
            <w:vAlign w:val="center"/>
            <w:hideMark/>
          </w:tcPr>
          <w:p w14:paraId="688D6497"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69,400</w:t>
            </w:r>
          </w:p>
        </w:tc>
        <w:tc>
          <w:tcPr>
            <w:tcW w:w="1210" w:type="dxa"/>
            <w:noWrap/>
            <w:vAlign w:val="center"/>
            <w:hideMark/>
          </w:tcPr>
          <w:p w14:paraId="1358E507"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1.1</w:t>
            </w:r>
          </w:p>
        </w:tc>
        <w:tc>
          <w:tcPr>
            <w:tcW w:w="1209" w:type="dxa"/>
            <w:noWrap/>
            <w:vAlign w:val="center"/>
            <w:hideMark/>
          </w:tcPr>
          <w:p w14:paraId="5456EDC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95,000</w:t>
            </w:r>
          </w:p>
        </w:tc>
        <w:tc>
          <w:tcPr>
            <w:tcW w:w="1209" w:type="dxa"/>
            <w:noWrap/>
            <w:vAlign w:val="center"/>
            <w:hideMark/>
          </w:tcPr>
          <w:p w14:paraId="25ED840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89,000</w:t>
            </w:r>
          </w:p>
        </w:tc>
        <w:tc>
          <w:tcPr>
            <w:tcW w:w="1210" w:type="dxa"/>
            <w:noWrap/>
            <w:vAlign w:val="center"/>
            <w:hideMark/>
          </w:tcPr>
          <w:p w14:paraId="23EFB181"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6.3</w:t>
            </w:r>
          </w:p>
        </w:tc>
      </w:tr>
      <w:tr w:rsidR="00C22852" w:rsidRPr="00617A89" w14:paraId="77879256" w14:textId="77777777" w:rsidTr="002D3B23">
        <w:trPr>
          <w:trHeight w:val="309"/>
        </w:trPr>
        <w:tc>
          <w:tcPr>
            <w:tcW w:w="3437" w:type="dxa"/>
            <w:noWrap/>
            <w:vAlign w:val="center"/>
            <w:hideMark/>
          </w:tcPr>
          <w:p w14:paraId="7463E9E9"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Science and mathematics</w:t>
            </w:r>
          </w:p>
        </w:tc>
        <w:tc>
          <w:tcPr>
            <w:tcW w:w="1209" w:type="dxa"/>
            <w:noWrap/>
            <w:vAlign w:val="center"/>
            <w:hideMark/>
          </w:tcPr>
          <w:p w14:paraId="381185A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66,900</w:t>
            </w:r>
          </w:p>
        </w:tc>
        <w:tc>
          <w:tcPr>
            <w:tcW w:w="1209" w:type="dxa"/>
            <w:noWrap/>
            <w:vAlign w:val="center"/>
            <w:hideMark/>
          </w:tcPr>
          <w:p w14:paraId="13415B2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66,000</w:t>
            </w:r>
          </w:p>
        </w:tc>
        <w:tc>
          <w:tcPr>
            <w:tcW w:w="1210" w:type="dxa"/>
            <w:noWrap/>
            <w:vAlign w:val="center"/>
            <w:hideMark/>
          </w:tcPr>
          <w:p w14:paraId="4D5351FE"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1.3</w:t>
            </w:r>
          </w:p>
        </w:tc>
        <w:tc>
          <w:tcPr>
            <w:tcW w:w="1209" w:type="dxa"/>
            <w:noWrap/>
            <w:vAlign w:val="center"/>
            <w:hideMark/>
          </w:tcPr>
          <w:p w14:paraId="107D612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91,300</w:t>
            </w:r>
          </w:p>
        </w:tc>
        <w:tc>
          <w:tcPr>
            <w:tcW w:w="1209" w:type="dxa"/>
            <w:noWrap/>
            <w:vAlign w:val="center"/>
            <w:hideMark/>
          </w:tcPr>
          <w:p w14:paraId="3504F3E1"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84,000</w:t>
            </w:r>
          </w:p>
        </w:tc>
        <w:tc>
          <w:tcPr>
            <w:tcW w:w="1210" w:type="dxa"/>
            <w:noWrap/>
            <w:vAlign w:val="center"/>
            <w:hideMark/>
          </w:tcPr>
          <w:p w14:paraId="1A0CC8FF"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8.0</w:t>
            </w:r>
          </w:p>
        </w:tc>
      </w:tr>
      <w:tr w:rsidR="00C22852" w:rsidRPr="00617A89" w14:paraId="10D69237" w14:textId="77777777" w:rsidTr="002D3B23">
        <w:trPr>
          <w:trHeight w:val="309"/>
        </w:trPr>
        <w:tc>
          <w:tcPr>
            <w:tcW w:w="3437" w:type="dxa"/>
            <w:noWrap/>
            <w:vAlign w:val="center"/>
            <w:hideMark/>
          </w:tcPr>
          <w:p w14:paraId="2705D3D2"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Social work</w:t>
            </w:r>
          </w:p>
        </w:tc>
        <w:tc>
          <w:tcPr>
            <w:tcW w:w="1209" w:type="dxa"/>
            <w:noWrap/>
            <w:vAlign w:val="center"/>
            <w:hideMark/>
          </w:tcPr>
          <w:p w14:paraId="259BEC64"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74,000</w:t>
            </w:r>
          </w:p>
        </w:tc>
        <w:tc>
          <w:tcPr>
            <w:tcW w:w="1209" w:type="dxa"/>
            <w:noWrap/>
            <w:vAlign w:val="center"/>
            <w:hideMark/>
          </w:tcPr>
          <w:p w14:paraId="69C88EA5"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75,300</w:t>
            </w:r>
          </w:p>
        </w:tc>
        <w:tc>
          <w:tcPr>
            <w:tcW w:w="1210" w:type="dxa"/>
            <w:noWrap/>
            <w:vAlign w:val="center"/>
            <w:hideMark/>
          </w:tcPr>
          <w:p w14:paraId="4E15335F"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-1.8</w:t>
            </w:r>
          </w:p>
        </w:tc>
        <w:tc>
          <w:tcPr>
            <w:tcW w:w="1209" w:type="dxa"/>
            <w:noWrap/>
            <w:vAlign w:val="center"/>
            <w:hideMark/>
          </w:tcPr>
          <w:p w14:paraId="1E609EC7"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95,200</w:t>
            </w:r>
          </w:p>
        </w:tc>
        <w:tc>
          <w:tcPr>
            <w:tcW w:w="1209" w:type="dxa"/>
            <w:noWrap/>
            <w:vAlign w:val="center"/>
            <w:hideMark/>
          </w:tcPr>
          <w:p w14:paraId="7BB7F4E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95,000</w:t>
            </w:r>
          </w:p>
        </w:tc>
        <w:tc>
          <w:tcPr>
            <w:tcW w:w="1210" w:type="dxa"/>
            <w:noWrap/>
            <w:vAlign w:val="center"/>
            <w:hideMark/>
          </w:tcPr>
          <w:p w14:paraId="5B3B6676"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0.2</w:t>
            </w:r>
          </w:p>
        </w:tc>
      </w:tr>
      <w:tr w:rsidR="00C22852" w:rsidRPr="00617A89" w14:paraId="2E524842" w14:textId="77777777" w:rsidTr="002D3B23">
        <w:trPr>
          <w:trHeight w:val="309"/>
        </w:trPr>
        <w:tc>
          <w:tcPr>
            <w:tcW w:w="3437" w:type="dxa"/>
            <w:noWrap/>
            <w:vAlign w:val="center"/>
            <w:hideMark/>
          </w:tcPr>
          <w:p w14:paraId="12B3F730"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Teacher education</w:t>
            </w:r>
          </w:p>
        </w:tc>
        <w:tc>
          <w:tcPr>
            <w:tcW w:w="1209" w:type="dxa"/>
            <w:noWrap/>
            <w:vAlign w:val="center"/>
            <w:hideMark/>
          </w:tcPr>
          <w:p w14:paraId="1D1EB08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73,600</w:t>
            </w:r>
          </w:p>
        </w:tc>
        <w:tc>
          <w:tcPr>
            <w:tcW w:w="1209" w:type="dxa"/>
            <w:noWrap/>
            <w:vAlign w:val="center"/>
            <w:hideMark/>
          </w:tcPr>
          <w:p w14:paraId="3D67C8F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72,100</w:t>
            </w:r>
          </w:p>
        </w:tc>
        <w:tc>
          <w:tcPr>
            <w:tcW w:w="1210" w:type="dxa"/>
            <w:noWrap/>
            <w:vAlign w:val="center"/>
            <w:hideMark/>
          </w:tcPr>
          <w:p w14:paraId="5195B154"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2.0</w:t>
            </w:r>
          </w:p>
        </w:tc>
        <w:tc>
          <w:tcPr>
            <w:tcW w:w="1209" w:type="dxa"/>
            <w:noWrap/>
            <w:vAlign w:val="center"/>
            <w:hideMark/>
          </w:tcPr>
          <w:p w14:paraId="76C0B82E"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95,000</w:t>
            </w:r>
          </w:p>
        </w:tc>
        <w:tc>
          <w:tcPr>
            <w:tcW w:w="1209" w:type="dxa"/>
            <w:noWrap/>
            <w:vAlign w:val="center"/>
            <w:hideMark/>
          </w:tcPr>
          <w:p w14:paraId="5A66C6A7"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91,300</w:t>
            </w:r>
          </w:p>
        </w:tc>
        <w:tc>
          <w:tcPr>
            <w:tcW w:w="1210" w:type="dxa"/>
            <w:noWrap/>
            <w:vAlign w:val="center"/>
            <w:hideMark/>
          </w:tcPr>
          <w:p w14:paraId="33DFDDF1"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3.9</w:t>
            </w:r>
          </w:p>
        </w:tc>
      </w:tr>
      <w:tr w:rsidR="00C22852" w:rsidRPr="00617A89" w14:paraId="72F7EF96" w14:textId="77777777" w:rsidTr="002D3B23">
        <w:trPr>
          <w:trHeight w:val="309"/>
        </w:trPr>
        <w:tc>
          <w:tcPr>
            <w:tcW w:w="3437" w:type="dxa"/>
            <w:noWrap/>
            <w:vAlign w:val="center"/>
            <w:hideMark/>
          </w:tcPr>
          <w:p w14:paraId="25AAE06C"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Tourism, hospitality, personal services, sport and recreation</w:t>
            </w:r>
          </w:p>
        </w:tc>
        <w:tc>
          <w:tcPr>
            <w:tcW w:w="1209" w:type="dxa"/>
            <w:noWrap/>
            <w:vAlign w:val="center"/>
            <w:hideMark/>
          </w:tcPr>
          <w:p w14:paraId="27705DE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c>
          <w:tcPr>
            <w:tcW w:w="1209" w:type="dxa"/>
            <w:noWrap/>
            <w:vAlign w:val="center"/>
            <w:hideMark/>
          </w:tcPr>
          <w:p w14:paraId="1CCF82D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n/a</w:t>
            </w:r>
          </w:p>
        </w:tc>
        <w:tc>
          <w:tcPr>
            <w:tcW w:w="1210" w:type="dxa"/>
            <w:noWrap/>
            <w:vAlign w:val="center"/>
            <w:hideMark/>
          </w:tcPr>
          <w:p w14:paraId="5FDB7215"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c>
          <w:tcPr>
            <w:tcW w:w="1209" w:type="dxa"/>
            <w:noWrap/>
            <w:vAlign w:val="center"/>
            <w:hideMark/>
          </w:tcPr>
          <w:p w14:paraId="00B472C3"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25A3623B"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n/a</w:t>
            </w:r>
          </w:p>
        </w:tc>
        <w:tc>
          <w:tcPr>
            <w:tcW w:w="1210" w:type="dxa"/>
            <w:noWrap/>
            <w:vAlign w:val="center"/>
            <w:hideMark/>
          </w:tcPr>
          <w:p w14:paraId="07FC3E8A"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r>
      <w:tr w:rsidR="00C22852" w:rsidRPr="00617A89" w14:paraId="2BDFC73C" w14:textId="77777777" w:rsidTr="002D3B23">
        <w:trPr>
          <w:trHeight w:val="309"/>
        </w:trPr>
        <w:tc>
          <w:tcPr>
            <w:tcW w:w="3437" w:type="dxa"/>
            <w:noWrap/>
            <w:vAlign w:val="center"/>
            <w:hideMark/>
          </w:tcPr>
          <w:p w14:paraId="2CAF3F92"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Veterinary science</w:t>
            </w:r>
          </w:p>
        </w:tc>
        <w:tc>
          <w:tcPr>
            <w:tcW w:w="1209" w:type="dxa"/>
            <w:noWrap/>
            <w:vAlign w:val="center"/>
            <w:hideMark/>
          </w:tcPr>
          <w:p w14:paraId="5A269FD3"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c>
          <w:tcPr>
            <w:tcW w:w="1209" w:type="dxa"/>
            <w:noWrap/>
            <w:vAlign w:val="center"/>
            <w:hideMark/>
          </w:tcPr>
          <w:p w14:paraId="16CE4F0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63,700</w:t>
            </w:r>
          </w:p>
        </w:tc>
        <w:tc>
          <w:tcPr>
            <w:tcW w:w="1210" w:type="dxa"/>
            <w:noWrap/>
            <w:vAlign w:val="center"/>
            <w:hideMark/>
          </w:tcPr>
          <w:p w14:paraId="03BB60B2"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c>
          <w:tcPr>
            <w:tcW w:w="1209" w:type="dxa"/>
            <w:noWrap/>
            <w:vAlign w:val="center"/>
            <w:hideMark/>
          </w:tcPr>
          <w:p w14:paraId="46793E44"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345699FC"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91,500</w:t>
            </w:r>
          </w:p>
        </w:tc>
        <w:tc>
          <w:tcPr>
            <w:tcW w:w="1210" w:type="dxa"/>
            <w:noWrap/>
            <w:vAlign w:val="center"/>
            <w:hideMark/>
          </w:tcPr>
          <w:p w14:paraId="795E25DF"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n/a</w:t>
            </w:r>
          </w:p>
        </w:tc>
      </w:tr>
      <w:tr w:rsidR="00C22852" w:rsidRPr="00617A89" w14:paraId="4536008C" w14:textId="77777777" w:rsidTr="002D3B23">
        <w:trPr>
          <w:trHeight w:val="309"/>
        </w:trPr>
        <w:tc>
          <w:tcPr>
            <w:tcW w:w="3437" w:type="dxa"/>
            <w:noWrap/>
            <w:vAlign w:val="center"/>
            <w:hideMark/>
          </w:tcPr>
          <w:p w14:paraId="42EB1FF0" w14:textId="77777777" w:rsidR="003E66E8" w:rsidRPr="00617A89" w:rsidRDefault="003E66E8" w:rsidP="00ED7300">
            <w:pPr>
              <w:rPr>
                <w:rFonts w:cs="Arial"/>
                <w:b/>
                <w:bCs/>
                <w:color w:val="000000" w:themeColor="text1"/>
                <w:sz w:val="18"/>
                <w:szCs w:val="18"/>
                <w:lang w:eastAsia="en-AU"/>
              </w:rPr>
            </w:pPr>
            <w:r w:rsidRPr="00617A89">
              <w:rPr>
                <w:rFonts w:cs="Arial"/>
                <w:b/>
                <w:bCs/>
                <w:color w:val="000000" w:themeColor="text1"/>
                <w:sz w:val="18"/>
                <w:szCs w:val="18"/>
                <w:lang w:eastAsia="en-AU"/>
              </w:rPr>
              <w:t>Total</w:t>
            </w:r>
          </w:p>
        </w:tc>
        <w:tc>
          <w:tcPr>
            <w:tcW w:w="1209" w:type="dxa"/>
            <w:noWrap/>
            <w:vAlign w:val="center"/>
            <w:hideMark/>
          </w:tcPr>
          <w:p w14:paraId="51351D8B" w14:textId="77777777" w:rsidR="003E66E8" w:rsidRPr="00617A89" w:rsidRDefault="003E66E8" w:rsidP="00ED7300">
            <w:pPr>
              <w:jc w:val="center"/>
              <w:rPr>
                <w:rFonts w:cs="Arial"/>
                <w:b/>
                <w:bCs/>
                <w:color w:val="000000" w:themeColor="text1"/>
                <w:sz w:val="18"/>
                <w:szCs w:val="18"/>
                <w:lang w:eastAsia="en-AU"/>
              </w:rPr>
            </w:pPr>
            <w:r w:rsidRPr="00617A89">
              <w:rPr>
                <w:rFonts w:cs="Arial"/>
                <w:b/>
                <w:bCs/>
                <w:color w:val="000000" w:themeColor="text1"/>
                <w:sz w:val="18"/>
                <w:szCs w:val="18"/>
                <w:lang w:eastAsia="en-AU"/>
              </w:rPr>
              <w:t>70,000</w:t>
            </w:r>
          </w:p>
        </w:tc>
        <w:tc>
          <w:tcPr>
            <w:tcW w:w="1209" w:type="dxa"/>
            <w:noWrap/>
            <w:vAlign w:val="center"/>
            <w:hideMark/>
          </w:tcPr>
          <w:p w14:paraId="7DBB31C9" w14:textId="77777777" w:rsidR="003E66E8" w:rsidRPr="00617A89" w:rsidRDefault="003E66E8" w:rsidP="00ED7300">
            <w:pPr>
              <w:jc w:val="center"/>
              <w:rPr>
                <w:rFonts w:cs="Arial"/>
                <w:b/>
                <w:bCs/>
                <w:color w:val="000000" w:themeColor="text1"/>
                <w:sz w:val="18"/>
                <w:szCs w:val="18"/>
                <w:lang w:eastAsia="en-AU"/>
              </w:rPr>
            </w:pPr>
            <w:r w:rsidRPr="00617A89">
              <w:rPr>
                <w:rFonts w:cs="Arial"/>
                <w:b/>
                <w:bCs/>
                <w:color w:val="000000" w:themeColor="text1"/>
                <w:sz w:val="18"/>
                <w:szCs w:val="18"/>
              </w:rPr>
              <w:t>68,100</w:t>
            </w:r>
          </w:p>
        </w:tc>
        <w:tc>
          <w:tcPr>
            <w:tcW w:w="1210" w:type="dxa"/>
            <w:noWrap/>
            <w:vAlign w:val="center"/>
            <w:hideMark/>
          </w:tcPr>
          <w:p w14:paraId="1171F97D" w14:textId="77777777" w:rsidR="003E66E8" w:rsidRPr="00617A89" w:rsidRDefault="003E66E8" w:rsidP="00ED7300">
            <w:pPr>
              <w:jc w:val="center"/>
              <w:rPr>
                <w:rFonts w:cs="Arial"/>
                <w:b/>
                <w:bCs/>
                <w:color w:val="000000" w:themeColor="text1"/>
                <w:sz w:val="18"/>
                <w:szCs w:val="18"/>
                <w:lang w:eastAsia="en-AU"/>
              </w:rPr>
            </w:pPr>
            <w:r w:rsidRPr="00617A89">
              <w:rPr>
                <w:rFonts w:cs="Arial"/>
                <w:b/>
                <w:bCs/>
                <w:color w:val="000000" w:themeColor="text1"/>
                <w:sz w:val="18"/>
                <w:lang w:eastAsia="en-AU"/>
              </w:rPr>
              <w:t>2.7</w:t>
            </w:r>
          </w:p>
        </w:tc>
        <w:tc>
          <w:tcPr>
            <w:tcW w:w="1209" w:type="dxa"/>
            <w:noWrap/>
            <w:vAlign w:val="center"/>
            <w:hideMark/>
          </w:tcPr>
          <w:p w14:paraId="5C7CE17D" w14:textId="77777777" w:rsidR="003E66E8" w:rsidRPr="00617A89" w:rsidRDefault="003E66E8" w:rsidP="00ED7300">
            <w:pPr>
              <w:jc w:val="center"/>
              <w:rPr>
                <w:rFonts w:cs="Arial"/>
                <w:b/>
                <w:bCs/>
                <w:color w:val="000000" w:themeColor="text1"/>
                <w:sz w:val="18"/>
                <w:szCs w:val="18"/>
                <w:lang w:eastAsia="en-AU"/>
              </w:rPr>
            </w:pPr>
            <w:r w:rsidRPr="00617A89">
              <w:rPr>
                <w:rFonts w:cs="Arial"/>
                <w:b/>
                <w:bCs/>
                <w:color w:val="000000" w:themeColor="text1"/>
                <w:sz w:val="18"/>
                <w:szCs w:val="18"/>
              </w:rPr>
              <w:t>95,000</w:t>
            </w:r>
          </w:p>
        </w:tc>
        <w:tc>
          <w:tcPr>
            <w:tcW w:w="1209" w:type="dxa"/>
            <w:noWrap/>
            <w:vAlign w:val="center"/>
            <w:hideMark/>
          </w:tcPr>
          <w:p w14:paraId="3DE35147" w14:textId="77777777" w:rsidR="003E66E8" w:rsidRPr="00617A89" w:rsidRDefault="003E66E8" w:rsidP="00ED7300">
            <w:pPr>
              <w:jc w:val="center"/>
              <w:rPr>
                <w:rFonts w:cs="Arial"/>
                <w:b/>
                <w:bCs/>
                <w:color w:val="000000" w:themeColor="text1"/>
                <w:sz w:val="18"/>
                <w:szCs w:val="18"/>
                <w:lang w:eastAsia="en-AU"/>
              </w:rPr>
            </w:pPr>
            <w:r w:rsidRPr="00617A89">
              <w:rPr>
                <w:rFonts w:cs="Arial"/>
                <w:b/>
                <w:bCs/>
                <w:color w:val="000000" w:themeColor="text1"/>
                <w:sz w:val="18"/>
                <w:szCs w:val="18"/>
              </w:rPr>
              <w:t>89,800</w:t>
            </w:r>
          </w:p>
        </w:tc>
        <w:tc>
          <w:tcPr>
            <w:tcW w:w="1210" w:type="dxa"/>
            <w:noWrap/>
            <w:vAlign w:val="center"/>
            <w:hideMark/>
          </w:tcPr>
          <w:p w14:paraId="54B1D49A" w14:textId="77777777" w:rsidR="003E66E8" w:rsidRPr="00617A89" w:rsidRDefault="003E66E8" w:rsidP="00ED7300">
            <w:pPr>
              <w:jc w:val="center"/>
              <w:rPr>
                <w:rFonts w:cs="Arial"/>
                <w:b/>
                <w:bCs/>
                <w:color w:val="000000" w:themeColor="text1"/>
                <w:sz w:val="18"/>
                <w:szCs w:val="18"/>
                <w:lang w:eastAsia="en-AU"/>
              </w:rPr>
            </w:pPr>
            <w:r w:rsidRPr="00617A89">
              <w:rPr>
                <w:rFonts w:cs="Arial"/>
                <w:b/>
                <w:bCs/>
                <w:color w:val="000000" w:themeColor="text1"/>
                <w:sz w:val="18"/>
                <w:szCs w:val="18"/>
                <w:lang w:eastAsia="en-AU"/>
              </w:rPr>
              <w:t>5.5</w:t>
            </w:r>
          </w:p>
        </w:tc>
      </w:tr>
      <w:tr w:rsidR="00C22852" w:rsidRPr="00617A89" w14:paraId="1E574202" w14:textId="77777777" w:rsidTr="002D3B23">
        <w:trPr>
          <w:trHeight w:val="309"/>
        </w:trPr>
        <w:tc>
          <w:tcPr>
            <w:tcW w:w="3437" w:type="dxa"/>
            <w:noWrap/>
            <w:vAlign w:val="center"/>
            <w:hideMark/>
          </w:tcPr>
          <w:p w14:paraId="43BFC437" w14:textId="77777777" w:rsidR="003E66E8" w:rsidRPr="00617A89" w:rsidRDefault="003E66E8" w:rsidP="00ED7300">
            <w:pPr>
              <w:rPr>
                <w:rFonts w:cs="Arial"/>
                <w:color w:val="000000" w:themeColor="text1"/>
                <w:sz w:val="18"/>
                <w:szCs w:val="18"/>
                <w:lang w:eastAsia="en-AU"/>
              </w:rPr>
            </w:pPr>
            <w:r w:rsidRPr="00617A89">
              <w:rPr>
                <w:rFonts w:cs="Arial"/>
                <w:color w:val="000000" w:themeColor="text1"/>
                <w:sz w:val="18"/>
                <w:szCs w:val="18"/>
                <w:lang w:eastAsia="en-AU"/>
              </w:rPr>
              <w:t>Standard deviation</w:t>
            </w:r>
          </w:p>
        </w:tc>
        <w:tc>
          <w:tcPr>
            <w:tcW w:w="1209" w:type="dxa"/>
            <w:noWrap/>
            <w:vAlign w:val="center"/>
            <w:hideMark/>
          </w:tcPr>
          <w:p w14:paraId="2ED74527"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lang w:eastAsia="en-AU"/>
              </w:rPr>
              <w:t>11,000</w:t>
            </w:r>
          </w:p>
        </w:tc>
        <w:tc>
          <w:tcPr>
            <w:tcW w:w="1209" w:type="dxa"/>
            <w:noWrap/>
            <w:vAlign w:val="center"/>
            <w:hideMark/>
          </w:tcPr>
          <w:p w14:paraId="1384B479"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8,800</w:t>
            </w:r>
          </w:p>
        </w:tc>
        <w:tc>
          <w:tcPr>
            <w:tcW w:w="1210" w:type="dxa"/>
            <w:noWrap/>
            <w:vAlign w:val="center"/>
            <w:hideMark/>
          </w:tcPr>
          <w:p w14:paraId="650C4E7C" w14:textId="77777777" w:rsidR="003E66E8" w:rsidRPr="00617A89" w:rsidRDefault="003E66E8" w:rsidP="00ED7300">
            <w:pPr>
              <w:jc w:val="center"/>
              <w:rPr>
                <w:rFonts w:cs="Arial"/>
                <w:color w:val="000000" w:themeColor="text1"/>
                <w:sz w:val="18"/>
                <w:szCs w:val="18"/>
                <w:lang w:eastAsia="en-AU"/>
              </w:rPr>
            </w:pPr>
          </w:p>
        </w:tc>
        <w:tc>
          <w:tcPr>
            <w:tcW w:w="1209" w:type="dxa"/>
            <w:noWrap/>
            <w:vAlign w:val="center"/>
            <w:hideMark/>
          </w:tcPr>
          <w:p w14:paraId="242BE4A8"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15,500</w:t>
            </w:r>
          </w:p>
        </w:tc>
        <w:tc>
          <w:tcPr>
            <w:tcW w:w="1209" w:type="dxa"/>
            <w:noWrap/>
            <w:vAlign w:val="center"/>
            <w:hideMark/>
          </w:tcPr>
          <w:p w14:paraId="42EFD34D" w14:textId="77777777" w:rsidR="003E66E8" w:rsidRPr="00617A89" w:rsidRDefault="003E66E8" w:rsidP="00ED7300">
            <w:pPr>
              <w:jc w:val="center"/>
              <w:rPr>
                <w:rFonts w:cs="Arial"/>
                <w:color w:val="000000" w:themeColor="text1"/>
                <w:sz w:val="18"/>
                <w:szCs w:val="18"/>
                <w:lang w:eastAsia="en-AU"/>
              </w:rPr>
            </w:pPr>
            <w:r w:rsidRPr="00617A89">
              <w:rPr>
                <w:rFonts w:cs="Arial"/>
                <w:color w:val="000000" w:themeColor="text1"/>
                <w:sz w:val="18"/>
                <w:szCs w:val="18"/>
              </w:rPr>
              <w:t>11,800</w:t>
            </w:r>
          </w:p>
        </w:tc>
        <w:tc>
          <w:tcPr>
            <w:tcW w:w="1210" w:type="dxa"/>
            <w:noWrap/>
            <w:vAlign w:val="center"/>
            <w:hideMark/>
          </w:tcPr>
          <w:p w14:paraId="058A1BC0" w14:textId="77777777" w:rsidR="003E66E8" w:rsidRPr="00617A89" w:rsidRDefault="003E66E8" w:rsidP="00ED7300">
            <w:pPr>
              <w:jc w:val="center"/>
              <w:rPr>
                <w:rFonts w:cs="Arial"/>
                <w:color w:val="000000" w:themeColor="text1"/>
                <w:sz w:val="18"/>
                <w:szCs w:val="18"/>
                <w:lang w:eastAsia="en-AU"/>
              </w:rPr>
            </w:pPr>
          </w:p>
        </w:tc>
      </w:tr>
    </w:tbl>
    <w:p w14:paraId="6E410542" w14:textId="59940B31" w:rsidR="00FA6999" w:rsidRPr="00617A89" w:rsidRDefault="00FA6999" w:rsidP="003E66E8">
      <w:pPr>
        <w:pStyle w:val="Caption"/>
        <w:ind w:left="0" w:firstLine="0"/>
        <w:rPr>
          <w:color w:val="000000" w:themeColor="text1"/>
        </w:rPr>
      </w:pPr>
    </w:p>
    <w:p w14:paraId="2DBC811C" w14:textId="40E9D9DC" w:rsidR="00674DAF" w:rsidRPr="00617A89" w:rsidRDefault="00674DAF" w:rsidP="00674DAF">
      <w:pPr>
        <w:pStyle w:val="Caption"/>
        <w:keepNext/>
        <w:rPr>
          <w:color w:val="000000" w:themeColor="text1"/>
        </w:rPr>
      </w:pPr>
      <w:bookmarkStart w:id="267" w:name="_Ref207356797"/>
      <w:bookmarkStart w:id="268" w:name="_Toc222868492"/>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22</w:t>
      </w:r>
      <w:r w:rsidR="00DB7C31" w:rsidRPr="00617A89">
        <w:rPr>
          <w:noProof/>
          <w:color w:val="000000" w:themeColor="text1"/>
        </w:rPr>
        <w:fldChar w:fldCharType="end"/>
      </w:r>
      <w:bookmarkEnd w:id="267"/>
      <w:r w:rsidR="002D3B23" w:rsidRPr="00617A89">
        <w:rPr>
          <w:color w:val="000000" w:themeColor="text1"/>
        </w:rPr>
        <w:tab/>
      </w:r>
      <w:r w:rsidRPr="00617A89">
        <w:rPr>
          <w:color w:val="000000" w:themeColor="text1"/>
        </w:rPr>
        <w:t>Postgraduate coursework median annual full-time salary by gender and study area</w:t>
      </w:r>
      <w:bookmarkEnd w:id="268"/>
    </w:p>
    <w:tbl>
      <w:tblPr>
        <w:tblStyle w:val="TableGrid1"/>
        <w:tblW w:w="10693" w:type="dxa"/>
        <w:tblLayout w:type="fixed"/>
        <w:tblLook w:val="04A0" w:firstRow="1" w:lastRow="0" w:firstColumn="1" w:lastColumn="0" w:noHBand="0" w:noVBand="1"/>
      </w:tblPr>
      <w:tblGrid>
        <w:gridCol w:w="3436"/>
        <w:gridCol w:w="1209"/>
        <w:gridCol w:w="1209"/>
        <w:gridCol w:w="1210"/>
        <w:gridCol w:w="1209"/>
        <w:gridCol w:w="1209"/>
        <w:gridCol w:w="1211"/>
      </w:tblGrid>
      <w:tr w:rsidR="00C22852" w:rsidRPr="00617A89" w14:paraId="39F2EF9E" w14:textId="77777777" w:rsidTr="002D3B23">
        <w:trPr>
          <w:trHeight w:val="500"/>
          <w:tblHeader/>
        </w:trPr>
        <w:tc>
          <w:tcPr>
            <w:tcW w:w="3437" w:type="dxa"/>
            <w:vAlign w:val="center"/>
          </w:tcPr>
          <w:p w14:paraId="33B1EB99" w14:textId="09D45B9D" w:rsidR="002D3B23" w:rsidRPr="00617A89" w:rsidRDefault="002D3B23" w:rsidP="002D3B23">
            <w:pPr>
              <w:rPr>
                <w:rFonts w:cs="Arial"/>
                <w:b/>
                <w:bCs/>
                <w:color w:val="000000" w:themeColor="text1"/>
                <w:sz w:val="18"/>
                <w:lang w:eastAsia="en-AU"/>
              </w:rPr>
            </w:pPr>
          </w:p>
        </w:tc>
        <w:tc>
          <w:tcPr>
            <w:tcW w:w="1209" w:type="dxa"/>
            <w:vAlign w:val="center"/>
          </w:tcPr>
          <w:p w14:paraId="2A0BEFA5" w14:textId="77777777"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Short-term (2022)</w:t>
            </w:r>
          </w:p>
        </w:tc>
        <w:tc>
          <w:tcPr>
            <w:tcW w:w="1209" w:type="dxa"/>
            <w:vAlign w:val="center"/>
          </w:tcPr>
          <w:p w14:paraId="26F54FC8" w14:textId="48AD7952"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Short-term (2022)</w:t>
            </w:r>
          </w:p>
        </w:tc>
        <w:tc>
          <w:tcPr>
            <w:tcW w:w="1210" w:type="dxa"/>
            <w:vAlign w:val="center"/>
          </w:tcPr>
          <w:p w14:paraId="4BA8154D" w14:textId="17D68C1A"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Short-term (2022)</w:t>
            </w:r>
          </w:p>
        </w:tc>
        <w:tc>
          <w:tcPr>
            <w:tcW w:w="1209" w:type="dxa"/>
            <w:vAlign w:val="center"/>
          </w:tcPr>
          <w:p w14:paraId="2320D64D" w14:textId="77777777"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Medium-term (2025)</w:t>
            </w:r>
          </w:p>
        </w:tc>
        <w:tc>
          <w:tcPr>
            <w:tcW w:w="1209" w:type="dxa"/>
          </w:tcPr>
          <w:p w14:paraId="3DCA19F2" w14:textId="4493A6BA"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Medium-term (2025)</w:t>
            </w:r>
          </w:p>
        </w:tc>
        <w:tc>
          <w:tcPr>
            <w:tcW w:w="1210" w:type="dxa"/>
          </w:tcPr>
          <w:p w14:paraId="0A45FC76" w14:textId="4AA463D2" w:rsidR="002D3B23" w:rsidRPr="00617A89" w:rsidRDefault="002D3B23" w:rsidP="002D3B23">
            <w:pPr>
              <w:jc w:val="center"/>
              <w:rPr>
                <w:rFonts w:cs="Arial"/>
                <w:b/>
                <w:bCs/>
                <w:color w:val="000000" w:themeColor="text1"/>
                <w:sz w:val="18"/>
                <w:lang w:eastAsia="en-AU"/>
              </w:rPr>
            </w:pPr>
            <w:r w:rsidRPr="00617A89">
              <w:rPr>
                <w:rFonts w:cs="Arial"/>
                <w:b/>
                <w:bCs/>
                <w:color w:val="000000" w:themeColor="text1"/>
                <w:sz w:val="18"/>
                <w:lang w:eastAsia="en-AU"/>
              </w:rPr>
              <w:t>Medium-term (2025)</w:t>
            </w:r>
          </w:p>
        </w:tc>
      </w:tr>
      <w:tr w:rsidR="00C22852" w:rsidRPr="00617A89" w14:paraId="7BB02C54" w14:textId="77777777" w:rsidTr="002D3B23">
        <w:trPr>
          <w:trHeight w:val="705"/>
          <w:tblHeader/>
        </w:trPr>
        <w:tc>
          <w:tcPr>
            <w:tcW w:w="3437" w:type="dxa"/>
            <w:vAlign w:val="bottom"/>
            <w:hideMark/>
          </w:tcPr>
          <w:p w14:paraId="37DF5571" w14:textId="32CB4DEF" w:rsidR="00674DAF" w:rsidRPr="00617A89" w:rsidRDefault="002D3B23" w:rsidP="002D3B23">
            <w:pPr>
              <w:rPr>
                <w:rFonts w:cs="Arial"/>
                <w:b/>
                <w:bCs/>
                <w:color w:val="000000" w:themeColor="text1"/>
                <w:sz w:val="18"/>
                <w:szCs w:val="18"/>
                <w:lang w:eastAsia="en-AU"/>
              </w:rPr>
            </w:pPr>
            <w:r w:rsidRPr="00617A89">
              <w:rPr>
                <w:rFonts w:cs="Arial"/>
                <w:b/>
                <w:bCs/>
                <w:color w:val="000000" w:themeColor="text1"/>
                <w:sz w:val="18"/>
                <w:szCs w:val="18"/>
                <w:lang w:eastAsia="en-AU"/>
              </w:rPr>
              <w:t> </w:t>
            </w:r>
            <w:r w:rsidRPr="00617A89">
              <w:rPr>
                <w:rFonts w:cs="Arial"/>
                <w:b/>
                <w:bCs/>
                <w:color w:val="000000" w:themeColor="text1"/>
                <w:sz w:val="18"/>
                <w:lang w:eastAsia="en-AU"/>
              </w:rPr>
              <w:t>Study area</w:t>
            </w:r>
          </w:p>
        </w:tc>
        <w:tc>
          <w:tcPr>
            <w:tcW w:w="1209" w:type="dxa"/>
            <w:vAlign w:val="bottom"/>
            <w:hideMark/>
          </w:tcPr>
          <w:p w14:paraId="0DDDB01D" w14:textId="77777777" w:rsidR="00674DAF" w:rsidRPr="00617A89" w:rsidRDefault="00674DAF"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Male median salary ($)</w:t>
            </w:r>
          </w:p>
        </w:tc>
        <w:tc>
          <w:tcPr>
            <w:tcW w:w="1209" w:type="dxa"/>
            <w:vAlign w:val="bottom"/>
            <w:hideMark/>
          </w:tcPr>
          <w:p w14:paraId="0CB9F6C5" w14:textId="77777777" w:rsidR="00674DAF" w:rsidRPr="00617A89" w:rsidRDefault="00674DAF"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Female median salary ($)</w:t>
            </w:r>
          </w:p>
        </w:tc>
        <w:tc>
          <w:tcPr>
            <w:tcW w:w="1210" w:type="dxa"/>
            <w:vAlign w:val="bottom"/>
            <w:hideMark/>
          </w:tcPr>
          <w:p w14:paraId="553C99D0" w14:textId="1DBBA390" w:rsidR="00674DAF" w:rsidRPr="00617A89" w:rsidRDefault="00674DAF"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Gender pay gap</w:t>
            </w:r>
            <w:r w:rsidR="00612E1A" w:rsidRPr="00617A89">
              <w:rPr>
                <w:rFonts w:cs="Arial"/>
                <w:b/>
                <w:bCs/>
                <w:color w:val="000000" w:themeColor="text1"/>
                <w:sz w:val="18"/>
                <w:szCs w:val="18"/>
                <w:lang w:eastAsia="en-AU"/>
              </w:rPr>
              <w:t xml:space="preserve"> (%)</w:t>
            </w:r>
          </w:p>
        </w:tc>
        <w:tc>
          <w:tcPr>
            <w:tcW w:w="1209" w:type="dxa"/>
            <w:vAlign w:val="bottom"/>
            <w:hideMark/>
          </w:tcPr>
          <w:p w14:paraId="10E5ADE3" w14:textId="77777777" w:rsidR="00674DAF" w:rsidRPr="00617A89" w:rsidRDefault="00674DAF"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Male median salary ($)</w:t>
            </w:r>
          </w:p>
        </w:tc>
        <w:tc>
          <w:tcPr>
            <w:tcW w:w="1208" w:type="dxa"/>
            <w:noWrap/>
            <w:vAlign w:val="bottom"/>
            <w:hideMark/>
          </w:tcPr>
          <w:p w14:paraId="564C9177" w14:textId="77777777" w:rsidR="00674DAF" w:rsidRPr="00617A89" w:rsidRDefault="00674DAF"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Female median salary ($)</w:t>
            </w:r>
          </w:p>
        </w:tc>
        <w:tc>
          <w:tcPr>
            <w:tcW w:w="1211" w:type="dxa"/>
            <w:noWrap/>
            <w:vAlign w:val="bottom"/>
            <w:hideMark/>
          </w:tcPr>
          <w:p w14:paraId="52755E51" w14:textId="0E3F1D54" w:rsidR="00674DAF" w:rsidRPr="00617A89" w:rsidRDefault="00674DAF" w:rsidP="002D3B23">
            <w:pPr>
              <w:jc w:val="center"/>
              <w:rPr>
                <w:rFonts w:cs="Arial"/>
                <w:b/>
                <w:bCs/>
                <w:color w:val="000000" w:themeColor="text1"/>
                <w:sz w:val="18"/>
                <w:szCs w:val="18"/>
                <w:lang w:eastAsia="en-AU"/>
              </w:rPr>
            </w:pPr>
            <w:r w:rsidRPr="00617A89">
              <w:rPr>
                <w:rFonts w:cs="Arial"/>
                <w:b/>
                <w:bCs/>
                <w:color w:val="000000" w:themeColor="text1"/>
                <w:sz w:val="18"/>
                <w:szCs w:val="18"/>
                <w:lang w:eastAsia="en-AU"/>
              </w:rPr>
              <w:t>Gender pay gap</w:t>
            </w:r>
            <w:r w:rsidR="00612E1A" w:rsidRPr="00617A89">
              <w:rPr>
                <w:rFonts w:cs="Arial"/>
                <w:b/>
                <w:bCs/>
                <w:color w:val="000000" w:themeColor="text1"/>
                <w:sz w:val="18"/>
                <w:szCs w:val="18"/>
                <w:lang w:eastAsia="en-AU"/>
              </w:rPr>
              <w:t xml:space="preserve"> (%)</w:t>
            </w:r>
          </w:p>
        </w:tc>
      </w:tr>
      <w:tr w:rsidR="00C22852" w:rsidRPr="00617A89" w14:paraId="0E2E2AEB" w14:textId="77777777" w:rsidTr="002D3B23">
        <w:trPr>
          <w:trHeight w:val="309"/>
        </w:trPr>
        <w:tc>
          <w:tcPr>
            <w:tcW w:w="3437" w:type="dxa"/>
            <w:noWrap/>
            <w:vAlign w:val="center"/>
            <w:hideMark/>
          </w:tcPr>
          <w:p w14:paraId="30A189BA" w14:textId="1E53FE94"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Agriculture and environmental studies</w:t>
            </w:r>
          </w:p>
        </w:tc>
        <w:tc>
          <w:tcPr>
            <w:tcW w:w="1209" w:type="dxa"/>
            <w:noWrap/>
            <w:vAlign w:val="center"/>
            <w:hideMark/>
          </w:tcPr>
          <w:p w14:paraId="402D7E1C" w14:textId="2C0E3567"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82,500</w:t>
            </w:r>
          </w:p>
        </w:tc>
        <w:tc>
          <w:tcPr>
            <w:tcW w:w="1209" w:type="dxa"/>
            <w:noWrap/>
            <w:vAlign w:val="center"/>
            <w:hideMark/>
          </w:tcPr>
          <w:p w14:paraId="2C4BD456" w14:textId="410AF1C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80,000</w:t>
            </w:r>
          </w:p>
        </w:tc>
        <w:tc>
          <w:tcPr>
            <w:tcW w:w="1210" w:type="dxa"/>
            <w:noWrap/>
            <w:vAlign w:val="center"/>
            <w:hideMark/>
          </w:tcPr>
          <w:p w14:paraId="741DAAC0" w14:textId="1DA6E82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3.0</w:t>
            </w:r>
          </w:p>
        </w:tc>
        <w:tc>
          <w:tcPr>
            <w:tcW w:w="1209" w:type="dxa"/>
            <w:noWrap/>
            <w:vAlign w:val="center"/>
            <w:hideMark/>
          </w:tcPr>
          <w:p w14:paraId="312C7AD7" w14:textId="0BDA3AB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118,500</w:t>
            </w:r>
          </w:p>
        </w:tc>
        <w:tc>
          <w:tcPr>
            <w:tcW w:w="1208" w:type="dxa"/>
            <w:noWrap/>
            <w:vAlign w:val="center"/>
            <w:hideMark/>
          </w:tcPr>
          <w:p w14:paraId="127163F3" w14:textId="017729E9"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97,600</w:t>
            </w:r>
          </w:p>
        </w:tc>
        <w:tc>
          <w:tcPr>
            <w:tcW w:w="1211" w:type="dxa"/>
            <w:noWrap/>
            <w:vAlign w:val="center"/>
            <w:hideMark/>
          </w:tcPr>
          <w:p w14:paraId="23140C97" w14:textId="0F4164A1"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17.6</w:t>
            </w:r>
          </w:p>
        </w:tc>
      </w:tr>
      <w:tr w:rsidR="00C22852" w:rsidRPr="00617A89" w14:paraId="6BD094CB" w14:textId="77777777" w:rsidTr="002D3B23">
        <w:trPr>
          <w:trHeight w:val="309"/>
        </w:trPr>
        <w:tc>
          <w:tcPr>
            <w:tcW w:w="3437" w:type="dxa"/>
            <w:noWrap/>
            <w:vAlign w:val="center"/>
            <w:hideMark/>
          </w:tcPr>
          <w:p w14:paraId="00EF3F55" w14:textId="7BAE2404"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Architecture and built environment</w:t>
            </w:r>
          </w:p>
        </w:tc>
        <w:tc>
          <w:tcPr>
            <w:tcW w:w="1209" w:type="dxa"/>
            <w:noWrap/>
            <w:vAlign w:val="center"/>
            <w:hideMark/>
          </w:tcPr>
          <w:p w14:paraId="755D4544" w14:textId="43A1B87F"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75,000</w:t>
            </w:r>
          </w:p>
        </w:tc>
        <w:tc>
          <w:tcPr>
            <w:tcW w:w="1209" w:type="dxa"/>
            <w:noWrap/>
            <w:vAlign w:val="center"/>
            <w:hideMark/>
          </w:tcPr>
          <w:p w14:paraId="1637340C" w14:textId="3CF8EB9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70,000</w:t>
            </w:r>
          </w:p>
        </w:tc>
        <w:tc>
          <w:tcPr>
            <w:tcW w:w="1210" w:type="dxa"/>
            <w:noWrap/>
            <w:vAlign w:val="center"/>
            <w:hideMark/>
          </w:tcPr>
          <w:p w14:paraId="5ED4766A" w14:textId="2723E21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6.7</w:t>
            </w:r>
          </w:p>
        </w:tc>
        <w:tc>
          <w:tcPr>
            <w:tcW w:w="1209" w:type="dxa"/>
            <w:noWrap/>
            <w:vAlign w:val="center"/>
            <w:hideMark/>
          </w:tcPr>
          <w:p w14:paraId="17CFBA58" w14:textId="19A8CDC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100,000</w:t>
            </w:r>
          </w:p>
        </w:tc>
        <w:tc>
          <w:tcPr>
            <w:tcW w:w="1208" w:type="dxa"/>
            <w:noWrap/>
            <w:vAlign w:val="center"/>
            <w:hideMark/>
          </w:tcPr>
          <w:p w14:paraId="172C82C9" w14:textId="41CEA325"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90,000</w:t>
            </w:r>
          </w:p>
        </w:tc>
        <w:tc>
          <w:tcPr>
            <w:tcW w:w="1211" w:type="dxa"/>
            <w:noWrap/>
            <w:vAlign w:val="center"/>
            <w:hideMark/>
          </w:tcPr>
          <w:p w14:paraId="21A21111" w14:textId="5ABE30C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10.0</w:t>
            </w:r>
          </w:p>
        </w:tc>
      </w:tr>
      <w:tr w:rsidR="00C22852" w:rsidRPr="00617A89" w14:paraId="52723C53" w14:textId="77777777" w:rsidTr="002D3B23">
        <w:trPr>
          <w:trHeight w:val="309"/>
        </w:trPr>
        <w:tc>
          <w:tcPr>
            <w:tcW w:w="3437" w:type="dxa"/>
            <w:noWrap/>
            <w:vAlign w:val="center"/>
            <w:hideMark/>
          </w:tcPr>
          <w:p w14:paraId="75D25AEB" w14:textId="585FFE8D"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Business and management</w:t>
            </w:r>
          </w:p>
        </w:tc>
        <w:tc>
          <w:tcPr>
            <w:tcW w:w="1209" w:type="dxa"/>
            <w:noWrap/>
            <w:vAlign w:val="center"/>
            <w:hideMark/>
          </w:tcPr>
          <w:p w14:paraId="21F6CE74" w14:textId="7990EB62"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122,500</w:t>
            </w:r>
          </w:p>
        </w:tc>
        <w:tc>
          <w:tcPr>
            <w:tcW w:w="1209" w:type="dxa"/>
            <w:noWrap/>
            <w:vAlign w:val="center"/>
            <w:hideMark/>
          </w:tcPr>
          <w:p w14:paraId="145AECF8" w14:textId="2CEF713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108,000</w:t>
            </w:r>
          </w:p>
        </w:tc>
        <w:tc>
          <w:tcPr>
            <w:tcW w:w="1210" w:type="dxa"/>
            <w:noWrap/>
            <w:vAlign w:val="center"/>
            <w:hideMark/>
          </w:tcPr>
          <w:p w14:paraId="7F419BBD" w14:textId="26A4D39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11.8</w:t>
            </w:r>
          </w:p>
        </w:tc>
        <w:tc>
          <w:tcPr>
            <w:tcW w:w="1209" w:type="dxa"/>
            <w:noWrap/>
            <w:vAlign w:val="center"/>
            <w:hideMark/>
          </w:tcPr>
          <w:p w14:paraId="1300A3F7" w14:textId="2CFBA563"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150,000</w:t>
            </w:r>
          </w:p>
        </w:tc>
        <w:tc>
          <w:tcPr>
            <w:tcW w:w="1208" w:type="dxa"/>
            <w:noWrap/>
            <w:vAlign w:val="center"/>
            <w:hideMark/>
          </w:tcPr>
          <w:p w14:paraId="1A9EE96A" w14:textId="01CC6E2B"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132,000</w:t>
            </w:r>
          </w:p>
        </w:tc>
        <w:tc>
          <w:tcPr>
            <w:tcW w:w="1211" w:type="dxa"/>
            <w:noWrap/>
            <w:vAlign w:val="center"/>
            <w:hideMark/>
          </w:tcPr>
          <w:p w14:paraId="5D6D4133" w14:textId="4D63312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12.0</w:t>
            </w:r>
          </w:p>
        </w:tc>
      </w:tr>
      <w:tr w:rsidR="00C22852" w:rsidRPr="00617A89" w14:paraId="5B2C1DDC" w14:textId="77777777" w:rsidTr="002D3B23">
        <w:trPr>
          <w:trHeight w:val="309"/>
        </w:trPr>
        <w:tc>
          <w:tcPr>
            <w:tcW w:w="3437" w:type="dxa"/>
            <w:noWrap/>
            <w:vAlign w:val="center"/>
            <w:hideMark/>
          </w:tcPr>
          <w:p w14:paraId="03FC3DAA" w14:textId="4811B784"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Communications</w:t>
            </w:r>
          </w:p>
        </w:tc>
        <w:tc>
          <w:tcPr>
            <w:tcW w:w="1209" w:type="dxa"/>
            <w:noWrap/>
            <w:vAlign w:val="center"/>
            <w:hideMark/>
          </w:tcPr>
          <w:p w14:paraId="7ED64359" w14:textId="553109F2"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7CE2AE0E" w14:textId="01C918DF"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75,700</w:t>
            </w:r>
          </w:p>
        </w:tc>
        <w:tc>
          <w:tcPr>
            <w:tcW w:w="1210" w:type="dxa"/>
            <w:noWrap/>
            <w:vAlign w:val="center"/>
            <w:hideMark/>
          </w:tcPr>
          <w:p w14:paraId="1F3C51B0" w14:textId="1DD9F81D"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n/a</w:t>
            </w:r>
          </w:p>
        </w:tc>
        <w:tc>
          <w:tcPr>
            <w:tcW w:w="1209" w:type="dxa"/>
            <w:noWrap/>
            <w:vAlign w:val="center"/>
            <w:hideMark/>
          </w:tcPr>
          <w:p w14:paraId="6816977D" w14:textId="4297732B"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97,000</w:t>
            </w:r>
          </w:p>
        </w:tc>
        <w:tc>
          <w:tcPr>
            <w:tcW w:w="1208" w:type="dxa"/>
            <w:noWrap/>
            <w:vAlign w:val="center"/>
            <w:hideMark/>
          </w:tcPr>
          <w:p w14:paraId="45BE8C59" w14:textId="32AE2F13"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92,000</w:t>
            </w:r>
          </w:p>
        </w:tc>
        <w:tc>
          <w:tcPr>
            <w:tcW w:w="1211" w:type="dxa"/>
            <w:noWrap/>
            <w:vAlign w:val="center"/>
            <w:hideMark/>
          </w:tcPr>
          <w:p w14:paraId="3A1B086D" w14:textId="716117E7"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5.2</w:t>
            </w:r>
          </w:p>
        </w:tc>
      </w:tr>
      <w:tr w:rsidR="00C22852" w:rsidRPr="00617A89" w14:paraId="2C5DD886" w14:textId="77777777" w:rsidTr="002D3B23">
        <w:trPr>
          <w:trHeight w:val="309"/>
        </w:trPr>
        <w:tc>
          <w:tcPr>
            <w:tcW w:w="3437" w:type="dxa"/>
            <w:noWrap/>
            <w:vAlign w:val="center"/>
            <w:hideMark/>
          </w:tcPr>
          <w:p w14:paraId="5420E8E3" w14:textId="0087EE14"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Computing and information systems</w:t>
            </w:r>
          </w:p>
        </w:tc>
        <w:tc>
          <w:tcPr>
            <w:tcW w:w="1209" w:type="dxa"/>
            <w:noWrap/>
            <w:vAlign w:val="center"/>
            <w:hideMark/>
          </w:tcPr>
          <w:p w14:paraId="0D932E53" w14:textId="143DBA3F"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104,400</w:t>
            </w:r>
          </w:p>
        </w:tc>
        <w:tc>
          <w:tcPr>
            <w:tcW w:w="1209" w:type="dxa"/>
            <w:noWrap/>
            <w:vAlign w:val="center"/>
            <w:hideMark/>
          </w:tcPr>
          <w:p w14:paraId="6264E22B" w14:textId="1A8E3877"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97,900</w:t>
            </w:r>
          </w:p>
        </w:tc>
        <w:tc>
          <w:tcPr>
            <w:tcW w:w="1210" w:type="dxa"/>
            <w:noWrap/>
            <w:vAlign w:val="center"/>
            <w:hideMark/>
          </w:tcPr>
          <w:p w14:paraId="5345786B" w14:textId="1C54FAE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6.2</w:t>
            </w:r>
          </w:p>
        </w:tc>
        <w:tc>
          <w:tcPr>
            <w:tcW w:w="1209" w:type="dxa"/>
            <w:noWrap/>
            <w:vAlign w:val="center"/>
            <w:hideMark/>
          </w:tcPr>
          <w:p w14:paraId="2B2970D2" w14:textId="32CB5949"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130,000</w:t>
            </w:r>
          </w:p>
        </w:tc>
        <w:tc>
          <w:tcPr>
            <w:tcW w:w="1208" w:type="dxa"/>
            <w:noWrap/>
            <w:vAlign w:val="center"/>
            <w:hideMark/>
          </w:tcPr>
          <w:p w14:paraId="6FD9FADC" w14:textId="37322D8B"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119,600</w:t>
            </w:r>
          </w:p>
        </w:tc>
        <w:tc>
          <w:tcPr>
            <w:tcW w:w="1211" w:type="dxa"/>
            <w:noWrap/>
            <w:vAlign w:val="center"/>
            <w:hideMark/>
          </w:tcPr>
          <w:p w14:paraId="1879AA35" w14:textId="34DEF35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8.0</w:t>
            </w:r>
          </w:p>
        </w:tc>
      </w:tr>
      <w:tr w:rsidR="00C22852" w:rsidRPr="00617A89" w14:paraId="45AF9274" w14:textId="77777777" w:rsidTr="002D3B23">
        <w:trPr>
          <w:trHeight w:val="309"/>
        </w:trPr>
        <w:tc>
          <w:tcPr>
            <w:tcW w:w="3437" w:type="dxa"/>
            <w:noWrap/>
            <w:vAlign w:val="center"/>
            <w:hideMark/>
          </w:tcPr>
          <w:p w14:paraId="64648A72" w14:textId="1AE41C45"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Creative arts</w:t>
            </w:r>
          </w:p>
        </w:tc>
        <w:tc>
          <w:tcPr>
            <w:tcW w:w="1209" w:type="dxa"/>
            <w:noWrap/>
            <w:vAlign w:val="center"/>
            <w:hideMark/>
          </w:tcPr>
          <w:p w14:paraId="002021BE" w14:textId="7871FD8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6BBB1FD5" w14:textId="1F20A98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70,000</w:t>
            </w:r>
          </w:p>
        </w:tc>
        <w:tc>
          <w:tcPr>
            <w:tcW w:w="1210" w:type="dxa"/>
            <w:noWrap/>
            <w:vAlign w:val="center"/>
            <w:hideMark/>
          </w:tcPr>
          <w:p w14:paraId="04C115DC" w14:textId="29C7B44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n/a</w:t>
            </w:r>
          </w:p>
        </w:tc>
        <w:tc>
          <w:tcPr>
            <w:tcW w:w="1209" w:type="dxa"/>
            <w:noWrap/>
            <w:vAlign w:val="center"/>
            <w:hideMark/>
          </w:tcPr>
          <w:p w14:paraId="7E7054F0" w14:textId="5FB210C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96,000</w:t>
            </w:r>
          </w:p>
        </w:tc>
        <w:tc>
          <w:tcPr>
            <w:tcW w:w="1208" w:type="dxa"/>
            <w:noWrap/>
            <w:vAlign w:val="center"/>
            <w:hideMark/>
          </w:tcPr>
          <w:p w14:paraId="367767FC" w14:textId="69B44C5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100,000</w:t>
            </w:r>
          </w:p>
        </w:tc>
        <w:tc>
          <w:tcPr>
            <w:tcW w:w="1211" w:type="dxa"/>
            <w:noWrap/>
            <w:vAlign w:val="center"/>
            <w:hideMark/>
          </w:tcPr>
          <w:p w14:paraId="1DDCFE7F" w14:textId="682A960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-4.2</w:t>
            </w:r>
          </w:p>
        </w:tc>
      </w:tr>
      <w:tr w:rsidR="00C22852" w:rsidRPr="00617A89" w14:paraId="603325E2" w14:textId="77777777" w:rsidTr="002D3B23">
        <w:trPr>
          <w:trHeight w:val="309"/>
        </w:trPr>
        <w:tc>
          <w:tcPr>
            <w:tcW w:w="3437" w:type="dxa"/>
            <w:noWrap/>
            <w:vAlign w:val="center"/>
            <w:hideMark/>
          </w:tcPr>
          <w:p w14:paraId="4C1FA009" w14:textId="4920F464"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Dentistry</w:t>
            </w:r>
          </w:p>
        </w:tc>
        <w:tc>
          <w:tcPr>
            <w:tcW w:w="1209" w:type="dxa"/>
            <w:noWrap/>
            <w:vAlign w:val="center"/>
            <w:hideMark/>
          </w:tcPr>
          <w:p w14:paraId="744B62C4" w14:textId="4C5F2675"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0B18EFD1" w14:textId="11952382"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10" w:type="dxa"/>
            <w:noWrap/>
            <w:vAlign w:val="center"/>
            <w:hideMark/>
          </w:tcPr>
          <w:p w14:paraId="56B4ED15" w14:textId="20C84A6B"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n/a</w:t>
            </w:r>
          </w:p>
        </w:tc>
        <w:tc>
          <w:tcPr>
            <w:tcW w:w="1209" w:type="dxa"/>
            <w:noWrap/>
            <w:vAlign w:val="center"/>
            <w:hideMark/>
          </w:tcPr>
          <w:p w14:paraId="75F81565" w14:textId="6987E8E9"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8" w:type="dxa"/>
            <w:noWrap/>
            <w:vAlign w:val="center"/>
            <w:hideMark/>
          </w:tcPr>
          <w:p w14:paraId="4959AA91" w14:textId="0A5E7CD1"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11" w:type="dxa"/>
            <w:noWrap/>
            <w:vAlign w:val="center"/>
            <w:hideMark/>
          </w:tcPr>
          <w:p w14:paraId="0FF165A7" w14:textId="7FAACB9B"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r>
      <w:tr w:rsidR="00C22852" w:rsidRPr="00617A89" w14:paraId="70564356" w14:textId="77777777" w:rsidTr="002D3B23">
        <w:trPr>
          <w:trHeight w:val="309"/>
        </w:trPr>
        <w:tc>
          <w:tcPr>
            <w:tcW w:w="3437" w:type="dxa"/>
            <w:noWrap/>
            <w:vAlign w:val="center"/>
            <w:hideMark/>
          </w:tcPr>
          <w:p w14:paraId="2B3C7C6E" w14:textId="604B1D0D"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Engineering</w:t>
            </w:r>
          </w:p>
        </w:tc>
        <w:tc>
          <w:tcPr>
            <w:tcW w:w="1209" w:type="dxa"/>
            <w:noWrap/>
            <w:vAlign w:val="center"/>
            <w:hideMark/>
          </w:tcPr>
          <w:p w14:paraId="4A7E5523" w14:textId="08EB00B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101,000</w:t>
            </w:r>
          </w:p>
        </w:tc>
        <w:tc>
          <w:tcPr>
            <w:tcW w:w="1209" w:type="dxa"/>
            <w:noWrap/>
            <w:vAlign w:val="center"/>
            <w:hideMark/>
          </w:tcPr>
          <w:p w14:paraId="6B94FD00" w14:textId="42CCD9DD"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75,800</w:t>
            </w:r>
          </w:p>
        </w:tc>
        <w:tc>
          <w:tcPr>
            <w:tcW w:w="1210" w:type="dxa"/>
            <w:noWrap/>
            <w:vAlign w:val="center"/>
            <w:hideMark/>
          </w:tcPr>
          <w:p w14:paraId="4DBAC84F" w14:textId="032B381C"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25.0</w:t>
            </w:r>
          </w:p>
        </w:tc>
        <w:tc>
          <w:tcPr>
            <w:tcW w:w="1209" w:type="dxa"/>
            <w:noWrap/>
            <w:vAlign w:val="center"/>
            <w:hideMark/>
          </w:tcPr>
          <w:p w14:paraId="11A35A57" w14:textId="601B19D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132,000</w:t>
            </w:r>
          </w:p>
        </w:tc>
        <w:tc>
          <w:tcPr>
            <w:tcW w:w="1208" w:type="dxa"/>
            <w:noWrap/>
            <w:vAlign w:val="center"/>
            <w:hideMark/>
          </w:tcPr>
          <w:p w14:paraId="42CD74B3" w14:textId="6F22D09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107,200</w:t>
            </w:r>
          </w:p>
        </w:tc>
        <w:tc>
          <w:tcPr>
            <w:tcW w:w="1211" w:type="dxa"/>
            <w:noWrap/>
            <w:vAlign w:val="center"/>
            <w:hideMark/>
          </w:tcPr>
          <w:p w14:paraId="5F02E09A" w14:textId="44CAEF6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18.8</w:t>
            </w:r>
          </w:p>
        </w:tc>
      </w:tr>
      <w:tr w:rsidR="00C22852" w:rsidRPr="00617A89" w14:paraId="51A94A98" w14:textId="77777777" w:rsidTr="002D3B23">
        <w:trPr>
          <w:trHeight w:val="309"/>
        </w:trPr>
        <w:tc>
          <w:tcPr>
            <w:tcW w:w="3437" w:type="dxa"/>
            <w:noWrap/>
            <w:vAlign w:val="center"/>
            <w:hideMark/>
          </w:tcPr>
          <w:p w14:paraId="24A34E38" w14:textId="56AB6A46"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Health services and support</w:t>
            </w:r>
          </w:p>
        </w:tc>
        <w:tc>
          <w:tcPr>
            <w:tcW w:w="1209" w:type="dxa"/>
            <w:noWrap/>
            <w:vAlign w:val="center"/>
            <w:hideMark/>
          </w:tcPr>
          <w:p w14:paraId="27FC8A85" w14:textId="5B29D7C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100,200</w:t>
            </w:r>
          </w:p>
        </w:tc>
        <w:tc>
          <w:tcPr>
            <w:tcW w:w="1209" w:type="dxa"/>
            <w:noWrap/>
            <w:vAlign w:val="center"/>
            <w:hideMark/>
          </w:tcPr>
          <w:p w14:paraId="1E5AD16E" w14:textId="648EAB9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90,800</w:t>
            </w:r>
          </w:p>
        </w:tc>
        <w:tc>
          <w:tcPr>
            <w:tcW w:w="1210" w:type="dxa"/>
            <w:noWrap/>
            <w:vAlign w:val="center"/>
            <w:hideMark/>
          </w:tcPr>
          <w:p w14:paraId="1D213CE2" w14:textId="2C142DC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9.4</w:t>
            </w:r>
          </w:p>
        </w:tc>
        <w:tc>
          <w:tcPr>
            <w:tcW w:w="1209" w:type="dxa"/>
            <w:noWrap/>
            <w:vAlign w:val="center"/>
            <w:hideMark/>
          </w:tcPr>
          <w:p w14:paraId="1F296E5D" w14:textId="5A505A18"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128,000</w:t>
            </w:r>
          </w:p>
        </w:tc>
        <w:tc>
          <w:tcPr>
            <w:tcW w:w="1208" w:type="dxa"/>
            <w:noWrap/>
            <w:vAlign w:val="center"/>
            <w:hideMark/>
          </w:tcPr>
          <w:p w14:paraId="137BAB79" w14:textId="752578E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110,000</w:t>
            </w:r>
          </w:p>
        </w:tc>
        <w:tc>
          <w:tcPr>
            <w:tcW w:w="1211" w:type="dxa"/>
            <w:noWrap/>
            <w:vAlign w:val="center"/>
            <w:hideMark/>
          </w:tcPr>
          <w:p w14:paraId="0A6DF197" w14:textId="384E056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14.1</w:t>
            </w:r>
          </w:p>
        </w:tc>
      </w:tr>
      <w:tr w:rsidR="00C22852" w:rsidRPr="00617A89" w14:paraId="21F0B200" w14:textId="77777777" w:rsidTr="002D3B23">
        <w:trPr>
          <w:trHeight w:val="309"/>
        </w:trPr>
        <w:tc>
          <w:tcPr>
            <w:tcW w:w="3437" w:type="dxa"/>
            <w:noWrap/>
            <w:vAlign w:val="center"/>
            <w:hideMark/>
          </w:tcPr>
          <w:p w14:paraId="5EFCB32E" w14:textId="1A22F46E"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Humanities, culture and social sciences</w:t>
            </w:r>
          </w:p>
        </w:tc>
        <w:tc>
          <w:tcPr>
            <w:tcW w:w="1209" w:type="dxa"/>
            <w:noWrap/>
            <w:vAlign w:val="center"/>
            <w:hideMark/>
          </w:tcPr>
          <w:p w14:paraId="1F72D211" w14:textId="0A50E36C"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86,000</w:t>
            </w:r>
          </w:p>
        </w:tc>
        <w:tc>
          <w:tcPr>
            <w:tcW w:w="1209" w:type="dxa"/>
            <w:noWrap/>
            <w:vAlign w:val="center"/>
            <w:hideMark/>
          </w:tcPr>
          <w:p w14:paraId="12F18E4D" w14:textId="70963E0D"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85,300</w:t>
            </w:r>
          </w:p>
        </w:tc>
        <w:tc>
          <w:tcPr>
            <w:tcW w:w="1210" w:type="dxa"/>
            <w:noWrap/>
            <w:vAlign w:val="center"/>
            <w:hideMark/>
          </w:tcPr>
          <w:p w14:paraId="57ECD552" w14:textId="1D2C766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0.8</w:t>
            </w:r>
          </w:p>
        </w:tc>
        <w:tc>
          <w:tcPr>
            <w:tcW w:w="1209" w:type="dxa"/>
            <w:noWrap/>
            <w:vAlign w:val="center"/>
            <w:hideMark/>
          </w:tcPr>
          <w:p w14:paraId="33C09138" w14:textId="46282A3D"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103,000</w:t>
            </w:r>
          </w:p>
        </w:tc>
        <w:tc>
          <w:tcPr>
            <w:tcW w:w="1208" w:type="dxa"/>
            <w:noWrap/>
            <w:vAlign w:val="center"/>
            <w:hideMark/>
          </w:tcPr>
          <w:p w14:paraId="7D8FD06E" w14:textId="496AB5EB"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102,000</w:t>
            </w:r>
          </w:p>
        </w:tc>
        <w:tc>
          <w:tcPr>
            <w:tcW w:w="1211" w:type="dxa"/>
            <w:noWrap/>
            <w:vAlign w:val="center"/>
            <w:hideMark/>
          </w:tcPr>
          <w:p w14:paraId="113C09EB" w14:textId="2431030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w:t>
            </w:r>
          </w:p>
        </w:tc>
      </w:tr>
      <w:tr w:rsidR="00C22852" w:rsidRPr="00617A89" w14:paraId="7B732B4E" w14:textId="77777777" w:rsidTr="002D3B23">
        <w:trPr>
          <w:trHeight w:val="309"/>
        </w:trPr>
        <w:tc>
          <w:tcPr>
            <w:tcW w:w="3437" w:type="dxa"/>
            <w:noWrap/>
            <w:vAlign w:val="center"/>
            <w:hideMark/>
          </w:tcPr>
          <w:p w14:paraId="2C0D9301" w14:textId="2ABCF08C"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Law and paralegal studies</w:t>
            </w:r>
          </w:p>
        </w:tc>
        <w:tc>
          <w:tcPr>
            <w:tcW w:w="1209" w:type="dxa"/>
            <w:noWrap/>
            <w:vAlign w:val="center"/>
            <w:hideMark/>
          </w:tcPr>
          <w:p w14:paraId="1FCD4C3B" w14:textId="6F1FCC32"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90,000</w:t>
            </w:r>
          </w:p>
        </w:tc>
        <w:tc>
          <w:tcPr>
            <w:tcW w:w="1209" w:type="dxa"/>
            <w:noWrap/>
            <w:vAlign w:val="center"/>
            <w:hideMark/>
          </w:tcPr>
          <w:p w14:paraId="21F2361F" w14:textId="3B5B0D0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80,000</w:t>
            </w:r>
          </w:p>
        </w:tc>
        <w:tc>
          <w:tcPr>
            <w:tcW w:w="1210" w:type="dxa"/>
            <w:noWrap/>
            <w:vAlign w:val="center"/>
            <w:hideMark/>
          </w:tcPr>
          <w:p w14:paraId="64131010" w14:textId="4DC6E86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11.1</w:t>
            </w:r>
          </w:p>
        </w:tc>
        <w:tc>
          <w:tcPr>
            <w:tcW w:w="1209" w:type="dxa"/>
            <w:noWrap/>
            <w:vAlign w:val="center"/>
            <w:hideMark/>
          </w:tcPr>
          <w:p w14:paraId="4A5C169F" w14:textId="460FEB47"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120,000</w:t>
            </w:r>
          </w:p>
        </w:tc>
        <w:tc>
          <w:tcPr>
            <w:tcW w:w="1208" w:type="dxa"/>
            <w:noWrap/>
            <w:vAlign w:val="center"/>
            <w:hideMark/>
          </w:tcPr>
          <w:p w14:paraId="49DC9F50" w14:textId="175A3DB2"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119,500</w:t>
            </w:r>
          </w:p>
        </w:tc>
        <w:tc>
          <w:tcPr>
            <w:tcW w:w="1211" w:type="dxa"/>
            <w:noWrap/>
            <w:vAlign w:val="center"/>
            <w:hideMark/>
          </w:tcPr>
          <w:p w14:paraId="2FD899D4" w14:textId="074CE9A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0.4</w:t>
            </w:r>
          </w:p>
        </w:tc>
      </w:tr>
      <w:tr w:rsidR="00C22852" w:rsidRPr="00617A89" w14:paraId="26A9A182" w14:textId="77777777" w:rsidTr="002D3B23">
        <w:trPr>
          <w:trHeight w:val="309"/>
        </w:trPr>
        <w:tc>
          <w:tcPr>
            <w:tcW w:w="3437" w:type="dxa"/>
            <w:noWrap/>
            <w:vAlign w:val="center"/>
            <w:hideMark/>
          </w:tcPr>
          <w:p w14:paraId="3897845B" w14:textId="17949726"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Medicine</w:t>
            </w:r>
          </w:p>
        </w:tc>
        <w:tc>
          <w:tcPr>
            <w:tcW w:w="1209" w:type="dxa"/>
            <w:noWrap/>
            <w:vAlign w:val="center"/>
            <w:hideMark/>
          </w:tcPr>
          <w:p w14:paraId="27BD64E9" w14:textId="695B1F53"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83,500</w:t>
            </w:r>
          </w:p>
        </w:tc>
        <w:tc>
          <w:tcPr>
            <w:tcW w:w="1209" w:type="dxa"/>
            <w:noWrap/>
            <w:vAlign w:val="center"/>
            <w:hideMark/>
          </w:tcPr>
          <w:p w14:paraId="27D50DEC" w14:textId="71D5C56D"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83,500</w:t>
            </w:r>
          </w:p>
        </w:tc>
        <w:tc>
          <w:tcPr>
            <w:tcW w:w="1210" w:type="dxa"/>
            <w:noWrap/>
            <w:vAlign w:val="center"/>
            <w:hideMark/>
          </w:tcPr>
          <w:p w14:paraId="3383D0F4" w14:textId="62CE2D27"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0.0</w:t>
            </w:r>
          </w:p>
        </w:tc>
        <w:tc>
          <w:tcPr>
            <w:tcW w:w="1209" w:type="dxa"/>
            <w:noWrap/>
            <w:vAlign w:val="center"/>
            <w:hideMark/>
          </w:tcPr>
          <w:p w14:paraId="62F3FFA6" w14:textId="08B57375"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139,000</w:t>
            </w:r>
          </w:p>
        </w:tc>
        <w:tc>
          <w:tcPr>
            <w:tcW w:w="1208" w:type="dxa"/>
            <w:noWrap/>
            <w:vAlign w:val="center"/>
            <w:hideMark/>
          </w:tcPr>
          <w:p w14:paraId="45A3696F" w14:textId="48CAD88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124,200</w:t>
            </w:r>
          </w:p>
        </w:tc>
        <w:tc>
          <w:tcPr>
            <w:tcW w:w="1211" w:type="dxa"/>
            <w:noWrap/>
            <w:vAlign w:val="center"/>
            <w:hideMark/>
          </w:tcPr>
          <w:p w14:paraId="291090E8" w14:textId="2CAC4632"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10.6</w:t>
            </w:r>
          </w:p>
        </w:tc>
      </w:tr>
      <w:tr w:rsidR="00C22852" w:rsidRPr="00617A89" w14:paraId="0F4DD275" w14:textId="77777777" w:rsidTr="002D3B23">
        <w:trPr>
          <w:trHeight w:val="309"/>
        </w:trPr>
        <w:tc>
          <w:tcPr>
            <w:tcW w:w="3437" w:type="dxa"/>
            <w:noWrap/>
            <w:vAlign w:val="center"/>
            <w:hideMark/>
          </w:tcPr>
          <w:p w14:paraId="71855693" w14:textId="0FEEED88"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Nursing</w:t>
            </w:r>
          </w:p>
        </w:tc>
        <w:tc>
          <w:tcPr>
            <w:tcW w:w="1209" w:type="dxa"/>
            <w:noWrap/>
            <w:vAlign w:val="center"/>
            <w:hideMark/>
          </w:tcPr>
          <w:p w14:paraId="2357356C" w14:textId="5791F0CF"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98,100</w:t>
            </w:r>
          </w:p>
        </w:tc>
        <w:tc>
          <w:tcPr>
            <w:tcW w:w="1209" w:type="dxa"/>
            <w:noWrap/>
            <w:vAlign w:val="center"/>
            <w:hideMark/>
          </w:tcPr>
          <w:p w14:paraId="63A938FD" w14:textId="7DC8777F"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91,200</w:t>
            </w:r>
          </w:p>
        </w:tc>
        <w:tc>
          <w:tcPr>
            <w:tcW w:w="1210" w:type="dxa"/>
            <w:noWrap/>
            <w:vAlign w:val="center"/>
            <w:hideMark/>
          </w:tcPr>
          <w:p w14:paraId="6DFC2A0F" w14:textId="1AA70F6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7.0</w:t>
            </w:r>
          </w:p>
        </w:tc>
        <w:tc>
          <w:tcPr>
            <w:tcW w:w="1209" w:type="dxa"/>
            <w:noWrap/>
            <w:vAlign w:val="center"/>
            <w:hideMark/>
          </w:tcPr>
          <w:p w14:paraId="7DE66DB8" w14:textId="0A3A354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121,000</w:t>
            </w:r>
          </w:p>
        </w:tc>
        <w:tc>
          <w:tcPr>
            <w:tcW w:w="1208" w:type="dxa"/>
            <w:noWrap/>
            <w:vAlign w:val="center"/>
            <w:hideMark/>
          </w:tcPr>
          <w:p w14:paraId="0C0C17D2" w14:textId="6067BE3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112,700</w:t>
            </w:r>
          </w:p>
        </w:tc>
        <w:tc>
          <w:tcPr>
            <w:tcW w:w="1211" w:type="dxa"/>
            <w:noWrap/>
            <w:vAlign w:val="center"/>
            <w:hideMark/>
          </w:tcPr>
          <w:p w14:paraId="46FA7D06" w14:textId="680DAB2D"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6.9</w:t>
            </w:r>
          </w:p>
        </w:tc>
      </w:tr>
      <w:tr w:rsidR="00C22852" w:rsidRPr="00617A89" w14:paraId="50750EC6" w14:textId="77777777" w:rsidTr="002D3B23">
        <w:trPr>
          <w:trHeight w:val="309"/>
        </w:trPr>
        <w:tc>
          <w:tcPr>
            <w:tcW w:w="3437" w:type="dxa"/>
            <w:noWrap/>
            <w:vAlign w:val="center"/>
            <w:hideMark/>
          </w:tcPr>
          <w:p w14:paraId="66814AFA" w14:textId="1CC9E599"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Pharmacy</w:t>
            </w:r>
          </w:p>
        </w:tc>
        <w:tc>
          <w:tcPr>
            <w:tcW w:w="1209" w:type="dxa"/>
            <w:noWrap/>
            <w:vAlign w:val="center"/>
            <w:hideMark/>
          </w:tcPr>
          <w:p w14:paraId="09264313" w14:textId="0FBAC35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1BE7D2BF" w14:textId="3F0576C5"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87,700</w:t>
            </w:r>
          </w:p>
        </w:tc>
        <w:tc>
          <w:tcPr>
            <w:tcW w:w="1210" w:type="dxa"/>
            <w:noWrap/>
            <w:vAlign w:val="center"/>
            <w:hideMark/>
          </w:tcPr>
          <w:p w14:paraId="278CAE9F" w14:textId="60A62FA9"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n/a</w:t>
            </w:r>
          </w:p>
        </w:tc>
        <w:tc>
          <w:tcPr>
            <w:tcW w:w="1209" w:type="dxa"/>
            <w:noWrap/>
            <w:vAlign w:val="center"/>
            <w:hideMark/>
          </w:tcPr>
          <w:p w14:paraId="5B13DD4E" w14:textId="714B4F09"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8" w:type="dxa"/>
            <w:noWrap/>
            <w:vAlign w:val="center"/>
            <w:hideMark/>
          </w:tcPr>
          <w:p w14:paraId="241DE77C" w14:textId="478B3432"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118,300</w:t>
            </w:r>
          </w:p>
        </w:tc>
        <w:tc>
          <w:tcPr>
            <w:tcW w:w="1211" w:type="dxa"/>
            <w:noWrap/>
            <w:vAlign w:val="center"/>
            <w:hideMark/>
          </w:tcPr>
          <w:p w14:paraId="2A4633F9" w14:textId="2188AD0C"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r>
      <w:tr w:rsidR="00C22852" w:rsidRPr="00617A89" w14:paraId="36DE6212" w14:textId="77777777" w:rsidTr="002D3B23">
        <w:trPr>
          <w:trHeight w:val="309"/>
        </w:trPr>
        <w:tc>
          <w:tcPr>
            <w:tcW w:w="3437" w:type="dxa"/>
            <w:noWrap/>
            <w:vAlign w:val="center"/>
            <w:hideMark/>
          </w:tcPr>
          <w:p w14:paraId="7F9D6A6D" w14:textId="48E8E82B"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Psychology</w:t>
            </w:r>
          </w:p>
        </w:tc>
        <w:tc>
          <w:tcPr>
            <w:tcW w:w="1209" w:type="dxa"/>
            <w:noWrap/>
            <w:vAlign w:val="center"/>
            <w:hideMark/>
          </w:tcPr>
          <w:p w14:paraId="5508CE6F" w14:textId="703F3A8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90,000</w:t>
            </w:r>
          </w:p>
        </w:tc>
        <w:tc>
          <w:tcPr>
            <w:tcW w:w="1209" w:type="dxa"/>
            <w:noWrap/>
            <w:vAlign w:val="center"/>
            <w:hideMark/>
          </w:tcPr>
          <w:p w14:paraId="4DE45576" w14:textId="4E594F1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87,700</w:t>
            </w:r>
          </w:p>
        </w:tc>
        <w:tc>
          <w:tcPr>
            <w:tcW w:w="1210" w:type="dxa"/>
            <w:noWrap/>
            <w:vAlign w:val="center"/>
            <w:hideMark/>
          </w:tcPr>
          <w:p w14:paraId="4BAF613D" w14:textId="1607B5C5"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2.6</w:t>
            </w:r>
          </w:p>
        </w:tc>
        <w:tc>
          <w:tcPr>
            <w:tcW w:w="1209" w:type="dxa"/>
            <w:noWrap/>
            <w:vAlign w:val="center"/>
            <w:hideMark/>
          </w:tcPr>
          <w:p w14:paraId="2232450B" w14:textId="0BCEF47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119,400</w:t>
            </w:r>
          </w:p>
        </w:tc>
        <w:tc>
          <w:tcPr>
            <w:tcW w:w="1208" w:type="dxa"/>
            <w:noWrap/>
            <w:vAlign w:val="center"/>
            <w:hideMark/>
          </w:tcPr>
          <w:p w14:paraId="7D8F6F57" w14:textId="35FCAF58"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110,000</w:t>
            </w:r>
          </w:p>
        </w:tc>
        <w:tc>
          <w:tcPr>
            <w:tcW w:w="1211" w:type="dxa"/>
            <w:noWrap/>
            <w:vAlign w:val="center"/>
            <w:hideMark/>
          </w:tcPr>
          <w:p w14:paraId="02AF4D3A" w14:textId="6F6CD455"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7.9</w:t>
            </w:r>
          </w:p>
        </w:tc>
      </w:tr>
      <w:tr w:rsidR="00C22852" w:rsidRPr="00617A89" w14:paraId="3C9391BD" w14:textId="77777777" w:rsidTr="002D3B23">
        <w:trPr>
          <w:trHeight w:val="309"/>
        </w:trPr>
        <w:tc>
          <w:tcPr>
            <w:tcW w:w="3437" w:type="dxa"/>
            <w:noWrap/>
            <w:vAlign w:val="center"/>
            <w:hideMark/>
          </w:tcPr>
          <w:p w14:paraId="19471505" w14:textId="167A7DC9"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Rehabilitation</w:t>
            </w:r>
          </w:p>
        </w:tc>
        <w:tc>
          <w:tcPr>
            <w:tcW w:w="1209" w:type="dxa"/>
            <w:noWrap/>
            <w:vAlign w:val="center"/>
            <w:hideMark/>
          </w:tcPr>
          <w:p w14:paraId="56FE1A5C" w14:textId="4DADDE8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70,000</w:t>
            </w:r>
          </w:p>
        </w:tc>
        <w:tc>
          <w:tcPr>
            <w:tcW w:w="1209" w:type="dxa"/>
            <w:noWrap/>
            <w:vAlign w:val="center"/>
            <w:hideMark/>
          </w:tcPr>
          <w:p w14:paraId="6D462871" w14:textId="538B6E93"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70,400</w:t>
            </w:r>
          </w:p>
        </w:tc>
        <w:tc>
          <w:tcPr>
            <w:tcW w:w="1210" w:type="dxa"/>
            <w:noWrap/>
            <w:vAlign w:val="center"/>
            <w:hideMark/>
          </w:tcPr>
          <w:p w14:paraId="378A5BE8" w14:textId="40D512F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-0.6</w:t>
            </w:r>
          </w:p>
        </w:tc>
        <w:tc>
          <w:tcPr>
            <w:tcW w:w="1209" w:type="dxa"/>
            <w:noWrap/>
            <w:vAlign w:val="center"/>
            <w:hideMark/>
          </w:tcPr>
          <w:p w14:paraId="51F499A3" w14:textId="6EFB5223"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99,200</w:t>
            </w:r>
          </w:p>
        </w:tc>
        <w:tc>
          <w:tcPr>
            <w:tcW w:w="1208" w:type="dxa"/>
            <w:noWrap/>
            <w:vAlign w:val="center"/>
            <w:hideMark/>
          </w:tcPr>
          <w:p w14:paraId="2FB6F18F" w14:textId="516A501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92,000</w:t>
            </w:r>
          </w:p>
        </w:tc>
        <w:tc>
          <w:tcPr>
            <w:tcW w:w="1211" w:type="dxa"/>
            <w:noWrap/>
            <w:vAlign w:val="center"/>
            <w:hideMark/>
          </w:tcPr>
          <w:p w14:paraId="185DD1A5" w14:textId="3D1AABCD"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7.3</w:t>
            </w:r>
          </w:p>
        </w:tc>
      </w:tr>
      <w:tr w:rsidR="00C22852" w:rsidRPr="00617A89" w14:paraId="093D00C1" w14:textId="77777777" w:rsidTr="002D3B23">
        <w:trPr>
          <w:trHeight w:val="309"/>
        </w:trPr>
        <w:tc>
          <w:tcPr>
            <w:tcW w:w="3437" w:type="dxa"/>
            <w:noWrap/>
            <w:vAlign w:val="center"/>
            <w:hideMark/>
          </w:tcPr>
          <w:p w14:paraId="5AC26211" w14:textId="2EFB6A08"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Science and mathematics</w:t>
            </w:r>
          </w:p>
        </w:tc>
        <w:tc>
          <w:tcPr>
            <w:tcW w:w="1209" w:type="dxa"/>
            <w:noWrap/>
            <w:vAlign w:val="center"/>
            <w:hideMark/>
          </w:tcPr>
          <w:p w14:paraId="6E390B07" w14:textId="03CF9267"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97,800</w:t>
            </w:r>
          </w:p>
        </w:tc>
        <w:tc>
          <w:tcPr>
            <w:tcW w:w="1209" w:type="dxa"/>
            <w:noWrap/>
            <w:vAlign w:val="center"/>
            <w:hideMark/>
          </w:tcPr>
          <w:p w14:paraId="1D68F81E" w14:textId="41133D7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79,700</w:t>
            </w:r>
          </w:p>
        </w:tc>
        <w:tc>
          <w:tcPr>
            <w:tcW w:w="1210" w:type="dxa"/>
            <w:noWrap/>
            <w:vAlign w:val="center"/>
            <w:hideMark/>
          </w:tcPr>
          <w:p w14:paraId="5F035204" w14:textId="49467E9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18.5</w:t>
            </w:r>
          </w:p>
        </w:tc>
        <w:tc>
          <w:tcPr>
            <w:tcW w:w="1209" w:type="dxa"/>
            <w:noWrap/>
            <w:vAlign w:val="center"/>
            <w:hideMark/>
          </w:tcPr>
          <w:p w14:paraId="1D6E495C" w14:textId="009D4B3F"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120,000</w:t>
            </w:r>
          </w:p>
        </w:tc>
        <w:tc>
          <w:tcPr>
            <w:tcW w:w="1208" w:type="dxa"/>
            <w:noWrap/>
            <w:vAlign w:val="center"/>
            <w:hideMark/>
          </w:tcPr>
          <w:p w14:paraId="2B010319" w14:textId="4C420EF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100,000</w:t>
            </w:r>
          </w:p>
        </w:tc>
        <w:tc>
          <w:tcPr>
            <w:tcW w:w="1211" w:type="dxa"/>
            <w:noWrap/>
            <w:vAlign w:val="center"/>
            <w:hideMark/>
          </w:tcPr>
          <w:p w14:paraId="60E0A428" w14:textId="433DB91B"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16.7</w:t>
            </w:r>
          </w:p>
        </w:tc>
      </w:tr>
      <w:tr w:rsidR="00C22852" w:rsidRPr="00617A89" w14:paraId="6965FB1E" w14:textId="77777777" w:rsidTr="002D3B23">
        <w:trPr>
          <w:trHeight w:val="309"/>
        </w:trPr>
        <w:tc>
          <w:tcPr>
            <w:tcW w:w="3437" w:type="dxa"/>
            <w:noWrap/>
            <w:vAlign w:val="center"/>
            <w:hideMark/>
          </w:tcPr>
          <w:p w14:paraId="0404F857" w14:textId="18612D57"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Social work</w:t>
            </w:r>
          </w:p>
        </w:tc>
        <w:tc>
          <w:tcPr>
            <w:tcW w:w="1209" w:type="dxa"/>
            <w:noWrap/>
            <w:vAlign w:val="center"/>
            <w:hideMark/>
          </w:tcPr>
          <w:p w14:paraId="4DB7DB60" w14:textId="4CC3F887"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82,100</w:t>
            </w:r>
          </w:p>
        </w:tc>
        <w:tc>
          <w:tcPr>
            <w:tcW w:w="1209" w:type="dxa"/>
            <w:noWrap/>
            <w:vAlign w:val="center"/>
            <w:hideMark/>
          </w:tcPr>
          <w:p w14:paraId="2167CD71" w14:textId="4A573829"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82,000</w:t>
            </w:r>
          </w:p>
        </w:tc>
        <w:tc>
          <w:tcPr>
            <w:tcW w:w="1210" w:type="dxa"/>
            <w:noWrap/>
            <w:vAlign w:val="center"/>
            <w:hideMark/>
          </w:tcPr>
          <w:p w14:paraId="26411A2E" w14:textId="3073BC1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0.1</w:t>
            </w:r>
          </w:p>
        </w:tc>
        <w:tc>
          <w:tcPr>
            <w:tcW w:w="1209" w:type="dxa"/>
            <w:noWrap/>
            <w:vAlign w:val="center"/>
            <w:hideMark/>
          </w:tcPr>
          <w:p w14:paraId="2A961E0B" w14:textId="4B9C211F"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101,900</w:t>
            </w:r>
          </w:p>
        </w:tc>
        <w:tc>
          <w:tcPr>
            <w:tcW w:w="1208" w:type="dxa"/>
            <w:noWrap/>
            <w:vAlign w:val="center"/>
            <w:hideMark/>
          </w:tcPr>
          <w:p w14:paraId="5C0B62D6" w14:textId="73813BEC"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102,300</w:t>
            </w:r>
          </w:p>
        </w:tc>
        <w:tc>
          <w:tcPr>
            <w:tcW w:w="1211" w:type="dxa"/>
            <w:noWrap/>
            <w:vAlign w:val="center"/>
            <w:hideMark/>
          </w:tcPr>
          <w:p w14:paraId="3BDB9996" w14:textId="31F30E49"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-0.4</w:t>
            </w:r>
          </w:p>
        </w:tc>
      </w:tr>
      <w:tr w:rsidR="00C22852" w:rsidRPr="00617A89" w14:paraId="3EED0A65" w14:textId="77777777" w:rsidTr="002D3B23">
        <w:trPr>
          <w:trHeight w:val="309"/>
        </w:trPr>
        <w:tc>
          <w:tcPr>
            <w:tcW w:w="3437" w:type="dxa"/>
            <w:noWrap/>
            <w:vAlign w:val="center"/>
            <w:hideMark/>
          </w:tcPr>
          <w:p w14:paraId="7D6AE0AA" w14:textId="3F86410E"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Teacher education</w:t>
            </w:r>
          </w:p>
        </w:tc>
        <w:tc>
          <w:tcPr>
            <w:tcW w:w="1209" w:type="dxa"/>
            <w:noWrap/>
            <w:vAlign w:val="center"/>
            <w:hideMark/>
          </w:tcPr>
          <w:p w14:paraId="0839E5A7" w14:textId="598B5E02"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90,000</w:t>
            </w:r>
          </w:p>
        </w:tc>
        <w:tc>
          <w:tcPr>
            <w:tcW w:w="1209" w:type="dxa"/>
            <w:noWrap/>
            <w:vAlign w:val="center"/>
            <w:hideMark/>
          </w:tcPr>
          <w:p w14:paraId="302BEFF1" w14:textId="4FAFC3C9"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89,000</w:t>
            </w:r>
          </w:p>
        </w:tc>
        <w:tc>
          <w:tcPr>
            <w:tcW w:w="1210" w:type="dxa"/>
            <w:noWrap/>
            <w:vAlign w:val="center"/>
            <w:hideMark/>
          </w:tcPr>
          <w:p w14:paraId="20A0B3D7" w14:textId="6304095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1.1</w:t>
            </w:r>
          </w:p>
        </w:tc>
        <w:tc>
          <w:tcPr>
            <w:tcW w:w="1209" w:type="dxa"/>
            <w:noWrap/>
            <w:vAlign w:val="center"/>
            <w:hideMark/>
          </w:tcPr>
          <w:p w14:paraId="501FF6ED" w14:textId="4D0312F1"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115,000</w:t>
            </w:r>
          </w:p>
        </w:tc>
        <w:tc>
          <w:tcPr>
            <w:tcW w:w="1208" w:type="dxa"/>
            <w:noWrap/>
            <w:vAlign w:val="center"/>
            <w:hideMark/>
          </w:tcPr>
          <w:p w14:paraId="7550C84C" w14:textId="4785A5B6"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108,700</w:t>
            </w:r>
          </w:p>
        </w:tc>
        <w:tc>
          <w:tcPr>
            <w:tcW w:w="1211" w:type="dxa"/>
            <w:noWrap/>
            <w:vAlign w:val="center"/>
            <w:hideMark/>
          </w:tcPr>
          <w:p w14:paraId="37210285" w14:textId="5477D95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5.5</w:t>
            </w:r>
          </w:p>
        </w:tc>
      </w:tr>
      <w:tr w:rsidR="00C22852" w:rsidRPr="00617A89" w14:paraId="6167F43B" w14:textId="77777777" w:rsidTr="002D3B23">
        <w:trPr>
          <w:trHeight w:val="309"/>
        </w:trPr>
        <w:tc>
          <w:tcPr>
            <w:tcW w:w="3437" w:type="dxa"/>
            <w:noWrap/>
            <w:vAlign w:val="center"/>
            <w:hideMark/>
          </w:tcPr>
          <w:p w14:paraId="7A96F89D" w14:textId="2294A3EE"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Tourism, hospitality, personal services, sport and recreation</w:t>
            </w:r>
          </w:p>
        </w:tc>
        <w:tc>
          <w:tcPr>
            <w:tcW w:w="1209" w:type="dxa"/>
            <w:noWrap/>
            <w:vAlign w:val="center"/>
            <w:hideMark/>
          </w:tcPr>
          <w:p w14:paraId="0CCC876A" w14:textId="38267F6D"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1D73A209" w14:textId="24F6CC0A" w:rsidR="00C808D8" w:rsidRPr="00617A89" w:rsidRDefault="00C808D8" w:rsidP="00C808D8">
            <w:pPr>
              <w:jc w:val="center"/>
              <w:rPr>
                <w:rFonts w:cs="Arial"/>
                <w:color w:val="000000" w:themeColor="text1"/>
                <w:sz w:val="18"/>
                <w:szCs w:val="18"/>
                <w:lang w:eastAsia="en-AU"/>
              </w:rPr>
            </w:pPr>
          </w:p>
        </w:tc>
        <w:tc>
          <w:tcPr>
            <w:tcW w:w="1210" w:type="dxa"/>
            <w:noWrap/>
            <w:vAlign w:val="center"/>
            <w:hideMark/>
          </w:tcPr>
          <w:p w14:paraId="781BF368" w14:textId="7D7EBAF1"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n/a</w:t>
            </w:r>
          </w:p>
        </w:tc>
        <w:tc>
          <w:tcPr>
            <w:tcW w:w="1209" w:type="dxa"/>
            <w:noWrap/>
            <w:vAlign w:val="center"/>
            <w:hideMark/>
          </w:tcPr>
          <w:p w14:paraId="6355C933" w14:textId="6B6D9D8C"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8" w:type="dxa"/>
            <w:noWrap/>
            <w:vAlign w:val="center"/>
            <w:hideMark/>
          </w:tcPr>
          <w:p w14:paraId="6D14A36F" w14:textId="6D3309D6" w:rsidR="00C808D8" w:rsidRPr="00617A89" w:rsidRDefault="00C808D8" w:rsidP="00C808D8">
            <w:pPr>
              <w:jc w:val="center"/>
              <w:rPr>
                <w:rFonts w:cs="Arial"/>
                <w:color w:val="000000" w:themeColor="text1"/>
                <w:sz w:val="18"/>
                <w:szCs w:val="18"/>
                <w:lang w:eastAsia="en-AU"/>
              </w:rPr>
            </w:pPr>
          </w:p>
        </w:tc>
        <w:tc>
          <w:tcPr>
            <w:tcW w:w="1211" w:type="dxa"/>
            <w:noWrap/>
            <w:vAlign w:val="center"/>
            <w:hideMark/>
          </w:tcPr>
          <w:p w14:paraId="4BCEC778" w14:textId="77C1C943"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r>
      <w:tr w:rsidR="00C22852" w:rsidRPr="00617A89" w14:paraId="5F43466D" w14:textId="77777777" w:rsidTr="002D3B23">
        <w:trPr>
          <w:trHeight w:val="309"/>
        </w:trPr>
        <w:tc>
          <w:tcPr>
            <w:tcW w:w="3437" w:type="dxa"/>
            <w:noWrap/>
            <w:vAlign w:val="center"/>
            <w:hideMark/>
          </w:tcPr>
          <w:p w14:paraId="304B12F6" w14:textId="2CC068A6"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Veterinary science</w:t>
            </w:r>
          </w:p>
        </w:tc>
        <w:tc>
          <w:tcPr>
            <w:tcW w:w="1209" w:type="dxa"/>
            <w:noWrap/>
            <w:vAlign w:val="center"/>
            <w:hideMark/>
          </w:tcPr>
          <w:p w14:paraId="4B234627" w14:textId="0A3EA06D"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9" w:type="dxa"/>
            <w:noWrap/>
            <w:vAlign w:val="center"/>
            <w:hideMark/>
          </w:tcPr>
          <w:p w14:paraId="23471764" w14:textId="7C30142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70,000</w:t>
            </w:r>
          </w:p>
        </w:tc>
        <w:tc>
          <w:tcPr>
            <w:tcW w:w="1210" w:type="dxa"/>
            <w:noWrap/>
            <w:vAlign w:val="center"/>
            <w:hideMark/>
          </w:tcPr>
          <w:p w14:paraId="79592D45" w14:textId="2585C0D3"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rPr>
              <w:t>n/a</w:t>
            </w:r>
          </w:p>
        </w:tc>
        <w:tc>
          <w:tcPr>
            <w:tcW w:w="1209" w:type="dxa"/>
            <w:noWrap/>
            <w:vAlign w:val="center"/>
            <w:hideMark/>
          </w:tcPr>
          <w:p w14:paraId="6D2A9704" w14:textId="699477B7"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08" w:type="dxa"/>
            <w:noWrap/>
            <w:vAlign w:val="center"/>
            <w:hideMark/>
          </w:tcPr>
          <w:p w14:paraId="15F06479" w14:textId="4A1B72B3"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c>
          <w:tcPr>
            <w:tcW w:w="1211" w:type="dxa"/>
            <w:noWrap/>
            <w:vAlign w:val="center"/>
            <w:hideMark/>
          </w:tcPr>
          <w:p w14:paraId="424B3EB6" w14:textId="6EF808B0"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n/a</w:t>
            </w:r>
          </w:p>
        </w:tc>
      </w:tr>
      <w:tr w:rsidR="00C22852" w:rsidRPr="00617A89" w14:paraId="6BB032AA" w14:textId="77777777" w:rsidTr="002D3B23">
        <w:trPr>
          <w:trHeight w:val="309"/>
        </w:trPr>
        <w:tc>
          <w:tcPr>
            <w:tcW w:w="3437" w:type="dxa"/>
            <w:noWrap/>
            <w:vAlign w:val="center"/>
            <w:hideMark/>
          </w:tcPr>
          <w:p w14:paraId="4B5D80F9" w14:textId="58B85D10" w:rsidR="00C808D8" w:rsidRPr="00617A89" w:rsidRDefault="00C808D8" w:rsidP="00C808D8">
            <w:pPr>
              <w:rPr>
                <w:rFonts w:cs="Arial"/>
                <w:b/>
                <w:bCs/>
                <w:color w:val="000000" w:themeColor="text1"/>
                <w:sz w:val="18"/>
                <w:szCs w:val="18"/>
                <w:lang w:eastAsia="en-AU"/>
              </w:rPr>
            </w:pPr>
            <w:r w:rsidRPr="00617A89">
              <w:rPr>
                <w:rFonts w:cs="Arial"/>
                <w:b/>
                <w:bCs/>
                <w:color w:val="000000" w:themeColor="text1"/>
                <w:sz w:val="18"/>
                <w:szCs w:val="18"/>
              </w:rPr>
              <w:t>Total</w:t>
            </w:r>
          </w:p>
        </w:tc>
        <w:tc>
          <w:tcPr>
            <w:tcW w:w="1209" w:type="dxa"/>
            <w:noWrap/>
            <w:vAlign w:val="center"/>
            <w:hideMark/>
          </w:tcPr>
          <w:p w14:paraId="5D29BC5A" w14:textId="6CF55BC9" w:rsidR="00C808D8" w:rsidRPr="00617A89" w:rsidRDefault="00C808D8" w:rsidP="00C808D8">
            <w:pPr>
              <w:jc w:val="center"/>
              <w:rPr>
                <w:rFonts w:cs="Arial"/>
                <w:b/>
                <w:bCs/>
                <w:color w:val="000000" w:themeColor="text1"/>
                <w:sz w:val="18"/>
                <w:szCs w:val="18"/>
                <w:lang w:eastAsia="en-AU"/>
              </w:rPr>
            </w:pPr>
            <w:r w:rsidRPr="00617A89">
              <w:rPr>
                <w:rFonts w:cs="Arial"/>
                <w:b/>
                <w:bCs/>
                <w:color w:val="000000" w:themeColor="text1"/>
                <w:sz w:val="18"/>
                <w:szCs w:val="18"/>
              </w:rPr>
              <w:t>100,000</w:t>
            </w:r>
          </w:p>
        </w:tc>
        <w:tc>
          <w:tcPr>
            <w:tcW w:w="1209" w:type="dxa"/>
            <w:noWrap/>
            <w:vAlign w:val="center"/>
            <w:hideMark/>
          </w:tcPr>
          <w:p w14:paraId="252BB81E" w14:textId="52EA9D90" w:rsidR="00C808D8" w:rsidRPr="00617A89" w:rsidRDefault="00C808D8" w:rsidP="00C808D8">
            <w:pPr>
              <w:jc w:val="center"/>
              <w:rPr>
                <w:rFonts w:cs="Arial"/>
                <w:b/>
                <w:bCs/>
                <w:color w:val="000000" w:themeColor="text1"/>
                <w:sz w:val="18"/>
                <w:szCs w:val="18"/>
                <w:lang w:eastAsia="en-AU"/>
              </w:rPr>
            </w:pPr>
            <w:r w:rsidRPr="00617A89">
              <w:rPr>
                <w:rFonts w:cs="Arial"/>
                <w:b/>
                <w:bCs/>
                <w:color w:val="000000" w:themeColor="text1"/>
                <w:sz w:val="18"/>
                <w:szCs w:val="18"/>
              </w:rPr>
              <w:t>89,200</w:t>
            </w:r>
          </w:p>
        </w:tc>
        <w:tc>
          <w:tcPr>
            <w:tcW w:w="1210" w:type="dxa"/>
            <w:noWrap/>
            <w:vAlign w:val="center"/>
            <w:hideMark/>
          </w:tcPr>
          <w:p w14:paraId="19430E33" w14:textId="2CE7048E" w:rsidR="00C808D8" w:rsidRPr="00617A89" w:rsidRDefault="00C808D8" w:rsidP="00C808D8">
            <w:pPr>
              <w:jc w:val="center"/>
              <w:rPr>
                <w:rFonts w:cs="Arial"/>
                <w:b/>
                <w:bCs/>
                <w:color w:val="000000" w:themeColor="text1"/>
                <w:sz w:val="18"/>
                <w:szCs w:val="18"/>
                <w:lang w:eastAsia="en-AU"/>
              </w:rPr>
            </w:pPr>
            <w:r w:rsidRPr="00617A89">
              <w:rPr>
                <w:rFonts w:cs="Arial"/>
                <w:b/>
                <w:bCs/>
                <w:color w:val="000000" w:themeColor="text1"/>
                <w:sz w:val="18"/>
              </w:rPr>
              <w:t>10.8</w:t>
            </w:r>
          </w:p>
        </w:tc>
        <w:tc>
          <w:tcPr>
            <w:tcW w:w="1209" w:type="dxa"/>
            <w:noWrap/>
            <w:vAlign w:val="center"/>
            <w:hideMark/>
          </w:tcPr>
          <w:p w14:paraId="3C846FF4" w14:textId="3F14C6BE" w:rsidR="00C808D8" w:rsidRPr="00617A89" w:rsidRDefault="00C808D8" w:rsidP="00C808D8">
            <w:pPr>
              <w:jc w:val="center"/>
              <w:rPr>
                <w:rFonts w:cs="Arial"/>
                <w:b/>
                <w:bCs/>
                <w:color w:val="000000" w:themeColor="text1"/>
                <w:sz w:val="18"/>
                <w:szCs w:val="18"/>
                <w:lang w:eastAsia="en-AU"/>
              </w:rPr>
            </w:pPr>
            <w:r w:rsidRPr="00617A89">
              <w:rPr>
                <w:rFonts w:cs="Arial"/>
                <w:b/>
                <w:bCs/>
                <w:color w:val="000000" w:themeColor="text1"/>
                <w:sz w:val="18"/>
                <w:szCs w:val="18"/>
              </w:rPr>
              <w:t>128,500</w:t>
            </w:r>
          </w:p>
        </w:tc>
        <w:tc>
          <w:tcPr>
            <w:tcW w:w="1208" w:type="dxa"/>
            <w:noWrap/>
            <w:vAlign w:val="center"/>
            <w:hideMark/>
          </w:tcPr>
          <w:p w14:paraId="3FC7AAAC" w14:textId="5C8E378D" w:rsidR="00C808D8" w:rsidRPr="00617A89" w:rsidRDefault="00C808D8" w:rsidP="00C808D8">
            <w:pPr>
              <w:jc w:val="center"/>
              <w:rPr>
                <w:rFonts w:cs="Arial"/>
                <w:b/>
                <w:bCs/>
                <w:color w:val="000000" w:themeColor="text1"/>
                <w:sz w:val="18"/>
                <w:szCs w:val="18"/>
                <w:lang w:eastAsia="en-AU"/>
              </w:rPr>
            </w:pPr>
            <w:r w:rsidRPr="00617A89">
              <w:rPr>
                <w:rFonts w:cs="Arial"/>
                <w:b/>
                <w:bCs/>
                <w:color w:val="000000" w:themeColor="text1"/>
                <w:sz w:val="18"/>
                <w:szCs w:val="18"/>
              </w:rPr>
              <w:t>110,500</w:t>
            </w:r>
          </w:p>
        </w:tc>
        <w:tc>
          <w:tcPr>
            <w:tcW w:w="1211" w:type="dxa"/>
            <w:noWrap/>
            <w:vAlign w:val="center"/>
            <w:hideMark/>
          </w:tcPr>
          <w:p w14:paraId="69EB69D0" w14:textId="14D8C741" w:rsidR="00C808D8" w:rsidRPr="00617A89" w:rsidRDefault="00C808D8" w:rsidP="00C808D8">
            <w:pPr>
              <w:jc w:val="center"/>
              <w:rPr>
                <w:rFonts w:cs="Arial"/>
                <w:b/>
                <w:bCs/>
                <w:color w:val="000000" w:themeColor="text1"/>
                <w:sz w:val="18"/>
                <w:szCs w:val="18"/>
                <w:lang w:eastAsia="en-AU"/>
              </w:rPr>
            </w:pPr>
            <w:r w:rsidRPr="00617A89">
              <w:rPr>
                <w:rFonts w:cs="Arial"/>
                <w:b/>
                <w:bCs/>
                <w:color w:val="000000" w:themeColor="text1"/>
                <w:sz w:val="18"/>
                <w:szCs w:val="18"/>
              </w:rPr>
              <w:t>14.0</w:t>
            </w:r>
          </w:p>
        </w:tc>
      </w:tr>
      <w:tr w:rsidR="00C22852" w:rsidRPr="00617A89" w14:paraId="0B61E8A3" w14:textId="77777777" w:rsidTr="002D3B23">
        <w:trPr>
          <w:trHeight w:val="309"/>
        </w:trPr>
        <w:tc>
          <w:tcPr>
            <w:tcW w:w="3437" w:type="dxa"/>
            <w:noWrap/>
            <w:vAlign w:val="center"/>
            <w:hideMark/>
          </w:tcPr>
          <w:p w14:paraId="55AA641B" w14:textId="5B0C44FF" w:rsidR="00C808D8" w:rsidRPr="00617A89" w:rsidRDefault="00C808D8" w:rsidP="00C808D8">
            <w:pPr>
              <w:rPr>
                <w:rFonts w:cs="Arial"/>
                <w:color w:val="000000" w:themeColor="text1"/>
                <w:sz w:val="18"/>
                <w:szCs w:val="18"/>
                <w:lang w:eastAsia="en-AU"/>
              </w:rPr>
            </w:pPr>
            <w:r w:rsidRPr="00617A89">
              <w:rPr>
                <w:rFonts w:cs="Arial"/>
                <w:color w:val="000000" w:themeColor="text1"/>
                <w:sz w:val="18"/>
                <w:szCs w:val="18"/>
              </w:rPr>
              <w:t>Standard deviation</w:t>
            </w:r>
          </w:p>
        </w:tc>
        <w:tc>
          <w:tcPr>
            <w:tcW w:w="1209" w:type="dxa"/>
            <w:noWrap/>
            <w:vAlign w:val="center"/>
            <w:hideMark/>
          </w:tcPr>
          <w:p w14:paraId="04CF5380" w14:textId="739AD024"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15,500</w:t>
            </w:r>
          </w:p>
        </w:tc>
        <w:tc>
          <w:tcPr>
            <w:tcW w:w="1209" w:type="dxa"/>
            <w:noWrap/>
            <w:vAlign w:val="center"/>
            <w:hideMark/>
          </w:tcPr>
          <w:p w14:paraId="20C31A5D" w14:textId="074036BF"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13,200</w:t>
            </w:r>
          </w:p>
        </w:tc>
        <w:tc>
          <w:tcPr>
            <w:tcW w:w="1210" w:type="dxa"/>
            <w:noWrap/>
            <w:vAlign w:val="center"/>
            <w:hideMark/>
          </w:tcPr>
          <w:p w14:paraId="77D7127C" w14:textId="77777777" w:rsidR="00C808D8" w:rsidRPr="00617A89" w:rsidRDefault="00C808D8" w:rsidP="00C808D8">
            <w:pPr>
              <w:jc w:val="center"/>
              <w:rPr>
                <w:rFonts w:cs="Arial"/>
                <w:color w:val="000000" w:themeColor="text1"/>
                <w:sz w:val="18"/>
                <w:szCs w:val="18"/>
                <w:lang w:eastAsia="en-AU"/>
              </w:rPr>
            </w:pPr>
          </w:p>
        </w:tc>
        <w:tc>
          <w:tcPr>
            <w:tcW w:w="1209" w:type="dxa"/>
            <w:noWrap/>
            <w:vAlign w:val="center"/>
            <w:hideMark/>
          </w:tcPr>
          <w:p w14:paraId="10ED21CD" w14:textId="346C9DDA"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24,200</w:t>
            </w:r>
          </w:p>
        </w:tc>
        <w:tc>
          <w:tcPr>
            <w:tcW w:w="1208" w:type="dxa"/>
            <w:noWrap/>
            <w:vAlign w:val="center"/>
            <w:hideMark/>
          </w:tcPr>
          <w:p w14:paraId="74366799" w14:textId="38CD48DE" w:rsidR="00C808D8" w:rsidRPr="00617A89" w:rsidRDefault="00C808D8" w:rsidP="00C808D8">
            <w:pPr>
              <w:jc w:val="center"/>
              <w:rPr>
                <w:rFonts w:cs="Arial"/>
                <w:color w:val="000000" w:themeColor="text1"/>
                <w:sz w:val="18"/>
                <w:szCs w:val="18"/>
                <w:lang w:eastAsia="en-AU"/>
              </w:rPr>
            </w:pPr>
            <w:r w:rsidRPr="00617A89">
              <w:rPr>
                <w:rFonts w:cs="Arial"/>
                <w:color w:val="000000" w:themeColor="text1"/>
                <w:sz w:val="18"/>
                <w:szCs w:val="18"/>
              </w:rPr>
              <w:t>14,000</w:t>
            </w:r>
          </w:p>
        </w:tc>
        <w:tc>
          <w:tcPr>
            <w:tcW w:w="1211" w:type="dxa"/>
            <w:noWrap/>
            <w:vAlign w:val="center"/>
            <w:hideMark/>
          </w:tcPr>
          <w:p w14:paraId="66314646" w14:textId="77777777" w:rsidR="00C808D8" w:rsidRPr="00617A89" w:rsidRDefault="00C808D8" w:rsidP="00C808D8">
            <w:pPr>
              <w:jc w:val="center"/>
              <w:rPr>
                <w:rFonts w:cs="Arial"/>
                <w:color w:val="000000" w:themeColor="text1"/>
                <w:sz w:val="18"/>
                <w:szCs w:val="18"/>
                <w:lang w:eastAsia="en-AU"/>
              </w:rPr>
            </w:pPr>
          </w:p>
        </w:tc>
      </w:tr>
    </w:tbl>
    <w:p w14:paraId="504C5183" w14:textId="77777777" w:rsidR="00C808D8" w:rsidRPr="00617A89" w:rsidRDefault="00C808D8" w:rsidP="00C808D8">
      <w:pPr>
        <w:pStyle w:val="FigureNote"/>
        <w:rPr>
          <w:color w:val="000000" w:themeColor="text1"/>
          <w:sz w:val="18"/>
          <w:szCs w:val="24"/>
        </w:rPr>
      </w:pPr>
      <w:r w:rsidRPr="00617A89">
        <w:rPr>
          <w:color w:val="000000" w:themeColor="text1"/>
          <w:sz w:val="18"/>
          <w:szCs w:val="24"/>
        </w:rPr>
        <w:t>Note: Cells marked with n/a had too few responses for meaningful analysis.</w:t>
      </w:r>
    </w:p>
    <w:p w14:paraId="0BFF82F1" w14:textId="77E69FE7" w:rsidR="00FF7566" w:rsidRPr="00617A89" w:rsidRDefault="00885CCB" w:rsidP="00FF7566">
      <w:pPr>
        <w:pStyle w:val="Appendix2"/>
        <w:rPr>
          <w:color w:val="000000" w:themeColor="text1"/>
        </w:rPr>
      </w:pPr>
      <w:bookmarkStart w:id="269" w:name="_Toc222868470"/>
      <w:bookmarkEnd w:id="266"/>
      <w:r w:rsidRPr="00617A89">
        <w:rPr>
          <w:color w:val="000000" w:themeColor="text1"/>
        </w:rPr>
        <w:t>Institution tables</w:t>
      </w:r>
      <w:bookmarkEnd w:id="269"/>
      <w:r w:rsidRPr="00617A89">
        <w:rPr>
          <w:color w:val="000000" w:themeColor="text1"/>
        </w:rPr>
        <w:t xml:space="preserve"> </w:t>
      </w:r>
    </w:p>
    <w:p w14:paraId="02E08313" w14:textId="2F73B9DF" w:rsidR="00FF7566" w:rsidRPr="00617A89" w:rsidRDefault="00FF7566" w:rsidP="00034502">
      <w:pPr>
        <w:pStyle w:val="Caption"/>
        <w:rPr>
          <w:color w:val="000000" w:themeColor="text1"/>
        </w:rPr>
      </w:pPr>
      <w:bookmarkStart w:id="270" w:name="_Ref71033093"/>
      <w:bookmarkStart w:id="271" w:name="_Toc71028423"/>
      <w:bookmarkStart w:id="272" w:name="_Toc71028476"/>
      <w:bookmarkStart w:id="273" w:name="_Toc222868493"/>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23</w:t>
      </w:r>
      <w:r w:rsidR="00DB7C31" w:rsidRPr="00617A89">
        <w:rPr>
          <w:noProof/>
          <w:color w:val="000000" w:themeColor="text1"/>
        </w:rPr>
        <w:fldChar w:fldCharType="end"/>
      </w:r>
      <w:bookmarkEnd w:id="270"/>
      <w:bookmarkEnd w:id="271"/>
      <w:bookmarkEnd w:id="272"/>
      <w:r w:rsidR="002D3B23" w:rsidRPr="00617A89">
        <w:rPr>
          <w:color w:val="000000" w:themeColor="text1"/>
        </w:rPr>
        <w:tab/>
      </w:r>
      <w:r w:rsidRPr="00617A89">
        <w:rPr>
          <w:color w:val="000000" w:themeColor="text1"/>
        </w:rPr>
        <w:t>Domestic undergraduate full-time employment rate (%) and median salary ($) by university, short- and medium-term (with 90% confidence intervals)</w:t>
      </w:r>
      <w:bookmarkEnd w:id="273"/>
    </w:p>
    <w:tbl>
      <w:tblPr>
        <w:tblStyle w:val="QILTTableStylePH"/>
        <w:tblW w:w="10550" w:type="dxa"/>
        <w:tblLook w:val="04A0" w:firstRow="1" w:lastRow="0" w:firstColumn="1" w:lastColumn="0" w:noHBand="0" w:noVBand="1"/>
      </w:tblPr>
      <w:tblGrid>
        <w:gridCol w:w="3342"/>
        <w:gridCol w:w="1898"/>
        <w:gridCol w:w="1701"/>
        <w:gridCol w:w="1843"/>
        <w:gridCol w:w="1766"/>
      </w:tblGrid>
      <w:tr w:rsidR="00C22852" w:rsidRPr="00617A89" w14:paraId="6676A28D" w14:textId="77777777" w:rsidTr="002D3B23">
        <w:trPr>
          <w:tblHeader/>
        </w:trPr>
        <w:tc>
          <w:tcPr>
            <w:tcW w:w="3342" w:type="dxa"/>
            <w:vAlign w:val="center"/>
          </w:tcPr>
          <w:p w14:paraId="7A1114B1" w14:textId="1D4F7EFE" w:rsidR="002D3B23" w:rsidRPr="00617A89" w:rsidRDefault="002D3B23" w:rsidP="00E37470">
            <w:pPr>
              <w:rPr>
                <w:rFonts w:cs="Arial"/>
                <w:b/>
                <w:bCs/>
                <w:color w:val="000000" w:themeColor="text1"/>
                <w:spacing w:val="-2"/>
                <w:sz w:val="18"/>
                <w:lang w:val="en-GB"/>
              </w:rPr>
            </w:pPr>
          </w:p>
        </w:tc>
        <w:tc>
          <w:tcPr>
            <w:tcW w:w="1898" w:type="dxa"/>
            <w:vAlign w:val="center"/>
          </w:tcPr>
          <w:p w14:paraId="126F987F" w14:textId="77777777" w:rsidR="002D3B23" w:rsidRPr="00617A89" w:rsidRDefault="002D3B23" w:rsidP="00E37470">
            <w:pPr>
              <w:jc w:val="center"/>
              <w:rPr>
                <w:rFonts w:cs="Arial"/>
                <w:b/>
                <w:color w:val="000000" w:themeColor="text1"/>
                <w:spacing w:val="-2"/>
                <w:sz w:val="18"/>
                <w:lang w:val="en-GB"/>
              </w:rPr>
            </w:pPr>
            <w:r w:rsidRPr="00617A89">
              <w:rPr>
                <w:rFonts w:cs="Arial"/>
                <w:b/>
                <w:color w:val="000000" w:themeColor="text1"/>
                <w:sz w:val="18"/>
              </w:rPr>
              <w:t>Full-time employment rate (%)</w:t>
            </w:r>
          </w:p>
        </w:tc>
        <w:tc>
          <w:tcPr>
            <w:tcW w:w="1701" w:type="dxa"/>
            <w:vAlign w:val="center"/>
          </w:tcPr>
          <w:p w14:paraId="7C53B6C1" w14:textId="05A58B3B" w:rsidR="002D3B23" w:rsidRPr="00617A89" w:rsidRDefault="002D3B23" w:rsidP="00E37470">
            <w:pPr>
              <w:jc w:val="center"/>
              <w:rPr>
                <w:rFonts w:cs="Arial"/>
                <w:b/>
                <w:color w:val="000000" w:themeColor="text1"/>
                <w:spacing w:val="-2"/>
                <w:sz w:val="18"/>
                <w:lang w:val="en-GB"/>
              </w:rPr>
            </w:pPr>
            <w:r w:rsidRPr="00617A89">
              <w:rPr>
                <w:rFonts w:cs="Arial"/>
                <w:b/>
                <w:color w:val="000000" w:themeColor="text1"/>
                <w:sz w:val="18"/>
              </w:rPr>
              <w:t>Full-time employment rate (%)</w:t>
            </w:r>
          </w:p>
        </w:tc>
        <w:tc>
          <w:tcPr>
            <w:tcW w:w="1843" w:type="dxa"/>
            <w:vAlign w:val="center"/>
          </w:tcPr>
          <w:p w14:paraId="377DC4C4" w14:textId="77777777" w:rsidR="002D3B23" w:rsidRPr="00617A89" w:rsidRDefault="002D3B23" w:rsidP="00E37470">
            <w:pPr>
              <w:jc w:val="center"/>
              <w:rPr>
                <w:rFonts w:cs="Arial"/>
                <w:b/>
                <w:color w:val="000000" w:themeColor="text1"/>
                <w:spacing w:val="-2"/>
                <w:sz w:val="18"/>
                <w:lang w:val="en-GB"/>
              </w:rPr>
            </w:pPr>
            <w:r w:rsidRPr="00617A89">
              <w:rPr>
                <w:rFonts w:cs="Arial"/>
                <w:b/>
                <w:color w:val="000000" w:themeColor="text1"/>
                <w:spacing w:val="-2"/>
                <w:sz w:val="18"/>
              </w:rPr>
              <w:t>Median annual full-time salary ($)</w:t>
            </w:r>
          </w:p>
        </w:tc>
        <w:tc>
          <w:tcPr>
            <w:tcW w:w="1766" w:type="dxa"/>
            <w:vAlign w:val="center"/>
          </w:tcPr>
          <w:p w14:paraId="329703B9" w14:textId="00AF701A" w:rsidR="002D3B23" w:rsidRPr="00617A89" w:rsidRDefault="002D3B23" w:rsidP="00E37470">
            <w:pPr>
              <w:jc w:val="center"/>
              <w:rPr>
                <w:rFonts w:cs="Arial"/>
                <w:b/>
                <w:color w:val="000000" w:themeColor="text1"/>
                <w:spacing w:val="-2"/>
                <w:sz w:val="18"/>
                <w:lang w:val="en-GB"/>
              </w:rPr>
            </w:pPr>
            <w:r w:rsidRPr="00617A89">
              <w:rPr>
                <w:rFonts w:cs="Arial"/>
                <w:b/>
                <w:color w:val="000000" w:themeColor="text1"/>
                <w:spacing w:val="-2"/>
                <w:sz w:val="18"/>
              </w:rPr>
              <w:t>Median annual full-time salary ($)</w:t>
            </w:r>
          </w:p>
        </w:tc>
      </w:tr>
      <w:tr w:rsidR="00C22852" w:rsidRPr="00617A89" w14:paraId="505A18DE" w14:textId="77777777" w:rsidTr="002D3B23">
        <w:trPr>
          <w:tblHeader/>
        </w:trPr>
        <w:tc>
          <w:tcPr>
            <w:tcW w:w="3342" w:type="dxa"/>
            <w:tcBorders>
              <w:bottom w:val="single" w:sz="4" w:space="0" w:color="auto"/>
            </w:tcBorders>
            <w:vAlign w:val="bottom"/>
          </w:tcPr>
          <w:p w14:paraId="7046ECF6" w14:textId="0DC78748" w:rsidR="00FF7566" w:rsidRPr="00617A89" w:rsidRDefault="002D3B23" w:rsidP="002D3B23">
            <w:pPr>
              <w:rPr>
                <w:rFonts w:cs="Arial"/>
                <w:color w:val="000000" w:themeColor="text1"/>
                <w:spacing w:val="-2"/>
                <w:sz w:val="18"/>
                <w:lang w:val="en-GB"/>
              </w:rPr>
            </w:pPr>
            <w:r w:rsidRPr="00617A89">
              <w:rPr>
                <w:rFonts w:cs="Arial"/>
                <w:b/>
                <w:bCs/>
                <w:color w:val="000000" w:themeColor="text1"/>
                <w:spacing w:val="-2"/>
                <w:sz w:val="18"/>
                <w:lang w:val="en-GB"/>
              </w:rPr>
              <w:t>University</w:t>
            </w:r>
          </w:p>
        </w:tc>
        <w:tc>
          <w:tcPr>
            <w:tcW w:w="1898" w:type="dxa"/>
            <w:tcBorders>
              <w:bottom w:val="single" w:sz="4" w:space="0" w:color="auto"/>
            </w:tcBorders>
            <w:vAlign w:val="center"/>
          </w:tcPr>
          <w:p w14:paraId="6BFD8F3A" w14:textId="77777777" w:rsidR="00FF7566" w:rsidRPr="00617A89" w:rsidRDefault="00FF7566"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Short-term</w:t>
            </w:r>
          </w:p>
          <w:p w14:paraId="796C99A1" w14:textId="77777777" w:rsidR="00FF7566" w:rsidRPr="00617A89" w:rsidRDefault="00FF7566"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(2022)</w:t>
            </w:r>
          </w:p>
        </w:tc>
        <w:tc>
          <w:tcPr>
            <w:tcW w:w="1701" w:type="dxa"/>
            <w:tcBorders>
              <w:bottom w:val="single" w:sz="4" w:space="0" w:color="auto"/>
            </w:tcBorders>
            <w:vAlign w:val="center"/>
          </w:tcPr>
          <w:p w14:paraId="564EB58A" w14:textId="77777777" w:rsidR="00FF7566" w:rsidRPr="00617A89" w:rsidRDefault="00FF7566"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Medium-term</w:t>
            </w:r>
          </w:p>
          <w:p w14:paraId="2497594F" w14:textId="77777777" w:rsidR="00FF7566" w:rsidRPr="00617A89" w:rsidRDefault="00FF7566"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(2025)</w:t>
            </w:r>
          </w:p>
        </w:tc>
        <w:tc>
          <w:tcPr>
            <w:tcW w:w="1843" w:type="dxa"/>
            <w:tcBorders>
              <w:bottom w:val="single" w:sz="4" w:space="0" w:color="auto"/>
            </w:tcBorders>
            <w:vAlign w:val="center"/>
          </w:tcPr>
          <w:p w14:paraId="5D49EDEF" w14:textId="77777777" w:rsidR="00FF7566" w:rsidRPr="00617A89" w:rsidRDefault="00FF7566"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Short-term</w:t>
            </w:r>
          </w:p>
          <w:p w14:paraId="7839D98A" w14:textId="77777777" w:rsidR="00FF7566" w:rsidRPr="00617A89" w:rsidRDefault="00FF7566"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(2022)</w:t>
            </w:r>
          </w:p>
        </w:tc>
        <w:tc>
          <w:tcPr>
            <w:tcW w:w="1766" w:type="dxa"/>
            <w:tcBorders>
              <w:bottom w:val="single" w:sz="4" w:space="0" w:color="auto"/>
            </w:tcBorders>
            <w:vAlign w:val="center"/>
          </w:tcPr>
          <w:p w14:paraId="5E5B7CAA" w14:textId="77777777" w:rsidR="00FF7566" w:rsidRPr="00617A89" w:rsidRDefault="00FF7566"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Medium-term</w:t>
            </w:r>
          </w:p>
          <w:p w14:paraId="76CA7792" w14:textId="77777777" w:rsidR="00FF7566" w:rsidRPr="00617A89" w:rsidRDefault="00FF7566"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(2025)</w:t>
            </w:r>
          </w:p>
        </w:tc>
      </w:tr>
      <w:tr w:rsidR="00C22852" w:rsidRPr="00617A89" w14:paraId="54E8ADF1"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2B78EE2B"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Australian Catholic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453CF378" w14:textId="76C4AD04"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82.1 (78.6, 85.1)</w:t>
            </w:r>
          </w:p>
        </w:tc>
        <w:tc>
          <w:tcPr>
            <w:tcW w:w="1701" w:type="dxa"/>
            <w:tcBorders>
              <w:top w:val="single" w:sz="4" w:space="0" w:color="auto"/>
              <w:left w:val="single" w:sz="4" w:space="0" w:color="auto"/>
              <w:bottom w:val="single" w:sz="4" w:space="0" w:color="auto"/>
              <w:right w:val="single" w:sz="4" w:space="0" w:color="auto"/>
            </w:tcBorders>
            <w:vAlign w:val="center"/>
          </w:tcPr>
          <w:p w14:paraId="30F18E5A" w14:textId="797BE136"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94.5 (92.2, 96.1)</w:t>
            </w:r>
          </w:p>
        </w:tc>
        <w:tc>
          <w:tcPr>
            <w:tcW w:w="1843" w:type="dxa"/>
            <w:tcBorders>
              <w:top w:val="single" w:sz="4" w:space="0" w:color="auto"/>
              <w:left w:val="single" w:sz="4" w:space="0" w:color="auto"/>
              <w:bottom w:val="single" w:sz="4" w:space="0" w:color="auto"/>
              <w:right w:val="single" w:sz="4" w:space="0" w:color="auto"/>
            </w:tcBorders>
            <w:vAlign w:val="center"/>
          </w:tcPr>
          <w:p w14:paraId="1173BB44" w14:textId="3059ECC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70,000 (68,500, 71,500)</w:t>
            </w:r>
          </w:p>
        </w:tc>
        <w:tc>
          <w:tcPr>
            <w:tcW w:w="1766" w:type="dxa"/>
            <w:tcBorders>
              <w:top w:val="single" w:sz="4" w:space="0" w:color="auto"/>
              <w:left w:val="single" w:sz="4" w:space="0" w:color="auto"/>
              <w:bottom w:val="single" w:sz="4" w:space="0" w:color="auto"/>
              <w:right w:val="single" w:sz="4" w:space="0" w:color="auto"/>
            </w:tcBorders>
            <w:vAlign w:val="center"/>
          </w:tcPr>
          <w:p w14:paraId="0123C928" w14:textId="37D62E9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85,800 (83,600, 87,900)</w:t>
            </w:r>
          </w:p>
        </w:tc>
      </w:tr>
      <w:tr w:rsidR="00C22852" w:rsidRPr="00617A89" w14:paraId="21CC08CE"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4FDB0168" w14:textId="7833DEC4"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rPr>
            </w:pPr>
            <w:r w:rsidRPr="00617A89">
              <w:rPr>
                <w:rFonts w:cs="Arial"/>
                <w:color w:val="000000" w:themeColor="text1"/>
                <w:sz w:val="18"/>
              </w:rPr>
              <w:t>Australian University of Theology*</w:t>
            </w:r>
          </w:p>
        </w:tc>
        <w:tc>
          <w:tcPr>
            <w:tcW w:w="1898" w:type="dxa"/>
            <w:tcBorders>
              <w:top w:val="single" w:sz="4" w:space="0" w:color="auto"/>
              <w:left w:val="single" w:sz="4" w:space="0" w:color="auto"/>
              <w:bottom w:val="single" w:sz="4" w:space="0" w:color="auto"/>
              <w:right w:val="single" w:sz="4" w:space="0" w:color="auto"/>
            </w:tcBorders>
            <w:vAlign w:val="center"/>
          </w:tcPr>
          <w:p w14:paraId="1FD1D4CA" w14:textId="2EC67F25" w:rsidR="00E175F7" w:rsidRPr="00617A89" w:rsidRDefault="00E175F7" w:rsidP="0047134D">
            <w:pPr>
              <w:widowControl w:val="0"/>
              <w:suppressAutoHyphens/>
              <w:autoSpaceDE w:val="0"/>
              <w:autoSpaceDN w:val="0"/>
              <w:adjustRightInd w:val="0"/>
              <w:spacing w:before="85" w:line="288" w:lineRule="auto"/>
              <w:jc w:val="right"/>
              <w:textAlignment w:val="center"/>
              <w:rPr>
                <w:rFonts w:cs="Arial"/>
                <w:color w:val="000000" w:themeColor="text1"/>
                <w:sz w:val="18"/>
                <w:szCs w:val="18"/>
              </w:rPr>
            </w:pPr>
            <w:r w:rsidRPr="00617A89">
              <w:rPr>
                <w:rFonts w:cs="Arial"/>
                <w:color w:val="000000" w:themeColor="text1"/>
                <w:sz w:val="18"/>
                <w:szCs w:val="18"/>
              </w:rPr>
              <w:t>n/a</w:t>
            </w:r>
          </w:p>
        </w:tc>
        <w:tc>
          <w:tcPr>
            <w:tcW w:w="1701" w:type="dxa"/>
            <w:tcBorders>
              <w:top w:val="single" w:sz="4" w:space="0" w:color="auto"/>
              <w:left w:val="single" w:sz="4" w:space="0" w:color="auto"/>
              <w:bottom w:val="single" w:sz="4" w:space="0" w:color="auto"/>
              <w:right w:val="single" w:sz="4" w:space="0" w:color="auto"/>
            </w:tcBorders>
            <w:vAlign w:val="center"/>
          </w:tcPr>
          <w:p w14:paraId="4FDD1356" w14:textId="0DE94360" w:rsidR="00E175F7" w:rsidRPr="00617A89" w:rsidRDefault="00E175F7" w:rsidP="0047134D">
            <w:pPr>
              <w:jc w:val="right"/>
              <w:rPr>
                <w:rFonts w:cs="Arial"/>
                <w:color w:val="000000" w:themeColor="text1"/>
                <w:sz w:val="18"/>
                <w:szCs w:val="18"/>
              </w:rPr>
            </w:pPr>
            <w:r w:rsidRPr="00617A89">
              <w:rPr>
                <w:rFonts w:cs="Arial"/>
                <w:color w:val="000000" w:themeColor="text1"/>
                <w:sz w:val="18"/>
                <w:szCs w:val="18"/>
              </w:rPr>
              <w:t>89.3 (75.8, 95.9)</w:t>
            </w:r>
          </w:p>
        </w:tc>
        <w:tc>
          <w:tcPr>
            <w:tcW w:w="1843" w:type="dxa"/>
            <w:tcBorders>
              <w:top w:val="single" w:sz="4" w:space="0" w:color="auto"/>
              <w:left w:val="single" w:sz="4" w:space="0" w:color="auto"/>
              <w:bottom w:val="single" w:sz="4" w:space="0" w:color="auto"/>
              <w:right w:val="single" w:sz="4" w:space="0" w:color="auto"/>
            </w:tcBorders>
            <w:vAlign w:val="center"/>
          </w:tcPr>
          <w:p w14:paraId="6F3BAECB" w14:textId="48CA815B" w:rsidR="00E175F7" w:rsidRPr="00617A89" w:rsidRDefault="00E175F7" w:rsidP="0047134D">
            <w:pPr>
              <w:widowControl w:val="0"/>
              <w:suppressAutoHyphens/>
              <w:autoSpaceDE w:val="0"/>
              <w:autoSpaceDN w:val="0"/>
              <w:adjustRightInd w:val="0"/>
              <w:spacing w:before="85" w:line="288" w:lineRule="auto"/>
              <w:jc w:val="right"/>
              <w:textAlignment w:val="center"/>
              <w:rPr>
                <w:rFonts w:cs="Arial"/>
                <w:color w:val="000000" w:themeColor="text1"/>
                <w:sz w:val="18"/>
                <w:szCs w:val="18"/>
              </w:rPr>
            </w:pPr>
            <w:r w:rsidRPr="00617A89">
              <w:rPr>
                <w:rFonts w:cs="Arial"/>
                <w:color w:val="000000" w:themeColor="text1"/>
                <w:sz w:val="18"/>
                <w:szCs w:val="18"/>
              </w:rPr>
              <w:t>n/a</w:t>
            </w:r>
          </w:p>
        </w:tc>
        <w:tc>
          <w:tcPr>
            <w:tcW w:w="1766" w:type="dxa"/>
            <w:tcBorders>
              <w:top w:val="single" w:sz="4" w:space="0" w:color="auto"/>
              <w:left w:val="single" w:sz="4" w:space="0" w:color="auto"/>
              <w:bottom w:val="single" w:sz="4" w:space="0" w:color="auto"/>
              <w:right w:val="single" w:sz="4" w:space="0" w:color="auto"/>
            </w:tcBorders>
            <w:vAlign w:val="center"/>
          </w:tcPr>
          <w:p w14:paraId="5FAD98CE" w14:textId="1BD164D7" w:rsidR="00E175F7" w:rsidRPr="00617A89" w:rsidRDefault="00E175F7" w:rsidP="0047134D">
            <w:pPr>
              <w:widowControl w:val="0"/>
              <w:suppressAutoHyphens/>
              <w:autoSpaceDE w:val="0"/>
              <w:autoSpaceDN w:val="0"/>
              <w:adjustRightInd w:val="0"/>
              <w:spacing w:before="85" w:line="288" w:lineRule="auto"/>
              <w:jc w:val="right"/>
              <w:textAlignment w:val="center"/>
              <w:rPr>
                <w:rFonts w:cs="Arial"/>
                <w:color w:val="000000" w:themeColor="text1"/>
                <w:sz w:val="18"/>
                <w:szCs w:val="18"/>
              </w:rPr>
            </w:pPr>
            <w:r w:rsidRPr="00617A89">
              <w:rPr>
                <w:rFonts w:cs="Arial"/>
                <w:color w:val="000000" w:themeColor="text1"/>
                <w:sz w:val="18"/>
                <w:szCs w:val="18"/>
              </w:rPr>
              <w:t>n/a</w:t>
            </w:r>
          </w:p>
        </w:tc>
      </w:tr>
      <w:tr w:rsidR="00C22852" w:rsidRPr="00617A89" w14:paraId="03E6BC7D"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7D65C90B"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Avondale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44DEB623" w14:textId="4B164B5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701" w:type="dxa"/>
            <w:tcBorders>
              <w:top w:val="single" w:sz="4" w:space="0" w:color="auto"/>
              <w:left w:val="single" w:sz="4" w:space="0" w:color="auto"/>
              <w:bottom w:val="single" w:sz="4" w:space="0" w:color="auto"/>
              <w:right w:val="single" w:sz="4" w:space="0" w:color="auto"/>
            </w:tcBorders>
            <w:vAlign w:val="center"/>
          </w:tcPr>
          <w:p w14:paraId="2EFE4265" w14:textId="3155547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843" w:type="dxa"/>
            <w:tcBorders>
              <w:top w:val="single" w:sz="4" w:space="0" w:color="auto"/>
              <w:left w:val="single" w:sz="4" w:space="0" w:color="auto"/>
              <w:bottom w:val="single" w:sz="4" w:space="0" w:color="auto"/>
              <w:right w:val="single" w:sz="4" w:space="0" w:color="auto"/>
            </w:tcBorders>
            <w:vAlign w:val="center"/>
          </w:tcPr>
          <w:p w14:paraId="6B45E2D2" w14:textId="31976AB3"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766" w:type="dxa"/>
            <w:tcBorders>
              <w:top w:val="single" w:sz="4" w:space="0" w:color="auto"/>
              <w:left w:val="single" w:sz="4" w:space="0" w:color="auto"/>
              <w:bottom w:val="single" w:sz="4" w:space="0" w:color="auto"/>
              <w:right w:val="single" w:sz="4" w:space="0" w:color="auto"/>
            </w:tcBorders>
            <w:vAlign w:val="center"/>
          </w:tcPr>
          <w:p w14:paraId="731B9317" w14:textId="18E5115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r>
      <w:tr w:rsidR="00C22852" w:rsidRPr="00617A89" w14:paraId="7BCA6276"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45D9C6E0"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Bond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37210E9C" w14:textId="54CB260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68.0 (52.2, 80.3)</w:t>
            </w:r>
          </w:p>
        </w:tc>
        <w:tc>
          <w:tcPr>
            <w:tcW w:w="1701" w:type="dxa"/>
            <w:tcBorders>
              <w:top w:val="single" w:sz="4" w:space="0" w:color="auto"/>
              <w:left w:val="single" w:sz="4" w:space="0" w:color="auto"/>
              <w:bottom w:val="single" w:sz="4" w:space="0" w:color="auto"/>
              <w:right w:val="single" w:sz="4" w:space="0" w:color="auto"/>
            </w:tcBorders>
            <w:vAlign w:val="center"/>
          </w:tcPr>
          <w:p w14:paraId="7BADD20F" w14:textId="23AF3F1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80.6 (67.2, 89.2)</w:t>
            </w:r>
          </w:p>
        </w:tc>
        <w:tc>
          <w:tcPr>
            <w:tcW w:w="1843" w:type="dxa"/>
            <w:tcBorders>
              <w:top w:val="single" w:sz="4" w:space="0" w:color="auto"/>
              <w:left w:val="single" w:sz="4" w:space="0" w:color="auto"/>
              <w:bottom w:val="single" w:sz="4" w:space="0" w:color="auto"/>
              <w:right w:val="single" w:sz="4" w:space="0" w:color="auto"/>
            </w:tcBorders>
            <w:vAlign w:val="center"/>
          </w:tcPr>
          <w:p w14:paraId="56607E30" w14:textId="151363E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766" w:type="dxa"/>
            <w:tcBorders>
              <w:top w:val="single" w:sz="4" w:space="0" w:color="auto"/>
              <w:left w:val="single" w:sz="4" w:space="0" w:color="auto"/>
              <w:bottom w:val="single" w:sz="4" w:space="0" w:color="auto"/>
              <w:right w:val="single" w:sz="4" w:space="0" w:color="auto"/>
            </w:tcBorders>
            <w:vAlign w:val="center"/>
          </w:tcPr>
          <w:p w14:paraId="4ED5D147" w14:textId="23ECE1B3"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r>
      <w:tr w:rsidR="00C22852" w:rsidRPr="00617A89" w14:paraId="13F71052"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1E30489F"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Central Queensland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787A9A88" w14:textId="65818C6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86.3 (82.9, 89.1)</w:t>
            </w:r>
          </w:p>
        </w:tc>
        <w:tc>
          <w:tcPr>
            <w:tcW w:w="1701" w:type="dxa"/>
            <w:tcBorders>
              <w:top w:val="single" w:sz="4" w:space="0" w:color="auto"/>
              <w:left w:val="single" w:sz="4" w:space="0" w:color="auto"/>
              <w:bottom w:val="single" w:sz="4" w:space="0" w:color="auto"/>
              <w:right w:val="single" w:sz="4" w:space="0" w:color="auto"/>
            </w:tcBorders>
            <w:vAlign w:val="center"/>
          </w:tcPr>
          <w:p w14:paraId="69ED7874" w14:textId="7108E62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91.8 (89.0, 93.9)</w:t>
            </w:r>
          </w:p>
        </w:tc>
        <w:tc>
          <w:tcPr>
            <w:tcW w:w="1843" w:type="dxa"/>
            <w:tcBorders>
              <w:top w:val="single" w:sz="4" w:space="0" w:color="auto"/>
              <w:left w:val="single" w:sz="4" w:space="0" w:color="auto"/>
              <w:bottom w:val="single" w:sz="4" w:space="0" w:color="auto"/>
              <w:right w:val="single" w:sz="4" w:space="0" w:color="auto"/>
            </w:tcBorders>
            <w:vAlign w:val="center"/>
          </w:tcPr>
          <w:p w14:paraId="7C72F6DF" w14:textId="7F429A7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73,000 (71,300, 74,800)</w:t>
            </w:r>
          </w:p>
        </w:tc>
        <w:tc>
          <w:tcPr>
            <w:tcW w:w="1766" w:type="dxa"/>
            <w:tcBorders>
              <w:top w:val="single" w:sz="4" w:space="0" w:color="auto"/>
              <w:left w:val="single" w:sz="4" w:space="0" w:color="auto"/>
              <w:bottom w:val="single" w:sz="4" w:space="0" w:color="auto"/>
              <w:right w:val="single" w:sz="4" w:space="0" w:color="auto"/>
            </w:tcBorders>
            <w:vAlign w:val="center"/>
          </w:tcPr>
          <w:p w14:paraId="7CD50A3F" w14:textId="290F8E8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99,600 (97,900, 101,300)</w:t>
            </w:r>
          </w:p>
        </w:tc>
      </w:tr>
      <w:tr w:rsidR="00C22852" w:rsidRPr="00617A89" w14:paraId="7EAD875C"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0839CFF7"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Charles Darwin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7364CF53" w14:textId="7C0CE7D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82.3 (76.9, 86.6)</w:t>
            </w:r>
          </w:p>
        </w:tc>
        <w:tc>
          <w:tcPr>
            <w:tcW w:w="1701" w:type="dxa"/>
            <w:tcBorders>
              <w:top w:val="single" w:sz="4" w:space="0" w:color="auto"/>
              <w:left w:val="single" w:sz="4" w:space="0" w:color="auto"/>
              <w:bottom w:val="single" w:sz="4" w:space="0" w:color="auto"/>
              <w:right w:val="single" w:sz="4" w:space="0" w:color="auto"/>
            </w:tcBorders>
            <w:vAlign w:val="center"/>
          </w:tcPr>
          <w:p w14:paraId="32398880" w14:textId="3A39F71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93.2 (89.1, 95.7)</w:t>
            </w:r>
          </w:p>
        </w:tc>
        <w:tc>
          <w:tcPr>
            <w:tcW w:w="1843" w:type="dxa"/>
            <w:tcBorders>
              <w:top w:val="single" w:sz="4" w:space="0" w:color="auto"/>
              <w:left w:val="single" w:sz="4" w:space="0" w:color="auto"/>
              <w:bottom w:val="single" w:sz="4" w:space="0" w:color="auto"/>
              <w:right w:val="single" w:sz="4" w:space="0" w:color="auto"/>
            </w:tcBorders>
            <w:vAlign w:val="center"/>
          </w:tcPr>
          <w:p w14:paraId="13813952" w14:textId="7A22E79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73,100 (68,800, 77,300)</w:t>
            </w:r>
          </w:p>
        </w:tc>
        <w:tc>
          <w:tcPr>
            <w:tcW w:w="1766" w:type="dxa"/>
            <w:tcBorders>
              <w:top w:val="single" w:sz="4" w:space="0" w:color="auto"/>
              <w:left w:val="single" w:sz="4" w:space="0" w:color="auto"/>
              <w:bottom w:val="single" w:sz="4" w:space="0" w:color="auto"/>
              <w:right w:val="single" w:sz="4" w:space="0" w:color="auto"/>
            </w:tcBorders>
            <w:vAlign w:val="center"/>
          </w:tcPr>
          <w:p w14:paraId="6896DD1D" w14:textId="7059BEB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95,000 (89,200, 100,800)</w:t>
            </w:r>
          </w:p>
        </w:tc>
      </w:tr>
      <w:tr w:rsidR="00C22852" w:rsidRPr="00617A89" w14:paraId="0FB871CB"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622ECEDA"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Charles Sturt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17CB84A9" w14:textId="57459AA6"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89.9 (87.5, 91.9)</w:t>
            </w:r>
          </w:p>
        </w:tc>
        <w:tc>
          <w:tcPr>
            <w:tcW w:w="1701" w:type="dxa"/>
            <w:tcBorders>
              <w:top w:val="single" w:sz="4" w:space="0" w:color="auto"/>
              <w:left w:val="single" w:sz="4" w:space="0" w:color="auto"/>
              <w:bottom w:val="single" w:sz="4" w:space="0" w:color="auto"/>
              <w:right w:val="single" w:sz="4" w:space="0" w:color="auto"/>
            </w:tcBorders>
            <w:vAlign w:val="center"/>
          </w:tcPr>
          <w:p w14:paraId="0C541E52" w14:textId="6140973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93.2 (91.0, 94.8)</w:t>
            </w:r>
          </w:p>
        </w:tc>
        <w:tc>
          <w:tcPr>
            <w:tcW w:w="1843" w:type="dxa"/>
            <w:tcBorders>
              <w:top w:val="single" w:sz="4" w:space="0" w:color="auto"/>
              <w:left w:val="single" w:sz="4" w:space="0" w:color="auto"/>
              <w:bottom w:val="single" w:sz="4" w:space="0" w:color="auto"/>
              <w:right w:val="single" w:sz="4" w:space="0" w:color="auto"/>
            </w:tcBorders>
            <w:vAlign w:val="center"/>
          </w:tcPr>
          <w:p w14:paraId="51D685CA" w14:textId="34B2A25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73,100 (71,100, 75,000)</w:t>
            </w:r>
          </w:p>
        </w:tc>
        <w:tc>
          <w:tcPr>
            <w:tcW w:w="1766" w:type="dxa"/>
            <w:tcBorders>
              <w:top w:val="single" w:sz="4" w:space="0" w:color="auto"/>
              <w:left w:val="single" w:sz="4" w:space="0" w:color="auto"/>
              <w:bottom w:val="single" w:sz="4" w:space="0" w:color="auto"/>
              <w:right w:val="single" w:sz="4" w:space="0" w:color="auto"/>
            </w:tcBorders>
            <w:vAlign w:val="center"/>
          </w:tcPr>
          <w:p w14:paraId="3EB3B877" w14:textId="5A89070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100,000 (97,000, 103,000)</w:t>
            </w:r>
          </w:p>
        </w:tc>
      </w:tr>
      <w:tr w:rsidR="00C22852" w:rsidRPr="00617A89" w14:paraId="1BD0087E"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31F233F1"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Curtin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517AF55E" w14:textId="7C3CFF95"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84.1 (80.9, 86.8)</w:t>
            </w:r>
          </w:p>
        </w:tc>
        <w:tc>
          <w:tcPr>
            <w:tcW w:w="1701" w:type="dxa"/>
            <w:tcBorders>
              <w:top w:val="single" w:sz="4" w:space="0" w:color="auto"/>
              <w:left w:val="single" w:sz="4" w:space="0" w:color="auto"/>
              <w:bottom w:val="single" w:sz="4" w:space="0" w:color="auto"/>
              <w:right w:val="single" w:sz="4" w:space="0" w:color="auto"/>
            </w:tcBorders>
            <w:vAlign w:val="center"/>
          </w:tcPr>
          <w:p w14:paraId="7D2BFF3C" w14:textId="0FAB5F7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90.9 (88.3, 93.0)</w:t>
            </w:r>
          </w:p>
        </w:tc>
        <w:tc>
          <w:tcPr>
            <w:tcW w:w="1843" w:type="dxa"/>
            <w:tcBorders>
              <w:top w:val="single" w:sz="4" w:space="0" w:color="auto"/>
              <w:left w:val="single" w:sz="4" w:space="0" w:color="auto"/>
              <w:bottom w:val="single" w:sz="4" w:space="0" w:color="auto"/>
              <w:right w:val="single" w:sz="4" w:space="0" w:color="auto"/>
            </w:tcBorders>
            <w:vAlign w:val="center"/>
          </w:tcPr>
          <w:p w14:paraId="3B63B98A" w14:textId="088B321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72,000 (70,100, 73,900)</w:t>
            </w:r>
          </w:p>
        </w:tc>
        <w:tc>
          <w:tcPr>
            <w:tcW w:w="1766" w:type="dxa"/>
            <w:tcBorders>
              <w:top w:val="single" w:sz="4" w:space="0" w:color="auto"/>
              <w:left w:val="single" w:sz="4" w:space="0" w:color="auto"/>
              <w:bottom w:val="single" w:sz="4" w:space="0" w:color="auto"/>
              <w:right w:val="single" w:sz="4" w:space="0" w:color="auto"/>
            </w:tcBorders>
            <w:vAlign w:val="center"/>
          </w:tcPr>
          <w:p w14:paraId="35B92BBF" w14:textId="4C37B5C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96,700 (92,900, 100,500)</w:t>
            </w:r>
          </w:p>
        </w:tc>
      </w:tr>
      <w:tr w:rsidR="00C22852" w:rsidRPr="00617A89" w14:paraId="44B38851"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16E295E7"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Deakin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6F5F3A26" w14:textId="4C2AEAA4"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81.4 (78.9, 83.6)</w:t>
            </w:r>
          </w:p>
        </w:tc>
        <w:tc>
          <w:tcPr>
            <w:tcW w:w="1701" w:type="dxa"/>
            <w:tcBorders>
              <w:top w:val="single" w:sz="4" w:space="0" w:color="auto"/>
              <w:left w:val="single" w:sz="4" w:space="0" w:color="auto"/>
              <w:bottom w:val="single" w:sz="4" w:space="0" w:color="auto"/>
              <w:right w:val="single" w:sz="4" w:space="0" w:color="auto"/>
            </w:tcBorders>
            <w:vAlign w:val="center"/>
          </w:tcPr>
          <w:p w14:paraId="3C56186C" w14:textId="1070A76D"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90.8 (89.0, 92.4)</w:t>
            </w:r>
          </w:p>
        </w:tc>
        <w:tc>
          <w:tcPr>
            <w:tcW w:w="1843" w:type="dxa"/>
            <w:tcBorders>
              <w:top w:val="single" w:sz="4" w:space="0" w:color="auto"/>
              <w:left w:val="single" w:sz="4" w:space="0" w:color="auto"/>
              <w:bottom w:val="single" w:sz="4" w:space="0" w:color="auto"/>
              <w:right w:val="single" w:sz="4" w:space="0" w:color="auto"/>
            </w:tcBorders>
            <w:vAlign w:val="center"/>
          </w:tcPr>
          <w:p w14:paraId="1BE6A035" w14:textId="3C82346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67,000 (64,800, 69,200)</w:t>
            </w:r>
          </w:p>
        </w:tc>
        <w:tc>
          <w:tcPr>
            <w:tcW w:w="1766" w:type="dxa"/>
            <w:tcBorders>
              <w:top w:val="single" w:sz="4" w:space="0" w:color="auto"/>
              <w:left w:val="single" w:sz="4" w:space="0" w:color="auto"/>
              <w:bottom w:val="single" w:sz="4" w:space="0" w:color="auto"/>
              <w:right w:val="single" w:sz="4" w:space="0" w:color="auto"/>
            </w:tcBorders>
            <w:vAlign w:val="center"/>
          </w:tcPr>
          <w:p w14:paraId="0D6DB488" w14:textId="3E95E6B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88,000 (85,200, 90,800)</w:t>
            </w:r>
          </w:p>
        </w:tc>
      </w:tr>
      <w:tr w:rsidR="00C22852" w:rsidRPr="00617A89" w14:paraId="458004CC"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36816D22"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Edith Cowan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45CDB1C9" w14:textId="7FA6394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78.0 (74.3, 81.3)</w:t>
            </w:r>
          </w:p>
        </w:tc>
        <w:tc>
          <w:tcPr>
            <w:tcW w:w="1701" w:type="dxa"/>
            <w:tcBorders>
              <w:top w:val="single" w:sz="4" w:space="0" w:color="auto"/>
              <w:left w:val="single" w:sz="4" w:space="0" w:color="auto"/>
              <w:bottom w:val="single" w:sz="4" w:space="0" w:color="auto"/>
              <w:right w:val="single" w:sz="4" w:space="0" w:color="auto"/>
            </w:tcBorders>
            <w:vAlign w:val="center"/>
          </w:tcPr>
          <w:p w14:paraId="122EACF6" w14:textId="1DF75C8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93.1 (90.7, 94.9)</w:t>
            </w:r>
          </w:p>
        </w:tc>
        <w:tc>
          <w:tcPr>
            <w:tcW w:w="1843" w:type="dxa"/>
            <w:tcBorders>
              <w:top w:val="single" w:sz="4" w:space="0" w:color="auto"/>
              <w:left w:val="single" w:sz="4" w:space="0" w:color="auto"/>
              <w:bottom w:val="single" w:sz="4" w:space="0" w:color="auto"/>
              <w:right w:val="single" w:sz="4" w:space="0" w:color="auto"/>
            </w:tcBorders>
            <w:vAlign w:val="center"/>
          </w:tcPr>
          <w:p w14:paraId="6893FC1A" w14:textId="308D456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70,000 (68,700, 71,300)</w:t>
            </w:r>
          </w:p>
        </w:tc>
        <w:tc>
          <w:tcPr>
            <w:tcW w:w="1766" w:type="dxa"/>
            <w:tcBorders>
              <w:top w:val="single" w:sz="4" w:space="0" w:color="auto"/>
              <w:left w:val="single" w:sz="4" w:space="0" w:color="auto"/>
              <w:bottom w:val="single" w:sz="4" w:space="0" w:color="auto"/>
              <w:right w:val="single" w:sz="4" w:space="0" w:color="auto"/>
            </w:tcBorders>
            <w:vAlign w:val="center"/>
          </w:tcPr>
          <w:p w14:paraId="519B14F6" w14:textId="64BA3E3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95,000 (91,500, 98,500)</w:t>
            </w:r>
          </w:p>
        </w:tc>
      </w:tr>
      <w:tr w:rsidR="00C22852" w:rsidRPr="00617A89" w14:paraId="7DB9235C"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5B44E15F"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Federation University Australia</w:t>
            </w:r>
          </w:p>
        </w:tc>
        <w:tc>
          <w:tcPr>
            <w:tcW w:w="1898" w:type="dxa"/>
            <w:tcBorders>
              <w:top w:val="single" w:sz="4" w:space="0" w:color="auto"/>
              <w:left w:val="single" w:sz="4" w:space="0" w:color="auto"/>
              <w:bottom w:val="single" w:sz="4" w:space="0" w:color="auto"/>
              <w:right w:val="single" w:sz="4" w:space="0" w:color="auto"/>
            </w:tcBorders>
            <w:vAlign w:val="center"/>
          </w:tcPr>
          <w:p w14:paraId="5CC5A597" w14:textId="118C8C1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77.0 (71.0, 82.0)</w:t>
            </w:r>
          </w:p>
        </w:tc>
        <w:tc>
          <w:tcPr>
            <w:tcW w:w="1701" w:type="dxa"/>
            <w:tcBorders>
              <w:top w:val="single" w:sz="4" w:space="0" w:color="auto"/>
              <w:left w:val="single" w:sz="4" w:space="0" w:color="auto"/>
              <w:bottom w:val="single" w:sz="4" w:space="0" w:color="auto"/>
              <w:right w:val="single" w:sz="4" w:space="0" w:color="auto"/>
            </w:tcBorders>
            <w:vAlign w:val="center"/>
          </w:tcPr>
          <w:p w14:paraId="1779E519" w14:textId="4046635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87.6 (82.6, 91.2)</w:t>
            </w:r>
          </w:p>
        </w:tc>
        <w:tc>
          <w:tcPr>
            <w:tcW w:w="1843" w:type="dxa"/>
            <w:tcBorders>
              <w:top w:val="single" w:sz="4" w:space="0" w:color="auto"/>
              <w:left w:val="single" w:sz="4" w:space="0" w:color="auto"/>
              <w:bottom w:val="single" w:sz="4" w:space="0" w:color="auto"/>
              <w:right w:val="single" w:sz="4" w:space="0" w:color="auto"/>
            </w:tcBorders>
            <w:vAlign w:val="center"/>
          </w:tcPr>
          <w:p w14:paraId="2B4B99EA" w14:textId="242A87B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67,300 (63,600, 70,900)</w:t>
            </w:r>
          </w:p>
        </w:tc>
        <w:tc>
          <w:tcPr>
            <w:tcW w:w="1766" w:type="dxa"/>
            <w:tcBorders>
              <w:top w:val="single" w:sz="4" w:space="0" w:color="auto"/>
              <w:left w:val="single" w:sz="4" w:space="0" w:color="auto"/>
              <w:bottom w:val="single" w:sz="4" w:space="0" w:color="auto"/>
              <w:right w:val="single" w:sz="4" w:space="0" w:color="auto"/>
            </w:tcBorders>
            <w:vAlign w:val="center"/>
          </w:tcPr>
          <w:p w14:paraId="08B0B269" w14:textId="7C808D15"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83,800 (80,600, 87,100)</w:t>
            </w:r>
          </w:p>
        </w:tc>
      </w:tr>
      <w:tr w:rsidR="00C22852" w:rsidRPr="00617A89" w14:paraId="5E856D28"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428E699F"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Flinders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259CAE11" w14:textId="237816A6"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78.3 (73.9, 82.1)</w:t>
            </w:r>
          </w:p>
        </w:tc>
        <w:tc>
          <w:tcPr>
            <w:tcW w:w="1701" w:type="dxa"/>
            <w:tcBorders>
              <w:top w:val="single" w:sz="4" w:space="0" w:color="auto"/>
              <w:left w:val="single" w:sz="4" w:space="0" w:color="auto"/>
              <w:bottom w:val="single" w:sz="4" w:space="0" w:color="auto"/>
              <w:right w:val="single" w:sz="4" w:space="0" w:color="auto"/>
            </w:tcBorders>
            <w:vAlign w:val="center"/>
          </w:tcPr>
          <w:p w14:paraId="3D8F2AC8" w14:textId="7F1100E4"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91.2 (88.2, 93.5)</w:t>
            </w:r>
          </w:p>
        </w:tc>
        <w:tc>
          <w:tcPr>
            <w:tcW w:w="1843" w:type="dxa"/>
            <w:tcBorders>
              <w:top w:val="single" w:sz="4" w:space="0" w:color="auto"/>
              <w:left w:val="single" w:sz="4" w:space="0" w:color="auto"/>
              <w:bottom w:val="single" w:sz="4" w:space="0" w:color="auto"/>
              <w:right w:val="single" w:sz="4" w:space="0" w:color="auto"/>
            </w:tcBorders>
            <w:vAlign w:val="center"/>
          </w:tcPr>
          <w:p w14:paraId="3415C8DC" w14:textId="6BD530B4"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67,000 (64,100, 69,900)</w:t>
            </w:r>
          </w:p>
        </w:tc>
        <w:tc>
          <w:tcPr>
            <w:tcW w:w="1766" w:type="dxa"/>
            <w:tcBorders>
              <w:top w:val="single" w:sz="4" w:space="0" w:color="auto"/>
              <w:left w:val="single" w:sz="4" w:space="0" w:color="auto"/>
              <w:bottom w:val="single" w:sz="4" w:space="0" w:color="auto"/>
              <w:right w:val="single" w:sz="4" w:space="0" w:color="auto"/>
            </w:tcBorders>
            <w:vAlign w:val="center"/>
          </w:tcPr>
          <w:p w14:paraId="77359AED" w14:textId="30E59D8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86,100 (83,800, 88,400)</w:t>
            </w:r>
          </w:p>
        </w:tc>
      </w:tr>
      <w:tr w:rsidR="00C22852" w:rsidRPr="00617A89" w14:paraId="182FBDFC"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3FB9897F"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Griffith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6C93E441" w14:textId="008A625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73.1 (70.0, 76.0)</w:t>
            </w:r>
          </w:p>
        </w:tc>
        <w:tc>
          <w:tcPr>
            <w:tcW w:w="1701" w:type="dxa"/>
            <w:tcBorders>
              <w:top w:val="single" w:sz="4" w:space="0" w:color="auto"/>
              <w:left w:val="single" w:sz="4" w:space="0" w:color="auto"/>
              <w:bottom w:val="single" w:sz="4" w:space="0" w:color="auto"/>
              <w:right w:val="single" w:sz="4" w:space="0" w:color="auto"/>
            </w:tcBorders>
            <w:vAlign w:val="center"/>
          </w:tcPr>
          <w:p w14:paraId="5D05FB39" w14:textId="5C53C3D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90.8 (88.7, 92.6)</w:t>
            </w:r>
          </w:p>
        </w:tc>
        <w:tc>
          <w:tcPr>
            <w:tcW w:w="1843" w:type="dxa"/>
            <w:tcBorders>
              <w:top w:val="single" w:sz="4" w:space="0" w:color="auto"/>
              <w:left w:val="single" w:sz="4" w:space="0" w:color="auto"/>
              <w:bottom w:val="single" w:sz="4" w:space="0" w:color="auto"/>
              <w:right w:val="single" w:sz="4" w:space="0" w:color="auto"/>
            </w:tcBorders>
            <w:vAlign w:val="center"/>
          </w:tcPr>
          <w:p w14:paraId="580DDB81" w14:textId="58B43C2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65,000 (62,900, 67,100)</w:t>
            </w:r>
          </w:p>
        </w:tc>
        <w:tc>
          <w:tcPr>
            <w:tcW w:w="1766" w:type="dxa"/>
            <w:tcBorders>
              <w:top w:val="single" w:sz="4" w:space="0" w:color="auto"/>
              <w:left w:val="single" w:sz="4" w:space="0" w:color="auto"/>
              <w:bottom w:val="single" w:sz="4" w:space="0" w:color="auto"/>
              <w:right w:val="single" w:sz="4" w:space="0" w:color="auto"/>
            </w:tcBorders>
            <w:vAlign w:val="center"/>
          </w:tcPr>
          <w:p w14:paraId="7E8A3C14" w14:textId="0752261A"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89,500 (87,400, 91,600)</w:t>
            </w:r>
          </w:p>
        </w:tc>
      </w:tr>
      <w:tr w:rsidR="00C22852" w:rsidRPr="00617A89" w14:paraId="55C7A250"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7A98239E"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James Cook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1697FA7D" w14:textId="1717C45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82.1 (77.4, 86.0)</w:t>
            </w:r>
          </w:p>
        </w:tc>
        <w:tc>
          <w:tcPr>
            <w:tcW w:w="1701" w:type="dxa"/>
            <w:tcBorders>
              <w:top w:val="single" w:sz="4" w:space="0" w:color="auto"/>
              <w:left w:val="single" w:sz="4" w:space="0" w:color="auto"/>
              <w:bottom w:val="single" w:sz="4" w:space="0" w:color="auto"/>
              <w:right w:val="single" w:sz="4" w:space="0" w:color="auto"/>
            </w:tcBorders>
            <w:vAlign w:val="center"/>
          </w:tcPr>
          <w:p w14:paraId="19DE1318" w14:textId="5369871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93.9 (90.5, 96.0)</w:t>
            </w:r>
          </w:p>
        </w:tc>
        <w:tc>
          <w:tcPr>
            <w:tcW w:w="1843" w:type="dxa"/>
            <w:tcBorders>
              <w:top w:val="single" w:sz="4" w:space="0" w:color="auto"/>
              <w:left w:val="single" w:sz="4" w:space="0" w:color="auto"/>
              <w:bottom w:val="single" w:sz="4" w:space="0" w:color="auto"/>
              <w:right w:val="single" w:sz="4" w:space="0" w:color="auto"/>
            </w:tcBorders>
            <w:vAlign w:val="center"/>
          </w:tcPr>
          <w:p w14:paraId="4AF6BEFC" w14:textId="6D564EC5"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70,000 (67,100, 72,900)</w:t>
            </w:r>
          </w:p>
        </w:tc>
        <w:tc>
          <w:tcPr>
            <w:tcW w:w="1766" w:type="dxa"/>
            <w:tcBorders>
              <w:top w:val="single" w:sz="4" w:space="0" w:color="auto"/>
              <w:left w:val="single" w:sz="4" w:space="0" w:color="auto"/>
              <w:bottom w:val="single" w:sz="4" w:space="0" w:color="auto"/>
              <w:right w:val="single" w:sz="4" w:space="0" w:color="auto"/>
            </w:tcBorders>
            <w:vAlign w:val="center"/>
          </w:tcPr>
          <w:p w14:paraId="46696EAC" w14:textId="3D098063"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93,900 (89,600, 98,200)</w:t>
            </w:r>
          </w:p>
        </w:tc>
      </w:tr>
      <w:tr w:rsidR="00C22852" w:rsidRPr="00617A89" w14:paraId="15905CDD"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66AAAB21"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La Trobe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4A9F23AA" w14:textId="57897F6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79.4 (75.7, 82.7)</w:t>
            </w:r>
          </w:p>
        </w:tc>
        <w:tc>
          <w:tcPr>
            <w:tcW w:w="1701" w:type="dxa"/>
            <w:tcBorders>
              <w:top w:val="single" w:sz="4" w:space="0" w:color="auto"/>
              <w:left w:val="single" w:sz="4" w:space="0" w:color="auto"/>
              <w:bottom w:val="single" w:sz="4" w:space="0" w:color="auto"/>
              <w:right w:val="single" w:sz="4" w:space="0" w:color="auto"/>
            </w:tcBorders>
            <w:vAlign w:val="center"/>
          </w:tcPr>
          <w:p w14:paraId="58DAE4E0" w14:textId="282CAEB6"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91.8 (89.1, 93.9)</w:t>
            </w:r>
          </w:p>
        </w:tc>
        <w:tc>
          <w:tcPr>
            <w:tcW w:w="1843" w:type="dxa"/>
            <w:tcBorders>
              <w:top w:val="single" w:sz="4" w:space="0" w:color="auto"/>
              <w:left w:val="single" w:sz="4" w:space="0" w:color="auto"/>
              <w:bottom w:val="single" w:sz="4" w:space="0" w:color="auto"/>
              <w:right w:val="single" w:sz="4" w:space="0" w:color="auto"/>
            </w:tcBorders>
            <w:vAlign w:val="center"/>
          </w:tcPr>
          <w:p w14:paraId="58FF32E9" w14:textId="5A40F5B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68,700 (66,800, 70,700)</w:t>
            </w:r>
          </w:p>
        </w:tc>
        <w:tc>
          <w:tcPr>
            <w:tcW w:w="1766" w:type="dxa"/>
            <w:tcBorders>
              <w:top w:val="single" w:sz="4" w:space="0" w:color="auto"/>
              <w:left w:val="single" w:sz="4" w:space="0" w:color="auto"/>
              <w:bottom w:val="single" w:sz="4" w:space="0" w:color="auto"/>
              <w:right w:val="single" w:sz="4" w:space="0" w:color="auto"/>
            </w:tcBorders>
            <w:vAlign w:val="center"/>
          </w:tcPr>
          <w:p w14:paraId="2A04CF45" w14:textId="6DDBBDA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87,000 (84,100, 89,900)</w:t>
            </w:r>
          </w:p>
        </w:tc>
      </w:tr>
      <w:tr w:rsidR="00C22852" w:rsidRPr="00617A89" w14:paraId="7EC04EB9"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5E47591C"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Macquarie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123EFC13" w14:textId="5CAABDC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76.7 (73.2, 79.9)</w:t>
            </w:r>
          </w:p>
        </w:tc>
        <w:tc>
          <w:tcPr>
            <w:tcW w:w="1701" w:type="dxa"/>
            <w:tcBorders>
              <w:top w:val="single" w:sz="4" w:space="0" w:color="auto"/>
              <w:left w:val="single" w:sz="4" w:space="0" w:color="auto"/>
              <w:bottom w:val="single" w:sz="4" w:space="0" w:color="auto"/>
              <w:right w:val="single" w:sz="4" w:space="0" w:color="auto"/>
            </w:tcBorders>
            <w:vAlign w:val="center"/>
          </w:tcPr>
          <w:p w14:paraId="17900153" w14:textId="7959D8C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88.3 (85.6, 90.5)</w:t>
            </w:r>
          </w:p>
        </w:tc>
        <w:tc>
          <w:tcPr>
            <w:tcW w:w="1843" w:type="dxa"/>
            <w:tcBorders>
              <w:top w:val="single" w:sz="4" w:space="0" w:color="auto"/>
              <w:left w:val="single" w:sz="4" w:space="0" w:color="auto"/>
              <w:bottom w:val="single" w:sz="4" w:space="0" w:color="auto"/>
              <w:right w:val="single" w:sz="4" w:space="0" w:color="auto"/>
            </w:tcBorders>
            <w:vAlign w:val="center"/>
          </w:tcPr>
          <w:p w14:paraId="40741912" w14:textId="5090C29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65,600 (63,200, 68,100)</w:t>
            </w:r>
          </w:p>
        </w:tc>
        <w:tc>
          <w:tcPr>
            <w:tcW w:w="1766" w:type="dxa"/>
            <w:tcBorders>
              <w:top w:val="single" w:sz="4" w:space="0" w:color="auto"/>
              <w:left w:val="single" w:sz="4" w:space="0" w:color="auto"/>
              <w:bottom w:val="single" w:sz="4" w:space="0" w:color="auto"/>
              <w:right w:val="single" w:sz="4" w:space="0" w:color="auto"/>
            </w:tcBorders>
            <w:vAlign w:val="center"/>
          </w:tcPr>
          <w:p w14:paraId="38004E15" w14:textId="4B01289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91,200 (89,100, 93,300)</w:t>
            </w:r>
          </w:p>
        </w:tc>
      </w:tr>
      <w:tr w:rsidR="00C22852" w:rsidRPr="00617A89" w14:paraId="72403968"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3298F9E8"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Monash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7BC874B1" w14:textId="3D09E90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81.6 (79.2, 83.8)</w:t>
            </w:r>
          </w:p>
        </w:tc>
        <w:tc>
          <w:tcPr>
            <w:tcW w:w="1701" w:type="dxa"/>
            <w:tcBorders>
              <w:top w:val="single" w:sz="4" w:space="0" w:color="auto"/>
              <w:left w:val="single" w:sz="4" w:space="0" w:color="auto"/>
              <w:bottom w:val="single" w:sz="4" w:space="0" w:color="auto"/>
              <w:right w:val="single" w:sz="4" w:space="0" w:color="auto"/>
            </w:tcBorders>
            <w:vAlign w:val="center"/>
          </w:tcPr>
          <w:p w14:paraId="0FCBAF99" w14:textId="39EE177D"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94.0 (92.5, 95.2)</w:t>
            </w:r>
          </w:p>
        </w:tc>
        <w:tc>
          <w:tcPr>
            <w:tcW w:w="1843" w:type="dxa"/>
            <w:tcBorders>
              <w:top w:val="single" w:sz="4" w:space="0" w:color="auto"/>
              <w:left w:val="single" w:sz="4" w:space="0" w:color="auto"/>
              <w:bottom w:val="single" w:sz="4" w:space="0" w:color="auto"/>
              <w:right w:val="single" w:sz="4" w:space="0" w:color="auto"/>
            </w:tcBorders>
            <w:vAlign w:val="center"/>
          </w:tcPr>
          <w:p w14:paraId="18DAD710" w14:textId="789E3D2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67,900 (66,100, 69,700)</w:t>
            </w:r>
          </w:p>
        </w:tc>
        <w:tc>
          <w:tcPr>
            <w:tcW w:w="1766" w:type="dxa"/>
            <w:tcBorders>
              <w:top w:val="single" w:sz="4" w:space="0" w:color="auto"/>
              <w:left w:val="single" w:sz="4" w:space="0" w:color="auto"/>
              <w:bottom w:val="single" w:sz="4" w:space="0" w:color="auto"/>
              <w:right w:val="single" w:sz="4" w:space="0" w:color="auto"/>
            </w:tcBorders>
            <w:vAlign w:val="center"/>
          </w:tcPr>
          <w:p w14:paraId="2E4A44DA" w14:textId="00A91BB5"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90,100 (88,400, 91,800)</w:t>
            </w:r>
          </w:p>
        </w:tc>
      </w:tr>
      <w:tr w:rsidR="00C22852" w:rsidRPr="00617A89" w14:paraId="57D3DD5B"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24E73F4C"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Murdoch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3CE8D1A9" w14:textId="226B9CA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70.7 (64.8, 76.0)</w:t>
            </w:r>
          </w:p>
        </w:tc>
        <w:tc>
          <w:tcPr>
            <w:tcW w:w="1701" w:type="dxa"/>
            <w:tcBorders>
              <w:top w:val="single" w:sz="4" w:space="0" w:color="auto"/>
              <w:left w:val="single" w:sz="4" w:space="0" w:color="auto"/>
              <w:bottom w:val="single" w:sz="4" w:space="0" w:color="auto"/>
              <w:right w:val="single" w:sz="4" w:space="0" w:color="auto"/>
            </w:tcBorders>
            <w:vAlign w:val="center"/>
          </w:tcPr>
          <w:p w14:paraId="471CFD12" w14:textId="4DEFC9F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90.4 (86.3, 93.4)</w:t>
            </w:r>
          </w:p>
        </w:tc>
        <w:tc>
          <w:tcPr>
            <w:tcW w:w="1843" w:type="dxa"/>
            <w:tcBorders>
              <w:top w:val="single" w:sz="4" w:space="0" w:color="auto"/>
              <w:left w:val="single" w:sz="4" w:space="0" w:color="auto"/>
              <w:bottom w:val="single" w:sz="4" w:space="0" w:color="auto"/>
              <w:right w:val="single" w:sz="4" w:space="0" w:color="auto"/>
            </w:tcBorders>
            <w:vAlign w:val="center"/>
          </w:tcPr>
          <w:p w14:paraId="400345AB" w14:textId="5D89DF33"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72,100 (70,000, 74,300)</w:t>
            </w:r>
          </w:p>
        </w:tc>
        <w:tc>
          <w:tcPr>
            <w:tcW w:w="1766" w:type="dxa"/>
            <w:tcBorders>
              <w:top w:val="single" w:sz="4" w:space="0" w:color="auto"/>
              <w:left w:val="single" w:sz="4" w:space="0" w:color="auto"/>
              <w:bottom w:val="single" w:sz="4" w:space="0" w:color="auto"/>
              <w:right w:val="single" w:sz="4" w:space="0" w:color="auto"/>
            </w:tcBorders>
            <w:vAlign w:val="center"/>
          </w:tcPr>
          <w:p w14:paraId="52D5315F" w14:textId="195DD02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92,000 (87,600, 96,400)</w:t>
            </w:r>
          </w:p>
        </w:tc>
      </w:tr>
      <w:tr w:rsidR="00C22852" w:rsidRPr="00617A89" w14:paraId="68667596"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75DFCFB6"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Queensland University of Technology</w:t>
            </w:r>
          </w:p>
        </w:tc>
        <w:tc>
          <w:tcPr>
            <w:tcW w:w="1898" w:type="dxa"/>
            <w:tcBorders>
              <w:top w:val="single" w:sz="4" w:space="0" w:color="auto"/>
              <w:left w:val="single" w:sz="4" w:space="0" w:color="auto"/>
              <w:bottom w:val="single" w:sz="4" w:space="0" w:color="auto"/>
              <w:right w:val="single" w:sz="4" w:space="0" w:color="auto"/>
            </w:tcBorders>
            <w:vAlign w:val="center"/>
          </w:tcPr>
          <w:p w14:paraId="2A43EC37" w14:textId="5235296D"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80.0 (77.6, 82.2)</w:t>
            </w:r>
          </w:p>
        </w:tc>
        <w:tc>
          <w:tcPr>
            <w:tcW w:w="1701" w:type="dxa"/>
            <w:tcBorders>
              <w:top w:val="single" w:sz="4" w:space="0" w:color="auto"/>
              <w:left w:val="single" w:sz="4" w:space="0" w:color="auto"/>
              <w:bottom w:val="single" w:sz="4" w:space="0" w:color="auto"/>
              <w:right w:val="single" w:sz="4" w:space="0" w:color="auto"/>
            </w:tcBorders>
            <w:vAlign w:val="center"/>
          </w:tcPr>
          <w:p w14:paraId="76F908B3" w14:textId="3BF4BF7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94.9 (93.5, 96.0)</w:t>
            </w:r>
          </w:p>
        </w:tc>
        <w:tc>
          <w:tcPr>
            <w:tcW w:w="1843" w:type="dxa"/>
            <w:tcBorders>
              <w:top w:val="single" w:sz="4" w:space="0" w:color="auto"/>
              <w:left w:val="single" w:sz="4" w:space="0" w:color="auto"/>
              <w:bottom w:val="single" w:sz="4" w:space="0" w:color="auto"/>
              <w:right w:val="single" w:sz="4" w:space="0" w:color="auto"/>
            </w:tcBorders>
            <w:vAlign w:val="center"/>
          </w:tcPr>
          <w:p w14:paraId="1A356776" w14:textId="1A94034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65,500 (64,100, 66,900)</w:t>
            </w:r>
          </w:p>
        </w:tc>
        <w:tc>
          <w:tcPr>
            <w:tcW w:w="1766" w:type="dxa"/>
            <w:tcBorders>
              <w:top w:val="single" w:sz="4" w:space="0" w:color="auto"/>
              <w:left w:val="single" w:sz="4" w:space="0" w:color="auto"/>
              <w:bottom w:val="single" w:sz="4" w:space="0" w:color="auto"/>
              <w:right w:val="single" w:sz="4" w:space="0" w:color="auto"/>
            </w:tcBorders>
            <w:vAlign w:val="center"/>
          </w:tcPr>
          <w:p w14:paraId="54E17586" w14:textId="7CEEA23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92,000 (89,600, 94,400)</w:t>
            </w:r>
          </w:p>
        </w:tc>
      </w:tr>
      <w:tr w:rsidR="00C22852" w:rsidRPr="00617A89" w14:paraId="09FFDAC7"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3DB9E883"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RMIT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1911B1A0" w14:textId="7F21583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75.6 (72.8, 78.3)</w:t>
            </w:r>
          </w:p>
        </w:tc>
        <w:tc>
          <w:tcPr>
            <w:tcW w:w="1701" w:type="dxa"/>
            <w:tcBorders>
              <w:top w:val="single" w:sz="4" w:space="0" w:color="auto"/>
              <w:left w:val="single" w:sz="4" w:space="0" w:color="auto"/>
              <w:bottom w:val="single" w:sz="4" w:space="0" w:color="auto"/>
              <w:right w:val="single" w:sz="4" w:space="0" w:color="auto"/>
            </w:tcBorders>
            <w:vAlign w:val="center"/>
          </w:tcPr>
          <w:p w14:paraId="37D80A8E" w14:textId="2C546F9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88.9 (86.8, 90.6)</w:t>
            </w:r>
          </w:p>
        </w:tc>
        <w:tc>
          <w:tcPr>
            <w:tcW w:w="1843" w:type="dxa"/>
            <w:tcBorders>
              <w:top w:val="single" w:sz="4" w:space="0" w:color="auto"/>
              <w:left w:val="single" w:sz="4" w:space="0" w:color="auto"/>
              <w:bottom w:val="single" w:sz="4" w:space="0" w:color="auto"/>
              <w:right w:val="single" w:sz="4" w:space="0" w:color="auto"/>
            </w:tcBorders>
            <w:vAlign w:val="center"/>
          </w:tcPr>
          <w:p w14:paraId="56371516" w14:textId="0729EAF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65,000 (64,100, 65,900)</w:t>
            </w:r>
          </w:p>
        </w:tc>
        <w:tc>
          <w:tcPr>
            <w:tcW w:w="1766" w:type="dxa"/>
            <w:tcBorders>
              <w:top w:val="single" w:sz="4" w:space="0" w:color="auto"/>
              <w:left w:val="single" w:sz="4" w:space="0" w:color="auto"/>
              <w:bottom w:val="single" w:sz="4" w:space="0" w:color="auto"/>
              <w:right w:val="single" w:sz="4" w:space="0" w:color="auto"/>
            </w:tcBorders>
            <w:vAlign w:val="center"/>
          </w:tcPr>
          <w:p w14:paraId="5E5F52FF" w14:textId="117C1B8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84,400 (82,200, 86,500)</w:t>
            </w:r>
          </w:p>
        </w:tc>
      </w:tr>
      <w:tr w:rsidR="00C22852" w:rsidRPr="00617A89" w14:paraId="5E3318E6"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3778CB7A"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Southern Cross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429B10CB" w14:textId="7285E495"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79.8 (74.7, 84.0)</w:t>
            </w:r>
          </w:p>
        </w:tc>
        <w:tc>
          <w:tcPr>
            <w:tcW w:w="1701" w:type="dxa"/>
            <w:tcBorders>
              <w:top w:val="single" w:sz="4" w:space="0" w:color="auto"/>
              <w:left w:val="single" w:sz="4" w:space="0" w:color="auto"/>
              <w:bottom w:val="single" w:sz="4" w:space="0" w:color="auto"/>
              <w:right w:val="single" w:sz="4" w:space="0" w:color="auto"/>
            </w:tcBorders>
            <w:vAlign w:val="center"/>
          </w:tcPr>
          <w:p w14:paraId="1E2FDB94" w14:textId="1994519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95.3 (92.3, 97.1)</w:t>
            </w:r>
          </w:p>
        </w:tc>
        <w:tc>
          <w:tcPr>
            <w:tcW w:w="1843" w:type="dxa"/>
            <w:tcBorders>
              <w:top w:val="single" w:sz="4" w:space="0" w:color="auto"/>
              <w:left w:val="single" w:sz="4" w:space="0" w:color="auto"/>
              <w:bottom w:val="single" w:sz="4" w:space="0" w:color="auto"/>
              <w:right w:val="single" w:sz="4" w:space="0" w:color="auto"/>
            </w:tcBorders>
            <w:vAlign w:val="center"/>
          </w:tcPr>
          <w:p w14:paraId="1397731C" w14:textId="72874A3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73,000 (71,000, 75,000)</w:t>
            </w:r>
          </w:p>
        </w:tc>
        <w:tc>
          <w:tcPr>
            <w:tcW w:w="1766" w:type="dxa"/>
            <w:tcBorders>
              <w:top w:val="single" w:sz="4" w:space="0" w:color="auto"/>
              <w:left w:val="single" w:sz="4" w:space="0" w:color="auto"/>
              <w:bottom w:val="single" w:sz="4" w:space="0" w:color="auto"/>
              <w:right w:val="single" w:sz="4" w:space="0" w:color="auto"/>
            </w:tcBorders>
            <w:vAlign w:val="center"/>
          </w:tcPr>
          <w:p w14:paraId="71F1A425" w14:textId="245BC29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92,000 (89,300, 94,800)</w:t>
            </w:r>
          </w:p>
        </w:tc>
      </w:tr>
      <w:tr w:rsidR="00C22852" w:rsidRPr="00617A89" w14:paraId="1F6B6670"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694F1A53"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Swinburne University of Technology</w:t>
            </w:r>
          </w:p>
        </w:tc>
        <w:tc>
          <w:tcPr>
            <w:tcW w:w="1898" w:type="dxa"/>
            <w:tcBorders>
              <w:top w:val="single" w:sz="4" w:space="0" w:color="auto"/>
              <w:left w:val="single" w:sz="4" w:space="0" w:color="auto"/>
              <w:bottom w:val="single" w:sz="4" w:space="0" w:color="auto"/>
              <w:right w:val="single" w:sz="4" w:space="0" w:color="auto"/>
            </w:tcBorders>
            <w:vAlign w:val="center"/>
          </w:tcPr>
          <w:p w14:paraId="3456F977" w14:textId="35163F1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79.4 (76.3, 82.1)</w:t>
            </w:r>
          </w:p>
        </w:tc>
        <w:tc>
          <w:tcPr>
            <w:tcW w:w="1701" w:type="dxa"/>
            <w:tcBorders>
              <w:top w:val="single" w:sz="4" w:space="0" w:color="auto"/>
              <w:left w:val="single" w:sz="4" w:space="0" w:color="auto"/>
              <w:bottom w:val="single" w:sz="4" w:space="0" w:color="auto"/>
              <w:right w:val="single" w:sz="4" w:space="0" w:color="auto"/>
            </w:tcBorders>
            <w:vAlign w:val="center"/>
          </w:tcPr>
          <w:p w14:paraId="17C0BE8D" w14:textId="0E718B0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89.4 (87.0, 91.4)</w:t>
            </w:r>
          </w:p>
        </w:tc>
        <w:tc>
          <w:tcPr>
            <w:tcW w:w="1843" w:type="dxa"/>
            <w:tcBorders>
              <w:top w:val="single" w:sz="4" w:space="0" w:color="auto"/>
              <w:left w:val="single" w:sz="4" w:space="0" w:color="auto"/>
              <w:bottom w:val="single" w:sz="4" w:space="0" w:color="auto"/>
              <w:right w:val="single" w:sz="4" w:space="0" w:color="auto"/>
            </w:tcBorders>
            <w:vAlign w:val="center"/>
          </w:tcPr>
          <w:p w14:paraId="31F7A604" w14:textId="22F1F97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70,000 (68,700, 71,300)</w:t>
            </w:r>
          </w:p>
        </w:tc>
        <w:tc>
          <w:tcPr>
            <w:tcW w:w="1766" w:type="dxa"/>
            <w:tcBorders>
              <w:top w:val="single" w:sz="4" w:space="0" w:color="auto"/>
              <w:left w:val="single" w:sz="4" w:space="0" w:color="auto"/>
              <w:bottom w:val="single" w:sz="4" w:space="0" w:color="auto"/>
              <w:right w:val="single" w:sz="4" w:space="0" w:color="auto"/>
            </w:tcBorders>
            <w:vAlign w:val="center"/>
          </w:tcPr>
          <w:p w14:paraId="59CCC340" w14:textId="070E688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93,000 (89,800, 96,200)</w:t>
            </w:r>
          </w:p>
        </w:tc>
      </w:tr>
      <w:tr w:rsidR="00C22852" w:rsidRPr="00617A89" w14:paraId="73C34A95"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764597A6"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Australian National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7A477E51" w14:textId="41AC4DA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79.7 (76.0, 82.9)</w:t>
            </w:r>
          </w:p>
        </w:tc>
        <w:tc>
          <w:tcPr>
            <w:tcW w:w="1701" w:type="dxa"/>
            <w:tcBorders>
              <w:top w:val="single" w:sz="4" w:space="0" w:color="auto"/>
              <w:left w:val="single" w:sz="4" w:space="0" w:color="auto"/>
              <w:bottom w:val="single" w:sz="4" w:space="0" w:color="auto"/>
              <w:right w:val="single" w:sz="4" w:space="0" w:color="auto"/>
            </w:tcBorders>
            <w:vAlign w:val="center"/>
          </w:tcPr>
          <w:p w14:paraId="79954356" w14:textId="73080735"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96.4 (94.6, 97.6)</w:t>
            </w:r>
          </w:p>
        </w:tc>
        <w:tc>
          <w:tcPr>
            <w:tcW w:w="1843" w:type="dxa"/>
            <w:tcBorders>
              <w:top w:val="single" w:sz="4" w:space="0" w:color="auto"/>
              <w:left w:val="single" w:sz="4" w:space="0" w:color="auto"/>
              <w:bottom w:val="single" w:sz="4" w:space="0" w:color="auto"/>
              <w:right w:val="single" w:sz="4" w:space="0" w:color="auto"/>
            </w:tcBorders>
            <w:vAlign w:val="center"/>
          </w:tcPr>
          <w:p w14:paraId="6D1744D1" w14:textId="50515014"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68,000 (66,800, 69,200)</w:t>
            </w:r>
          </w:p>
        </w:tc>
        <w:tc>
          <w:tcPr>
            <w:tcW w:w="1766" w:type="dxa"/>
            <w:tcBorders>
              <w:top w:val="single" w:sz="4" w:space="0" w:color="auto"/>
              <w:left w:val="single" w:sz="4" w:space="0" w:color="auto"/>
              <w:bottom w:val="single" w:sz="4" w:space="0" w:color="auto"/>
              <w:right w:val="single" w:sz="4" w:space="0" w:color="auto"/>
            </w:tcBorders>
            <w:vAlign w:val="center"/>
          </w:tcPr>
          <w:p w14:paraId="1C408F39" w14:textId="0448996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97,400 (95,200, 99,700)</w:t>
            </w:r>
          </w:p>
        </w:tc>
      </w:tr>
      <w:tr w:rsidR="00C22852" w:rsidRPr="00617A89" w14:paraId="6DA5D724"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26111DE8"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Adelaide</w:t>
            </w:r>
          </w:p>
        </w:tc>
        <w:tc>
          <w:tcPr>
            <w:tcW w:w="1898" w:type="dxa"/>
            <w:tcBorders>
              <w:top w:val="single" w:sz="4" w:space="0" w:color="auto"/>
              <w:left w:val="single" w:sz="4" w:space="0" w:color="auto"/>
              <w:bottom w:val="single" w:sz="4" w:space="0" w:color="auto"/>
              <w:right w:val="single" w:sz="4" w:space="0" w:color="auto"/>
            </w:tcBorders>
            <w:vAlign w:val="center"/>
          </w:tcPr>
          <w:p w14:paraId="3337FE21" w14:textId="5AD6002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70.8 (66.7, 74.7)</w:t>
            </w:r>
          </w:p>
        </w:tc>
        <w:tc>
          <w:tcPr>
            <w:tcW w:w="1701" w:type="dxa"/>
            <w:tcBorders>
              <w:top w:val="single" w:sz="4" w:space="0" w:color="auto"/>
              <w:left w:val="single" w:sz="4" w:space="0" w:color="auto"/>
              <w:bottom w:val="single" w:sz="4" w:space="0" w:color="auto"/>
              <w:right w:val="single" w:sz="4" w:space="0" w:color="auto"/>
            </w:tcBorders>
            <w:vAlign w:val="center"/>
          </w:tcPr>
          <w:p w14:paraId="20D7EB01" w14:textId="3146CAEA"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90.8 (88.1, 92.8)</w:t>
            </w:r>
          </w:p>
        </w:tc>
        <w:tc>
          <w:tcPr>
            <w:tcW w:w="1843" w:type="dxa"/>
            <w:tcBorders>
              <w:top w:val="single" w:sz="4" w:space="0" w:color="auto"/>
              <w:left w:val="single" w:sz="4" w:space="0" w:color="auto"/>
              <w:bottom w:val="single" w:sz="4" w:space="0" w:color="auto"/>
              <w:right w:val="single" w:sz="4" w:space="0" w:color="auto"/>
            </w:tcBorders>
            <w:vAlign w:val="center"/>
          </w:tcPr>
          <w:p w14:paraId="61C8F719" w14:textId="09841CF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63,400 (61,200, 65,700)</w:t>
            </w:r>
          </w:p>
        </w:tc>
        <w:tc>
          <w:tcPr>
            <w:tcW w:w="1766" w:type="dxa"/>
            <w:tcBorders>
              <w:top w:val="single" w:sz="4" w:space="0" w:color="auto"/>
              <w:left w:val="single" w:sz="4" w:space="0" w:color="auto"/>
              <w:bottom w:val="single" w:sz="4" w:space="0" w:color="auto"/>
              <w:right w:val="single" w:sz="4" w:space="0" w:color="auto"/>
            </w:tcBorders>
            <w:vAlign w:val="center"/>
          </w:tcPr>
          <w:p w14:paraId="5805B2B6" w14:textId="317FA556"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85,000 (81,200, 88,800)</w:t>
            </w:r>
          </w:p>
        </w:tc>
      </w:tr>
      <w:tr w:rsidR="00C22852" w:rsidRPr="00617A89" w14:paraId="64D5AC00"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0E3B76EB"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Melbourne</w:t>
            </w:r>
          </w:p>
        </w:tc>
        <w:tc>
          <w:tcPr>
            <w:tcW w:w="1898" w:type="dxa"/>
            <w:tcBorders>
              <w:top w:val="single" w:sz="4" w:space="0" w:color="auto"/>
              <w:left w:val="single" w:sz="4" w:space="0" w:color="auto"/>
              <w:bottom w:val="single" w:sz="4" w:space="0" w:color="auto"/>
              <w:right w:val="single" w:sz="4" w:space="0" w:color="auto"/>
            </w:tcBorders>
            <w:vAlign w:val="center"/>
          </w:tcPr>
          <w:p w14:paraId="359D78D1" w14:textId="09E5689D"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73.9 (70.5, 77.1)</w:t>
            </w:r>
          </w:p>
        </w:tc>
        <w:tc>
          <w:tcPr>
            <w:tcW w:w="1701" w:type="dxa"/>
            <w:tcBorders>
              <w:top w:val="single" w:sz="4" w:space="0" w:color="auto"/>
              <w:left w:val="single" w:sz="4" w:space="0" w:color="auto"/>
              <w:bottom w:val="single" w:sz="4" w:space="0" w:color="auto"/>
              <w:right w:val="single" w:sz="4" w:space="0" w:color="auto"/>
            </w:tcBorders>
            <w:vAlign w:val="center"/>
          </w:tcPr>
          <w:p w14:paraId="669478C2" w14:textId="3A61AED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88.2 (86.0, 90.1)</w:t>
            </w:r>
          </w:p>
        </w:tc>
        <w:tc>
          <w:tcPr>
            <w:tcW w:w="1843" w:type="dxa"/>
            <w:tcBorders>
              <w:top w:val="single" w:sz="4" w:space="0" w:color="auto"/>
              <w:left w:val="single" w:sz="4" w:space="0" w:color="auto"/>
              <w:bottom w:val="single" w:sz="4" w:space="0" w:color="auto"/>
              <w:right w:val="single" w:sz="4" w:space="0" w:color="auto"/>
            </w:tcBorders>
            <w:vAlign w:val="center"/>
          </w:tcPr>
          <w:p w14:paraId="64EFC1C8" w14:textId="641EB12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64,700 (62,700, 66,700)</w:t>
            </w:r>
          </w:p>
        </w:tc>
        <w:tc>
          <w:tcPr>
            <w:tcW w:w="1766" w:type="dxa"/>
            <w:tcBorders>
              <w:top w:val="single" w:sz="4" w:space="0" w:color="auto"/>
              <w:left w:val="single" w:sz="4" w:space="0" w:color="auto"/>
              <w:bottom w:val="single" w:sz="4" w:space="0" w:color="auto"/>
              <w:right w:val="single" w:sz="4" w:space="0" w:color="auto"/>
            </w:tcBorders>
            <w:vAlign w:val="center"/>
          </w:tcPr>
          <w:p w14:paraId="177E56D3" w14:textId="0F338DA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85,000 (83,000, 87,000)</w:t>
            </w:r>
          </w:p>
        </w:tc>
      </w:tr>
      <w:tr w:rsidR="00C22852" w:rsidRPr="00617A89" w14:paraId="5C4FBE94"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7434638C"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Notre Dame Australia</w:t>
            </w:r>
          </w:p>
        </w:tc>
        <w:tc>
          <w:tcPr>
            <w:tcW w:w="1898" w:type="dxa"/>
            <w:tcBorders>
              <w:top w:val="single" w:sz="4" w:space="0" w:color="auto"/>
              <w:left w:val="single" w:sz="4" w:space="0" w:color="auto"/>
              <w:bottom w:val="single" w:sz="4" w:space="0" w:color="auto"/>
              <w:right w:val="single" w:sz="4" w:space="0" w:color="auto"/>
            </w:tcBorders>
            <w:vAlign w:val="center"/>
          </w:tcPr>
          <w:p w14:paraId="490A5FC0" w14:textId="4CBB0F3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88.9 (83.6, 92.6)</w:t>
            </w:r>
          </w:p>
        </w:tc>
        <w:tc>
          <w:tcPr>
            <w:tcW w:w="1701" w:type="dxa"/>
            <w:tcBorders>
              <w:top w:val="single" w:sz="4" w:space="0" w:color="auto"/>
              <w:left w:val="single" w:sz="4" w:space="0" w:color="auto"/>
              <w:bottom w:val="single" w:sz="4" w:space="0" w:color="auto"/>
              <w:right w:val="single" w:sz="4" w:space="0" w:color="auto"/>
            </w:tcBorders>
            <w:vAlign w:val="center"/>
          </w:tcPr>
          <w:p w14:paraId="073842A5" w14:textId="02D936F3"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91.5 (86.4, 94.8)</w:t>
            </w:r>
          </w:p>
        </w:tc>
        <w:tc>
          <w:tcPr>
            <w:tcW w:w="1843" w:type="dxa"/>
            <w:tcBorders>
              <w:top w:val="single" w:sz="4" w:space="0" w:color="auto"/>
              <w:left w:val="single" w:sz="4" w:space="0" w:color="auto"/>
              <w:bottom w:val="single" w:sz="4" w:space="0" w:color="auto"/>
              <w:right w:val="single" w:sz="4" w:space="0" w:color="auto"/>
            </w:tcBorders>
            <w:vAlign w:val="center"/>
          </w:tcPr>
          <w:p w14:paraId="79D74DE0" w14:textId="6FD362F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70,000 (68,000, 72,000)</w:t>
            </w:r>
          </w:p>
        </w:tc>
        <w:tc>
          <w:tcPr>
            <w:tcW w:w="1766" w:type="dxa"/>
            <w:tcBorders>
              <w:top w:val="single" w:sz="4" w:space="0" w:color="auto"/>
              <w:left w:val="single" w:sz="4" w:space="0" w:color="auto"/>
              <w:bottom w:val="single" w:sz="4" w:space="0" w:color="auto"/>
              <w:right w:val="single" w:sz="4" w:space="0" w:color="auto"/>
            </w:tcBorders>
            <w:vAlign w:val="center"/>
          </w:tcPr>
          <w:p w14:paraId="719E2DCB" w14:textId="5ED15D3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89,800 (85,800, 93,700)</w:t>
            </w:r>
          </w:p>
        </w:tc>
      </w:tr>
      <w:tr w:rsidR="00C22852" w:rsidRPr="00617A89" w14:paraId="012CA699"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7A4F1B17"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Queensland</w:t>
            </w:r>
          </w:p>
        </w:tc>
        <w:tc>
          <w:tcPr>
            <w:tcW w:w="1898" w:type="dxa"/>
            <w:tcBorders>
              <w:top w:val="single" w:sz="4" w:space="0" w:color="auto"/>
              <w:left w:val="single" w:sz="4" w:space="0" w:color="auto"/>
              <w:bottom w:val="single" w:sz="4" w:space="0" w:color="auto"/>
              <w:right w:val="single" w:sz="4" w:space="0" w:color="auto"/>
            </w:tcBorders>
            <w:vAlign w:val="center"/>
          </w:tcPr>
          <w:p w14:paraId="72191F0A" w14:textId="6B94EEF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81.3 (78.7, 83.7)</w:t>
            </w:r>
          </w:p>
        </w:tc>
        <w:tc>
          <w:tcPr>
            <w:tcW w:w="1701" w:type="dxa"/>
            <w:tcBorders>
              <w:top w:val="single" w:sz="4" w:space="0" w:color="auto"/>
              <w:left w:val="single" w:sz="4" w:space="0" w:color="auto"/>
              <w:bottom w:val="single" w:sz="4" w:space="0" w:color="auto"/>
              <w:right w:val="single" w:sz="4" w:space="0" w:color="auto"/>
            </w:tcBorders>
            <w:vAlign w:val="center"/>
          </w:tcPr>
          <w:p w14:paraId="57DC0997" w14:textId="16A20E9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94.1 (92.4, 95.4)</w:t>
            </w:r>
          </w:p>
        </w:tc>
        <w:tc>
          <w:tcPr>
            <w:tcW w:w="1843" w:type="dxa"/>
            <w:tcBorders>
              <w:top w:val="single" w:sz="4" w:space="0" w:color="auto"/>
              <w:left w:val="single" w:sz="4" w:space="0" w:color="auto"/>
              <w:bottom w:val="single" w:sz="4" w:space="0" w:color="auto"/>
              <w:right w:val="single" w:sz="4" w:space="0" w:color="auto"/>
            </w:tcBorders>
            <w:vAlign w:val="center"/>
          </w:tcPr>
          <w:p w14:paraId="6285EAB4" w14:textId="5F04219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68,000 (66,600, 69,400)</w:t>
            </w:r>
          </w:p>
        </w:tc>
        <w:tc>
          <w:tcPr>
            <w:tcW w:w="1766" w:type="dxa"/>
            <w:tcBorders>
              <w:top w:val="single" w:sz="4" w:space="0" w:color="auto"/>
              <w:left w:val="single" w:sz="4" w:space="0" w:color="auto"/>
              <w:bottom w:val="single" w:sz="4" w:space="0" w:color="auto"/>
              <w:right w:val="single" w:sz="4" w:space="0" w:color="auto"/>
            </w:tcBorders>
            <w:vAlign w:val="center"/>
          </w:tcPr>
          <w:p w14:paraId="31DCDD90" w14:textId="4472F7F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94,000 (92,000, 96,000)</w:t>
            </w:r>
          </w:p>
        </w:tc>
      </w:tr>
      <w:tr w:rsidR="00C22852" w:rsidRPr="00617A89" w14:paraId="76FC6AEB"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28FFE16C"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South Australia</w:t>
            </w:r>
          </w:p>
        </w:tc>
        <w:tc>
          <w:tcPr>
            <w:tcW w:w="1898" w:type="dxa"/>
            <w:tcBorders>
              <w:top w:val="single" w:sz="4" w:space="0" w:color="auto"/>
              <w:left w:val="single" w:sz="4" w:space="0" w:color="auto"/>
              <w:bottom w:val="single" w:sz="4" w:space="0" w:color="auto"/>
              <w:right w:val="single" w:sz="4" w:space="0" w:color="auto"/>
            </w:tcBorders>
            <w:vAlign w:val="center"/>
          </w:tcPr>
          <w:p w14:paraId="3B67160D" w14:textId="70A91C9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83.8 (80.7, 86.5)</w:t>
            </w:r>
          </w:p>
        </w:tc>
        <w:tc>
          <w:tcPr>
            <w:tcW w:w="1701" w:type="dxa"/>
            <w:tcBorders>
              <w:top w:val="single" w:sz="4" w:space="0" w:color="auto"/>
              <w:left w:val="single" w:sz="4" w:space="0" w:color="auto"/>
              <w:bottom w:val="single" w:sz="4" w:space="0" w:color="auto"/>
              <w:right w:val="single" w:sz="4" w:space="0" w:color="auto"/>
            </w:tcBorders>
            <w:vAlign w:val="center"/>
          </w:tcPr>
          <w:p w14:paraId="4CB933CF" w14:textId="6D3FBAF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94.0 (91.9, 95.5)</w:t>
            </w:r>
          </w:p>
        </w:tc>
        <w:tc>
          <w:tcPr>
            <w:tcW w:w="1843" w:type="dxa"/>
            <w:tcBorders>
              <w:top w:val="single" w:sz="4" w:space="0" w:color="auto"/>
              <w:left w:val="single" w:sz="4" w:space="0" w:color="auto"/>
              <w:bottom w:val="single" w:sz="4" w:space="0" w:color="auto"/>
              <w:right w:val="single" w:sz="4" w:space="0" w:color="auto"/>
            </w:tcBorders>
            <w:vAlign w:val="center"/>
          </w:tcPr>
          <w:p w14:paraId="03814FCA" w14:textId="2657D6C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66,500 (64,800, 68,200)</w:t>
            </w:r>
          </w:p>
        </w:tc>
        <w:tc>
          <w:tcPr>
            <w:tcW w:w="1766" w:type="dxa"/>
            <w:tcBorders>
              <w:top w:val="single" w:sz="4" w:space="0" w:color="auto"/>
              <w:left w:val="single" w:sz="4" w:space="0" w:color="auto"/>
              <w:bottom w:val="single" w:sz="4" w:space="0" w:color="auto"/>
              <w:right w:val="single" w:sz="4" w:space="0" w:color="auto"/>
            </w:tcBorders>
            <w:vAlign w:val="center"/>
          </w:tcPr>
          <w:p w14:paraId="040961DF" w14:textId="5883CDD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87,700 (85,500, 89,800)</w:t>
            </w:r>
          </w:p>
        </w:tc>
      </w:tr>
      <w:tr w:rsidR="00C22852" w:rsidRPr="00617A89" w14:paraId="32A4140F"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4C9EC171"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Sydney</w:t>
            </w:r>
          </w:p>
        </w:tc>
        <w:tc>
          <w:tcPr>
            <w:tcW w:w="1898" w:type="dxa"/>
            <w:tcBorders>
              <w:top w:val="single" w:sz="4" w:space="0" w:color="auto"/>
              <w:left w:val="single" w:sz="4" w:space="0" w:color="auto"/>
              <w:bottom w:val="single" w:sz="4" w:space="0" w:color="auto"/>
              <w:right w:val="single" w:sz="4" w:space="0" w:color="auto"/>
            </w:tcBorders>
            <w:vAlign w:val="center"/>
          </w:tcPr>
          <w:p w14:paraId="3C0436D0" w14:textId="7797659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84.1 (81.3, 86.6)</w:t>
            </w:r>
          </w:p>
        </w:tc>
        <w:tc>
          <w:tcPr>
            <w:tcW w:w="1701" w:type="dxa"/>
            <w:tcBorders>
              <w:top w:val="single" w:sz="4" w:space="0" w:color="auto"/>
              <w:left w:val="single" w:sz="4" w:space="0" w:color="auto"/>
              <w:bottom w:val="single" w:sz="4" w:space="0" w:color="auto"/>
              <w:right w:val="single" w:sz="4" w:space="0" w:color="auto"/>
            </w:tcBorders>
            <w:vAlign w:val="center"/>
          </w:tcPr>
          <w:p w14:paraId="066C55EC" w14:textId="3529B2B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93.6 (91.6, 95.2)</w:t>
            </w:r>
          </w:p>
        </w:tc>
        <w:tc>
          <w:tcPr>
            <w:tcW w:w="1843" w:type="dxa"/>
            <w:tcBorders>
              <w:top w:val="single" w:sz="4" w:space="0" w:color="auto"/>
              <w:left w:val="single" w:sz="4" w:space="0" w:color="auto"/>
              <w:bottom w:val="single" w:sz="4" w:space="0" w:color="auto"/>
              <w:right w:val="single" w:sz="4" w:space="0" w:color="auto"/>
            </w:tcBorders>
            <w:vAlign w:val="center"/>
          </w:tcPr>
          <w:p w14:paraId="0F11B118" w14:textId="48E93BA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70,000 (68,900, 71,100)</w:t>
            </w:r>
          </w:p>
        </w:tc>
        <w:tc>
          <w:tcPr>
            <w:tcW w:w="1766" w:type="dxa"/>
            <w:tcBorders>
              <w:top w:val="single" w:sz="4" w:space="0" w:color="auto"/>
              <w:left w:val="single" w:sz="4" w:space="0" w:color="auto"/>
              <w:bottom w:val="single" w:sz="4" w:space="0" w:color="auto"/>
              <w:right w:val="single" w:sz="4" w:space="0" w:color="auto"/>
            </w:tcBorders>
            <w:vAlign w:val="center"/>
          </w:tcPr>
          <w:p w14:paraId="4FC77A1A" w14:textId="36DBB53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96,000 (93,100, 98,900)</w:t>
            </w:r>
          </w:p>
        </w:tc>
      </w:tr>
      <w:tr w:rsidR="00C22852" w:rsidRPr="00617A89" w14:paraId="797B9A5C"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5BA24A68"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Western Australia</w:t>
            </w:r>
          </w:p>
        </w:tc>
        <w:tc>
          <w:tcPr>
            <w:tcW w:w="1898" w:type="dxa"/>
            <w:tcBorders>
              <w:top w:val="single" w:sz="4" w:space="0" w:color="auto"/>
              <w:left w:val="single" w:sz="4" w:space="0" w:color="auto"/>
              <w:bottom w:val="single" w:sz="4" w:space="0" w:color="auto"/>
              <w:right w:val="single" w:sz="4" w:space="0" w:color="auto"/>
            </w:tcBorders>
            <w:vAlign w:val="center"/>
          </w:tcPr>
          <w:p w14:paraId="26153188" w14:textId="7CE8B48E" w:rsidR="00E175F7" w:rsidRPr="00617A89" w:rsidRDefault="00E175F7" w:rsidP="0047134D">
            <w:pPr>
              <w:jc w:val="right"/>
              <w:rPr>
                <w:rFonts w:cs="Arial"/>
                <w:color w:val="000000" w:themeColor="text1"/>
                <w:sz w:val="18"/>
                <w:szCs w:val="18"/>
              </w:rPr>
            </w:pPr>
            <w:r w:rsidRPr="00617A89">
              <w:rPr>
                <w:rFonts w:cs="Arial"/>
                <w:color w:val="000000" w:themeColor="text1"/>
                <w:sz w:val="18"/>
                <w:szCs w:val="18"/>
              </w:rPr>
              <w:t>70.8 (64.7, 76.2)</w:t>
            </w:r>
          </w:p>
        </w:tc>
        <w:tc>
          <w:tcPr>
            <w:tcW w:w="1701" w:type="dxa"/>
            <w:tcBorders>
              <w:top w:val="single" w:sz="4" w:space="0" w:color="auto"/>
              <w:left w:val="single" w:sz="4" w:space="0" w:color="auto"/>
              <w:bottom w:val="single" w:sz="4" w:space="0" w:color="auto"/>
              <w:right w:val="single" w:sz="4" w:space="0" w:color="auto"/>
            </w:tcBorders>
            <w:vAlign w:val="center"/>
          </w:tcPr>
          <w:p w14:paraId="7B5A1CFE" w14:textId="232DAE75" w:rsidR="00E175F7" w:rsidRPr="00617A89" w:rsidRDefault="00E175F7" w:rsidP="0047134D">
            <w:pPr>
              <w:jc w:val="right"/>
              <w:rPr>
                <w:rFonts w:cs="Arial"/>
                <w:color w:val="000000" w:themeColor="text1"/>
                <w:sz w:val="18"/>
                <w:szCs w:val="18"/>
              </w:rPr>
            </w:pPr>
            <w:r w:rsidRPr="00617A89">
              <w:rPr>
                <w:rFonts w:cs="Arial"/>
                <w:color w:val="000000" w:themeColor="text1"/>
                <w:sz w:val="18"/>
                <w:szCs w:val="18"/>
              </w:rPr>
              <w:t>90.0 (86.2, 92.8)</w:t>
            </w:r>
          </w:p>
        </w:tc>
        <w:tc>
          <w:tcPr>
            <w:tcW w:w="1843" w:type="dxa"/>
            <w:tcBorders>
              <w:top w:val="single" w:sz="4" w:space="0" w:color="auto"/>
              <w:left w:val="single" w:sz="4" w:space="0" w:color="auto"/>
              <w:bottom w:val="single" w:sz="4" w:space="0" w:color="auto"/>
              <w:right w:val="single" w:sz="4" w:space="0" w:color="auto"/>
            </w:tcBorders>
            <w:vAlign w:val="center"/>
          </w:tcPr>
          <w:p w14:paraId="54CB6DD3" w14:textId="28B4941C" w:rsidR="00E175F7" w:rsidRPr="00617A89" w:rsidRDefault="00E175F7" w:rsidP="0047134D">
            <w:pPr>
              <w:jc w:val="right"/>
              <w:rPr>
                <w:rFonts w:cs="Arial"/>
                <w:color w:val="000000" w:themeColor="text1"/>
                <w:sz w:val="18"/>
                <w:szCs w:val="18"/>
              </w:rPr>
            </w:pPr>
            <w:r w:rsidRPr="00617A89">
              <w:rPr>
                <w:rFonts w:cs="Arial"/>
                <w:color w:val="000000" w:themeColor="text1"/>
                <w:sz w:val="18"/>
                <w:szCs w:val="18"/>
              </w:rPr>
              <w:t>65,000 (62,900, 67,100)</w:t>
            </w:r>
          </w:p>
        </w:tc>
        <w:tc>
          <w:tcPr>
            <w:tcW w:w="1766" w:type="dxa"/>
            <w:tcBorders>
              <w:top w:val="single" w:sz="4" w:space="0" w:color="auto"/>
              <w:left w:val="single" w:sz="4" w:space="0" w:color="auto"/>
              <w:bottom w:val="single" w:sz="4" w:space="0" w:color="auto"/>
              <w:right w:val="single" w:sz="4" w:space="0" w:color="auto"/>
            </w:tcBorders>
            <w:vAlign w:val="center"/>
          </w:tcPr>
          <w:p w14:paraId="2DD257B6" w14:textId="12C953F5" w:rsidR="00E175F7" w:rsidRPr="00617A89" w:rsidRDefault="00E175F7" w:rsidP="0047134D">
            <w:pPr>
              <w:jc w:val="right"/>
              <w:rPr>
                <w:rFonts w:cs="Arial"/>
                <w:color w:val="000000" w:themeColor="text1"/>
                <w:sz w:val="18"/>
                <w:szCs w:val="18"/>
              </w:rPr>
            </w:pPr>
            <w:r w:rsidRPr="00617A89">
              <w:rPr>
                <w:rFonts w:cs="Arial"/>
                <w:color w:val="000000" w:themeColor="text1"/>
                <w:sz w:val="18"/>
                <w:szCs w:val="18"/>
              </w:rPr>
              <w:t>90,000 (86,200, 93,800)</w:t>
            </w:r>
          </w:p>
        </w:tc>
      </w:tr>
      <w:tr w:rsidR="00C22852" w:rsidRPr="00617A89" w14:paraId="3CE400F7"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15DDB2EF"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Torrens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58ECE20D" w14:textId="15340516"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75.5 (68.2, 81.5)</w:t>
            </w:r>
          </w:p>
        </w:tc>
        <w:tc>
          <w:tcPr>
            <w:tcW w:w="1701" w:type="dxa"/>
            <w:tcBorders>
              <w:top w:val="single" w:sz="4" w:space="0" w:color="auto"/>
              <w:left w:val="single" w:sz="4" w:space="0" w:color="auto"/>
              <w:bottom w:val="single" w:sz="4" w:space="0" w:color="auto"/>
              <w:right w:val="single" w:sz="4" w:space="0" w:color="auto"/>
            </w:tcBorders>
            <w:vAlign w:val="center"/>
          </w:tcPr>
          <w:p w14:paraId="77485576" w14:textId="2D3E542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84.4 (78.0, 89.2)</w:t>
            </w:r>
          </w:p>
        </w:tc>
        <w:tc>
          <w:tcPr>
            <w:tcW w:w="1843" w:type="dxa"/>
            <w:tcBorders>
              <w:top w:val="single" w:sz="4" w:space="0" w:color="auto"/>
              <w:left w:val="single" w:sz="4" w:space="0" w:color="auto"/>
              <w:bottom w:val="single" w:sz="4" w:space="0" w:color="auto"/>
              <w:right w:val="single" w:sz="4" w:space="0" w:color="auto"/>
            </w:tcBorders>
            <w:vAlign w:val="center"/>
          </w:tcPr>
          <w:p w14:paraId="7AA42C56" w14:textId="55B8BEF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58,600 (54,500, 62,600)</w:t>
            </w:r>
          </w:p>
        </w:tc>
        <w:tc>
          <w:tcPr>
            <w:tcW w:w="1766" w:type="dxa"/>
            <w:tcBorders>
              <w:top w:val="single" w:sz="4" w:space="0" w:color="auto"/>
              <w:left w:val="single" w:sz="4" w:space="0" w:color="auto"/>
              <w:bottom w:val="single" w:sz="4" w:space="0" w:color="auto"/>
              <w:right w:val="single" w:sz="4" w:space="0" w:color="auto"/>
            </w:tcBorders>
            <w:vAlign w:val="center"/>
          </w:tcPr>
          <w:p w14:paraId="1F774021" w14:textId="24F8510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77,000 (69,900, 84,100)</w:t>
            </w:r>
          </w:p>
        </w:tc>
      </w:tr>
      <w:tr w:rsidR="00C22852" w:rsidRPr="00617A89" w14:paraId="7BD753C9"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1205C871"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Canberra</w:t>
            </w:r>
          </w:p>
        </w:tc>
        <w:tc>
          <w:tcPr>
            <w:tcW w:w="1898" w:type="dxa"/>
            <w:tcBorders>
              <w:top w:val="single" w:sz="4" w:space="0" w:color="auto"/>
              <w:left w:val="single" w:sz="4" w:space="0" w:color="auto"/>
              <w:bottom w:val="single" w:sz="4" w:space="0" w:color="auto"/>
              <w:right w:val="single" w:sz="4" w:space="0" w:color="auto"/>
            </w:tcBorders>
            <w:vAlign w:val="center"/>
          </w:tcPr>
          <w:p w14:paraId="0161A958" w14:textId="2BDD393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84.6 (80.6, 87.9)</w:t>
            </w:r>
          </w:p>
        </w:tc>
        <w:tc>
          <w:tcPr>
            <w:tcW w:w="1701" w:type="dxa"/>
            <w:tcBorders>
              <w:top w:val="single" w:sz="4" w:space="0" w:color="auto"/>
              <w:left w:val="single" w:sz="4" w:space="0" w:color="auto"/>
              <w:bottom w:val="single" w:sz="4" w:space="0" w:color="auto"/>
              <w:right w:val="single" w:sz="4" w:space="0" w:color="auto"/>
            </w:tcBorders>
            <w:vAlign w:val="center"/>
          </w:tcPr>
          <w:p w14:paraId="1156C9D6" w14:textId="246D262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95.8 (93.3, 97.4)</w:t>
            </w:r>
          </w:p>
        </w:tc>
        <w:tc>
          <w:tcPr>
            <w:tcW w:w="1843" w:type="dxa"/>
            <w:tcBorders>
              <w:top w:val="single" w:sz="4" w:space="0" w:color="auto"/>
              <w:left w:val="single" w:sz="4" w:space="0" w:color="auto"/>
              <w:bottom w:val="single" w:sz="4" w:space="0" w:color="auto"/>
              <w:right w:val="single" w:sz="4" w:space="0" w:color="auto"/>
            </w:tcBorders>
            <w:vAlign w:val="center"/>
          </w:tcPr>
          <w:p w14:paraId="483E279B" w14:textId="7AD65C0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71,200 (69,000, 73,400)</w:t>
            </w:r>
          </w:p>
        </w:tc>
        <w:tc>
          <w:tcPr>
            <w:tcW w:w="1766" w:type="dxa"/>
            <w:tcBorders>
              <w:top w:val="single" w:sz="4" w:space="0" w:color="auto"/>
              <w:left w:val="single" w:sz="4" w:space="0" w:color="auto"/>
              <w:bottom w:val="single" w:sz="4" w:space="0" w:color="auto"/>
              <w:right w:val="single" w:sz="4" w:space="0" w:color="auto"/>
            </w:tcBorders>
            <w:vAlign w:val="center"/>
          </w:tcPr>
          <w:p w14:paraId="0686C8F0" w14:textId="13A13215"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95,000 (90,900, 99,100)</w:t>
            </w:r>
          </w:p>
        </w:tc>
      </w:tr>
      <w:tr w:rsidR="00C22852" w:rsidRPr="00617A89" w14:paraId="5E2E5488"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0EB6337E"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Divinity</w:t>
            </w:r>
          </w:p>
        </w:tc>
        <w:tc>
          <w:tcPr>
            <w:tcW w:w="1898" w:type="dxa"/>
            <w:tcBorders>
              <w:top w:val="single" w:sz="4" w:space="0" w:color="auto"/>
              <w:left w:val="single" w:sz="4" w:space="0" w:color="auto"/>
              <w:bottom w:val="single" w:sz="4" w:space="0" w:color="auto"/>
              <w:right w:val="single" w:sz="4" w:space="0" w:color="auto"/>
            </w:tcBorders>
            <w:vAlign w:val="center"/>
          </w:tcPr>
          <w:p w14:paraId="7EE22AC8" w14:textId="2A0B0474"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701" w:type="dxa"/>
            <w:tcBorders>
              <w:top w:val="single" w:sz="4" w:space="0" w:color="auto"/>
              <w:left w:val="single" w:sz="4" w:space="0" w:color="auto"/>
              <w:bottom w:val="single" w:sz="4" w:space="0" w:color="auto"/>
              <w:right w:val="single" w:sz="4" w:space="0" w:color="auto"/>
            </w:tcBorders>
            <w:vAlign w:val="center"/>
          </w:tcPr>
          <w:p w14:paraId="45903BD5" w14:textId="03B6B22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843" w:type="dxa"/>
            <w:tcBorders>
              <w:top w:val="single" w:sz="4" w:space="0" w:color="auto"/>
              <w:left w:val="single" w:sz="4" w:space="0" w:color="auto"/>
              <w:bottom w:val="single" w:sz="4" w:space="0" w:color="auto"/>
              <w:right w:val="single" w:sz="4" w:space="0" w:color="auto"/>
            </w:tcBorders>
            <w:vAlign w:val="center"/>
          </w:tcPr>
          <w:p w14:paraId="495439EA" w14:textId="12DD5E1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766" w:type="dxa"/>
            <w:tcBorders>
              <w:top w:val="single" w:sz="4" w:space="0" w:color="auto"/>
              <w:left w:val="single" w:sz="4" w:space="0" w:color="auto"/>
              <w:bottom w:val="single" w:sz="4" w:space="0" w:color="auto"/>
              <w:right w:val="single" w:sz="4" w:space="0" w:color="auto"/>
            </w:tcBorders>
            <w:vAlign w:val="center"/>
          </w:tcPr>
          <w:p w14:paraId="3F3E9030" w14:textId="517006C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n/a</w:t>
            </w:r>
          </w:p>
        </w:tc>
      </w:tr>
      <w:tr w:rsidR="00C22852" w:rsidRPr="00617A89" w14:paraId="2965E0E8"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326DD01B"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New England</w:t>
            </w:r>
          </w:p>
        </w:tc>
        <w:tc>
          <w:tcPr>
            <w:tcW w:w="1898" w:type="dxa"/>
            <w:tcBorders>
              <w:top w:val="single" w:sz="4" w:space="0" w:color="auto"/>
              <w:left w:val="single" w:sz="4" w:space="0" w:color="auto"/>
              <w:bottom w:val="single" w:sz="4" w:space="0" w:color="auto"/>
              <w:right w:val="single" w:sz="4" w:space="0" w:color="auto"/>
            </w:tcBorders>
            <w:vAlign w:val="center"/>
          </w:tcPr>
          <w:p w14:paraId="4B1549BD" w14:textId="01E8C8A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84.5 (81.6, 86.8)</w:t>
            </w:r>
          </w:p>
        </w:tc>
        <w:tc>
          <w:tcPr>
            <w:tcW w:w="1701" w:type="dxa"/>
            <w:tcBorders>
              <w:top w:val="single" w:sz="4" w:space="0" w:color="auto"/>
              <w:left w:val="single" w:sz="4" w:space="0" w:color="auto"/>
              <w:bottom w:val="single" w:sz="4" w:space="0" w:color="auto"/>
              <w:right w:val="single" w:sz="4" w:space="0" w:color="auto"/>
            </w:tcBorders>
            <w:vAlign w:val="center"/>
          </w:tcPr>
          <w:p w14:paraId="369D1428" w14:textId="2C7AC25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91.6 (89.4, 93.4)</w:t>
            </w:r>
          </w:p>
        </w:tc>
        <w:tc>
          <w:tcPr>
            <w:tcW w:w="1843" w:type="dxa"/>
            <w:tcBorders>
              <w:top w:val="single" w:sz="4" w:space="0" w:color="auto"/>
              <w:left w:val="single" w:sz="4" w:space="0" w:color="auto"/>
              <w:bottom w:val="single" w:sz="4" w:space="0" w:color="auto"/>
              <w:right w:val="single" w:sz="4" w:space="0" w:color="auto"/>
            </w:tcBorders>
            <w:vAlign w:val="center"/>
          </w:tcPr>
          <w:p w14:paraId="00E5C828" w14:textId="4D7C1B2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75,000 (72,500, 77,500)</w:t>
            </w:r>
          </w:p>
        </w:tc>
        <w:tc>
          <w:tcPr>
            <w:tcW w:w="1766" w:type="dxa"/>
            <w:tcBorders>
              <w:top w:val="single" w:sz="4" w:space="0" w:color="auto"/>
              <w:left w:val="single" w:sz="4" w:space="0" w:color="auto"/>
              <w:bottom w:val="single" w:sz="4" w:space="0" w:color="auto"/>
              <w:right w:val="single" w:sz="4" w:space="0" w:color="auto"/>
            </w:tcBorders>
            <w:vAlign w:val="center"/>
          </w:tcPr>
          <w:p w14:paraId="45FA2B8F" w14:textId="5103729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98,000 (95,700, 100,300)</w:t>
            </w:r>
          </w:p>
        </w:tc>
      </w:tr>
      <w:tr w:rsidR="00C22852" w:rsidRPr="00617A89" w14:paraId="4F6C1D25"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4471FF3F"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New South Wales</w:t>
            </w:r>
          </w:p>
        </w:tc>
        <w:tc>
          <w:tcPr>
            <w:tcW w:w="1898" w:type="dxa"/>
            <w:tcBorders>
              <w:top w:val="single" w:sz="4" w:space="0" w:color="auto"/>
              <w:left w:val="single" w:sz="4" w:space="0" w:color="auto"/>
              <w:bottom w:val="single" w:sz="4" w:space="0" w:color="auto"/>
              <w:right w:val="single" w:sz="4" w:space="0" w:color="auto"/>
            </w:tcBorders>
            <w:vAlign w:val="center"/>
          </w:tcPr>
          <w:p w14:paraId="66332A92" w14:textId="6A4827E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82.1 (78.9, 84.8)</w:t>
            </w:r>
          </w:p>
        </w:tc>
        <w:tc>
          <w:tcPr>
            <w:tcW w:w="1701" w:type="dxa"/>
            <w:tcBorders>
              <w:top w:val="single" w:sz="4" w:space="0" w:color="auto"/>
              <w:left w:val="single" w:sz="4" w:space="0" w:color="auto"/>
              <w:bottom w:val="single" w:sz="4" w:space="0" w:color="auto"/>
              <w:right w:val="single" w:sz="4" w:space="0" w:color="auto"/>
            </w:tcBorders>
            <w:vAlign w:val="center"/>
          </w:tcPr>
          <w:p w14:paraId="7D6FDD8A" w14:textId="74D2523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94.4 (92.3, 95.9)</w:t>
            </w:r>
          </w:p>
        </w:tc>
        <w:tc>
          <w:tcPr>
            <w:tcW w:w="1843" w:type="dxa"/>
            <w:tcBorders>
              <w:top w:val="single" w:sz="4" w:space="0" w:color="auto"/>
              <w:left w:val="single" w:sz="4" w:space="0" w:color="auto"/>
              <w:bottom w:val="single" w:sz="4" w:space="0" w:color="auto"/>
              <w:right w:val="single" w:sz="4" w:space="0" w:color="auto"/>
            </w:tcBorders>
            <w:vAlign w:val="center"/>
          </w:tcPr>
          <w:p w14:paraId="69C04BAA" w14:textId="51E5242A"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70,000 (69,300, 70,700)</w:t>
            </w:r>
          </w:p>
        </w:tc>
        <w:tc>
          <w:tcPr>
            <w:tcW w:w="1766" w:type="dxa"/>
            <w:tcBorders>
              <w:top w:val="single" w:sz="4" w:space="0" w:color="auto"/>
              <w:left w:val="single" w:sz="4" w:space="0" w:color="auto"/>
              <w:bottom w:val="single" w:sz="4" w:space="0" w:color="auto"/>
              <w:right w:val="single" w:sz="4" w:space="0" w:color="auto"/>
            </w:tcBorders>
            <w:vAlign w:val="center"/>
          </w:tcPr>
          <w:p w14:paraId="1DA49EC8" w14:textId="33F7487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99,200 (96,800, 101,600)</w:t>
            </w:r>
          </w:p>
        </w:tc>
      </w:tr>
      <w:tr w:rsidR="00C22852" w:rsidRPr="00617A89" w14:paraId="1F6974A1"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01A70104"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Newcastle</w:t>
            </w:r>
          </w:p>
        </w:tc>
        <w:tc>
          <w:tcPr>
            <w:tcW w:w="1898" w:type="dxa"/>
            <w:tcBorders>
              <w:top w:val="single" w:sz="4" w:space="0" w:color="auto"/>
              <w:left w:val="single" w:sz="4" w:space="0" w:color="auto"/>
              <w:bottom w:val="single" w:sz="4" w:space="0" w:color="auto"/>
              <w:right w:val="single" w:sz="4" w:space="0" w:color="auto"/>
            </w:tcBorders>
            <w:vAlign w:val="center"/>
          </w:tcPr>
          <w:p w14:paraId="404C3413" w14:textId="3D0460E2"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79.9 (76.2, 83.1)</w:t>
            </w:r>
          </w:p>
        </w:tc>
        <w:tc>
          <w:tcPr>
            <w:tcW w:w="1701" w:type="dxa"/>
            <w:tcBorders>
              <w:top w:val="single" w:sz="4" w:space="0" w:color="auto"/>
              <w:left w:val="single" w:sz="4" w:space="0" w:color="auto"/>
              <w:bottom w:val="single" w:sz="4" w:space="0" w:color="auto"/>
              <w:right w:val="single" w:sz="4" w:space="0" w:color="auto"/>
            </w:tcBorders>
            <w:vAlign w:val="center"/>
          </w:tcPr>
          <w:p w14:paraId="4B4BADAF" w14:textId="45B3692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91.2 (88.5, 93.3)</w:t>
            </w:r>
          </w:p>
        </w:tc>
        <w:tc>
          <w:tcPr>
            <w:tcW w:w="1843" w:type="dxa"/>
            <w:tcBorders>
              <w:top w:val="single" w:sz="4" w:space="0" w:color="auto"/>
              <w:left w:val="single" w:sz="4" w:space="0" w:color="auto"/>
              <w:bottom w:val="single" w:sz="4" w:space="0" w:color="auto"/>
              <w:right w:val="single" w:sz="4" w:space="0" w:color="auto"/>
            </w:tcBorders>
            <w:vAlign w:val="center"/>
          </w:tcPr>
          <w:p w14:paraId="539B0352" w14:textId="2F9318E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68,900 (67,700, 70,100)</w:t>
            </w:r>
          </w:p>
        </w:tc>
        <w:tc>
          <w:tcPr>
            <w:tcW w:w="1766" w:type="dxa"/>
            <w:tcBorders>
              <w:top w:val="single" w:sz="4" w:space="0" w:color="auto"/>
              <w:left w:val="single" w:sz="4" w:space="0" w:color="auto"/>
              <w:bottom w:val="single" w:sz="4" w:space="0" w:color="auto"/>
              <w:right w:val="single" w:sz="4" w:space="0" w:color="auto"/>
            </w:tcBorders>
            <w:vAlign w:val="center"/>
          </w:tcPr>
          <w:p w14:paraId="00BE4BAA" w14:textId="096B6785"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91,000 (88,400, 93,600)</w:t>
            </w:r>
          </w:p>
        </w:tc>
      </w:tr>
      <w:tr w:rsidR="00C22852" w:rsidRPr="00617A89" w14:paraId="574F1086"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2BABFCFD"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Southern Queensland</w:t>
            </w:r>
          </w:p>
        </w:tc>
        <w:tc>
          <w:tcPr>
            <w:tcW w:w="1898" w:type="dxa"/>
            <w:tcBorders>
              <w:top w:val="single" w:sz="4" w:space="0" w:color="auto"/>
              <w:left w:val="single" w:sz="4" w:space="0" w:color="auto"/>
              <w:bottom w:val="single" w:sz="4" w:space="0" w:color="auto"/>
              <w:right w:val="single" w:sz="4" w:space="0" w:color="auto"/>
            </w:tcBorders>
            <w:vAlign w:val="center"/>
          </w:tcPr>
          <w:p w14:paraId="485B8BA1" w14:textId="59CE717B"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84.6 (81.5, 87.2)</w:t>
            </w:r>
          </w:p>
        </w:tc>
        <w:tc>
          <w:tcPr>
            <w:tcW w:w="1701" w:type="dxa"/>
            <w:tcBorders>
              <w:top w:val="single" w:sz="4" w:space="0" w:color="auto"/>
              <w:left w:val="single" w:sz="4" w:space="0" w:color="auto"/>
              <w:bottom w:val="single" w:sz="4" w:space="0" w:color="auto"/>
              <w:right w:val="single" w:sz="4" w:space="0" w:color="auto"/>
            </w:tcBorders>
            <w:vAlign w:val="center"/>
          </w:tcPr>
          <w:p w14:paraId="1138A2E0" w14:textId="2BC21694"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93.9 (91.7, 95.5)</w:t>
            </w:r>
          </w:p>
        </w:tc>
        <w:tc>
          <w:tcPr>
            <w:tcW w:w="1843" w:type="dxa"/>
            <w:tcBorders>
              <w:top w:val="single" w:sz="4" w:space="0" w:color="auto"/>
              <w:left w:val="single" w:sz="4" w:space="0" w:color="auto"/>
              <w:bottom w:val="single" w:sz="4" w:space="0" w:color="auto"/>
              <w:right w:val="single" w:sz="4" w:space="0" w:color="auto"/>
            </w:tcBorders>
            <w:vAlign w:val="center"/>
          </w:tcPr>
          <w:p w14:paraId="0D5BD4E7" w14:textId="2DF300E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75,300 (74,300, 76,400)</w:t>
            </w:r>
          </w:p>
        </w:tc>
        <w:tc>
          <w:tcPr>
            <w:tcW w:w="1766" w:type="dxa"/>
            <w:tcBorders>
              <w:top w:val="single" w:sz="4" w:space="0" w:color="auto"/>
              <w:left w:val="single" w:sz="4" w:space="0" w:color="auto"/>
              <w:bottom w:val="single" w:sz="4" w:space="0" w:color="auto"/>
              <w:right w:val="single" w:sz="4" w:space="0" w:color="auto"/>
            </w:tcBorders>
            <w:vAlign w:val="center"/>
          </w:tcPr>
          <w:p w14:paraId="7828FBC1" w14:textId="392F292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98,000 (95,100, 100,900)</w:t>
            </w:r>
          </w:p>
        </w:tc>
      </w:tr>
      <w:tr w:rsidR="00C22852" w:rsidRPr="00617A89" w14:paraId="79151DB9"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0F39D6CC"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Tasmania</w:t>
            </w:r>
          </w:p>
        </w:tc>
        <w:tc>
          <w:tcPr>
            <w:tcW w:w="1898" w:type="dxa"/>
            <w:tcBorders>
              <w:top w:val="single" w:sz="4" w:space="0" w:color="auto"/>
              <w:left w:val="single" w:sz="4" w:space="0" w:color="auto"/>
              <w:bottom w:val="single" w:sz="4" w:space="0" w:color="auto"/>
              <w:right w:val="single" w:sz="4" w:space="0" w:color="auto"/>
            </w:tcBorders>
            <w:vAlign w:val="center"/>
          </w:tcPr>
          <w:p w14:paraId="3B2C58E0" w14:textId="2A5878A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83.1 (80.5, 85.3)</w:t>
            </w:r>
          </w:p>
        </w:tc>
        <w:tc>
          <w:tcPr>
            <w:tcW w:w="1701" w:type="dxa"/>
            <w:tcBorders>
              <w:top w:val="single" w:sz="4" w:space="0" w:color="auto"/>
              <w:left w:val="single" w:sz="4" w:space="0" w:color="auto"/>
              <w:bottom w:val="single" w:sz="4" w:space="0" w:color="auto"/>
              <w:right w:val="single" w:sz="4" w:space="0" w:color="auto"/>
            </w:tcBorders>
            <w:vAlign w:val="center"/>
          </w:tcPr>
          <w:p w14:paraId="38D0EFD6" w14:textId="2006C53C"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93.1 (91.3, 94.5)</w:t>
            </w:r>
          </w:p>
        </w:tc>
        <w:tc>
          <w:tcPr>
            <w:tcW w:w="1843" w:type="dxa"/>
            <w:tcBorders>
              <w:top w:val="single" w:sz="4" w:space="0" w:color="auto"/>
              <w:left w:val="single" w:sz="4" w:space="0" w:color="auto"/>
              <w:bottom w:val="single" w:sz="4" w:space="0" w:color="auto"/>
              <w:right w:val="single" w:sz="4" w:space="0" w:color="auto"/>
            </w:tcBorders>
            <w:vAlign w:val="center"/>
          </w:tcPr>
          <w:p w14:paraId="509EE547" w14:textId="1B82A0E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75,100 (71,800, 78,500)</w:t>
            </w:r>
          </w:p>
        </w:tc>
        <w:tc>
          <w:tcPr>
            <w:tcW w:w="1766" w:type="dxa"/>
            <w:tcBorders>
              <w:top w:val="single" w:sz="4" w:space="0" w:color="auto"/>
              <w:left w:val="single" w:sz="4" w:space="0" w:color="auto"/>
              <w:bottom w:val="single" w:sz="4" w:space="0" w:color="auto"/>
              <w:right w:val="single" w:sz="4" w:space="0" w:color="auto"/>
            </w:tcBorders>
            <w:vAlign w:val="center"/>
          </w:tcPr>
          <w:p w14:paraId="66EBA490" w14:textId="63DFDA87"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97,000 (94,100, 99,900)</w:t>
            </w:r>
          </w:p>
        </w:tc>
      </w:tr>
      <w:tr w:rsidR="00C22852" w:rsidRPr="00617A89" w14:paraId="7269F255"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3A223440"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Technology Sydney</w:t>
            </w:r>
          </w:p>
        </w:tc>
        <w:tc>
          <w:tcPr>
            <w:tcW w:w="1898" w:type="dxa"/>
            <w:tcBorders>
              <w:top w:val="single" w:sz="4" w:space="0" w:color="auto"/>
              <w:left w:val="single" w:sz="4" w:space="0" w:color="auto"/>
              <w:bottom w:val="single" w:sz="4" w:space="0" w:color="auto"/>
              <w:right w:val="single" w:sz="4" w:space="0" w:color="auto"/>
            </w:tcBorders>
            <w:vAlign w:val="center"/>
          </w:tcPr>
          <w:p w14:paraId="7522C8B8" w14:textId="34BB0053"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77.8 (74.7, 80.7)</w:t>
            </w:r>
          </w:p>
        </w:tc>
        <w:tc>
          <w:tcPr>
            <w:tcW w:w="1701" w:type="dxa"/>
            <w:tcBorders>
              <w:top w:val="single" w:sz="4" w:space="0" w:color="auto"/>
              <w:left w:val="single" w:sz="4" w:space="0" w:color="auto"/>
              <w:bottom w:val="single" w:sz="4" w:space="0" w:color="auto"/>
              <w:right w:val="single" w:sz="4" w:space="0" w:color="auto"/>
            </w:tcBorders>
            <w:vAlign w:val="center"/>
          </w:tcPr>
          <w:p w14:paraId="5A7E6529" w14:textId="710C004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90.7 (88.4, 92.5)</w:t>
            </w:r>
          </w:p>
        </w:tc>
        <w:tc>
          <w:tcPr>
            <w:tcW w:w="1843" w:type="dxa"/>
            <w:tcBorders>
              <w:top w:val="single" w:sz="4" w:space="0" w:color="auto"/>
              <w:left w:val="single" w:sz="4" w:space="0" w:color="auto"/>
              <w:bottom w:val="single" w:sz="4" w:space="0" w:color="auto"/>
              <w:right w:val="single" w:sz="4" w:space="0" w:color="auto"/>
            </w:tcBorders>
            <w:vAlign w:val="center"/>
          </w:tcPr>
          <w:p w14:paraId="7C6EE702" w14:textId="423CCEA0"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65,000 (64,500, 65,500)</w:t>
            </w:r>
          </w:p>
        </w:tc>
        <w:tc>
          <w:tcPr>
            <w:tcW w:w="1766" w:type="dxa"/>
            <w:tcBorders>
              <w:top w:val="single" w:sz="4" w:space="0" w:color="auto"/>
              <w:left w:val="single" w:sz="4" w:space="0" w:color="auto"/>
              <w:bottom w:val="single" w:sz="4" w:space="0" w:color="auto"/>
              <w:right w:val="single" w:sz="4" w:space="0" w:color="auto"/>
            </w:tcBorders>
            <w:vAlign w:val="center"/>
          </w:tcPr>
          <w:p w14:paraId="534AAA09" w14:textId="7864F216"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90,000 (87,300, 92,700)</w:t>
            </w:r>
          </w:p>
        </w:tc>
      </w:tr>
      <w:tr w:rsidR="00C22852" w:rsidRPr="00617A89" w14:paraId="65951EA1"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6582A9A0"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the Sunshine Coast</w:t>
            </w:r>
          </w:p>
        </w:tc>
        <w:tc>
          <w:tcPr>
            <w:tcW w:w="1898" w:type="dxa"/>
            <w:tcBorders>
              <w:top w:val="single" w:sz="4" w:space="0" w:color="auto"/>
              <w:left w:val="single" w:sz="4" w:space="0" w:color="auto"/>
              <w:bottom w:val="single" w:sz="4" w:space="0" w:color="auto"/>
              <w:right w:val="single" w:sz="4" w:space="0" w:color="auto"/>
            </w:tcBorders>
            <w:vAlign w:val="center"/>
          </w:tcPr>
          <w:p w14:paraId="35CC2D84" w14:textId="3C599B39"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75.6 (71.2, 79.4)</w:t>
            </w:r>
          </w:p>
        </w:tc>
        <w:tc>
          <w:tcPr>
            <w:tcW w:w="1701" w:type="dxa"/>
            <w:tcBorders>
              <w:top w:val="single" w:sz="4" w:space="0" w:color="auto"/>
              <w:left w:val="single" w:sz="4" w:space="0" w:color="auto"/>
              <w:bottom w:val="single" w:sz="4" w:space="0" w:color="auto"/>
              <w:right w:val="single" w:sz="4" w:space="0" w:color="auto"/>
            </w:tcBorders>
            <w:vAlign w:val="center"/>
          </w:tcPr>
          <w:p w14:paraId="5B011497" w14:textId="07D7A55A"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91.3 (88.1, 93.6)</w:t>
            </w:r>
          </w:p>
        </w:tc>
        <w:tc>
          <w:tcPr>
            <w:tcW w:w="1843" w:type="dxa"/>
            <w:tcBorders>
              <w:top w:val="single" w:sz="4" w:space="0" w:color="auto"/>
              <w:left w:val="single" w:sz="4" w:space="0" w:color="auto"/>
              <w:bottom w:val="single" w:sz="4" w:space="0" w:color="auto"/>
              <w:right w:val="single" w:sz="4" w:space="0" w:color="auto"/>
            </w:tcBorders>
            <w:vAlign w:val="center"/>
          </w:tcPr>
          <w:p w14:paraId="686CF132" w14:textId="7E2F2143"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67,000 (64,700, 69,300)</w:t>
            </w:r>
          </w:p>
        </w:tc>
        <w:tc>
          <w:tcPr>
            <w:tcW w:w="1766" w:type="dxa"/>
            <w:tcBorders>
              <w:top w:val="single" w:sz="4" w:space="0" w:color="auto"/>
              <w:left w:val="single" w:sz="4" w:space="0" w:color="auto"/>
              <w:bottom w:val="single" w:sz="4" w:space="0" w:color="auto"/>
              <w:right w:val="single" w:sz="4" w:space="0" w:color="auto"/>
            </w:tcBorders>
            <w:vAlign w:val="center"/>
          </w:tcPr>
          <w:p w14:paraId="317B6316" w14:textId="08A9AA7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90,200 (87,300, 93,000)</w:t>
            </w:r>
          </w:p>
        </w:tc>
      </w:tr>
      <w:tr w:rsidR="00C22852" w:rsidRPr="00617A89" w14:paraId="1F72A559"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24C4E5F3"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Wollongong</w:t>
            </w:r>
          </w:p>
        </w:tc>
        <w:tc>
          <w:tcPr>
            <w:tcW w:w="1898" w:type="dxa"/>
            <w:tcBorders>
              <w:top w:val="single" w:sz="4" w:space="0" w:color="auto"/>
              <w:left w:val="single" w:sz="4" w:space="0" w:color="auto"/>
              <w:bottom w:val="single" w:sz="4" w:space="0" w:color="auto"/>
              <w:right w:val="single" w:sz="4" w:space="0" w:color="auto"/>
            </w:tcBorders>
            <w:vAlign w:val="center"/>
          </w:tcPr>
          <w:p w14:paraId="5F53B8A0" w14:textId="6A431DCD"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77.1 (72.5, 81.1)</w:t>
            </w:r>
          </w:p>
        </w:tc>
        <w:tc>
          <w:tcPr>
            <w:tcW w:w="1701" w:type="dxa"/>
            <w:tcBorders>
              <w:top w:val="single" w:sz="4" w:space="0" w:color="auto"/>
              <w:left w:val="single" w:sz="4" w:space="0" w:color="auto"/>
              <w:bottom w:val="single" w:sz="4" w:space="0" w:color="auto"/>
              <w:right w:val="single" w:sz="4" w:space="0" w:color="auto"/>
            </w:tcBorders>
            <w:vAlign w:val="center"/>
          </w:tcPr>
          <w:p w14:paraId="60F057F3" w14:textId="331C08C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89.2 (85.6, 91.9)</w:t>
            </w:r>
          </w:p>
        </w:tc>
        <w:tc>
          <w:tcPr>
            <w:tcW w:w="1843" w:type="dxa"/>
            <w:tcBorders>
              <w:top w:val="single" w:sz="4" w:space="0" w:color="auto"/>
              <w:left w:val="single" w:sz="4" w:space="0" w:color="auto"/>
              <w:bottom w:val="single" w:sz="4" w:space="0" w:color="auto"/>
              <w:right w:val="single" w:sz="4" w:space="0" w:color="auto"/>
            </w:tcBorders>
            <w:vAlign w:val="center"/>
          </w:tcPr>
          <w:p w14:paraId="44097C08" w14:textId="797062EA"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70,000 (68,400, 71,600)</w:t>
            </w:r>
          </w:p>
        </w:tc>
        <w:tc>
          <w:tcPr>
            <w:tcW w:w="1766" w:type="dxa"/>
            <w:tcBorders>
              <w:top w:val="single" w:sz="4" w:space="0" w:color="auto"/>
              <w:left w:val="single" w:sz="4" w:space="0" w:color="auto"/>
              <w:bottom w:val="single" w:sz="4" w:space="0" w:color="auto"/>
              <w:right w:val="single" w:sz="4" w:space="0" w:color="auto"/>
            </w:tcBorders>
            <w:vAlign w:val="center"/>
          </w:tcPr>
          <w:p w14:paraId="778E0C16" w14:textId="4D2BD5AF"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91,100 (86,800, 95,400)</w:t>
            </w:r>
          </w:p>
        </w:tc>
      </w:tr>
      <w:tr w:rsidR="00C22852" w:rsidRPr="00617A89" w14:paraId="1DA379CF"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0C3E1CD4"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Victoria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70FA16C2" w14:textId="3A419574"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69.5 (64.5, 74.1)</w:t>
            </w:r>
          </w:p>
        </w:tc>
        <w:tc>
          <w:tcPr>
            <w:tcW w:w="1701" w:type="dxa"/>
            <w:tcBorders>
              <w:top w:val="single" w:sz="4" w:space="0" w:color="auto"/>
              <w:left w:val="single" w:sz="4" w:space="0" w:color="auto"/>
              <w:bottom w:val="single" w:sz="4" w:space="0" w:color="auto"/>
              <w:right w:val="single" w:sz="4" w:space="0" w:color="auto"/>
            </w:tcBorders>
            <w:vAlign w:val="center"/>
          </w:tcPr>
          <w:p w14:paraId="79754C5D" w14:textId="36D70CA1"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86.6 (82.7, 89.7)</w:t>
            </w:r>
          </w:p>
        </w:tc>
        <w:tc>
          <w:tcPr>
            <w:tcW w:w="1843" w:type="dxa"/>
            <w:tcBorders>
              <w:top w:val="single" w:sz="4" w:space="0" w:color="auto"/>
              <w:left w:val="single" w:sz="4" w:space="0" w:color="auto"/>
              <w:bottom w:val="single" w:sz="4" w:space="0" w:color="auto"/>
              <w:right w:val="single" w:sz="4" w:space="0" w:color="auto"/>
            </w:tcBorders>
            <w:vAlign w:val="center"/>
          </w:tcPr>
          <w:p w14:paraId="1E8D5084" w14:textId="02E0E378"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65,800 (62,400, 69,200)</w:t>
            </w:r>
          </w:p>
        </w:tc>
        <w:tc>
          <w:tcPr>
            <w:tcW w:w="1766" w:type="dxa"/>
            <w:tcBorders>
              <w:top w:val="single" w:sz="4" w:space="0" w:color="auto"/>
              <w:left w:val="single" w:sz="4" w:space="0" w:color="auto"/>
              <w:bottom w:val="single" w:sz="4" w:space="0" w:color="auto"/>
              <w:right w:val="single" w:sz="4" w:space="0" w:color="auto"/>
            </w:tcBorders>
            <w:vAlign w:val="center"/>
          </w:tcPr>
          <w:p w14:paraId="4E293357" w14:textId="075F01AE" w:rsidR="00E175F7" w:rsidRPr="00617A89" w:rsidRDefault="00E175F7" w:rsidP="0047134D">
            <w:pPr>
              <w:jc w:val="right"/>
              <w:rPr>
                <w:rFonts w:cs="Arial"/>
                <w:color w:val="000000" w:themeColor="text1"/>
                <w:spacing w:val="-2"/>
                <w:sz w:val="18"/>
                <w:szCs w:val="18"/>
                <w:lang w:val="en-GB"/>
              </w:rPr>
            </w:pPr>
            <w:r w:rsidRPr="00617A89">
              <w:rPr>
                <w:rFonts w:cs="Arial"/>
                <w:color w:val="000000" w:themeColor="text1"/>
                <w:sz w:val="18"/>
                <w:szCs w:val="18"/>
              </w:rPr>
              <w:t>85,000 (81,600, 88,400)</w:t>
            </w:r>
          </w:p>
        </w:tc>
      </w:tr>
      <w:tr w:rsidR="00C22852" w:rsidRPr="00617A89" w14:paraId="38826FDB"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2384AE93"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Western Sydney University</w:t>
            </w:r>
          </w:p>
        </w:tc>
        <w:tc>
          <w:tcPr>
            <w:tcW w:w="1898" w:type="dxa"/>
            <w:tcBorders>
              <w:top w:val="single" w:sz="4" w:space="0" w:color="auto"/>
              <w:left w:val="single" w:sz="4" w:space="0" w:color="auto"/>
              <w:bottom w:val="single" w:sz="4" w:space="0" w:color="auto"/>
              <w:right w:val="single" w:sz="4" w:space="0" w:color="auto"/>
            </w:tcBorders>
            <w:vAlign w:val="center"/>
          </w:tcPr>
          <w:p w14:paraId="4D999965" w14:textId="3F2F19D6" w:rsidR="00E175F7" w:rsidRPr="00617A89" w:rsidRDefault="00E175F7" w:rsidP="0047134D">
            <w:pPr>
              <w:jc w:val="right"/>
              <w:rPr>
                <w:rFonts w:cs="Arial"/>
                <w:color w:val="000000" w:themeColor="text1"/>
                <w:sz w:val="18"/>
                <w:szCs w:val="18"/>
              </w:rPr>
            </w:pPr>
            <w:r w:rsidRPr="00617A89">
              <w:rPr>
                <w:rFonts w:cs="Arial"/>
                <w:color w:val="000000" w:themeColor="text1"/>
                <w:sz w:val="18"/>
                <w:szCs w:val="18"/>
              </w:rPr>
              <w:t>72.6 (68.9, 76.1)</w:t>
            </w:r>
          </w:p>
        </w:tc>
        <w:tc>
          <w:tcPr>
            <w:tcW w:w="1701" w:type="dxa"/>
            <w:tcBorders>
              <w:top w:val="single" w:sz="4" w:space="0" w:color="auto"/>
              <w:left w:val="single" w:sz="4" w:space="0" w:color="auto"/>
              <w:bottom w:val="single" w:sz="4" w:space="0" w:color="auto"/>
              <w:right w:val="single" w:sz="4" w:space="0" w:color="auto"/>
            </w:tcBorders>
            <w:vAlign w:val="center"/>
          </w:tcPr>
          <w:p w14:paraId="1530CC5E" w14:textId="0456F4ED" w:rsidR="00E175F7" w:rsidRPr="00617A89" w:rsidRDefault="00E175F7" w:rsidP="0047134D">
            <w:pPr>
              <w:jc w:val="right"/>
              <w:rPr>
                <w:rFonts w:cs="Arial"/>
                <w:color w:val="000000" w:themeColor="text1"/>
                <w:sz w:val="18"/>
                <w:szCs w:val="18"/>
              </w:rPr>
            </w:pPr>
            <w:r w:rsidRPr="00617A89">
              <w:rPr>
                <w:rFonts w:cs="Arial"/>
                <w:color w:val="000000" w:themeColor="text1"/>
                <w:sz w:val="18"/>
                <w:szCs w:val="18"/>
              </w:rPr>
              <w:t>91.1 (88.4, 93.0)</w:t>
            </w:r>
          </w:p>
        </w:tc>
        <w:tc>
          <w:tcPr>
            <w:tcW w:w="1843" w:type="dxa"/>
            <w:tcBorders>
              <w:top w:val="single" w:sz="4" w:space="0" w:color="auto"/>
              <w:left w:val="single" w:sz="4" w:space="0" w:color="auto"/>
              <w:bottom w:val="single" w:sz="4" w:space="0" w:color="auto"/>
              <w:right w:val="single" w:sz="4" w:space="0" w:color="auto"/>
            </w:tcBorders>
            <w:vAlign w:val="center"/>
          </w:tcPr>
          <w:p w14:paraId="4CBE8FFE" w14:textId="5F62DF8D" w:rsidR="00E175F7" w:rsidRPr="00617A89" w:rsidRDefault="00E175F7" w:rsidP="0047134D">
            <w:pPr>
              <w:jc w:val="right"/>
              <w:rPr>
                <w:rFonts w:cs="Arial"/>
                <w:color w:val="000000" w:themeColor="text1"/>
                <w:sz w:val="18"/>
                <w:szCs w:val="18"/>
              </w:rPr>
            </w:pPr>
            <w:r w:rsidRPr="00617A89">
              <w:rPr>
                <w:rFonts w:cs="Arial"/>
                <w:color w:val="000000" w:themeColor="text1"/>
                <w:sz w:val="18"/>
                <w:szCs w:val="18"/>
              </w:rPr>
              <w:t>66,000 (64,000, 68,000)</w:t>
            </w:r>
          </w:p>
        </w:tc>
        <w:tc>
          <w:tcPr>
            <w:tcW w:w="1766" w:type="dxa"/>
            <w:tcBorders>
              <w:top w:val="single" w:sz="4" w:space="0" w:color="auto"/>
              <w:left w:val="single" w:sz="4" w:space="0" w:color="auto"/>
              <w:bottom w:val="single" w:sz="4" w:space="0" w:color="auto"/>
              <w:right w:val="single" w:sz="4" w:space="0" w:color="auto"/>
            </w:tcBorders>
            <w:vAlign w:val="center"/>
          </w:tcPr>
          <w:p w14:paraId="2F85BBCD" w14:textId="405244BB" w:rsidR="00E175F7" w:rsidRPr="00617A89" w:rsidRDefault="00E175F7" w:rsidP="0047134D">
            <w:pPr>
              <w:jc w:val="right"/>
              <w:rPr>
                <w:rFonts w:cs="Arial"/>
                <w:color w:val="000000" w:themeColor="text1"/>
                <w:sz w:val="18"/>
                <w:szCs w:val="18"/>
              </w:rPr>
            </w:pPr>
            <w:r w:rsidRPr="00617A89">
              <w:rPr>
                <w:rFonts w:cs="Arial"/>
                <w:color w:val="000000" w:themeColor="text1"/>
                <w:sz w:val="18"/>
                <w:szCs w:val="18"/>
              </w:rPr>
              <w:t>86,100 (83,600, 88,600)</w:t>
            </w:r>
          </w:p>
        </w:tc>
      </w:tr>
      <w:tr w:rsidR="00C22852" w:rsidRPr="00617A89" w14:paraId="34AD4238"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7F09E9DD"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b/>
                <w:bCs/>
                <w:color w:val="000000" w:themeColor="text1"/>
                <w:sz w:val="18"/>
              </w:rPr>
            </w:pPr>
            <w:r w:rsidRPr="00617A89">
              <w:rPr>
                <w:rFonts w:cs="Arial"/>
                <w:b/>
                <w:bCs/>
                <w:color w:val="000000" w:themeColor="text1"/>
                <w:sz w:val="18"/>
              </w:rPr>
              <w:t>All universities</w:t>
            </w:r>
          </w:p>
        </w:tc>
        <w:tc>
          <w:tcPr>
            <w:tcW w:w="1898" w:type="dxa"/>
            <w:tcBorders>
              <w:top w:val="single" w:sz="4" w:space="0" w:color="auto"/>
              <w:left w:val="single" w:sz="4" w:space="0" w:color="auto"/>
              <w:bottom w:val="single" w:sz="4" w:space="0" w:color="auto"/>
              <w:right w:val="single" w:sz="4" w:space="0" w:color="auto"/>
            </w:tcBorders>
            <w:vAlign w:val="center"/>
          </w:tcPr>
          <w:p w14:paraId="3A3B42EB" w14:textId="43516EB3" w:rsidR="00E175F7" w:rsidRPr="00617A89" w:rsidRDefault="00E175F7" w:rsidP="0047134D">
            <w:pPr>
              <w:jc w:val="right"/>
              <w:rPr>
                <w:rFonts w:cs="Arial"/>
                <w:b/>
                <w:bCs/>
                <w:color w:val="000000" w:themeColor="text1"/>
                <w:sz w:val="18"/>
                <w:szCs w:val="18"/>
              </w:rPr>
            </w:pPr>
            <w:r w:rsidRPr="00617A89">
              <w:rPr>
                <w:rFonts w:cs="Arial"/>
                <w:b/>
                <w:bCs/>
                <w:color w:val="000000" w:themeColor="text1"/>
                <w:sz w:val="18"/>
                <w:szCs w:val="18"/>
              </w:rPr>
              <w:t>79.8 (79.3, 80.3)</w:t>
            </w:r>
          </w:p>
        </w:tc>
        <w:tc>
          <w:tcPr>
            <w:tcW w:w="1701" w:type="dxa"/>
            <w:tcBorders>
              <w:top w:val="single" w:sz="4" w:space="0" w:color="auto"/>
              <w:left w:val="single" w:sz="4" w:space="0" w:color="auto"/>
              <w:bottom w:val="single" w:sz="4" w:space="0" w:color="auto"/>
              <w:right w:val="single" w:sz="4" w:space="0" w:color="auto"/>
            </w:tcBorders>
            <w:vAlign w:val="center"/>
          </w:tcPr>
          <w:p w14:paraId="547186DE" w14:textId="2FF3D0EB" w:rsidR="00E175F7" w:rsidRPr="00617A89" w:rsidRDefault="00E175F7" w:rsidP="0047134D">
            <w:pPr>
              <w:jc w:val="right"/>
              <w:rPr>
                <w:rFonts w:cs="Arial"/>
                <w:b/>
                <w:bCs/>
                <w:color w:val="000000" w:themeColor="text1"/>
                <w:sz w:val="18"/>
                <w:szCs w:val="18"/>
              </w:rPr>
            </w:pPr>
            <w:r w:rsidRPr="00617A89">
              <w:rPr>
                <w:rFonts w:cs="Arial"/>
                <w:b/>
                <w:bCs/>
                <w:color w:val="000000" w:themeColor="text1"/>
                <w:sz w:val="18"/>
                <w:szCs w:val="18"/>
              </w:rPr>
              <w:t>91.9 (91.6, 92.2)</w:t>
            </w:r>
          </w:p>
        </w:tc>
        <w:tc>
          <w:tcPr>
            <w:tcW w:w="1843" w:type="dxa"/>
            <w:tcBorders>
              <w:top w:val="single" w:sz="4" w:space="0" w:color="auto"/>
              <w:left w:val="single" w:sz="4" w:space="0" w:color="auto"/>
              <w:bottom w:val="single" w:sz="4" w:space="0" w:color="auto"/>
              <w:right w:val="single" w:sz="4" w:space="0" w:color="auto"/>
            </w:tcBorders>
            <w:vAlign w:val="center"/>
          </w:tcPr>
          <w:p w14:paraId="694815E2" w14:textId="769AADF9" w:rsidR="00E175F7" w:rsidRPr="00617A89" w:rsidRDefault="00E175F7" w:rsidP="0047134D">
            <w:pPr>
              <w:jc w:val="right"/>
              <w:rPr>
                <w:rFonts w:cs="Arial"/>
                <w:b/>
                <w:bCs/>
                <w:color w:val="000000" w:themeColor="text1"/>
                <w:sz w:val="18"/>
                <w:szCs w:val="18"/>
              </w:rPr>
            </w:pPr>
            <w:r w:rsidRPr="00617A89">
              <w:rPr>
                <w:rFonts w:cs="Arial"/>
                <w:b/>
                <w:bCs/>
                <w:color w:val="000000" w:themeColor="text1"/>
                <w:sz w:val="18"/>
                <w:szCs w:val="18"/>
              </w:rPr>
              <w:t>69,000 (68,700, 69,300)</w:t>
            </w:r>
          </w:p>
        </w:tc>
        <w:tc>
          <w:tcPr>
            <w:tcW w:w="1766" w:type="dxa"/>
            <w:tcBorders>
              <w:top w:val="single" w:sz="4" w:space="0" w:color="auto"/>
              <w:left w:val="single" w:sz="4" w:space="0" w:color="auto"/>
              <w:bottom w:val="single" w:sz="4" w:space="0" w:color="auto"/>
              <w:right w:val="single" w:sz="4" w:space="0" w:color="auto"/>
            </w:tcBorders>
            <w:vAlign w:val="center"/>
          </w:tcPr>
          <w:p w14:paraId="7A01DDF7" w14:textId="62F60CAF" w:rsidR="00E175F7" w:rsidRPr="00617A89" w:rsidRDefault="00E175F7" w:rsidP="0047134D">
            <w:pPr>
              <w:jc w:val="right"/>
              <w:rPr>
                <w:rFonts w:cs="Arial"/>
                <w:b/>
                <w:bCs/>
                <w:color w:val="000000" w:themeColor="text1"/>
                <w:sz w:val="18"/>
                <w:szCs w:val="18"/>
              </w:rPr>
            </w:pPr>
            <w:r w:rsidRPr="00617A89">
              <w:rPr>
                <w:rFonts w:cs="Arial"/>
                <w:b/>
                <w:bCs/>
                <w:color w:val="000000" w:themeColor="text1"/>
                <w:sz w:val="18"/>
                <w:szCs w:val="18"/>
              </w:rPr>
              <w:t>91,200 (90,800, 91,700)</w:t>
            </w:r>
          </w:p>
        </w:tc>
      </w:tr>
      <w:tr w:rsidR="00C22852" w:rsidRPr="00617A89" w14:paraId="516E05E7" w14:textId="77777777" w:rsidTr="0047134D">
        <w:tc>
          <w:tcPr>
            <w:tcW w:w="3342" w:type="dxa"/>
            <w:tcBorders>
              <w:top w:val="single" w:sz="4" w:space="0" w:color="auto"/>
              <w:left w:val="single" w:sz="4" w:space="0" w:color="auto"/>
              <w:bottom w:val="single" w:sz="4" w:space="0" w:color="auto"/>
              <w:right w:val="single" w:sz="4" w:space="0" w:color="auto"/>
            </w:tcBorders>
            <w:vAlign w:val="center"/>
          </w:tcPr>
          <w:p w14:paraId="75D230FD" w14:textId="77777777" w:rsidR="00297AC4" w:rsidRPr="00617A89" w:rsidRDefault="00297AC4" w:rsidP="00297AC4">
            <w:pPr>
              <w:widowControl w:val="0"/>
              <w:suppressAutoHyphens/>
              <w:autoSpaceDE w:val="0"/>
              <w:autoSpaceDN w:val="0"/>
              <w:adjustRightInd w:val="0"/>
              <w:spacing w:before="85" w:line="288" w:lineRule="auto"/>
              <w:textAlignment w:val="center"/>
              <w:rPr>
                <w:rStyle w:val="AtleticoMED"/>
                <w:rFonts w:cs="Arial"/>
                <w:color w:val="000000" w:themeColor="text1"/>
                <w:sz w:val="18"/>
              </w:rPr>
            </w:pPr>
            <w:r w:rsidRPr="00617A89">
              <w:rPr>
                <w:rFonts w:cs="Arial"/>
                <w:color w:val="000000" w:themeColor="text1"/>
                <w:sz w:val="18"/>
              </w:rPr>
              <w:t>Standard deviation</w:t>
            </w:r>
          </w:p>
        </w:tc>
        <w:tc>
          <w:tcPr>
            <w:tcW w:w="1898" w:type="dxa"/>
            <w:tcBorders>
              <w:top w:val="single" w:sz="4" w:space="0" w:color="auto"/>
              <w:left w:val="single" w:sz="4" w:space="0" w:color="auto"/>
              <w:bottom w:val="single" w:sz="4" w:space="0" w:color="auto"/>
              <w:right w:val="single" w:sz="4" w:space="0" w:color="auto"/>
            </w:tcBorders>
            <w:vAlign w:val="bottom"/>
          </w:tcPr>
          <w:p w14:paraId="1BAE412A" w14:textId="14517410" w:rsidR="00297AC4" w:rsidRPr="00617A89" w:rsidRDefault="00297AC4" w:rsidP="0047134D">
            <w:pPr>
              <w:jc w:val="right"/>
              <w:rPr>
                <w:rFonts w:cs="Arial"/>
                <w:b/>
                <w:bCs/>
                <w:color w:val="000000" w:themeColor="text1"/>
                <w:sz w:val="18"/>
                <w:szCs w:val="18"/>
              </w:rPr>
            </w:pPr>
            <w:r w:rsidRPr="00617A89">
              <w:rPr>
                <w:rFonts w:cs="Arial"/>
                <w:color w:val="000000" w:themeColor="text1"/>
                <w:sz w:val="18"/>
                <w:szCs w:val="18"/>
              </w:rPr>
              <w:t>6.7</w:t>
            </w:r>
          </w:p>
        </w:tc>
        <w:tc>
          <w:tcPr>
            <w:tcW w:w="1701" w:type="dxa"/>
            <w:tcBorders>
              <w:top w:val="single" w:sz="4" w:space="0" w:color="auto"/>
              <w:left w:val="single" w:sz="4" w:space="0" w:color="auto"/>
              <w:bottom w:val="single" w:sz="4" w:space="0" w:color="auto"/>
              <w:right w:val="single" w:sz="4" w:space="0" w:color="auto"/>
            </w:tcBorders>
            <w:vAlign w:val="bottom"/>
          </w:tcPr>
          <w:p w14:paraId="0706A76D" w14:textId="13DE3F2A" w:rsidR="00297AC4" w:rsidRPr="00617A89" w:rsidRDefault="00297AC4" w:rsidP="0047134D">
            <w:pPr>
              <w:jc w:val="right"/>
              <w:rPr>
                <w:rFonts w:cs="Arial"/>
                <w:b/>
                <w:bCs/>
                <w:color w:val="000000" w:themeColor="text1"/>
                <w:sz w:val="18"/>
                <w:szCs w:val="18"/>
              </w:rPr>
            </w:pPr>
            <w:r w:rsidRPr="00617A89">
              <w:rPr>
                <w:rFonts w:cs="Arial"/>
                <w:color w:val="000000" w:themeColor="text1"/>
                <w:sz w:val="18"/>
                <w:szCs w:val="18"/>
              </w:rPr>
              <w:t>3.6</w:t>
            </w:r>
          </w:p>
        </w:tc>
        <w:tc>
          <w:tcPr>
            <w:tcW w:w="1843" w:type="dxa"/>
            <w:tcBorders>
              <w:top w:val="single" w:sz="4" w:space="0" w:color="auto"/>
              <w:left w:val="single" w:sz="4" w:space="0" w:color="auto"/>
              <w:bottom w:val="single" w:sz="4" w:space="0" w:color="auto"/>
              <w:right w:val="single" w:sz="4" w:space="0" w:color="auto"/>
            </w:tcBorders>
            <w:vAlign w:val="center"/>
          </w:tcPr>
          <w:p w14:paraId="2551B8CC" w14:textId="21F24418" w:rsidR="00297AC4" w:rsidRPr="00617A89" w:rsidRDefault="00297AC4" w:rsidP="0047134D">
            <w:pPr>
              <w:jc w:val="right"/>
              <w:rPr>
                <w:rFonts w:cs="Arial"/>
                <w:b/>
                <w:bCs/>
                <w:color w:val="000000" w:themeColor="text1"/>
                <w:sz w:val="18"/>
                <w:szCs w:val="18"/>
              </w:rPr>
            </w:pPr>
            <w:r w:rsidRPr="00617A89">
              <w:rPr>
                <w:rFonts w:cs="Arial"/>
                <w:color w:val="000000" w:themeColor="text1"/>
                <w:sz w:val="18"/>
                <w:szCs w:val="18"/>
              </w:rPr>
              <w:t>5,500</w:t>
            </w:r>
          </w:p>
        </w:tc>
        <w:tc>
          <w:tcPr>
            <w:tcW w:w="1766" w:type="dxa"/>
            <w:tcBorders>
              <w:top w:val="single" w:sz="4" w:space="0" w:color="auto"/>
              <w:left w:val="single" w:sz="4" w:space="0" w:color="auto"/>
              <w:bottom w:val="single" w:sz="4" w:space="0" w:color="auto"/>
              <w:right w:val="single" w:sz="4" w:space="0" w:color="auto"/>
            </w:tcBorders>
            <w:vAlign w:val="center"/>
          </w:tcPr>
          <w:p w14:paraId="4B2B266D" w14:textId="1C14DFEE" w:rsidR="00297AC4" w:rsidRPr="00617A89" w:rsidRDefault="00297AC4" w:rsidP="0047134D">
            <w:pPr>
              <w:jc w:val="right"/>
              <w:rPr>
                <w:rFonts w:cs="Arial"/>
                <w:b/>
                <w:bCs/>
                <w:color w:val="000000" w:themeColor="text1"/>
                <w:sz w:val="18"/>
                <w:szCs w:val="18"/>
              </w:rPr>
            </w:pPr>
            <w:r w:rsidRPr="00617A89">
              <w:rPr>
                <w:rFonts w:cs="Arial"/>
                <w:color w:val="000000" w:themeColor="text1"/>
                <w:sz w:val="18"/>
                <w:szCs w:val="18"/>
              </w:rPr>
              <w:t>7,500</w:t>
            </w:r>
          </w:p>
        </w:tc>
      </w:tr>
    </w:tbl>
    <w:p w14:paraId="04E554C0" w14:textId="77777777" w:rsidR="00FF7566" w:rsidRPr="00617A89" w:rsidRDefault="00FF7566" w:rsidP="00FF7566">
      <w:pPr>
        <w:rPr>
          <w:color w:val="000000" w:themeColor="text1"/>
          <w:sz w:val="18"/>
          <w:szCs w:val="21"/>
          <w:lang w:val="en-GB"/>
        </w:rPr>
      </w:pPr>
      <w:r w:rsidRPr="00617A89">
        <w:rPr>
          <w:color w:val="000000" w:themeColor="text1"/>
          <w:sz w:val="18"/>
          <w:szCs w:val="21"/>
          <w:lang w:val="en-GB"/>
        </w:rPr>
        <w:t>Note: Cells marked with n/a had too few responses for meaningful analysis.</w:t>
      </w:r>
    </w:p>
    <w:p w14:paraId="0A148BDD" w14:textId="6C96E6ED" w:rsidR="005E35CB" w:rsidRPr="00617A89" w:rsidRDefault="00B75726" w:rsidP="006F7428">
      <w:pPr>
        <w:pStyle w:val="Body"/>
        <w:rPr>
          <w:color w:val="000000" w:themeColor="text1"/>
          <w:sz w:val="21"/>
          <w:szCs w:val="21"/>
          <w:lang w:val="en-GB" w:eastAsia="en-AU"/>
        </w:rPr>
      </w:pPr>
      <w:r w:rsidRPr="00617A89">
        <w:rPr>
          <w:color w:val="000000" w:themeColor="text1"/>
          <w:sz w:val="18"/>
          <w:szCs w:val="21"/>
          <w:lang w:val="en-GB"/>
        </w:rPr>
        <w:t xml:space="preserve">* </w:t>
      </w:r>
      <w:r w:rsidR="00F31940" w:rsidRPr="00617A89">
        <w:rPr>
          <w:color w:val="000000" w:themeColor="text1"/>
          <w:sz w:val="18"/>
          <w:szCs w:val="21"/>
          <w:lang w:val="en-GB"/>
        </w:rPr>
        <w:t>In December 2024, the Tertiary Education Quality Standards Agency (TEQSA) changed the provider category in which the Australian University of Theology was registered to Australian University</w:t>
      </w:r>
      <w:r w:rsidRPr="00617A89">
        <w:rPr>
          <w:color w:val="000000" w:themeColor="text1"/>
          <w:sz w:val="18"/>
          <w:szCs w:val="21"/>
          <w:lang w:val="en-GB"/>
        </w:rPr>
        <w:t xml:space="preserve">. Prior to this, the institution was known as the </w:t>
      </w:r>
      <w:r w:rsidR="002A6CAF" w:rsidRPr="00617A89">
        <w:rPr>
          <w:color w:val="000000" w:themeColor="text1"/>
          <w:sz w:val="18"/>
          <w:szCs w:val="21"/>
          <w:lang w:val="en-GB"/>
        </w:rPr>
        <w:t>A</w:t>
      </w:r>
      <w:r w:rsidRPr="00617A89">
        <w:rPr>
          <w:color w:val="000000" w:themeColor="text1"/>
          <w:sz w:val="18"/>
          <w:szCs w:val="21"/>
          <w:lang w:val="en-GB"/>
        </w:rPr>
        <w:t xml:space="preserve">ustralian College of Theology and was classified as a NUHEI. The outcomes presented in this </w:t>
      </w:r>
      <w:r w:rsidR="00A93C4E" w:rsidRPr="00617A89">
        <w:rPr>
          <w:color w:val="000000" w:themeColor="text1"/>
          <w:sz w:val="18"/>
          <w:szCs w:val="21"/>
          <w:lang w:val="en-GB"/>
        </w:rPr>
        <w:t>table</w:t>
      </w:r>
      <w:r w:rsidRPr="00617A89">
        <w:rPr>
          <w:color w:val="000000" w:themeColor="text1"/>
          <w:sz w:val="18"/>
          <w:szCs w:val="21"/>
          <w:lang w:val="en-GB"/>
        </w:rPr>
        <w:t xml:space="preserve"> </w:t>
      </w:r>
      <w:r w:rsidR="00F31940" w:rsidRPr="00617A89">
        <w:rPr>
          <w:color w:val="000000" w:themeColor="text1"/>
          <w:sz w:val="18"/>
          <w:szCs w:val="21"/>
          <w:lang w:val="en-GB"/>
        </w:rPr>
        <w:t>relate to</w:t>
      </w:r>
      <w:r w:rsidRPr="00617A89">
        <w:rPr>
          <w:color w:val="000000" w:themeColor="text1"/>
          <w:sz w:val="18"/>
          <w:szCs w:val="21"/>
          <w:lang w:val="en-GB"/>
        </w:rPr>
        <w:t xml:space="preserve"> </w:t>
      </w:r>
      <w:r w:rsidR="002A6CAF" w:rsidRPr="00617A89">
        <w:rPr>
          <w:color w:val="000000" w:themeColor="text1"/>
          <w:sz w:val="18"/>
          <w:szCs w:val="21"/>
          <w:lang w:val="en-GB"/>
        </w:rPr>
        <w:t>g</w:t>
      </w:r>
      <w:r w:rsidRPr="00617A89">
        <w:rPr>
          <w:color w:val="000000" w:themeColor="text1"/>
          <w:sz w:val="18"/>
          <w:szCs w:val="21"/>
          <w:lang w:val="en-GB"/>
        </w:rPr>
        <w:t xml:space="preserve">raduates who completed their studies when the institution was </w:t>
      </w:r>
      <w:r w:rsidR="00F31940" w:rsidRPr="00617A89">
        <w:rPr>
          <w:color w:val="000000" w:themeColor="text1"/>
          <w:sz w:val="18"/>
          <w:szCs w:val="21"/>
          <w:lang w:val="en-GB"/>
        </w:rPr>
        <w:t xml:space="preserve">classified as </w:t>
      </w:r>
      <w:r w:rsidRPr="00617A89">
        <w:rPr>
          <w:color w:val="000000" w:themeColor="text1"/>
          <w:sz w:val="18"/>
          <w:szCs w:val="21"/>
          <w:lang w:val="en-GB"/>
        </w:rPr>
        <w:t>a NUHEI.</w:t>
      </w:r>
    </w:p>
    <w:p w14:paraId="759CE00E" w14:textId="77777777" w:rsidR="00F779D9" w:rsidRPr="00617A89" w:rsidRDefault="00F779D9" w:rsidP="00643923">
      <w:pPr>
        <w:pStyle w:val="Caption"/>
        <w:rPr>
          <w:color w:val="000000" w:themeColor="text1"/>
        </w:rPr>
      </w:pPr>
    </w:p>
    <w:p w14:paraId="51BCC56B" w14:textId="5B6FE4B5" w:rsidR="00643923" w:rsidRPr="00617A89" w:rsidRDefault="00643923" w:rsidP="00034502">
      <w:pPr>
        <w:pStyle w:val="Caption"/>
        <w:rPr>
          <w:color w:val="000000" w:themeColor="text1"/>
        </w:rPr>
      </w:pPr>
      <w:bookmarkStart w:id="274" w:name="_Ref216874098"/>
      <w:bookmarkStart w:id="275" w:name="_Toc222868494"/>
      <w:r w:rsidRPr="00617A89">
        <w:rPr>
          <w:color w:val="000000" w:themeColor="text1"/>
        </w:rPr>
        <w:t xml:space="preserve">Table </w:t>
      </w:r>
      <w:r w:rsidR="00DB7C31" w:rsidRPr="00617A89">
        <w:rPr>
          <w:color w:val="000000" w:themeColor="text1"/>
        </w:rPr>
        <w:fldChar w:fldCharType="begin"/>
      </w:r>
      <w:r w:rsidR="00DB7C31" w:rsidRPr="00617A89">
        <w:rPr>
          <w:color w:val="000000" w:themeColor="text1"/>
        </w:rPr>
        <w:instrText xml:space="preserve"> SEQ Table \* ARABIC </w:instrText>
      </w:r>
      <w:r w:rsidR="00DB7C31" w:rsidRPr="00617A89">
        <w:rPr>
          <w:color w:val="000000" w:themeColor="text1"/>
        </w:rPr>
        <w:fldChar w:fldCharType="separate"/>
      </w:r>
      <w:r w:rsidR="000539F2" w:rsidRPr="00617A89">
        <w:rPr>
          <w:noProof/>
          <w:color w:val="000000" w:themeColor="text1"/>
        </w:rPr>
        <w:t>24</w:t>
      </w:r>
      <w:r w:rsidR="00DB7C31" w:rsidRPr="00617A89">
        <w:rPr>
          <w:noProof/>
          <w:color w:val="000000" w:themeColor="text1"/>
        </w:rPr>
        <w:fldChar w:fldCharType="end"/>
      </w:r>
      <w:bookmarkEnd w:id="274"/>
      <w:r w:rsidR="002D3B23" w:rsidRPr="00617A89">
        <w:rPr>
          <w:color w:val="000000" w:themeColor="text1"/>
        </w:rPr>
        <w:tab/>
      </w:r>
      <w:r w:rsidRPr="00617A89">
        <w:rPr>
          <w:color w:val="000000" w:themeColor="text1"/>
        </w:rPr>
        <w:t>Domestic postgraduate coursework full-time employment rate (%) and median salary ($) by university, short- and medium-term (with 90% confidence intervals)</w:t>
      </w:r>
      <w:bookmarkEnd w:id="275"/>
    </w:p>
    <w:tbl>
      <w:tblPr>
        <w:tblStyle w:val="QILTTableStylePH"/>
        <w:tblW w:w="10550" w:type="dxa"/>
        <w:tblLook w:val="04A0" w:firstRow="1" w:lastRow="0" w:firstColumn="1" w:lastColumn="0" w:noHBand="0" w:noVBand="1"/>
      </w:tblPr>
      <w:tblGrid>
        <w:gridCol w:w="3337"/>
        <w:gridCol w:w="1803"/>
        <w:gridCol w:w="1803"/>
        <w:gridCol w:w="1803"/>
        <w:gridCol w:w="1804"/>
      </w:tblGrid>
      <w:tr w:rsidR="00C22852" w:rsidRPr="00617A89" w14:paraId="1D51260C" w14:textId="77777777" w:rsidTr="002D3B23">
        <w:trPr>
          <w:tblHeader/>
        </w:trPr>
        <w:tc>
          <w:tcPr>
            <w:tcW w:w="3337" w:type="dxa"/>
            <w:vAlign w:val="center"/>
          </w:tcPr>
          <w:p w14:paraId="51EE70B6" w14:textId="65B00B3F" w:rsidR="002D3B23" w:rsidRPr="00617A89" w:rsidRDefault="002D3B23" w:rsidP="00E37470">
            <w:pPr>
              <w:rPr>
                <w:rFonts w:cs="Arial"/>
                <w:b/>
                <w:bCs/>
                <w:color w:val="000000" w:themeColor="text1"/>
                <w:spacing w:val="-2"/>
                <w:sz w:val="18"/>
                <w:lang w:val="en-GB"/>
              </w:rPr>
            </w:pPr>
          </w:p>
        </w:tc>
        <w:tc>
          <w:tcPr>
            <w:tcW w:w="1803" w:type="dxa"/>
            <w:vAlign w:val="center"/>
          </w:tcPr>
          <w:p w14:paraId="206CF939" w14:textId="77777777" w:rsidR="002D3B23" w:rsidRPr="00617A89" w:rsidRDefault="002D3B23" w:rsidP="00E37470">
            <w:pPr>
              <w:jc w:val="center"/>
              <w:rPr>
                <w:rFonts w:cs="Arial"/>
                <w:b/>
                <w:color w:val="000000" w:themeColor="text1"/>
                <w:spacing w:val="-2"/>
                <w:sz w:val="18"/>
                <w:lang w:val="en-GB"/>
              </w:rPr>
            </w:pPr>
            <w:r w:rsidRPr="00617A89">
              <w:rPr>
                <w:rFonts w:cs="Arial"/>
                <w:b/>
                <w:color w:val="000000" w:themeColor="text1"/>
                <w:sz w:val="18"/>
              </w:rPr>
              <w:t>Full-time employment rate (%)</w:t>
            </w:r>
          </w:p>
        </w:tc>
        <w:tc>
          <w:tcPr>
            <w:tcW w:w="1803" w:type="dxa"/>
            <w:vAlign w:val="center"/>
          </w:tcPr>
          <w:p w14:paraId="4366E3F6" w14:textId="681C9034" w:rsidR="002D3B23" w:rsidRPr="00617A89" w:rsidRDefault="002D3B23" w:rsidP="00E37470">
            <w:pPr>
              <w:jc w:val="center"/>
              <w:rPr>
                <w:rFonts w:cs="Arial"/>
                <w:b/>
                <w:color w:val="000000" w:themeColor="text1"/>
                <w:spacing w:val="-2"/>
                <w:sz w:val="18"/>
                <w:lang w:val="en-GB"/>
              </w:rPr>
            </w:pPr>
            <w:r w:rsidRPr="00617A89">
              <w:rPr>
                <w:rFonts w:cs="Arial"/>
                <w:b/>
                <w:color w:val="000000" w:themeColor="text1"/>
                <w:sz w:val="18"/>
              </w:rPr>
              <w:t>Full-time employment rate (%)</w:t>
            </w:r>
          </w:p>
        </w:tc>
        <w:tc>
          <w:tcPr>
            <w:tcW w:w="1803" w:type="dxa"/>
            <w:vAlign w:val="center"/>
          </w:tcPr>
          <w:p w14:paraId="5AC131D2" w14:textId="77777777" w:rsidR="002D3B23" w:rsidRPr="00617A89" w:rsidRDefault="002D3B23" w:rsidP="00E37470">
            <w:pPr>
              <w:jc w:val="center"/>
              <w:rPr>
                <w:rFonts w:cs="Arial"/>
                <w:b/>
                <w:color w:val="000000" w:themeColor="text1"/>
                <w:spacing w:val="-2"/>
                <w:sz w:val="18"/>
                <w:lang w:val="en-GB"/>
              </w:rPr>
            </w:pPr>
            <w:r w:rsidRPr="00617A89">
              <w:rPr>
                <w:rFonts w:cs="Arial"/>
                <w:b/>
                <w:color w:val="000000" w:themeColor="text1"/>
                <w:spacing w:val="-2"/>
                <w:sz w:val="18"/>
              </w:rPr>
              <w:t>Median annual full-time salary ($)</w:t>
            </w:r>
          </w:p>
        </w:tc>
        <w:tc>
          <w:tcPr>
            <w:tcW w:w="1804" w:type="dxa"/>
            <w:vAlign w:val="center"/>
          </w:tcPr>
          <w:p w14:paraId="5D443925" w14:textId="08FB58B4" w:rsidR="002D3B23" w:rsidRPr="00617A89" w:rsidRDefault="002D3B23" w:rsidP="00E37470">
            <w:pPr>
              <w:jc w:val="center"/>
              <w:rPr>
                <w:rFonts w:cs="Arial"/>
                <w:b/>
                <w:color w:val="000000" w:themeColor="text1"/>
                <w:spacing w:val="-2"/>
                <w:sz w:val="18"/>
                <w:lang w:val="en-GB"/>
              </w:rPr>
            </w:pPr>
            <w:r w:rsidRPr="00617A89">
              <w:rPr>
                <w:rFonts w:cs="Arial"/>
                <w:b/>
                <w:color w:val="000000" w:themeColor="text1"/>
                <w:spacing w:val="-2"/>
                <w:sz w:val="18"/>
              </w:rPr>
              <w:t>Median annual full-time salary ($)</w:t>
            </w:r>
          </w:p>
        </w:tc>
      </w:tr>
      <w:tr w:rsidR="00C22852" w:rsidRPr="00617A89" w14:paraId="5F478B5A" w14:textId="77777777" w:rsidTr="002D3B23">
        <w:trPr>
          <w:tblHeader/>
        </w:trPr>
        <w:tc>
          <w:tcPr>
            <w:tcW w:w="3337" w:type="dxa"/>
            <w:tcBorders>
              <w:bottom w:val="single" w:sz="4" w:space="0" w:color="auto"/>
            </w:tcBorders>
            <w:vAlign w:val="bottom"/>
          </w:tcPr>
          <w:p w14:paraId="4D2D5986" w14:textId="2DAC5710" w:rsidR="00643923" w:rsidRPr="00617A89" w:rsidRDefault="002D3B23" w:rsidP="002D3B23">
            <w:pPr>
              <w:rPr>
                <w:rFonts w:cs="Arial"/>
                <w:color w:val="000000" w:themeColor="text1"/>
                <w:spacing w:val="-2"/>
                <w:sz w:val="18"/>
                <w:lang w:val="en-GB"/>
              </w:rPr>
            </w:pPr>
            <w:r w:rsidRPr="00617A89">
              <w:rPr>
                <w:rFonts w:cs="Arial"/>
                <w:b/>
                <w:bCs/>
                <w:color w:val="000000" w:themeColor="text1"/>
                <w:spacing w:val="-2"/>
                <w:sz w:val="18"/>
                <w:lang w:val="en-GB"/>
              </w:rPr>
              <w:t>University</w:t>
            </w:r>
          </w:p>
        </w:tc>
        <w:tc>
          <w:tcPr>
            <w:tcW w:w="1803" w:type="dxa"/>
            <w:tcBorders>
              <w:bottom w:val="single" w:sz="4" w:space="0" w:color="auto"/>
            </w:tcBorders>
            <w:vAlign w:val="center"/>
          </w:tcPr>
          <w:p w14:paraId="5FD0483D" w14:textId="77777777" w:rsidR="00643923" w:rsidRPr="00617A89" w:rsidRDefault="00643923"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Short-term</w:t>
            </w:r>
          </w:p>
          <w:p w14:paraId="54702ED7" w14:textId="77777777" w:rsidR="00643923" w:rsidRPr="00617A89" w:rsidRDefault="00643923"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(2022)</w:t>
            </w:r>
          </w:p>
        </w:tc>
        <w:tc>
          <w:tcPr>
            <w:tcW w:w="1803" w:type="dxa"/>
            <w:tcBorders>
              <w:bottom w:val="single" w:sz="4" w:space="0" w:color="auto"/>
            </w:tcBorders>
            <w:vAlign w:val="center"/>
          </w:tcPr>
          <w:p w14:paraId="6EC1D069" w14:textId="77777777" w:rsidR="00643923" w:rsidRPr="00617A89" w:rsidRDefault="00643923"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Medium-term</w:t>
            </w:r>
          </w:p>
          <w:p w14:paraId="1C6531F9" w14:textId="77777777" w:rsidR="00643923" w:rsidRPr="00617A89" w:rsidRDefault="00643923"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(2025)</w:t>
            </w:r>
          </w:p>
        </w:tc>
        <w:tc>
          <w:tcPr>
            <w:tcW w:w="1803" w:type="dxa"/>
            <w:tcBorders>
              <w:bottom w:val="single" w:sz="4" w:space="0" w:color="auto"/>
            </w:tcBorders>
            <w:vAlign w:val="center"/>
          </w:tcPr>
          <w:p w14:paraId="713AF199" w14:textId="77777777" w:rsidR="00643923" w:rsidRPr="00617A89" w:rsidRDefault="00643923"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Short-term</w:t>
            </w:r>
          </w:p>
          <w:p w14:paraId="7D537A1B" w14:textId="77777777" w:rsidR="00643923" w:rsidRPr="00617A89" w:rsidRDefault="00643923"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(2022)</w:t>
            </w:r>
          </w:p>
        </w:tc>
        <w:tc>
          <w:tcPr>
            <w:tcW w:w="1804" w:type="dxa"/>
            <w:tcBorders>
              <w:bottom w:val="single" w:sz="4" w:space="0" w:color="auto"/>
            </w:tcBorders>
            <w:vAlign w:val="center"/>
          </w:tcPr>
          <w:p w14:paraId="06806402" w14:textId="77777777" w:rsidR="00643923" w:rsidRPr="00617A89" w:rsidRDefault="00643923"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Medium-term</w:t>
            </w:r>
          </w:p>
          <w:p w14:paraId="0689607F" w14:textId="77777777" w:rsidR="00643923" w:rsidRPr="00617A89" w:rsidRDefault="00643923" w:rsidP="00E37470">
            <w:pPr>
              <w:jc w:val="center"/>
              <w:rPr>
                <w:rFonts w:cs="Arial"/>
                <w:b/>
                <w:bCs/>
                <w:color w:val="000000" w:themeColor="text1"/>
                <w:spacing w:val="-2"/>
                <w:sz w:val="18"/>
                <w:lang w:val="en-GB"/>
              </w:rPr>
            </w:pPr>
            <w:r w:rsidRPr="00617A89">
              <w:rPr>
                <w:rFonts w:cs="Arial"/>
                <w:b/>
                <w:bCs/>
                <w:color w:val="000000" w:themeColor="text1"/>
                <w:spacing w:val="-2"/>
                <w:sz w:val="18"/>
                <w:lang w:val="en-GB"/>
              </w:rPr>
              <w:t>(2025)</w:t>
            </w:r>
          </w:p>
        </w:tc>
      </w:tr>
      <w:tr w:rsidR="00C22852" w:rsidRPr="00617A89" w14:paraId="41D4B02E"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56B9E3C5"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Australian Catholic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3463E1DF" w14:textId="596AF52B"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97.7 (94.9, 99.0)</w:t>
            </w:r>
          </w:p>
        </w:tc>
        <w:tc>
          <w:tcPr>
            <w:tcW w:w="1803" w:type="dxa"/>
            <w:tcBorders>
              <w:top w:val="single" w:sz="4" w:space="0" w:color="auto"/>
              <w:left w:val="single" w:sz="4" w:space="0" w:color="auto"/>
              <w:bottom w:val="single" w:sz="4" w:space="0" w:color="auto"/>
              <w:right w:val="single" w:sz="4" w:space="0" w:color="auto"/>
            </w:tcBorders>
            <w:vAlign w:val="center"/>
          </w:tcPr>
          <w:p w14:paraId="76DCF1AA" w14:textId="2CD65B2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97.5 (94.5, 98.9)</w:t>
            </w:r>
          </w:p>
        </w:tc>
        <w:tc>
          <w:tcPr>
            <w:tcW w:w="1803" w:type="dxa"/>
            <w:tcBorders>
              <w:top w:val="single" w:sz="4" w:space="0" w:color="auto"/>
              <w:left w:val="single" w:sz="4" w:space="0" w:color="auto"/>
              <w:bottom w:val="single" w:sz="4" w:space="0" w:color="auto"/>
              <w:right w:val="single" w:sz="4" w:space="0" w:color="auto"/>
            </w:tcBorders>
            <w:vAlign w:val="center"/>
          </w:tcPr>
          <w:p w14:paraId="6BF59ACD" w14:textId="256C91B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91,300 (86,700, 95,900)</w:t>
            </w:r>
          </w:p>
        </w:tc>
        <w:tc>
          <w:tcPr>
            <w:tcW w:w="1804" w:type="dxa"/>
            <w:tcBorders>
              <w:top w:val="single" w:sz="4" w:space="0" w:color="auto"/>
              <w:left w:val="single" w:sz="4" w:space="0" w:color="auto"/>
              <w:bottom w:val="single" w:sz="4" w:space="0" w:color="auto"/>
              <w:right w:val="single" w:sz="4" w:space="0" w:color="auto"/>
            </w:tcBorders>
            <w:vAlign w:val="center"/>
          </w:tcPr>
          <w:p w14:paraId="7398A3E6" w14:textId="7C02FDA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118,000 (111,800, 124,200)</w:t>
            </w:r>
          </w:p>
        </w:tc>
      </w:tr>
      <w:tr w:rsidR="00C22852" w:rsidRPr="00617A89" w14:paraId="66B3BF16"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4C1C9EE9" w14:textId="5DFFD5B1"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rPr>
            </w:pPr>
            <w:r w:rsidRPr="00617A89">
              <w:rPr>
                <w:rFonts w:cs="Arial"/>
                <w:color w:val="000000" w:themeColor="text1"/>
                <w:sz w:val="18"/>
              </w:rPr>
              <w:t>Australian University of Theology</w:t>
            </w:r>
          </w:p>
        </w:tc>
        <w:tc>
          <w:tcPr>
            <w:tcW w:w="1803" w:type="dxa"/>
            <w:tcBorders>
              <w:top w:val="single" w:sz="4" w:space="0" w:color="auto"/>
              <w:left w:val="single" w:sz="4" w:space="0" w:color="auto"/>
              <w:bottom w:val="single" w:sz="4" w:space="0" w:color="auto"/>
              <w:right w:val="single" w:sz="4" w:space="0" w:color="auto"/>
            </w:tcBorders>
            <w:vAlign w:val="center"/>
          </w:tcPr>
          <w:p w14:paraId="010937AD" w14:textId="5A0A026C"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98.1 (91.7, 99.9)</w:t>
            </w:r>
          </w:p>
        </w:tc>
        <w:tc>
          <w:tcPr>
            <w:tcW w:w="1803" w:type="dxa"/>
            <w:tcBorders>
              <w:top w:val="single" w:sz="4" w:space="0" w:color="auto"/>
              <w:left w:val="single" w:sz="4" w:space="0" w:color="auto"/>
              <w:bottom w:val="single" w:sz="4" w:space="0" w:color="auto"/>
              <w:right w:val="single" w:sz="4" w:space="0" w:color="auto"/>
            </w:tcBorders>
            <w:vAlign w:val="center"/>
          </w:tcPr>
          <w:p w14:paraId="59A991F5" w14:textId="45471ACE"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92.6 (84.6, 96.5)</w:t>
            </w:r>
          </w:p>
        </w:tc>
        <w:tc>
          <w:tcPr>
            <w:tcW w:w="1803" w:type="dxa"/>
            <w:tcBorders>
              <w:top w:val="single" w:sz="4" w:space="0" w:color="auto"/>
              <w:left w:val="single" w:sz="4" w:space="0" w:color="auto"/>
              <w:bottom w:val="single" w:sz="4" w:space="0" w:color="auto"/>
              <w:right w:val="single" w:sz="4" w:space="0" w:color="auto"/>
            </w:tcBorders>
            <w:vAlign w:val="center"/>
          </w:tcPr>
          <w:p w14:paraId="595140FD" w14:textId="3E3F23A8"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71,000 (64,800, 77,200)</w:t>
            </w:r>
          </w:p>
        </w:tc>
        <w:tc>
          <w:tcPr>
            <w:tcW w:w="1804" w:type="dxa"/>
            <w:tcBorders>
              <w:top w:val="single" w:sz="4" w:space="0" w:color="auto"/>
              <w:left w:val="single" w:sz="4" w:space="0" w:color="auto"/>
              <w:bottom w:val="single" w:sz="4" w:space="0" w:color="auto"/>
              <w:right w:val="single" w:sz="4" w:space="0" w:color="auto"/>
            </w:tcBorders>
            <w:vAlign w:val="center"/>
          </w:tcPr>
          <w:p w14:paraId="1D371F2D" w14:textId="61C2BAAD"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80,000 (69,400, 90,600)</w:t>
            </w:r>
          </w:p>
        </w:tc>
      </w:tr>
      <w:tr w:rsidR="00C22852" w:rsidRPr="00617A89" w14:paraId="7DB681EF"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1777B7D8"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Avondale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66D498DB" w14:textId="0680751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803" w:type="dxa"/>
            <w:tcBorders>
              <w:top w:val="single" w:sz="4" w:space="0" w:color="auto"/>
              <w:left w:val="single" w:sz="4" w:space="0" w:color="auto"/>
              <w:bottom w:val="single" w:sz="4" w:space="0" w:color="auto"/>
              <w:right w:val="single" w:sz="4" w:space="0" w:color="auto"/>
            </w:tcBorders>
            <w:vAlign w:val="center"/>
          </w:tcPr>
          <w:p w14:paraId="04F8FD07" w14:textId="09189899"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803" w:type="dxa"/>
            <w:tcBorders>
              <w:top w:val="single" w:sz="4" w:space="0" w:color="auto"/>
              <w:left w:val="single" w:sz="4" w:space="0" w:color="auto"/>
              <w:bottom w:val="single" w:sz="4" w:space="0" w:color="auto"/>
              <w:right w:val="single" w:sz="4" w:space="0" w:color="auto"/>
            </w:tcBorders>
            <w:vAlign w:val="center"/>
          </w:tcPr>
          <w:p w14:paraId="5F0FA57F" w14:textId="0FA2E3A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804" w:type="dxa"/>
            <w:tcBorders>
              <w:top w:val="single" w:sz="4" w:space="0" w:color="auto"/>
              <w:left w:val="single" w:sz="4" w:space="0" w:color="auto"/>
              <w:bottom w:val="single" w:sz="4" w:space="0" w:color="auto"/>
              <w:right w:val="single" w:sz="4" w:space="0" w:color="auto"/>
            </w:tcBorders>
            <w:vAlign w:val="center"/>
          </w:tcPr>
          <w:p w14:paraId="764CDC90" w14:textId="770333E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n/a</w:t>
            </w:r>
          </w:p>
        </w:tc>
      </w:tr>
      <w:tr w:rsidR="00C22852" w:rsidRPr="00617A89" w14:paraId="38E3AD65"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5DA3B751"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Bond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6CBC8440" w14:textId="2198EBB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86.0 (75.5, 92.3)</w:t>
            </w:r>
          </w:p>
        </w:tc>
        <w:tc>
          <w:tcPr>
            <w:tcW w:w="1803" w:type="dxa"/>
            <w:tcBorders>
              <w:top w:val="single" w:sz="4" w:space="0" w:color="auto"/>
              <w:left w:val="single" w:sz="4" w:space="0" w:color="auto"/>
              <w:bottom w:val="single" w:sz="4" w:space="0" w:color="auto"/>
              <w:right w:val="single" w:sz="4" w:space="0" w:color="auto"/>
            </w:tcBorders>
            <w:vAlign w:val="center"/>
          </w:tcPr>
          <w:p w14:paraId="172A85B0" w14:textId="36AB8989"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91.5 (82.5, 96.0)</w:t>
            </w:r>
          </w:p>
        </w:tc>
        <w:tc>
          <w:tcPr>
            <w:tcW w:w="1803" w:type="dxa"/>
            <w:tcBorders>
              <w:top w:val="single" w:sz="4" w:space="0" w:color="auto"/>
              <w:left w:val="single" w:sz="4" w:space="0" w:color="auto"/>
              <w:bottom w:val="single" w:sz="4" w:space="0" w:color="auto"/>
              <w:right w:val="single" w:sz="4" w:space="0" w:color="auto"/>
            </w:tcBorders>
            <w:vAlign w:val="center"/>
          </w:tcPr>
          <w:p w14:paraId="55575CEB" w14:textId="6DC81D2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n/a</w:t>
            </w:r>
          </w:p>
        </w:tc>
        <w:tc>
          <w:tcPr>
            <w:tcW w:w="1804" w:type="dxa"/>
            <w:tcBorders>
              <w:top w:val="single" w:sz="4" w:space="0" w:color="auto"/>
              <w:left w:val="single" w:sz="4" w:space="0" w:color="auto"/>
              <w:bottom w:val="single" w:sz="4" w:space="0" w:color="auto"/>
              <w:right w:val="single" w:sz="4" w:space="0" w:color="auto"/>
            </w:tcBorders>
            <w:vAlign w:val="center"/>
          </w:tcPr>
          <w:p w14:paraId="46294909" w14:textId="6280715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111,000 (91,600, 130,400)</w:t>
            </w:r>
          </w:p>
        </w:tc>
      </w:tr>
      <w:tr w:rsidR="00C22852" w:rsidRPr="00617A89" w14:paraId="2911A851"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117FCE57"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Central Queensland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6F1BA07E" w14:textId="040A08E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88.1 (83.0, 91.6)</w:t>
            </w:r>
          </w:p>
        </w:tc>
        <w:tc>
          <w:tcPr>
            <w:tcW w:w="1803" w:type="dxa"/>
            <w:tcBorders>
              <w:top w:val="single" w:sz="4" w:space="0" w:color="auto"/>
              <w:left w:val="single" w:sz="4" w:space="0" w:color="auto"/>
              <w:bottom w:val="single" w:sz="4" w:space="0" w:color="auto"/>
              <w:right w:val="single" w:sz="4" w:space="0" w:color="auto"/>
            </w:tcBorders>
            <w:vAlign w:val="center"/>
          </w:tcPr>
          <w:p w14:paraId="11E8E728" w14:textId="75ACDB36"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95.0 (90.8, 97.2)</w:t>
            </w:r>
          </w:p>
        </w:tc>
        <w:tc>
          <w:tcPr>
            <w:tcW w:w="1803" w:type="dxa"/>
            <w:tcBorders>
              <w:top w:val="single" w:sz="4" w:space="0" w:color="auto"/>
              <w:left w:val="single" w:sz="4" w:space="0" w:color="auto"/>
              <w:bottom w:val="single" w:sz="4" w:space="0" w:color="auto"/>
              <w:right w:val="single" w:sz="4" w:space="0" w:color="auto"/>
            </w:tcBorders>
            <w:vAlign w:val="center"/>
          </w:tcPr>
          <w:p w14:paraId="114D772E" w14:textId="19EBC57E"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94,000 (87,100, 100,900)</w:t>
            </w:r>
          </w:p>
        </w:tc>
        <w:tc>
          <w:tcPr>
            <w:tcW w:w="1804" w:type="dxa"/>
            <w:tcBorders>
              <w:top w:val="single" w:sz="4" w:space="0" w:color="auto"/>
              <w:left w:val="single" w:sz="4" w:space="0" w:color="auto"/>
              <w:bottom w:val="single" w:sz="4" w:space="0" w:color="auto"/>
              <w:right w:val="single" w:sz="4" w:space="0" w:color="auto"/>
            </w:tcBorders>
            <w:vAlign w:val="center"/>
          </w:tcPr>
          <w:p w14:paraId="69F9A3E6" w14:textId="47168F4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119,000 (112,500, 125,500)</w:t>
            </w:r>
          </w:p>
        </w:tc>
      </w:tr>
      <w:tr w:rsidR="00C22852" w:rsidRPr="00617A89" w14:paraId="2F6CE3EA"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2572E546"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Charles Darwin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43D26A99" w14:textId="5DAEA38B"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89.4 (81.8, 93.9)</w:t>
            </w:r>
          </w:p>
        </w:tc>
        <w:tc>
          <w:tcPr>
            <w:tcW w:w="1803" w:type="dxa"/>
            <w:tcBorders>
              <w:top w:val="single" w:sz="4" w:space="0" w:color="auto"/>
              <w:left w:val="single" w:sz="4" w:space="0" w:color="auto"/>
              <w:bottom w:val="single" w:sz="4" w:space="0" w:color="auto"/>
              <w:right w:val="single" w:sz="4" w:space="0" w:color="auto"/>
            </w:tcBorders>
            <w:vAlign w:val="center"/>
          </w:tcPr>
          <w:p w14:paraId="7A5043F3" w14:textId="074D2E06"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94.9 (87.9, 98.0)</w:t>
            </w:r>
          </w:p>
        </w:tc>
        <w:tc>
          <w:tcPr>
            <w:tcW w:w="1803" w:type="dxa"/>
            <w:tcBorders>
              <w:top w:val="single" w:sz="4" w:space="0" w:color="auto"/>
              <w:left w:val="single" w:sz="4" w:space="0" w:color="auto"/>
              <w:bottom w:val="single" w:sz="4" w:space="0" w:color="auto"/>
              <w:right w:val="single" w:sz="4" w:space="0" w:color="auto"/>
            </w:tcBorders>
            <w:vAlign w:val="center"/>
          </w:tcPr>
          <w:p w14:paraId="1692BCBB" w14:textId="7BED27D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90,000 (82,100, 97,900)</w:t>
            </w:r>
          </w:p>
        </w:tc>
        <w:tc>
          <w:tcPr>
            <w:tcW w:w="1804" w:type="dxa"/>
            <w:tcBorders>
              <w:top w:val="single" w:sz="4" w:space="0" w:color="auto"/>
              <w:left w:val="single" w:sz="4" w:space="0" w:color="auto"/>
              <w:bottom w:val="single" w:sz="4" w:space="0" w:color="auto"/>
              <w:right w:val="single" w:sz="4" w:space="0" w:color="auto"/>
            </w:tcBorders>
            <w:vAlign w:val="center"/>
          </w:tcPr>
          <w:p w14:paraId="575693B1" w14:textId="331FB80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119,900 (111,400, 128,300)</w:t>
            </w:r>
          </w:p>
        </w:tc>
      </w:tr>
      <w:tr w:rsidR="00C22852" w:rsidRPr="00617A89" w14:paraId="74BD5769"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7F705016"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Charles Sturt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12BD5228" w14:textId="3213B859"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90.4 (88.1, 92.2)</w:t>
            </w:r>
          </w:p>
        </w:tc>
        <w:tc>
          <w:tcPr>
            <w:tcW w:w="1803" w:type="dxa"/>
            <w:tcBorders>
              <w:top w:val="single" w:sz="4" w:space="0" w:color="auto"/>
              <w:left w:val="single" w:sz="4" w:space="0" w:color="auto"/>
              <w:bottom w:val="single" w:sz="4" w:space="0" w:color="auto"/>
              <w:right w:val="single" w:sz="4" w:space="0" w:color="auto"/>
            </w:tcBorders>
            <w:vAlign w:val="center"/>
          </w:tcPr>
          <w:p w14:paraId="04058D3F" w14:textId="79254F5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95.2 (93.4, 96.4)</w:t>
            </w:r>
          </w:p>
        </w:tc>
        <w:tc>
          <w:tcPr>
            <w:tcW w:w="1803" w:type="dxa"/>
            <w:tcBorders>
              <w:top w:val="single" w:sz="4" w:space="0" w:color="auto"/>
              <w:left w:val="single" w:sz="4" w:space="0" w:color="auto"/>
              <w:bottom w:val="single" w:sz="4" w:space="0" w:color="auto"/>
              <w:right w:val="single" w:sz="4" w:space="0" w:color="auto"/>
            </w:tcBorders>
            <w:vAlign w:val="center"/>
          </w:tcPr>
          <w:p w14:paraId="2D71874C" w14:textId="7AE9ACD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100,000 (95,900, 104,100)</w:t>
            </w:r>
          </w:p>
        </w:tc>
        <w:tc>
          <w:tcPr>
            <w:tcW w:w="1804" w:type="dxa"/>
            <w:tcBorders>
              <w:top w:val="single" w:sz="4" w:space="0" w:color="auto"/>
              <w:left w:val="single" w:sz="4" w:space="0" w:color="auto"/>
              <w:bottom w:val="single" w:sz="4" w:space="0" w:color="auto"/>
              <w:right w:val="single" w:sz="4" w:space="0" w:color="auto"/>
            </w:tcBorders>
            <w:vAlign w:val="center"/>
          </w:tcPr>
          <w:p w14:paraId="4374D933" w14:textId="686AA159"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119,100 (115,000, 123,200)</w:t>
            </w:r>
          </w:p>
        </w:tc>
      </w:tr>
      <w:tr w:rsidR="00C22852" w:rsidRPr="00617A89" w14:paraId="18B9FBA1"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1ECF47D7"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Curtin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1103BDC7" w14:textId="7D1212E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90.2 (86.5, 92.9)</w:t>
            </w:r>
          </w:p>
        </w:tc>
        <w:tc>
          <w:tcPr>
            <w:tcW w:w="1803" w:type="dxa"/>
            <w:tcBorders>
              <w:top w:val="single" w:sz="4" w:space="0" w:color="auto"/>
              <w:left w:val="single" w:sz="4" w:space="0" w:color="auto"/>
              <w:bottom w:val="single" w:sz="4" w:space="0" w:color="auto"/>
              <w:right w:val="single" w:sz="4" w:space="0" w:color="auto"/>
            </w:tcBorders>
            <w:vAlign w:val="center"/>
          </w:tcPr>
          <w:p w14:paraId="57943762" w14:textId="3A494FD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96.6 (93.8, 98.0)</w:t>
            </w:r>
          </w:p>
        </w:tc>
        <w:tc>
          <w:tcPr>
            <w:tcW w:w="1803" w:type="dxa"/>
            <w:tcBorders>
              <w:top w:val="single" w:sz="4" w:space="0" w:color="auto"/>
              <w:left w:val="single" w:sz="4" w:space="0" w:color="auto"/>
              <w:bottom w:val="single" w:sz="4" w:space="0" w:color="auto"/>
              <w:right w:val="single" w:sz="4" w:space="0" w:color="auto"/>
            </w:tcBorders>
            <w:vAlign w:val="center"/>
          </w:tcPr>
          <w:p w14:paraId="475147FA" w14:textId="331238FE"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80,000 (75,100, 84,900)</w:t>
            </w:r>
          </w:p>
        </w:tc>
        <w:tc>
          <w:tcPr>
            <w:tcW w:w="1804" w:type="dxa"/>
            <w:tcBorders>
              <w:top w:val="single" w:sz="4" w:space="0" w:color="auto"/>
              <w:left w:val="single" w:sz="4" w:space="0" w:color="auto"/>
              <w:bottom w:val="single" w:sz="4" w:space="0" w:color="auto"/>
              <w:right w:val="single" w:sz="4" w:space="0" w:color="auto"/>
            </w:tcBorders>
            <w:vAlign w:val="center"/>
          </w:tcPr>
          <w:p w14:paraId="6C807FF6" w14:textId="1A6B82B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104,000 (100,000, 108,000)</w:t>
            </w:r>
          </w:p>
        </w:tc>
      </w:tr>
      <w:tr w:rsidR="00C22852" w:rsidRPr="00617A89" w14:paraId="328C69AA"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31F6FB53"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Deakin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6B145C97" w14:textId="0AC33E5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87.9 (86.1, 89.4)</w:t>
            </w:r>
          </w:p>
        </w:tc>
        <w:tc>
          <w:tcPr>
            <w:tcW w:w="1803" w:type="dxa"/>
            <w:tcBorders>
              <w:top w:val="single" w:sz="4" w:space="0" w:color="auto"/>
              <w:left w:val="single" w:sz="4" w:space="0" w:color="auto"/>
              <w:bottom w:val="single" w:sz="4" w:space="0" w:color="auto"/>
              <w:right w:val="single" w:sz="4" w:space="0" w:color="auto"/>
            </w:tcBorders>
            <w:vAlign w:val="center"/>
          </w:tcPr>
          <w:p w14:paraId="07310AF7" w14:textId="261EEA2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94.5 (93.2, 95.6)</w:t>
            </w:r>
          </w:p>
        </w:tc>
        <w:tc>
          <w:tcPr>
            <w:tcW w:w="1803" w:type="dxa"/>
            <w:tcBorders>
              <w:top w:val="single" w:sz="4" w:space="0" w:color="auto"/>
              <w:left w:val="single" w:sz="4" w:space="0" w:color="auto"/>
              <w:bottom w:val="single" w:sz="4" w:space="0" w:color="auto"/>
              <w:right w:val="single" w:sz="4" w:space="0" w:color="auto"/>
            </w:tcBorders>
            <w:vAlign w:val="center"/>
          </w:tcPr>
          <w:p w14:paraId="2B7C2B96" w14:textId="2A62A35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93,100 (89,100, 97,000)</w:t>
            </w:r>
          </w:p>
        </w:tc>
        <w:tc>
          <w:tcPr>
            <w:tcW w:w="1804" w:type="dxa"/>
            <w:tcBorders>
              <w:top w:val="single" w:sz="4" w:space="0" w:color="auto"/>
              <w:left w:val="single" w:sz="4" w:space="0" w:color="auto"/>
              <w:bottom w:val="single" w:sz="4" w:space="0" w:color="auto"/>
              <w:right w:val="single" w:sz="4" w:space="0" w:color="auto"/>
            </w:tcBorders>
            <w:vAlign w:val="center"/>
          </w:tcPr>
          <w:p w14:paraId="16BB828F" w14:textId="750FB78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113,000 (109,400, 116,600)</w:t>
            </w:r>
          </w:p>
        </w:tc>
      </w:tr>
      <w:tr w:rsidR="00C22852" w:rsidRPr="00617A89" w14:paraId="364BC990"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4FBE5DB2"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Edith Cowan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551D65AE" w14:textId="661F8C9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89.2 (85.6, 91.8)</w:t>
            </w:r>
          </w:p>
        </w:tc>
        <w:tc>
          <w:tcPr>
            <w:tcW w:w="1803" w:type="dxa"/>
            <w:tcBorders>
              <w:top w:val="single" w:sz="4" w:space="0" w:color="auto"/>
              <w:left w:val="single" w:sz="4" w:space="0" w:color="auto"/>
              <w:bottom w:val="single" w:sz="4" w:space="0" w:color="auto"/>
              <w:right w:val="single" w:sz="4" w:space="0" w:color="auto"/>
            </w:tcBorders>
            <w:vAlign w:val="center"/>
          </w:tcPr>
          <w:p w14:paraId="63D2B341" w14:textId="74FC3F79"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95.8 (93.3, 97.3)</w:t>
            </w:r>
          </w:p>
        </w:tc>
        <w:tc>
          <w:tcPr>
            <w:tcW w:w="1803" w:type="dxa"/>
            <w:tcBorders>
              <w:top w:val="single" w:sz="4" w:space="0" w:color="auto"/>
              <w:left w:val="single" w:sz="4" w:space="0" w:color="auto"/>
              <w:bottom w:val="single" w:sz="4" w:space="0" w:color="auto"/>
              <w:right w:val="single" w:sz="4" w:space="0" w:color="auto"/>
            </w:tcBorders>
            <w:vAlign w:val="center"/>
          </w:tcPr>
          <w:p w14:paraId="496C4D23" w14:textId="4219937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98,200 (92,300, 104,100)</w:t>
            </w:r>
          </w:p>
        </w:tc>
        <w:tc>
          <w:tcPr>
            <w:tcW w:w="1804" w:type="dxa"/>
            <w:tcBorders>
              <w:top w:val="single" w:sz="4" w:space="0" w:color="auto"/>
              <w:left w:val="single" w:sz="4" w:space="0" w:color="auto"/>
              <w:bottom w:val="single" w:sz="4" w:space="0" w:color="auto"/>
              <w:right w:val="single" w:sz="4" w:space="0" w:color="auto"/>
            </w:tcBorders>
            <w:vAlign w:val="center"/>
          </w:tcPr>
          <w:p w14:paraId="30CCA7BD" w14:textId="340203D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117,300 (111,600, 123,100)</w:t>
            </w:r>
          </w:p>
        </w:tc>
      </w:tr>
      <w:tr w:rsidR="00C22852" w:rsidRPr="00617A89" w14:paraId="49925587"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1480733B"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Federation University Australia</w:t>
            </w:r>
          </w:p>
        </w:tc>
        <w:tc>
          <w:tcPr>
            <w:tcW w:w="1803" w:type="dxa"/>
            <w:tcBorders>
              <w:top w:val="single" w:sz="4" w:space="0" w:color="auto"/>
              <w:left w:val="single" w:sz="4" w:space="0" w:color="auto"/>
              <w:bottom w:val="single" w:sz="4" w:space="0" w:color="auto"/>
              <w:right w:val="single" w:sz="4" w:space="0" w:color="auto"/>
            </w:tcBorders>
            <w:vAlign w:val="center"/>
          </w:tcPr>
          <w:p w14:paraId="1ED150B6" w14:textId="67CC546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90.0 (83.2, 93.9)</w:t>
            </w:r>
          </w:p>
        </w:tc>
        <w:tc>
          <w:tcPr>
            <w:tcW w:w="1803" w:type="dxa"/>
            <w:tcBorders>
              <w:top w:val="single" w:sz="4" w:space="0" w:color="auto"/>
              <w:left w:val="single" w:sz="4" w:space="0" w:color="auto"/>
              <w:bottom w:val="single" w:sz="4" w:space="0" w:color="auto"/>
              <w:right w:val="single" w:sz="4" w:space="0" w:color="auto"/>
            </w:tcBorders>
            <w:vAlign w:val="center"/>
          </w:tcPr>
          <w:p w14:paraId="5F122B62" w14:textId="09E0202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95.6 (89.7, 98.0)</w:t>
            </w:r>
          </w:p>
        </w:tc>
        <w:tc>
          <w:tcPr>
            <w:tcW w:w="1803" w:type="dxa"/>
            <w:tcBorders>
              <w:top w:val="single" w:sz="4" w:space="0" w:color="auto"/>
              <w:left w:val="single" w:sz="4" w:space="0" w:color="auto"/>
              <w:bottom w:val="single" w:sz="4" w:space="0" w:color="auto"/>
              <w:right w:val="single" w:sz="4" w:space="0" w:color="auto"/>
            </w:tcBorders>
            <w:vAlign w:val="center"/>
          </w:tcPr>
          <w:p w14:paraId="3287D9E8" w14:textId="10425745"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92,900 (84,900, 100,800)</w:t>
            </w:r>
          </w:p>
        </w:tc>
        <w:tc>
          <w:tcPr>
            <w:tcW w:w="1804" w:type="dxa"/>
            <w:tcBorders>
              <w:top w:val="single" w:sz="4" w:space="0" w:color="auto"/>
              <w:left w:val="single" w:sz="4" w:space="0" w:color="auto"/>
              <w:bottom w:val="single" w:sz="4" w:space="0" w:color="auto"/>
              <w:right w:val="single" w:sz="4" w:space="0" w:color="auto"/>
            </w:tcBorders>
            <w:vAlign w:val="center"/>
          </w:tcPr>
          <w:p w14:paraId="6C45B735" w14:textId="2A4C88E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109,000 (100,800, 117,200)</w:t>
            </w:r>
          </w:p>
        </w:tc>
      </w:tr>
      <w:tr w:rsidR="00C22852" w:rsidRPr="00617A89" w14:paraId="389C1AAF"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0DE7FDD4"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Flinders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18016311" w14:textId="491987E6"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89.6 (86.1, 92.2)</w:t>
            </w:r>
          </w:p>
        </w:tc>
        <w:tc>
          <w:tcPr>
            <w:tcW w:w="1803" w:type="dxa"/>
            <w:tcBorders>
              <w:top w:val="single" w:sz="4" w:space="0" w:color="auto"/>
              <w:left w:val="single" w:sz="4" w:space="0" w:color="auto"/>
              <w:bottom w:val="single" w:sz="4" w:space="0" w:color="auto"/>
              <w:right w:val="single" w:sz="4" w:space="0" w:color="auto"/>
            </w:tcBorders>
            <w:vAlign w:val="center"/>
          </w:tcPr>
          <w:p w14:paraId="08424DBC" w14:textId="7078C403"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96.4 (93.9, 97.9)</w:t>
            </w:r>
          </w:p>
        </w:tc>
        <w:tc>
          <w:tcPr>
            <w:tcW w:w="1803" w:type="dxa"/>
            <w:tcBorders>
              <w:top w:val="single" w:sz="4" w:space="0" w:color="auto"/>
              <w:left w:val="single" w:sz="4" w:space="0" w:color="auto"/>
              <w:bottom w:val="single" w:sz="4" w:space="0" w:color="auto"/>
              <w:right w:val="single" w:sz="4" w:space="0" w:color="auto"/>
            </w:tcBorders>
            <w:vAlign w:val="center"/>
          </w:tcPr>
          <w:p w14:paraId="6A7B2751" w14:textId="3A8E702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90,000 (86,800, 93,200)</w:t>
            </w:r>
          </w:p>
        </w:tc>
        <w:tc>
          <w:tcPr>
            <w:tcW w:w="1804" w:type="dxa"/>
            <w:tcBorders>
              <w:top w:val="single" w:sz="4" w:space="0" w:color="auto"/>
              <w:left w:val="single" w:sz="4" w:space="0" w:color="auto"/>
              <w:bottom w:val="single" w:sz="4" w:space="0" w:color="auto"/>
              <w:right w:val="single" w:sz="4" w:space="0" w:color="auto"/>
            </w:tcBorders>
            <w:vAlign w:val="center"/>
          </w:tcPr>
          <w:p w14:paraId="4C461B8F" w14:textId="00C7A9CB"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108,000 (104,300, 111,700)</w:t>
            </w:r>
          </w:p>
        </w:tc>
      </w:tr>
      <w:tr w:rsidR="00C22852" w:rsidRPr="00617A89" w14:paraId="108836F4"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57B88E54"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Griffith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5E3915CA" w14:textId="286BCE6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89.4 (86.7, 91.5)</w:t>
            </w:r>
          </w:p>
        </w:tc>
        <w:tc>
          <w:tcPr>
            <w:tcW w:w="1803" w:type="dxa"/>
            <w:tcBorders>
              <w:top w:val="single" w:sz="4" w:space="0" w:color="auto"/>
              <w:left w:val="single" w:sz="4" w:space="0" w:color="auto"/>
              <w:bottom w:val="single" w:sz="4" w:space="0" w:color="auto"/>
              <w:right w:val="single" w:sz="4" w:space="0" w:color="auto"/>
            </w:tcBorders>
            <w:vAlign w:val="center"/>
          </w:tcPr>
          <w:p w14:paraId="4F05C817" w14:textId="7BC508CE"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95.6 (93.6, 96.9)</w:t>
            </w:r>
          </w:p>
        </w:tc>
        <w:tc>
          <w:tcPr>
            <w:tcW w:w="1803" w:type="dxa"/>
            <w:tcBorders>
              <w:top w:val="single" w:sz="4" w:space="0" w:color="auto"/>
              <w:left w:val="single" w:sz="4" w:space="0" w:color="auto"/>
              <w:bottom w:val="single" w:sz="4" w:space="0" w:color="auto"/>
              <w:right w:val="single" w:sz="4" w:space="0" w:color="auto"/>
            </w:tcBorders>
            <w:vAlign w:val="center"/>
          </w:tcPr>
          <w:p w14:paraId="62AAFD25" w14:textId="0AAD83A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88,400 (84,100, 92,600)</w:t>
            </w:r>
          </w:p>
        </w:tc>
        <w:tc>
          <w:tcPr>
            <w:tcW w:w="1804" w:type="dxa"/>
            <w:tcBorders>
              <w:top w:val="single" w:sz="4" w:space="0" w:color="auto"/>
              <w:left w:val="single" w:sz="4" w:space="0" w:color="auto"/>
              <w:bottom w:val="single" w:sz="4" w:space="0" w:color="auto"/>
              <w:right w:val="single" w:sz="4" w:space="0" w:color="auto"/>
            </w:tcBorders>
            <w:vAlign w:val="center"/>
          </w:tcPr>
          <w:p w14:paraId="27F581FB" w14:textId="2B163CC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115,500 (110,000, 121,000)</w:t>
            </w:r>
          </w:p>
        </w:tc>
      </w:tr>
      <w:tr w:rsidR="00C22852" w:rsidRPr="00617A89" w14:paraId="5FAF9ED3"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54B0EE07"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James Cook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22A87602" w14:textId="00F5022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89.6 (85.6, 92.4)</w:t>
            </w:r>
          </w:p>
        </w:tc>
        <w:tc>
          <w:tcPr>
            <w:tcW w:w="1803" w:type="dxa"/>
            <w:tcBorders>
              <w:top w:val="single" w:sz="4" w:space="0" w:color="auto"/>
              <w:left w:val="single" w:sz="4" w:space="0" w:color="auto"/>
              <w:bottom w:val="single" w:sz="4" w:space="0" w:color="auto"/>
              <w:right w:val="single" w:sz="4" w:space="0" w:color="auto"/>
            </w:tcBorders>
            <w:vAlign w:val="center"/>
          </w:tcPr>
          <w:p w14:paraId="33C4010C" w14:textId="051E6EC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96.2 (93.2, 97.8)</w:t>
            </w:r>
          </w:p>
        </w:tc>
        <w:tc>
          <w:tcPr>
            <w:tcW w:w="1803" w:type="dxa"/>
            <w:tcBorders>
              <w:top w:val="single" w:sz="4" w:space="0" w:color="auto"/>
              <w:left w:val="single" w:sz="4" w:space="0" w:color="auto"/>
              <w:bottom w:val="single" w:sz="4" w:space="0" w:color="auto"/>
              <w:right w:val="single" w:sz="4" w:space="0" w:color="auto"/>
            </w:tcBorders>
            <w:vAlign w:val="center"/>
          </w:tcPr>
          <w:p w14:paraId="305CBEDD" w14:textId="06BF2FA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104,700 (97,100, 112,200)</w:t>
            </w:r>
          </w:p>
        </w:tc>
        <w:tc>
          <w:tcPr>
            <w:tcW w:w="1804" w:type="dxa"/>
            <w:tcBorders>
              <w:top w:val="single" w:sz="4" w:space="0" w:color="auto"/>
              <w:left w:val="single" w:sz="4" w:space="0" w:color="auto"/>
              <w:bottom w:val="single" w:sz="4" w:space="0" w:color="auto"/>
              <w:right w:val="single" w:sz="4" w:space="0" w:color="auto"/>
            </w:tcBorders>
            <w:vAlign w:val="center"/>
          </w:tcPr>
          <w:p w14:paraId="7C4AE13B" w14:textId="4312E785"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129,300 (123,100, 135,400)</w:t>
            </w:r>
          </w:p>
        </w:tc>
      </w:tr>
      <w:tr w:rsidR="00C22852" w:rsidRPr="00617A89" w14:paraId="77C20E40"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6F6CF15F"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La Trobe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4174B8DB" w14:textId="5353419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86.3 (81.6, 89.9)</w:t>
            </w:r>
          </w:p>
        </w:tc>
        <w:tc>
          <w:tcPr>
            <w:tcW w:w="1803" w:type="dxa"/>
            <w:tcBorders>
              <w:top w:val="single" w:sz="4" w:space="0" w:color="auto"/>
              <w:left w:val="single" w:sz="4" w:space="0" w:color="auto"/>
              <w:bottom w:val="single" w:sz="4" w:space="0" w:color="auto"/>
              <w:right w:val="single" w:sz="4" w:space="0" w:color="auto"/>
            </w:tcBorders>
            <w:vAlign w:val="center"/>
          </w:tcPr>
          <w:p w14:paraId="35E48067" w14:textId="6130C82B"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96.7 (93.4, 98.4)</w:t>
            </w:r>
          </w:p>
        </w:tc>
        <w:tc>
          <w:tcPr>
            <w:tcW w:w="1803" w:type="dxa"/>
            <w:tcBorders>
              <w:top w:val="single" w:sz="4" w:space="0" w:color="auto"/>
              <w:left w:val="single" w:sz="4" w:space="0" w:color="auto"/>
              <w:bottom w:val="single" w:sz="4" w:space="0" w:color="auto"/>
              <w:right w:val="single" w:sz="4" w:space="0" w:color="auto"/>
            </w:tcBorders>
            <w:vAlign w:val="center"/>
          </w:tcPr>
          <w:p w14:paraId="275B7A56" w14:textId="2DB3DE1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83,000 (75,000, 91,000)</w:t>
            </w:r>
          </w:p>
        </w:tc>
        <w:tc>
          <w:tcPr>
            <w:tcW w:w="1804" w:type="dxa"/>
            <w:tcBorders>
              <w:top w:val="single" w:sz="4" w:space="0" w:color="auto"/>
              <w:left w:val="single" w:sz="4" w:space="0" w:color="auto"/>
              <w:bottom w:val="single" w:sz="4" w:space="0" w:color="auto"/>
              <w:right w:val="single" w:sz="4" w:space="0" w:color="auto"/>
            </w:tcBorders>
            <w:vAlign w:val="center"/>
          </w:tcPr>
          <w:p w14:paraId="375FF836" w14:textId="05E7B4A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105,000 (99,700, 110,300)</w:t>
            </w:r>
          </w:p>
        </w:tc>
      </w:tr>
      <w:tr w:rsidR="00C22852" w:rsidRPr="00617A89" w14:paraId="79204252"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6AA996E6"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Macquarie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070ED3E5" w14:textId="7CB492D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86.3 (82.2, 89.4)</w:t>
            </w:r>
          </w:p>
        </w:tc>
        <w:tc>
          <w:tcPr>
            <w:tcW w:w="1803" w:type="dxa"/>
            <w:tcBorders>
              <w:top w:val="single" w:sz="4" w:space="0" w:color="auto"/>
              <w:left w:val="single" w:sz="4" w:space="0" w:color="auto"/>
              <w:bottom w:val="single" w:sz="4" w:space="0" w:color="auto"/>
              <w:right w:val="single" w:sz="4" w:space="0" w:color="auto"/>
            </w:tcBorders>
            <w:vAlign w:val="center"/>
          </w:tcPr>
          <w:p w14:paraId="5EE39F9A" w14:textId="1AD0B68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96.4 (93.6, 97.9)</w:t>
            </w:r>
          </w:p>
        </w:tc>
        <w:tc>
          <w:tcPr>
            <w:tcW w:w="1803" w:type="dxa"/>
            <w:tcBorders>
              <w:top w:val="single" w:sz="4" w:space="0" w:color="auto"/>
              <w:left w:val="single" w:sz="4" w:space="0" w:color="auto"/>
              <w:bottom w:val="single" w:sz="4" w:space="0" w:color="auto"/>
              <w:right w:val="single" w:sz="4" w:space="0" w:color="auto"/>
            </w:tcBorders>
            <w:vAlign w:val="center"/>
          </w:tcPr>
          <w:p w14:paraId="7D9FFCBC" w14:textId="1533F7A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96,000 (88,900, 103,100)</w:t>
            </w:r>
          </w:p>
        </w:tc>
        <w:tc>
          <w:tcPr>
            <w:tcW w:w="1804" w:type="dxa"/>
            <w:tcBorders>
              <w:top w:val="single" w:sz="4" w:space="0" w:color="auto"/>
              <w:left w:val="single" w:sz="4" w:space="0" w:color="auto"/>
              <w:bottom w:val="single" w:sz="4" w:space="0" w:color="auto"/>
              <w:right w:val="single" w:sz="4" w:space="0" w:color="auto"/>
            </w:tcBorders>
            <w:vAlign w:val="center"/>
          </w:tcPr>
          <w:p w14:paraId="59FDCFF8" w14:textId="44D416B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121,300 (113,000, 129,500)</w:t>
            </w:r>
          </w:p>
        </w:tc>
      </w:tr>
      <w:tr w:rsidR="00C22852" w:rsidRPr="00617A89" w14:paraId="4482629C"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659D2CD6"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Monash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59CE010E" w14:textId="1964481C"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88.5 (86.4, 90.2)</w:t>
            </w:r>
          </w:p>
        </w:tc>
        <w:tc>
          <w:tcPr>
            <w:tcW w:w="1803" w:type="dxa"/>
            <w:tcBorders>
              <w:top w:val="single" w:sz="4" w:space="0" w:color="auto"/>
              <w:left w:val="single" w:sz="4" w:space="0" w:color="auto"/>
              <w:bottom w:val="single" w:sz="4" w:space="0" w:color="auto"/>
              <w:right w:val="single" w:sz="4" w:space="0" w:color="auto"/>
            </w:tcBorders>
            <w:vAlign w:val="center"/>
          </w:tcPr>
          <w:p w14:paraId="4F0B64D4" w14:textId="101ECD7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95.9 (94.5, 97.0)</w:t>
            </w:r>
          </w:p>
        </w:tc>
        <w:tc>
          <w:tcPr>
            <w:tcW w:w="1803" w:type="dxa"/>
            <w:tcBorders>
              <w:top w:val="single" w:sz="4" w:space="0" w:color="auto"/>
              <w:left w:val="single" w:sz="4" w:space="0" w:color="auto"/>
              <w:bottom w:val="single" w:sz="4" w:space="0" w:color="auto"/>
              <w:right w:val="single" w:sz="4" w:space="0" w:color="auto"/>
            </w:tcBorders>
            <w:vAlign w:val="center"/>
          </w:tcPr>
          <w:p w14:paraId="3148AE74" w14:textId="74FD503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90,000 (86,400, 93,600)</w:t>
            </w:r>
          </w:p>
        </w:tc>
        <w:tc>
          <w:tcPr>
            <w:tcW w:w="1804" w:type="dxa"/>
            <w:tcBorders>
              <w:top w:val="single" w:sz="4" w:space="0" w:color="auto"/>
              <w:left w:val="single" w:sz="4" w:space="0" w:color="auto"/>
              <w:bottom w:val="single" w:sz="4" w:space="0" w:color="auto"/>
              <w:right w:val="single" w:sz="4" w:space="0" w:color="auto"/>
            </w:tcBorders>
            <w:vAlign w:val="center"/>
          </w:tcPr>
          <w:p w14:paraId="1B23B924" w14:textId="28CCE5C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113,100 (109,200, 117,000)</w:t>
            </w:r>
          </w:p>
        </w:tc>
      </w:tr>
      <w:tr w:rsidR="00C22852" w:rsidRPr="00617A89" w14:paraId="16043F1C"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590DCDEA"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Murdoch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01A182A6" w14:textId="114C505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85.0 (78.7, 89.5)</w:t>
            </w:r>
          </w:p>
        </w:tc>
        <w:tc>
          <w:tcPr>
            <w:tcW w:w="1803" w:type="dxa"/>
            <w:tcBorders>
              <w:top w:val="single" w:sz="4" w:space="0" w:color="auto"/>
              <w:left w:val="single" w:sz="4" w:space="0" w:color="auto"/>
              <w:bottom w:val="single" w:sz="4" w:space="0" w:color="auto"/>
              <w:right w:val="single" w:sz="4" w:space="0" w:color="auto"/>
            </w:tcBorders>
            <w:vAlign w:val="center"/>
          </w:tcPr>
          <w:p w14:paraId="2C1DB85A" w14:textId="469D8745"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95.5 (90.5, 97.9)</w:t>
            </w:r>
          </w:p>
        </w:tc>
        <w:tc>
          <w:tcPr>
            <w:tcW w:w="1803" w:type="dxa"/>
            <w:tcBorders>
              <w:top w:val="single" w:sz="4" w:space="0" w:color="auto"/>
              <w:left w:val="single" w:sz="4" w:space="0" w:color="auto"/>
              <w:bottom w:val="single" w:sz="4" w:space="0" w:color="auto"/>
              <w:right w:val="single" w:sz="4" w:space="0" w:color="auto"/>
            </w:tcBorders>
            <w:vAlign w:val="center"/>
          </w:tcPr>
          <w:p w14:paraId="37B585AE" w14:textId="02ECE50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80,400 (75,800, 85,100)</w:t>
            </w:r>
          </w:p>
        </w:tc>
        <w:tc>
          <w:tcPr>
            <w:tcW w:w="1804" w:type="dxa"/>
            <w:tcBorders>
              <w:top w:val="single" w:sz="4" w:space="0" w:color="auto"/>
              <w:left w:val="single" w:sz="4" w:space="0" w:color="auto"/>
              <w:bottom w:val="single" w:sz="4" w:space="0" w:color="auto"/>
              <w:right w:val="single" w:sz="4" w:space="0" w:color="auto"/>
            </w:tcBorders>
            <w:vAlign w:val="center"/>
          </w:tcPr>
          <w:p w14:paraId="36FCA9A0" w14:textId="6FFF681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105,000 (97,100, 112,900)</w:t>
            </w:r>
          </w:p>
        </w:tc>
      </w:tr>
      <w:tr w:rsidR="00C22852" w:rsidRPr="00617A89" w14:paraId="5B667B0E"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3BF5E2CC"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Queensland University of Technology</w:t>
            </w:r>
          </w:p>
        </w:tc>
        <w:tc>
          <w:tcPr>
            <w:tcW w:w="1803" w:type="dxa"/>
            <w:tcBorders>
              <w:top w:val="single" w:sz="4" w:space="0" w:color="auto"/>
              <w:left w:val="single" w:sz="4" w:space="0" w:color="auto"/>
              <w:bottom w:val="single" w:sz="4" w:space="0" w:color="auto"/>
              <w:right w:val="single" w:sz="4" w:space="0" w:color="auto"/>
            </w:tcBorders>
            <w:vAlign w:val="center"/>
          </w:tcPr>
          <w:p w14:paraId="630A8CD7" w14:textId="1704EE8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91.6 (89.6, 93.2)</w:t>
            </w:r>
          </w:p>
        </w:tc>
        <w:tc>
          <w:tcPr>
            <w:tcW w:w="1803" w:type="dxa"/>
            <w:tcBorders>
              <w:top w:val="single" w:sz="4" w:space="0" w:color="auto"/>
              <w:left w:val="single" w:sz="4" w:space="0" w:color="auto"/>
              <w:bottom w:val="single" w:sz="4" w:space="0" w:color="auto"/>
              <w:right w:val="single" w:sz="4" w:space="0" w:color="auto"/>
            </w:tcBorders>
            <w:vAlign w:val="center"/>
          </w:tcPr>
          <w:p w14:paraId="26CA010E" w14:textId="72398CD5"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97.0 (95.6, 97.9)</w:t>
            </w:r>
          </w:p>
        </w:tc>
        <w:tc>
          <w:tcPr>
            <w:tcW w:w="1803" w:type="dxa"/>
            <w:tcBorders>
              <w:top w:val="single" w:sz="4" w:space="0" w:color="auto"/>
              <w:left w:val="single" w:sz="4" w:space="0" w:color="auto"/>
              <w:bottom w:val="single" w:sz="4" w:space="0" w:color="auto"/>
              <w:right w:val="single" w:sz="4" w:space="0" w:color="auto"/>
            </w:tcBorders>
            <w:vAlign w:val="center"/>
          </w:tcPr>
          <w:p w14:paraId="78BD83FF" w14:textId="31E313D9"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99,100 (94,700, 103,600)</w:t>
            </w:r>
          </w:p>
        </w:tc>
        <w:tc>
          <w:tcPr>
            <w:tcW w:w="1804" w:type="dxa"/>
            <w:tcBorders>
              <w:top w:val="single" w:sz="4" w:space="0" w:color="auto"/>
              <w:left w:val="single" w:sz="4" w:space="0" w:color="auto"/>
              <w:bottom w:val="single" w:sz="4" w:space="0" w:color="auto"/>
              <w:right w:val="single" w:sz="4" w:space="0" w:color="auto"/>
            </w:tcBorders>
            <w:vAlign w:val="center"/>
          </w:tcPr>
          <w:p w14:paraId="0B627671" w14:textId="6697728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120,000 (115,200, 124,800)</w:t>
            </w:r>
          </w:p>
        </w:tc>
      </w:tr>
      <w:tr w:rsidR="00C22852" w:rsidRPr="00617A89" w14:paraId="7B64FA15"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058BB629"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RMIT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5BD7EFDA" w14:textId="6CEE9D2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88.0 (85.4, 90.1)</w:t>
            </w:r>
          </w:p>
        </w:tc>
        <w:tc>
          <w:tcPr>
            <w:tcW w:w="1803" w:type="dxa"/>
            <w:tcBorders>
              <w:top w:val="single" w:sz="4" w:space="0" w:color="auto"/>
              <w:left w:val="single" w:sz="4" w:space="0" w:color="auto"/>
              <w:bottom w:val="single" w:sz="4" w:space="0" w:color="auto"/>
              <w:right w:val="single" w:sz="4" w:space="0" w:color="auto"/>
            </w:tcBorders>
            <w:vAlign w:val="center"/>
          </w:tcPr>
          <w:p w14:paraId="06195770" w14:textId="068188C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92.5 (90.3, 94.2)</w:t>
            </w:r>
          </w:p>
        </w:tc>
        <w:tc>
          <w:tcPr>
            <w:tcW w:w="1803" w:type="dxa"/>
            <w:tcBorders>
              <w:top w:val="single" w:sz="4" w:space="0" w:color="auto"/>
              <w:left w:val="single" w:sz="4" w:space="0" w:color="auto"/>
              <w:bottom w:val="single" w:sz="4" w:space="0" w:color="auto"/>
              <w:right w:val="single" w:sz="4" w:space="0" w:color="auto"/>
            </w:tcBorders>
            <w:vAlign w:val="center"/>
          </w:tcPr>
          <w:p w14:paraId="3F3D01D1" w14:textId="0EA5C01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90,300 (86,700, 93,900)</w:t>
            </w:r>
          </w:p>
        </w:tc>
        <w:tc>
          <w:tcPr>
            <w:tcW w:w="1804" w:type="dxa"/>
            <w:tcBorders>
              <w:top w:val="single" w:sz="4" w:space="0" w:color="auto"/>
              <w:left w:val="single" w:sz="4" w:space="0" w:color="auto"/>
              <w:bottom w:val="single" w:sz="4" w:space="0" w:color="auto"/>
              <w:right w:val="single" w:sz="4" w:space="0" w:color="auto"/>
            </w:tcBorders>
            <w:vAlign w:val="center"/>
          </w:tcPr>
          <w:p w14:paraId="760A1217" w14:textId="2807363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115,000 (109,800, 120,200)</w:t>
            </w:r>
          </w:p>
        </w:tc>
      </w:tr>
      <w:tr w:rsidR="00C22852" w:rsidRPr="00617A89" w14:paraId="1896A058"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6BDAF009"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Southern Cross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49378593" w14:textId="4FB498CC"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91.2 (87.3, 93.8)</w:t>
            </w:r>
          </w:p>
        </w:tc>
        <w:tc>
          <w:tcPr>
            <w:tcW w:w="1803" w:type="dxa"/>
            <w:tcBorders>
              <w:top w:val="single" w:sz="4" w:space="0" w:color="auto"/>
              <w:left w:val="single" w:sz="4" w:space="0" w:color="auto"/>
              <w:bottom w:val="single" w:sz="4" w:space="0" w:color="auto"/>
              <w:right w:val="single" w:sz="4" w:space="0" w:color="auto"/>
            </w:tcBorders>
            <w:vAlign w:val="center"/>
          </w:tcPr>
          <w:p w14:paraId="720C3F6D" w14:textId="6E4BC99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94.1 (90.3, 96.3)</w:t>
            </w:r>
          </w:p>
        </w:tc>
        <w:tc>
          <w:tcPr>
            <w:tcW w:w="1803" w:type="dxa"/>
            <w:tcBorders>
              <w:top w:val="single" w:sz="4" w:space="0" w:color="auto"/>
              <w:left w:val="single" w:sz="4" w:space="0" w:color="auto"/>
              <w:bottom w:val="single" w:sz="4" w:space="0" w:color="auto"/>
              <w:right w:val="single" w:sz="4" w:space="0" w:color="auto"/>
            </w:tcBorders>
            <w:vAlign w:val="center"/>
          </w:tcPr>
          <w:p w14:paraId="652A9275" w14:textId="47C0C86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99,100 (91,300, 107,000)</w:t>
            </w:r>
          </w:p>
        </w:tc>
        <w:tc>
          <w:tcPr>
            <w:tcW w:w="1804" w:type="dxa"/>
            <w:tcBorders>
              <w:top w:val="single" w:sz="4" w:space="0" w:color="auto"/>
              <w:left w:val="single" w:sz="4" w:space="0" w:color="auto"/>
              <w:bottom w:val="single" w:sz="4" w:space="0" w:color="auto"/>
              <w:right w:val="single" w:sz="4" w:space="0" w:color="auto"/>
            </w:tcBorders>
            <w:vAlign w:val="center"/>
          </w:tcPr>
          <w:p w14:paraId="46612A0A" w14:textId="5F93E7B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133,700 (125,600, 141,900)</w:t>
            </w:r>
          </w:p>
        </w:tc>
      </w:tr>
      <w:tr w:rsidR="00C22852" w:rsidRPr="00617A89" w14:paraId="49DE7D46"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65921A39"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Swinburne University of Technology</w:t>
            </w:r>
          </w:p>
        </w:tc>
        <w:tc>
          <w:tcPr>
            <w:tcW w:w="1803" w:type="dxa"/>
            <w:tcBorders>
              <w:top w:val="single" w:sz="4" w:space="0" w:color="auto"/>
              <w:left w:val="single" w:sz="4" w:space="0" w:color="auto"/>
              <w:bottom w:val="single" w:sz="4" w:space="0" w:color="auto"/>
              <w:right w:val="single" w:sz="4" w:space="0" w:color="auto"/>
            </w:tcBorders>
            <w:vAlign w:val="center"/>
          </w:tcPr>
          <w:p w14:paraId="3104D6C6" w14:textId="62CEAF3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90.4 (85.9, 93.5)</w:t>
            </w:r>
          </w:p>
        </w:tc>
        <w:tc>
          <w:tcPr>
            <w:tcW w:w="1803" w:type="dxa"/>
            <w:tcBorders>
              <w:top w:val="single" w:sz="4" w:space="0" w:color="auto"/>
              <w:left w:val="single" w:sz="4" w:space="0" w:color="auto"/>
              <w:bottom w:val="single" w:sz="4" w:space="0" w:color="auto"/>
              <w:right w:val="single" w:sz="4" w:space="0" w:color="auto"/>
            </w:tcBorders>
            <w:vAlign w:val="center"/>
          </w:tcPr>
          <w:p w14:paraId="21B02A25" w14:textId="72EA8B0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95.0 (91.5, 97.0)</w:t>
            </w:r>
          </w:p>
        </w:tc>
        <w:tc>
          <w:tcPr>
            <w:tcW w:w="1803" w:type="dxa"/>
            <w:tcBorders>
              <w:top w:val="single" w:sz="4" w:space="0" w:color="auto"/>
              <w:left w:val="single" w:sz="4" w:space="0" w:color="auto"/>
              <w:bottom w:val="single" w:sz="4" w:space="0" w:color="auto"/>
              <w:right w:val="single" w:sz="4" w:space="0" w:color="auto"/>
            </w:tcBorders>
            <w:vAlign w:val="center"/>
          </w:tcPr>
          <w:p w14:paraId="022BBCF2" w14:textId="7D6D264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89,600 (82,700, 96,500)</w:t>
            </w:r>
          </w:p>
        </w:tc>
        <w:tc>
          <w:tcPr>
            <w:tcW w:w="1804" w:type="dxa"/>
            <w:tcBorders>
              <w:top w:val="single" w:sz="4" w:space="0" w:color="auto"/>
              <w:left w:val="single" w:sz="4" w:space="0" w:color="auto"/>
              <w:bottom w:val="single" w:sz="4" w:space="0" w:color="auto"/>
              <w:right w:val="single" w:sz="4" w:space="0" w:color="auto"/>
            </w:tcBorders>
            <w:vAlign w:val="center"/>
          </w:tcPr>
          <w:p w14:paraId="04C30D36" w14:textId="0A13F81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106,500 (96,500, 116,500)</w:t>
            </w:r>
          </w:p>
        </w:tc>
      </w:tr>
      <w:tr w:rsidR="00C22852" w:rsidRPr="00617A89" w14:paraId="687C154C"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7778CA28"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Australian National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6FF057AA" w14:textId="3AA8DFA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90.9 (87.1, 93.5)</w:t>
            </w:r>
          </w:p>
        </w:tc>
        <w:tc>
          <w:tcPr>
            <w:tcW w:w="1803" w:type="dxa"/>
            <w:tcBorders>
              <w:top w:val="single" w:sz="4" w:space="0" w:color="auto"/>
              <w:left w:val="single" w:sz="4" w:space="0" w:color="auto"/>
              <w:bottom w:val="single" w:sz="4" w:space="0" w:color="auto"/>
              <w:right w:val="single" w:sz="4" w:space="0" w:color="auto"/>
            </w:tcBorders>
            <w:vAlign w:val="center"/>
          </w:tcPr>
          <w:p w14:paraId="72600DC4" w14:textId="6FD31729"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93.4 (90.0, 95.6)</w:t>
            </w:r>
          </w:p>
        </w:tc>
        <w:tc>
          <w:tcPr>
            <w:tcW w:w="1803" w:type="dxa"/>
            <w:tcBorders>
              <w:top w:val="single" w:sz="4" w:space="0" w:color="auto"/>
              <w:left w:val="single" w:sz="4" w:space="0" w:color="auto"/>
              <w:bottom w:val="single" w:sz="4" w:space="0" w:color="auto"/>
              <w:right w:val="single" w:sz="4" w:space="0" w:color="auto"/>
            </w:tcBorders>
            <w:vAlign w:val="center"/>
          </w:tcPr>
          <w:p w14:paraId="29E3CA77" w14:textId="67F2947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95,000 (89,000, 100,900)</w:t>
            </w:r>
          </w:p>
        </w:tc>
        <w:tc>
          <w:tcPr>
            <w:tcW w:w="1804" w:type="dxa"/>
            <w:tcBorders>
              <w:top w:val="single" w:sz="4" w:space="0" w:color="auto"/>
              <w:left w:val="single" w:sz="4" w:space="0" w:color="auto"/>
              <w:bottom w:val="single" w:sz="4" w:space="0" w:color="auto"/>
              <w:right w:val="single" w:sz="4" w:space="0" w:color="auto"/>
            </w:tcBorders>
            <w:vAlign w:val="center"/>
          </w:tcPr>
          <w:p w14:paraId="48365C34" w14:textId="32717D9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122,400 (113,800, 131,000)</w:t>
            </w:r>
          </w:p>
        </w:tc>
      </w:tr>
      <w:tr w:rsidR="00C22852" w:rsidRPr="00617A89" w14:paraId="27215983"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7B49FFB7"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Adelaide</w:t>
            </w:r>
          </w:p>
        </w:tc>
        <w:tc>
          <w:tcPr>
            <w:tcW w:w="1803" w:type="dxa"/>
            <w:tcBorders>
              <w:top w:val="single" w:sz="4" w:space="0" w:color="auto"/>
              <w:left w:val="single" w:sz="4" w:space="0" w:color="auto"/>
              <w:bottom w:val="single" w:sz="4" w:space="0" w:color="auto"/>
              <w:right w:val="single" w:sz="4" w:space="0" w:color="auto"/>
            </w:tcBorders>
            <w:vAlign w:val="center"/>
          </w:tcPr>
          <w:p w14:paraId="60E3FA07" w14:textId="06EEE72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91.9 (87.8, 94.6)</w:t>
            </w:r>
          </w:p>
        </w:tc>
        <w:tc>
          <w:tcPr>
            <w:tcW w:w="1803" w:type="dxa"/>
            <w:tcBorders>
              <w:top w:val="single" w:sz="4" w:space="0" w:color="auto"/>
              <w:left w:val="single" w:sz="4" w:space="0" w:color="auto"/>
              <w:bottom w:val="single" w:sz="4" w:space="0" w:color="auto"/>
              <w:right w:val="single" w:sz="4" w:space="0" w:color="auto"/>
            </w:tcBorders>
            <w:vAlign w:val="center"/>
          </w:tcPr>
          <w:p w14:paraId="24FBC3C6" w14:textId="01C0015E"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92.2 (88.2, 94.7)</w:t>
            </w:r>
          </w:p>
        </w:tc>
        <w:tc>
          <w:tcPr>
            <w:tcW w:w="1803" w:type="dxa"/>
            <w:tcBorders>
              <w:top w:val="single" w:sz="4" w:space="0" w:color="auto"/>
              <w:left w:val="single" w:sz="4" w:space="0" w:color="auto"/>
              <w:bottom w:val="single" w:sz="4" w:space="0" w:color="auto"/>
              <w:right w:val="single" w:sz="4" w:space="0" w:color="auto"/>
            </w:tcBorders>
            <w:vAlign w:val="center"/>
          </w:tcPr>
          <w:p w14:paraId="2B858B34" w14:textId="72F4269C"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84,400 (75,600, 93,200)</w:t>
            </w:r>
          </w:p>
        </w:tc>
        <w:tc>
          <w:tcPr>
            <w:tcW w:w="1804" w:type="dxa"/>
            <w:tcBorders>
              <w:top w:val="single" w:sz="4" w:space="0" w:color="auto"/>
              <w:left w:val="single" w:sz="4" w:space="0" w:color="auto"/>
              <w:bottom w:val="single" w:sz="4" w:space="0" w:color="auto"/>
              <w:right w:val="single" w:sz="4" w:space="0" w:color="auto"/>
            </w:tcBorders>
            <w:vAlign w:val="center"/>
          </w:tcPr>
          <w:p w14:paraId="75C524CA" w14:textId="433E9C3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106,000 (100,500, 111,500)</w:t>
            </w:r>
          </w:p>
        </w:tc>
      </w:tr>
      <w:tr w:rsidR="00C22852" w:rsidRPr="00617A89" w14:paraId="7A831FCE"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4573C171"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Melbourne</w:t>
            </w:r>
          </w:p>
        </w:tc>
        <w:tc>
          <w:tcPr>
            <w:tcW w:w="1803" w:type="dxa"/>
            <w:tcBorders>
              <w:top w:val="single" w:sz="4" w:space="0" w:color="auto"/>
              <w:left w:val="single" w:sz="4" w:space="0" w:color="auto"/>
              <w:bottom w:val="single" w:sz="4" w:space="0" w:color="auto"/>
              <w:right w:val="single" w:sz="4" w:space="0" w:color="auto"/>
            </w:tcBorders>
            <w:vAlign w:val="center"/>
          </w:tcPr>
          <w:p w14:paraId="04D0F780" w14:textId="58FBBA7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88.4 (86.9, 89.8)</w:t>
            </w:r>
          </w:p>
        </w:tc>
        <w:tc>
          <w:tcPr>
            <w:tcW w:w="1803" w:type="dxa"/>
            <w:tcBorders>
              <w:top w:val="single" w:sz="4" w:space="0" w:color="auto"/>
              <w:left w:val="single" w:sz="4" w:space="0" w:color="auto"/>
              <w:bottom w:val="single" w:sz="4" w:space="0" w:color="auto"/>
              <w:right w:val="single" w:sz="4" w:space="0" w:color="auto"/>
            </w:tcBorders>
            <w:vAlign w:val="center"/>
          </w:tcPr>
          <w:p w14:paraId="5FB3AF1B" w14:textId="05959B4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95.9 (94.9, 96.7)</w:t>
            </w:r>
          </w:p>
        </w:tc>
        <w:tc>
          <w:tcPr>
            <w:tcW w:w="1803" w:type="dxa"/>
            <w:tcBorders>
              <w:top w:val="single" w:sz="4" w:space="0" w:color="auto"/>
              <w:left w:val="single" w:sz="4" w:space="0" w:color="auto"/>
              <w:bottom w:val="single" w:sz="4" w:space="0" w:color="auto"/>
              <w:right w:val="single" w:sz="4" w:space="0" w:color="auto"/>
            </w:tcBorders>
            <w:vAlign w:val="center"/>
          </w:tcPr>
          <w:p w14:paraId="53D578B4" w14:textId="32980F1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90,000 (87,600, 92,400)</w:t>
            </w:r>
          </w:p>
        </w:tc>
        <w:tc>
          <w:tcPr>
            <w:tcW w:w="1804" w:type="dxa"/>
            <w:tcBorders>
              <w:top w:val="single" w:sz="4" w:space="0" w:color="auto"/>
              <w:left w:val="single" w:sz="4" w:space="0" w:color="auto"/>
              <w:bottom w:val="single" w:sz="4" w:space="0" w:color="auto"/>
              <w:right w:val="single" w:sz="4" w:space="0" w:color="auto"/>
            </w:tcBorders>
            <w:vAlign w:val="center"/>
          </w:tcPr>
          <w:p w14:paraId="566BA418" w14:textId="36FFC1D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109,000 (105,700, 112,300)</w:t>
            </w:r>
          </w:p>
        </w:tc>
      </w:tr>
      <w:tr w:rsidR="00C22852" w:rsidRPr="00617A89" w14:paraId="2E10CE62"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1368220B"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Notre Dame Australia</w:t>
            </w:r>
          </w:p>
        </w:tc>
        <w:tc>
          <w:tcPr>
            <w:tcW w:w="1803" w:type="dxa"/>
            <w:tcBorders>
              <w:top w:val="single" w:sz="4" w:space="0" w:color="auto"/>
              <w:left w:val="single" w:sz="4" w:space="0" w:color="auto"/>
              <w:bottom w:val="single" w:sz="4" w:space="0" w:color="auto"/>
              <w:right w:val="single" w:sz="4" w:space="0" w:color="auto"/>
            </w:tcBorders>
            <w:vAlign w:val="center"/>
          </w:tcPr>
          <w:p w14:paraId="1CEEAB62" w14:textId="397E0C9E"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95.0 (89.3, 97.8)</w:t>
            </w:r>
          </w:p>
        </w:tc>
        <w:tc>
          <w:tcPr>
            <w:tcW w:w="1803" w:type="dxa"/>
            <w:tcBorders>
              <w:top w:val="single" w:sz="4" w:space="0" w:color="auto"/>
              <w:left w:val="single" w:sz="4" w:space="0" w:color="auto"/>
              <w:bottom w:val="single" w:sz="4" w:space="0" w:color="auto"/>
              <w:right w:val="single" w:sz="4" w:space="0" w:color="auto"/>
            </w:tcBorders>
            <w:vAlign w:val="center"/>
          </w:tcPr>
          <w:p w14:paraId="0B31889A" w14:textId="5BB5A4E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96.0 (90.3, 98.5)</w:t>
            </w:r>
          </w:p>
        </w:tc>
        <w:tc>
          <w:tcPr>
            <w:tcW w:w="1803" w:type="dxa"/>
            <w:tcBorders>
              <w:top w:val="single" w:sz="4" w:space="0" w:color="auto"/>
              <w:left w:val="single" w:sz="4" w:space="0" w:color="auto"/>
              <w:bottom w:val="single" w:sz="4" w:space="0" w:color="auto"/>
              <w:right w:val="single" w:sz="4" w:space="0" w:color="auto"/>
            </w:tcBorders>
            <w:vAlign w:val="center"/>
          </w:tcPr>
          <w:p w14:paraId="17966F11" w14:textId="4999EA2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99,100 (86,400, 111,900)</w:t>
            </w:r>
          </w:p>
        </w:tc>
        <w:tc>
          <w:tcPr>
            <w:tcW w:w="1804" w:type="dxa"/>
            <w:tcBorders>
              <w:top w:val="single" w:sz="4" w:space="0" w:color="auto"/>
              <w:left w:val="single" w:sz="4" w:space="0" w:color="auto"/>
              <w:bottom w:val="single" w:sz="4" w:space="0" w:color="auto"/>
              <w:right w:val="single" w:sz="4" w:space="0" w:color="auto"/>
            </w:tcBorders>
            <w:vAlign w:val="center"/>
          </w:tcPr>
          <w:p w14:paraId="1C3EBE22" w14:textId="705ADE5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128,000 (119,200, 136,800)</w:t>
            </w:r>
          </w:p>
        </w:tc>
      </w:tr>
      <w:tr w:rsidR="00C22852" w:rsidRPr="00617A89" w14:paraId="3BC88113"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55CA5523"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Queensland</w:t>
            </w:r>
          </w:p>
        </w:tc>
        <w:tc>
          <w:tcPr>
            <w:tcW w:w="1803" w:type="dxa"/>
            <w:tcBorders>
              <w:top w:val="single" w:sz="4" w:space="0" w:color="auto"/>
              <w:left w:val="single" w:sz="4" w:space="0" w:color="auto"/>
              <w:bottom w:val="single" w:sz="4" w:space="0" w:color="auto"/>
              <w:right w:val="single" w:sz="4" w:space="0" w:color="auto"/>
            </w:tcBorders>
            <w:vAlign w:val="center"/>
          </w:tcPr>
          <w:p w14:paraId="4E310581" w14:textId="51F1264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84.3 (80.9, 87.0)</w:t>
            </w:r>
          </w:p>
        </w:tc>
        <w:tc>
          <w:tcPr>
            <w:tcW w:w="1803" w:type="dxa"/>
            <w:tcBorders>
              <w:top w:val="single" w:sz="4" w:space="0" w:color="auto"/>
              <w:left w:val="single" w:sz="4" w:space="0" w:color="auto"/>
              <w:bottom w:val="single" w:sz="4" w:space="0" w:color="auto"/>
              <w:right w:val="single" w:sz="4" w:space="0" w:color="auto"/>
            </w:tcBorders>
            <w:vAlign w:val="center"/>
          </w:tcPr>
          <w:p w14:paraId="49AD09AB" w14:textId="5B20755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93.6 (91.1, 95.3)</w:t>
            </w:r>
          </w:p>
        </w:tc>
        <w:tc>
          <w:tcPr>
            <w:tcW w:w="1803" w:type="dxa"/>
            <w:tcBorders>
              <w:top w:val="single" w:sz="4" w:space="0" w:color="auto"/>
              <w:left w:val="single" w:sz="4" w:space="0" w:color="auto"/>
              <w:bottom w:val="single" w:sz="4" w:space="0" w:color="auto"/>
              <w:right w:val="single" w:sz="4" w:space="0" w:color="auto"/>
            </w:tcBorders>
            <w:vAlign w:val="center"/>
          </w:tcPr>
          <w:p w14:paraId="7D5238A8" w14:textId="0D1B2C1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87,300 (82,900, 91,600)</w:t>
            </w:r>
          </w:p>
        </w:tc>
        <w:tc>
          <w:tcPr>
            <w:tcW w:w="1804" w:type="dxa"/>
            <w:tcBorders>
              <w:top w:val="single" w:sz="4" w:space="0" w:color="auto"/>
              <w:left w:val="single" w:sz="4" w:space="0" w:color="auto"/>
              <w:bottom w:val="single" w:sz="4" w:space="0" w:color="auto"/>
              <w:right w:val="single" w:sz="4" w:space="0" w:color="auto"/>
            </w:tcBorders>
            <w:vAlign w:val="center"/>
          </w:tcPr>
          <w:p w14:paraId="038260CE" w14:textId="6DD636E6"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116,400 (111,000, 121,800)</w:t>
            </w:r>
          </w:p>
        </w:tc>
      </w:tr>
      <w:tr w:rsidR="00C22852" w:rsidRPr="00617A89" w14:paraId="5B7BD647"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160C7F43"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South Australia</w:t>
            </w:r>
          </w:p>
        </w:tc>
        <w:tc>
          <w:tcPr>
            <w:tcW w:w="1803" w:type="dxa"/>
            <w:tcBorders>
              <w:top w:val="single" w:sz="4" w:space="0" w:color="auto"/>
              <w:left w:val="single" w:sz="4" w:space="0" w:color="auto"/>
              <w:bottom w:val="single" w:sz="4" w:space="0" w:color="auto"/>
              <w:right w:val="single" w:sz="4" w:space="0" w:color="auto"/>
            </w:tcBorders>
            <w:vAlign w:val="center"/>
          </w:tcPr>
          <w:p w14:paraId="787ADA25" w14:textId="2BBB351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89.2 (84.7, 92.3)</w:t>
            </w:r>
          </w:p>
        </w:tc>
        <w:tc>
          <w:tcPr>
            <w:tcW w:w="1803" w:type="dxa"/>
            <w:tcBorders>
              <w:top w:val="single" w:sz="4" w:space="0" w:color="auto"/>
              <w:left w:val="single" w:sz="4" w:space="0" w:color="auto"/>
              <w:bottom w:val="single" w:sz="4" w:space="0" w:color="auto"/>
              <w:right w:val="single" w:sz="4" w:space="0" w:color="auto"/>
            </w:tcBorders>
            <w:vAlign w:val="center"/>
          </w:tcPr>
          <w:p w14:paraId="1C0FAF1C" w14:textId="4837A39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96.0 (92.5, 97.8)</w:t>
            </w:r>
          </w:p>
        </w:tc>
        <w:tc>
          <w:tcPr>
            <w:tcW w:w="1803" w:type="dxa"/>
            <w:tcBorders>
              <w:top w:val="single" w:sz="4" w:space="0" w:color="auto"/>
              <w:left w:val="single" w:sz="4" w:space="0" w:color="auto"/>
              <w:bottom w:val="single" w:sz="4" w:space="0" w:color="auto"/>
              <w:right w:val="single" w:sz="4" w:space="0" w:color="auto"/>
            </w:tcBorders>
            <w:vAlign w:val="center"/>
          </w:tcPr>
          <w:p w14:paraId="22F4E582" w14:textId="4A7EC7E5"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90,000 (82,900, 97,100)</w:t>
            </w:r>
          </w:p>
        </w:tc>
        <w:tc>
          <w:tcPr>
            <w:tcW w:w="1804" w:type="dxa"/>
            <w:tcBorders>
              <w:top w:val="single" w:sz="4" w:space="0" w:color="auto"/>
              <w:left w:val="single" w:sz="4" w:space="0" w:color="auto"/>
              <w:bottom w:val="single" w:sz="4" w:space="0" w:color="auto"/>
              <w:right w:val="single" w:sz="4" w:space="0" w:color="auto"/>
            </w:tcBorders>
            <w:vAlign w:val="center"/>
          </w:tcPr>
          <w:p w14:paraId="5B04A005" w14:textId="55FD8246"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110,000 (101,700, 118,300)</w:t>
            </w:r>
          </w:p>
        </w:tc>
      </w:tr>
      <w:tr w:rsidR="00C22852" w:rsidRPr="00617A89" w14:paraId="19872DDB"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38D8424D"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Sydney</w:t>
            </w:r>
          </w:p>
        </w:tc>
        <w:tc>
          <w:tcPr>
            <w:tcW w:w="1803" w:type="dxa"/>
            <w:tcBorders>
              <w:top w:val="single" w:sz="4" w:space="0" w:color="auto"/>
              <w:left w:val="single" w:sz="4" w:space="0" w:color="auto"/>
              <w:bottom w:val="single" w:sz="4" w:space="0" w:color="auto"/>
              <w:right w:val="single" w:sz="4" w:space="0" w:color="auto"/>
            </w:tcBorders>
            <w:vAlign w:val="center"/>
          </w:tcPr>
          <w:p w14:paraId="5B745C03" w14:textId="745BC87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88.6 (86.0, 90.6)</w:t>
            </w:r>
          </w:p>
        </w:tc>
        <w:tc>
          <w:tcPr>
            <w:tcW w:w="1803" w:type="dxa"/>
            <w:tcBorders>
              <w:top w:val="single" w:sz="4" w:space="0" w:color="auto"/>
              <w:left w:val="single" w:sz="4" w:space="0" w:color="auto"/>
              <w:bottom w:val="single" w:sz="4" w:space="0" w:color="auto"/>
              <w:right w:val="single" w:sz="4" w:space="0" w:color="auto"/>
            </w:tcBorders>
            <w:vAlign w:val="center"/>
          </w:tcPr>
          <w:p w14:paraId="19FAC957" w14:textId="19061F2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96.7 (95.0, 97.7)</w:t>
            </w:r>
          </w:p>
        </w:tc>
        <w:tc>
          <w:tcPr>
            <w:tcW w:w="1803" w:type="dxa"/>
            <w:tcBorders>
              <w:top w:val="single" w:sz="4" w:space="0" w:color="auto"/>
              <w:left w:val="single" w:sz="4" w:space="0" w:color="auto"/>
              <w:bottom w:val="single" w:sz="4" w:space="0" w:color="auto"/>
              <w:right w:val="single" w:sz="4" w:space="0" w:color="auto"/>
            </w:tcBorders>
            <w:vAlign w:val="center"/>
          </w:tcPr>
          <w:p w14:paraId="4C060BCC" w14:textId="7E98F46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90,000 (84,000, 96,000)</w:t>
            </w:r>
          </w:p>
        </w:tc>
        <w:tc>
          <w:tcPr>
            <w:tcW w:w="1804" w:type="dxa"/>
            <w:tcBorders>
              <w:top w:val="single" w:sz="4" w:space="0" w:color="auto"/>
              <w:left w:val="single" w:sz="4" w:space="0" w:color="auto"/>
              <w:bottom w:val="single" w:sz="4" w:space="0" w:color="auto"/>
              <w:right w:val="single" w:sz="4" w:space="0" w:color="auto"/>
            </w:tcBorders>
            <w:vAlign w:val="center"/>
          </w:tcPr>
          <w:p w14:paraId="46C548D0" w14:textId="288355C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120,000 (115,900, 124,100)</w:t>
            </w:r>
          </w:p>
        </w:tc>
      </w:tr>
      <w:tr w:rsidR="00C22852" w:rsidRPr="00617A89" w14:paraId="26BFDFE6"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71F6D950"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The University of Western Australia</w:t>
            </w:r>
          </w:p>
        </w:tc>
        <w:tc>
          <w:tcPr>
            <w:tcW w:w="1803" w:type="dxa"/>
            <w:tcBorders>
              <w:top w:val="single" w:sz="4" w:space="0" w:color="auto"/>
              <w:left w:val="single" w:sz="4" w:space="0" w:color="auto"/>
              <w:bottom w:val="single" w:sz="4" w:space="0" w:color="auto"/>
              <w:right w:val="single" w:sz="4" w:space="0" w:color="auto"/>
            </w:tcBorders>
            <w:vAlign w:val="center"/>
          </w:tcPr>
          <w:p w14:paraId="25FBB917" w14:textId="21593571"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86.5 (82.3, 89.8)</w:t>
            </w:r>
          </w:p>
        </w:tc>
        <w:tc>
          <w:tcPr>
            <w:tcW w:w="1803" w:type="dxa"/>
            <w:tcBorders>
              <w:top w:val="single" w:sz="4" w:space="0" w:color="auto"/>
              <w:left w:val="single" w:sz="4" w:space="0" w:color="auto"/>
              <w:bottom w:val="single" w:sz="4" w:space="0" w:color="auto"/>
              <w:right w:val="single" w:sz="4" w:space="0" w:color="auto"/>
            </w:tcBorders>
            <w:vAlign w:val="center"/>
          </w:tcPr>
          <w:p w14:paraId="44F877E7" w14:textId="46387419"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95.7 (92.6, 97.5)</w:t>
            </w:r>
          </w:p>
        </w:tc>
        <w:tc>
          <w:tcPr>
            <w:tcW w:w="1803" w:type="dxa"/>
            <w:tcBorders>
              <w:top w:val="single" w:sz="4" w:space="0" w:color="auto"/>
              <w:left w:val="single" w:sz="4" w:space="0" w:color="auto"/>
              <w:bottom w:val="single" w:sz="4" w:space="0" w:color="auto"/>
              <w:right w:val="single" w:sz="4" w:space="0" w:color="auto"/>
            </w:tcBorders>
            <w:vAlign w:val="center"/>
          </w:tcPr>
          <w:p w14:paraId="68869CB0" w14:textId="69DACF3F"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79,600 (76,300, 82,800)</w:t>
            </w:r>
          </w:p>
        </w:tc>
        <w:tc>
          <w:tcPr>
            <w:tcW w:w="1804" w:type="dxa"/>
            <w:tcBorders>
              <w:top w:val="single" w:sz="4" w:space="0" w:color="auto"/>
              <w:left w:val="single" w:sz="4" w:space="0" w:color="auto"/>
              <w:bottom w:val="single" w:sz="4" w:space="0" w:color="auto"/>
              <w:right w:val="single" w:sz="4" w:space="0" w:color="auto"/>
            </w:tcBorders>
            <w:vAlign w:val="center"/>
          </w:tcPr>
          <w:p w14:paraId="248894C4" w14:textId="01B7353B"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119,000 (114,800, 123,200)</w:t>
            </w:r>
          </w:p>
        </w:tc>
      </w:tr>
      <w:tr w:rsidR="00C22852" w:rsidRPr="00617A89" w14:paraId="1994E604"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29FD32FA"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Torrens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7199720A" w14:textId="406BA25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83.8 (76.0, 89.1)</w:t>
            </w:r>
          </w:p>
        </w:tc>
        <w:tc>
          <w:tcPr>
            <w:tcW w:w="1803" w:type="dxa"/>
            <w:tcBorders>
              <w:top w:val="single" w:sz="4" w:space="0" w:color="auto"/>
              <w:left w:val="single" w:sz="4" w:space="0" w:color="auto"/>
              <w:bottom w:val="single" w:sz="4" w:space="0" w:color="auto"/>
              <w:right w:val="single" w:sz="4" w:space="0" w:color="auto"/>
            </w:tcBorders>
            <w:vAlign w:val="center"/>
          </w:tcPr>
          <w:p w14:paraId="26B8E5F1" w14:textId="2149909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88.4 (80.9, 93.0)</w:t>
            </w:r>
          </w:p>
        </w:tc>
        <w:tc>
          <w:tcPr>
            <w:tcW w:w="1803" w:type="dxa"/>
            <w:tcBorders>
              <w:top w:val="single" w:sz="4" w:space="0" w:color="auto"/>
              <w:left w:val="single" w:sz="4" w:space="0" w:color="auto"/>
              <w:bottom w:val="single" w:sz="4" w:space="0" w:color="auto"/>
              <w:right w:val="single" w:sz="4" w:space="0" w:color="auto"/>
            </w:tcBorders>
            <w:vAlign w:val="center"/>
          </w:tcPr>
          <w:p w14:paraId="00068175" w14:textId="6A500F7B"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95,000 (80,500, 109,500)</w:t>
            </w:r>
          </w:p>
        </w:tc>
        <w:tc>
          <w:tcPr>
            <w:tcW w:w="1804" w:type="dxa"/>
            <w:tcBorders>
              <w:top w:val="single" w:sz="4" w:space="0" w:color="auto"/>
              <w:left w:val="single" w:sz="4" w:space="0" w:color="auto"/>
              <w:bottom w:val="single" w:sz="4" w:space="0" w:color="auto"/>
              <w:right w:val="single" w:sz="4" w:space="0" w:color="auto"/>
            </w:tcBorders>
            <w:vAlign w:val="center"/>
          </w:tcPr>
          <w:p w14:paraId="03C0E16E" w14:textId="464F300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110,000 (98,100, 121,900)</w:t>
            </w:r>
          </w:p>
        </w:tc>
      </w:tr>
      <w:tr w:rsidR="00C22852" w:rsidRPr="00617A89" w14:paraId="2605AB34"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0048D974"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Canberra</w:t>
            </w:r>
          </w:p>
        </w:tc>
        <w:tc>
          <w:tcPr>
            <w:tcW w:w="1803" w:type="dxa"/>
            <w:tcBorders>
              <w:top w:val="single" w:sz="4" w:space="0" w:color="auto"/>
              <w:left w:val="single" w:sz="4" w:space="0" w:color="auto"/>
              <w:bottom w:val="single" w:sz="4" w:space="0" w:color="auto"/>
              <w:right w:val="single" w:sz="4" w:space="0" w:color="auto"/>
            </w:tcBorders>
            <w:vAlign w:val="center"/>
          </w:tcPr>
          <w:p w14:paraId="05CAE8B1" w14:textId="4E1C317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96.9 (92.6, 98.7)</w:t>
            </w:r>
          </w:p>
        </w:tc>
        <w:tc>
          <w:tcPr>
            <w:tcW w:w="1803" w:type="dxa"/>
            <w:tcBorders>
              <w:top w:val="single" w:sz="4" w:space="0" w:color="auto"/>
              <w:left w:val="single" w:sz="4" w:space="0" w:color="auto"/>
              <w:bottom w:val="single" w:sz="4" w:space="0" w:color="auto"/>
              <w:right w:val="single" w:sz="4" w:space="0" w:color="auto"/>
            </w:tcBorders>
            <w:vAlign w:val="center"/>
          </w:tcPr>
          <w:p w14:paraId="544D7C67" w14:textId="33FF2A9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91.8 (86.2, 95.0)</w:t>
            </w:r>
          </w:p>
        </w:tc>
        <w:tc>
          <w:tcPr>
            <w:tcW w:w="1803" w:type="dxa"/>
            <w:tcBorders>
              <w:top w:val="single" w:sz="4" w:space="0" w:color="auto"/>
              <w:left w:val="single" w:sz="4" w:space="0" w:color="auto"/>
              <w:bottom w:val="single" w:sz="4" w:space="0" w:color="auto"/>
              <w:right w:val="single" w:sz="4" w:space="0" w:color="auto"/>
            </w:tcBorders>
            <w:vAlign w:val="center"/>
          </w:tcPr>
          <w:p w14:paraId="0FE38CAD" w14:textId="2789FC1B"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78,600 (72,900, 84,300)</w:t>
            </w:r>
          </w:p>
        </w:tc>
        <w:tc>
          <w:tcPr>
            <w:tcW w:w="1804" w:type="dxa"/>
            <w:tcBorders>
              <w:top w:val="single" w:sz="4" w:space="0" w:color="auto"/>
              <w:left w:val="single" w:sz="4" w:space="0" w:color="auto"/>
              <w:bottom w:val="single" w:sz="4" w:space="0" w:color="auto"/>
              <w:right w:val="single" w:sz="4" w:space="0" w:color="auto"/>
            </w:tcBorders>
            <w:vAlign w:val="center"/>
          </w:tcPr>
          <w:p w14:paraId="20E90230" w14:textId="7F2D44E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102,600 (96,500, 108,800)</w:t>
            </w:r>
          </w:p>
        </w:tc>
      </w:tr>
      <w:tr w:rsidR="00C22852" w:rsidRPr="00617A89" w14:paraId="23161016"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4285B378"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Divinity</w:t>
            </w:r>
          </w:p>
        </w:tc>
        <w:tc>
          <w:tcPr>
            <w:tcW w:w="1803" w:type="dxa"/>
            <w:tcBorders>
              <w:top w:val="single" w:sz="4" w:space="0" w:color="auto"/>
              <w:left w:val="single" w:sz="4" w:space="0" w:color="auto"/>
              <w:bottom w:val="single" w:sz="4" w:space="0" w:color="auto"/>
              <w:right w:val="single" w:sz="4" w:space="0" w:color="auto"/>
            </w:tcBorders>
            <w:vAlign w:val="center"/>
          </w:tcPr>
          <w:p w14:paraId="1E42EAAC" w14:textId="581F95F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91.1 (81.9, 95.6)</w:t>
            </w:r>
          </w:p>
        </w:tc>
        <w:tc>
          <w:tcPr>
            <w:tcW w:w="1803" w:type="dxa"/>
            <w:tcBorders>
              <w:top w:val="single" w:sz="4" w:space="0" w:color="auto"/>
              <w:left w:val="single" w:sz="4" w:space="0" w:color="auto"/>
              <w:bottom w:val="single" w:sz="4" w:space="0" w:color="auto"/>
              <w:right w:val="single" w:sz="4" w:space="0" w:color="auto"/>
            </w:tcBorders>
            <w:vAlign w:val="center"/>
          </w:tcPr>
          <w:p w14:paraId="0831876E" w14:textId="2420E94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92.7 (83.2, 96.9)</w:t>
            </w:r>
          </w:p>
        </w:tc>
        <w:tc>
          <w:tcPr>
            <w:tcW w:w="1803" w:type="dxa"/>
            <w:tcBorders>
              <w:top w:val="single" w:sz="4" w:space="0" w:color="auto"/>
              <w:left w:val="single" w:sz="4" w:space="0" w:color="auto"/>
              <w:bottom w:val="single" w:sz="4" w:space="0" w:color="auto"/>
              <w:right w:val="single" w:sz="4" w:space="0" w:color="auto"/>
            </w:tcBorders>
            <w:vAlign w:val="center"/>
          </w:tcPr>
          <w:p w14:paraId="7FD2C84A" w14:textId="4054CC3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72,000 (62,400, 81,600)</w:t>
            </w:r>
          </w:p>
        </w:tc>
        <w:tc>
          <w:tcPr>
            <w:tcW w:w="1804" w:type="dxa"/>
            <w:tcBorders>
              <w:top w:val="single" w:sz="4" w:space="0" w:color="auto"/>
              <w:left w:val="single" w:sz="4" w:space="0" w:color="auto"/>
              <w:bottom w:val="single" w:sz="4" w:space="0" w:color="auto"/>
              <w:right w:val="single" w:sz="4" w:space="0" w:color="auto"/>
            </w:tcBorders>
            <w:vAlign w:val="center"/>
          </w:tcPr>
          <w:p w14:paraId="3980F3CF" w14:textId="7FC1278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90,000 (78,000, 102,000)</w:t>
            </w:r>
          </w:p>
        </w:tc>
      </w:tr>
      <w:tr w:rsidR="00C22852" w:rsidRPr="00617A89" w14:paraId="3C381E06"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2073E533"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New England</w:t>
            </w:r>
          </w:p>
        </w:tc>
        <w:tc>
          <w:tcPr>
            <w:tcW w:w="1803" w:type="dxa"/>
            <w:tcBorders>
              <w:top w:val="single" w:sz="4" w:space="0" w:color="auto"/>
              <w:left w:val="single" w:sz="4" w:space="0" w:color="auto"/>
              <w:bottom w:val="single" w:sz="4" w:space="0" w:color="auto"/>
              <w:right w:val="single" w:sz="4" w:space="0" w:color="auto"/>
            </w:tcBorders>
            <w:vAlign w:val="center"/>
          </w:tcPr>
          <w:p w14:paraId="192C9AC4" w14:textId="1D926CE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89.3 (86.1, 91.6)</w:t>
            </w:r>
          </w:p>
        </w:tc>
        <w:tc>
          <w:tcPr>
            <w:tcW w:w="1803" w:type="dxa"/>
            <w:tcBorders>
              <w:top w:val="single" w:sz="4" w:space="0" w:color="auto"/>
              <w:left w:val="single" w:sz="4" w:space="0" w:color="auto"/>
              <w:bottom w:val="single" w:sz="4" w:space="0" w:color="auto"/>
              <w:right w:val="single" w:sz="4" w:space="0" w:color="auto"/>
            </w:tcBorders>
            <w:vAlign w:val="center"/>
          </w:tcPr>
          <w:p w14:paraId="5F39FE62" w14:textId="5B524AA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97.0 (95.0, 98.1)</w:t>
            </w:r>
          </w:p>
        </w:tc>
        <w:tc>
          <w:tcPr>
            <w:tcW w:w="1803" w:type="dxa"/>
            <w:tcBorders>
              <w:top w:val="single" w:sz="4" w:space="0" w:color="auto"/>
              <w:left w:val="single" w:sz="4" w:space="0" w:color="auto"/>
              <w:bottom w:val="single" w:sz="4" w:space="0" w:color="auto"/>
              <w:right w:val="single" w:sz="4" w:space="0" w:color="auto"/>
            </w:tcBorders>
            <w:vAlign w:val="center"/>
          </w:tcPr>
          <w:p w14:paraId="248DF0AD" w14:textId="3E335CD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90,000 (83,700, 96,300)</w:t>
            </w:r>
          </w:p>
        </w:tc>
        <w:tc>
          <w:tcPr>
            <w:tcW w:w="1804" w:type="dxa"/>
            <w:tcBorders>
              <w:top w:val="single" w:sz="4" w:space="0" w:color="auto"/>
              <w:left w:val="single" w:sz="4" w:space="0" w:color="auto"/>
              <w:bottom w:val="single" w:sz="4" w:space="0" w:color="auto"/>
              <w:right w:val="single" w:sz="4" w:space="0" w:color="auto"/>
            </w:tcBorders>
            <w:vAlign w:val="center"/>
          </w:tcPr>
          <w:p w14:paraId="468D77C2" w14:textId="6EB35A3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113,000 (106,900, 119,100)</w:t>
            </w:r>
          </w:p>
        </w:tc>
      </w:tr>
      <w:tr w:rsidR="00C22852" w:rsidRPr="00617A89" w14:paraId="5EFDD7A3"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4FE4B022"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New South Wales</w:t>
            </w:r>
          </w:p>
        </w:tc>
        <w:tc>
          <w:tcPr>
            <w:tcW w:w="1803" w:type="dxa"/>
            <w:tcBorders>
              <w:top w:val="single" w:sz="4" w:space="0" w:color="auto"/>
              <w:left w:val="single" w:sz="4" w:space="0" w:color="auto"/>
              <w:bottom w:val="single" w:sz="4" w:space="0" w:color="auto"/>
              <w:right w:val="single" w:sz="4" w:space="0" w:color="auto"/>
            </w:tcBorders>
            <w:vAlign w:val="center"/>
          </w:tcPr>
          <w:p w14:paraId="1345EE08" w14:textId="01FF75B9"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92.1 (89.9, 93.9)</w:t>
            </w:r>
          </w:p>
        </w:tc>
        <w:tc>
          <w:tcPr>
            <w:tcW w:w="1803" w:type="dxa"/>
            <w:tcBorders>
              <w:top w:val="single" w:sz="4" w:space="0" w:color="auto"/>
              <w:left w:val="single" w:sz="4" w:space="0" w:color="auto"/>
              <w:bottom w:val="single" w:sz="4" w:space="0" w:color="auto"/>
              <w:right w:val="single" w:sz="4" w:space="0" w:color="auto"/>
            </w:tcBorders>
            <w:vAlign w:val="center"/>
          </w:tcPr>
          <w:p w14:paraId="7CC96F09" w14:textId="1515B30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96.8 (95.0, 97.8)</w:t>
            </w:r>
          </w:p>
        </w:tc>
        <w:tc>
          <w:tcPr>
            <w:tcW w:w="1803" w:type="dxa"/>
            <w:tcBorders>
              <w:top w:val="single" w:sz="4" w:space="0" w:color="auto"/>
              <w:left w:val="single" w:sz="4" w:space="0" w:color="auto"/>
              <w:bottom w:val="single" w:sz="4" w:space="0" w:color="auto"/>
              <w:right w:val="single" w:sz="4" w:space="0" w:color="auto"/>
            </w:tcBorders>
            <w:vAlign w:val="center"/>
          </w:tcPr>
          <w:p w14:paraId="12BD6EAC" w14:textId="0DA9659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114,600 (109,600, 119,600)</w:t>
            </w:r>
          </w:p>
        </w:tc>
        <w:tc>
          <w:tcPr>
            <w:tcW w:w="1804" w:type="dxa"/>
            <w:tcBorders>
              <w:top w:val="single" w:sz="4" w:space="0" w:color="auto"/>
              <w:left w:val="single" w:sz="4" w:space="0" w:color="auto"/>
              <w:bottom w:val="single" w:sz="4" w:space="0" w:color="auto"/>
              <w:right w:val="single" w:sz="4" w:space="0" w:color="auto"/>
            </w:tcBorders>
            <w:vAlign w:val="center"/>
          </w:tcPr>
          <w:p w14:paraId="52DC0D7A" w14:textId="369ED9F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135,000 (129,800, 140,200)</w:t>
            </w:r>
          </w:p>
        </w:tc>
      </w:tr>
      <w:tr w:rsidR="00C22852" w:rsidRPr="00617A89" w14:paraId="7A156A99"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4B466BA5"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Newcastle</w:t>
            </w:r>
          </w:p>
        </w:tc>
        <w:tc>
          <w:tcPr>
            <w:tcW w:w="1803" w:type="dxa"/>
            <w:tcBorders>
              <w:top w:val="single" w:sz="4" w:space="0" w:color="auto"/>
              <w:left w:val="single" w:sz="4" w:space="0" w:color="auto"/>
              <w:bottom w:val="single" w:sz="4" w:space="0" w:color="auto"/>
              <w:right w:val="single" w:sz="4" w:space="0" w:color="auto"/>
            </w:tcBorders>
            <w:vAlign w:val="center"/>
          </w:tcPr>
          <w:p w14:paraId="679C7434" w14:textId="530C55A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93.4 (90.3, 95.4)</w:t>
            </w:r>
          </w:p>
        </w:tc>
        <w:tc>
          <w:tcPr>
            <w:tcW w:w="1803" w:type="dxa"/>
            <w:tcBorders>
              <w:top w:val="single" w:sz="4" w:space="0" w:color="auto"/>
              <w:left w:val="single" w:sz="4" w:space="0" w:color="auto"/>
              <w:bottom w:val="single" w:sz="4" w:space="0" w:color="auto"/>
              <w:right w:val="single" w:sz="4" w:space="0" w:color="auto"/>
            </w:tcBorders>
            <w:vAlign w:val="center"/>
          </w:tcPr>
          <w:p w14:paraId="7822D1DE" w14:textId="3F9F9BA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96.7 (94.2, 98.1)</w:t>
            </w:r>
          </w:p>
        </w:tc>
        <w:tc>
          <w:tcPr>
            <w:tcW w:w="1803" w:type="dxa"/>
            <w:tcBorders>
              <w:top w:val="single" w:sz="4" w:space="0" w:color="auto"/>
              <w:left w:val="single" w:sz="4" w:space="0" w:color="auto"/>
              <w:bottom w:val="single" w:sz="4" w:space="0" w:color="auto"/>
              <w:right w:val="single" w:sz="4" w:space="0" w:color="auto"/>
            </w:tcBorders>
            <w:vAlign w:val="center"/>
          </w:tcPr>
          <w:p w14:paraId="4F69AD5C" w14:textId="477BFED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103,600 (98,400, 108,800)</w:t>
            </w:r>
          </w:p>
        </w:tc>
        <w:tc>
          <w:tcPr>
            <w:tcW w:w="1804" w:type="dxa"/>
            <w:tcBorders>
              <w:top w:val="single" w:sz="4" w:space="0" w:color="auto"/>
              <w:left w:val="single" w:sz="4" w:space="0" w:color="auto"/>
              <w:bottom w:val="single" w:sz="4" w:space="0" w:color="auto"/>
              <w:right w:val="single" w:sz="4" w:space="0" w:color="auto"/>
            </w:tcBorders>
            <w:vAlign w:val="center"/>
          </w:tcPr>
          <w:p w14:paraId="5906EF41" w14:textId="209BF53C"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125,000 (120,100, 129,900)</w:t>
            </w:r>
          </w:p>
        </w:tc>
      </w:tr>
      <w:tr w:rsidR="00C22852" w:rsidRPr="00617A89" w14:paraId="066542D9"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22A7758E"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Southern Queensland</w:t>
            </w:r>
          </w:p>
        </w:tc>
        <w:tc>
          <w:tcPr>
            <w:tcW w:w="1803" w:type="dxa"/>
            <w:tcBorders>
              <w:top w:val="single" w:sz="4" w:space="0" w:color="auto"/>
              <w:left w:val="single" w:sz="4" w:space="0" w:color="auto"/>
              <w:bottom w:val="single" w:sz="4" w:space="0" w:color="auto"/>
              <w:right w:val="single" w:sz="4" w:space="0" w:color="auto"/>
            </w:tcBorders>
            <w:vAlign w:val="center"/>
          </w:tcPr>
          <w:p w14:paraId="0D5599BD" w14:textId="6758A4B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89.0 (84.8, 92.0)</w:t>
            </w:r>
          </w:p>
        </w:tc>
        <w:tc>
          <w:tcPr>
            <w:tcW w:w="1803" w:type="dxa"/>
            <w:tcBorders>
              <w:top w:val="single" w:sz="4" w:space="0" w:color="auto"/>
              <w:left w:val="single" w:sz="4" w:space="0" w:color="auto"/>
              <w:bottom w:val="single" w:sz="4" w:space="0" w:color="auto"/>
              <w:right w:val="single" w:sz="4" w:space="0" w:color="auto"/>
            </w:tcBorders>
            <w:vAlign w:val="center"/>
          </w:tcPr>
          <w:p w14:paraId="27F79046" w14:textId="1C45B06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95.6 (92.3, 97.4)</w:t>
            </w:r>
          </w:p>
        </w:tc>
        <w:tc>
          <w:tcPr>
            <w:tcW w:w="1803" w:type="dxa"/>
            <w:tcBorders>
              <w:top w:val="single" w:sz="4" w:space="0" w:color="auto"/>
              <w:left w:val="single" w:sz="4" w:space="0" w:color="auto"/>
              <w:bottom w:val="single" w:sz="4" w:space="0" w:color="auto"/>
              <w:right w:val="single" w:sz="4" w:space="0" w:color="auto"/>
            </w:tcBorders>
            <w:vAlign w:val="center"/>
          </w:tcPr>
          <w:p w14:paraId="7D013834" w14:textId="254522F3"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95,800 (91,200, 100,300)</w:t>
            </w:r>
          </w:p>
        </w:tc>
        <w:tc>
          <w:tcPr>
            <w:tcW w:w="1804" w:type="dxa"/>
            <w:tcBorders>
              <w:top w:val="single" w:sz="4" w:space="0" w:color="auto"/>
              <w:left w:val="single" w:sz="4" w:space="0" w:color="auto"/>
              <w:bottom w:val="single" w:sz="4" w:space="0" w:color="auto"/>
              <w:right w:val="single" w:sz="4" w:space="0" w:color="auto"/>
            </w:tcBorders>
            <w:vAlign w:val="center"/>
          </w:tcPr>
          <w:p w14:paraId="5DAB0ED7" w14:textId="7DEC1760"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124,400 (117,800, 131,000)</w:t>
            </w:r>
          </w:p>
        </w:tc>
      </w:tr>
      <w:tr w:rsidR="00C22852" w:rsidRPr="00617A89" w14:paraId="170BBEEF"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75C23228"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Tasmania</w:t>
            </w:r>
          </w:p>
        </w:tc>
        <w:tc>
          <w:tcPr>
            <w:tcW w:w="1803" w:type="dxa"/>
            <w:tcBorders>
              <w:top w:val="single" w:sz="4" w:space="0" w:color="auto"/>
              <w:left w:val="single" w:sz="4" w:space="0" w:color="auto"/>
              <w:bottom w:val="single" w:sz="4" w:space="0" w:color="auto"/>
              <w:right w:val="single" w:sz="4" w:space="0" w:color="auto"/>
            </w:tcBorders>
            <w:vAlign w:val="center"/>
          </w:tcPr>
          <w:p w14:paraId="360B12A1" w14:textId="3FE5DE23"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93.8 (91.6, 95.4)</w:t>
            </w:r>
          </w:p>
        </w:tc>
        <w:tc>
          <w:tcPr>
            <w:tcW w:w="1803" w:type="dxa"/>
            <w:tcBorders>
              <w:top w:val="single" w:sz="4" w:space="0" w:color="auto"/>
              <w:left w:val="single" w:sz="4" w:space="0" w:color="auto"/>
              <w:bottom w:val="single" w:sz="4" w:space="0" w:color="auto"/>
              <w:right w:val="single" w:sz="4" w:space="0" w:color="auto"/>
            </w:tcBorders>
            <w:vAlign w:val="center"/>
          </w:tcPr>
          <w:p w14:paraId="61D68C1E" w14:textId="14CC51C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96.2 (94.2, 97.5)</w:t>
            </w:r>
          </w:p>
        </w:tc>
        <w:tc>
          <w:tcPr>
            <w:tcW w:w="1803" w:type="dxa"/>
            <w:tcBorders>
              <w:top w:val="single" w:sz="4" w:space="0" w:color="auto"/>
              <w:left w:val="single" w:sz="4" w:space="0" w:color="auto"/>
              <w:bottom w:val="single" w:sz="4" w:space="0" w:color="auto"/>
              <w:right w:val="single" w:sz="4" w:space="0" w:color="auto"/>
            </w:tcBorders>
            <w:vAlign w:val="center"/>
          </w:tcPr>
          <w:p w14:paraId="323B7B75" w14:textId="616414A2"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91,200 (88,400, 94,000)</w:t>
            </w:r>
          </w:p>
        </w:tc>
        <w:tc>
          <w:tcPr>
            <w:tcW w:w="1804" w:type="dxa"/>
            <w:tcBorders>
              <w:top w:val="single" w:sz="4" w:space="0" w:color="auto"/>
              <w:left w:val="single" w:sz="4" w:space="0" w:color="auto"/>
              <w:bottom w:val="single" w:sz="4" w:space="0" w:color="auto"/>
              <w:right w:val="single" w:sz="4" w:space="0" w:color="auto"/>
            </w:tcBorders>
            <w:vAlign w:val="center"/>
          </w:tcPr>
          <w:p w14:paraId="158E8186" w14:textId="4CD2BF7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114,600 (110,100, 119,000)</w:t>
            </w:r>
          </w:p>
        </w:tc>
      </w:tr>
      <w:tr w:rsidR="00C22852" w:rsidRPr="00617A89" w14:paraId="4131B910"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38A894B7"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Technology Sydney</w:t>
            </w:r>
          </w:p>
        </w:tc>
        <w:tc>
          <w:tcPr>
            <w:tcW w:w="1803" w:type="dxa"/>
            <w:tcBorders>
              <w:top w:val="single" w:sz="4" w:space="0" w:color="auto"/>
              <w:left w:val="single" w:sz="4" w:space="0" w:color="auto"/>
              <w:bottom w:val="single" w:sz="4" w:space="0" w:color="auto"/>
              <w:right w:val="single" w:sz="4" w:space="0" w:color="auto"/>
            </w:tcBorders>
            <w:vAlign w:val="center"/>
          </w:tcPr>
          <w:p w14:paraId="365E0BAB" w14:textId="5BAE8AD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85.2 (81.5, 88.1)</w:t>
            </w:r>
          </w:p>
        </w:tc>
        <w:tc>
          <w:tcPr>
            <w:tcW w:w="1803" w:type="dxa"/>
            <w:tcBorders>
              <w:top w:val="single" w:sz="4" w:space="0" w:color="auto"/>
              <w:left w:val="single" w:sz="4" w:space="0" w:color="auto"/>
              <w:bottom w:val="single" w:sz="4" w:space="0" w:color="auto"/>
              <w:right w:val="single" w:sz="4" w:space="0" w:color="auto"/>
            </w:tcBorders>
            <w:vAlign w:val="center"/>
          </w:tcPr>
          <w:p w14:paraId="50F27B22" w14:textId="025B6E9A"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93.6 (91.0, 95.5)</w:t>
            </w:r>
          </w:p>
        </w:tc>
        <w:tc>
          <w:tcPr>
            <w:tcW w:w="1803" w:type="dxa"/>
            <w:tcBorders>
              <w:top w:val="single" w:sz="4" w:space="0" w:color="auto"/>
              <w:left w:val="single" w:sz="4" w:space="0" w:color="auto"/>
              <w:bottom w:val="single" w:sz="4" w:space="0" w:color="auto"/>
              <w:right w:val="single" w:sz="4" w:space="0" w:color="auto"/>
            </w:tcBorders>
            <w:vAlign w:val="center"/>
          </w:tcPr>
          <w:p w14:paraId="730722D9" w14:textId="2621AD6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91,000 (85,900, 96,100)</w:t>
            </w:r>
          </w:p>
        </w:tc>
        <w:tc>
          <w:tcPr>
            <w:tcW w:w="1804" w:type="dxa"/>
            <w:tcBorders>
              <w:top w:val="single" w:sz="4" w:space="0" w:color="auto"/>
              <w:left w:val="single" w:sz="4" w:space="0" w:color="auto"/>
              <w:bottom w:val="single" w:sz="4" w:space="0" w:color="auto"/>
              <w:right w:val="single" w:sz="4" w:space="0" w:color="auto"/>
            </w:tcBorders>
            <w:vAlign w:val="center"/>
          </w:tcPr>
          <w:p w14:paraId="2EEC7ADA" w14:textId="364CF928"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119,300 (113,700, 124,800)</w:t>
            </w:r>
          </w:p>
        </w:tc>
      </w:tr>
      <w:tr w:rsidR="00C22852" w:rsidRPr="00617A89" w14:paraId="43CC89F4"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2B9579AC"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the Sunshine Coast</w:t>
            </w:r>
          </w:p>
        </w:tc>
        <w:tc>
          <w:tcPr>
            <w:tcW w:w="1803" w:type="dxa"/>
            <w:tcBorders>
              <w:top w:val="single" w:sz="4" w:space="0" w:color="auto"/>
              <w:left w:val="single" w:sz="4" w:space="0" w:color="auto"/>
              <w:bottom w:val="single" w:sz="4" w:space="0" w:color="auto"/>
              <w:right w:val="single" w:sz="4" w:space="0" w:color="auto"/>
            </w:tcBorders>
            <w:vAlign w:val="center"/>
          </w:tcPr>
          <w:p w14:paraId="206993AD" w14:textId="6430F7A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88.6 (78.8, 93.9)</w:t>
            </w:r>
          </w:p>
        </w:tc>
        <w:tc>
          <w:tcPr>
            <w:tcW w:w="1803" w:type="dxa"/>
            <w:tcBorders>
              <w:top w:val="single" w:sz="4" w:space="0" w:color="auto"/>
              <w:left w:val="single" w:sz="4" w:space="0" w:color="auto"/>
              <w:bottom w:val="single" w:sz="4" w:space="0" w:color="auto"/>
              <w:right w:val="single" w:sz="4" w:space="0" w:color="auto"/>
            </w:tcBorders>
            <w:vAlign w:val="center"/>
          </w:tcPr>
          <w:p w14:paraId="0D5325AC" w14:textId="24128C3D"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97.2 (88.0, 99.8)</w:t>
            </w:r>
          </w:p>
        </w:tc>
        <w:tc>
          <w:tcPr>
            <w:tcW w:w="1803" w:type="dxa"/>
            <w:tcBorders>
              <w:top w:val="single" w:sz="4" w:space="0" w:color="auto"/>
              <w:left w:val="single" w:sz="4" w:space="0" w:color="auto"/>
              <w:bottom w:val="single" w:sz="4" w:space="0" w:color="auto"/>
              <w:right w:val="single" w:sz="4" w:space="0" w:color="auto"/>
            </w:tcBorders>
            <w:vAlign w:val="center"/>
          </w:tcPr>
          <w:p w14:paraId="23C019C3" w14:textId="76549E86"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80,000 (71,300, 88,700)</w:t>
            </w:r>
          </w:p>
        </w:tc>
        <w:tc>
          <w:tcPr>
            <w:tcW w:w="1804" w:type="dxa"/>
            <w:tcBorders>
              <w:top w:val="single" w:sz="4" w:space="0" w:color="auto"/>
              <w:left w:val="single" w:sz="4" w:space="0" w:color="auto"/>
              <w:bottom w:val="single" w:sz="4" w:space="0" w:color="auto"/>
              <w:right w:val="single" w:sz="4" w:space="0" w:color="auto"/>
            </w:tcBorders>
            <w:vAlign w:val="center"/>
          </w:tcPr>
          <w:p w14:paraId="416466E7" w14:textId="25C282B9"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103,500 (88,500, 118,500)</w:t>
            </w:r>
          </w:p>
        </w:tc>
      </w:tr>
      <w:tr w:rsidR="00C22852" w:rsidRPr="00617A89" w14:paraId="11124E0B"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18D52DE9"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University of Wollongong</w:t>
            </w:r>
          </w:p>
        </w:tc>
        <w:tc>
          <w:tcPr>
            <w:tcW w:w="1803" w:type="dxa"/>
            <w:tcBorders>
              <w:top w:val="single" w:sz="4" w:space="0" w:color="auto"/>
              <w:left w:val="single" w:sz="4" w:space="0" w:color="auto"/>
              <w:bottom w:val="single" w:sz="4" w:space="0" w:color="auto"/>
              <w:right w:val="single" w:sz="4" w:space="0" w:color="auto"/>
            </w:tcBorders>
            <w:vAlign w:val="center"/>
          </w:tcPr>
          <w:p w14:paraId="454EF612" w14:textId="253285A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94.4 (90.0, 96.8)</w:t>
            </w:r>
          </w:p>
        </w:tc>
        <w:tc>
          <w:tcPr>
            <w:tcW w:w="1803" w:type="dxa"/>
            <w:tcBorders>
              <w:top w:val="single" w:sz="4" w:space="0" w:color="auto"/>
              <w:left w:val="single" w:sz="4" w:space="0" w:color="auto"/>
              <w:bottom w:val="single" w:sz="4" w:space="0" w:color="auto"/>
              <w:right w:val="single" w:sz="4" w:space="0" w:color="auto"/>
            </w:tcBorders>
            <w:vAlign w:val="center"/>
          </w:tcPr>
          <w:p w14:paraId="0142F3C0" w14:textId="4241887E"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96.7 (93.0, 98.5)</w:t>
            </w:r>
          </w:p>
        </w:tc>
        <w:tc>
          <w:tcPr>
            <w:tcW w:w="1803" w:type="dxa"/>
            <w:tcBorders>
              <w:top w:val="single" w:sz="4" w:space="0" w:color="auto"/>
              <w:left w:val="single" w:sz="4" w:space="0" w:color="auto"/>
              <w:bottom w:val="single" w:sz="4" w:space="0" w:color="auto"/>
              <w:right w:val="single" w:sz="4" w:space="0" w:color="auto"/>
            </w:tcBorders>
            <w:vAlign w:val="center"/>
          </w:tcPr>
          <w:p w14:paraId="5628E45E" w14:textId="7304FC73"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99,100 (93,200, 105,100)</w:t>
            </w:r>
          </w:p>
        </w:tc>
        <w:tc>
          <w:tcPr>
            <w:tcW w:w="1804" w:type="dxa"/>
            <w:tcBorders>
              <w:top w:val="single" w:sz="4" w:space="0" w:color="auto"/>
              <w:left w:val="single" w:sz="4" w:space="0" w:color="auto"/>
              <w:bottom w:val="single" w:sz="4" w:space="0" w:color="auto"/>
              <w:right w:val="single" w:sz="4" w:space="0" w:color="auto"/>
            </w:tcBorders>
            <w:vAlign w:val="center"/>
          </w:tcPr>
          <w:p w14:paraId="6724FD32" w14:textId="09C45C77"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119,000 (109,100, 128,900)</w:t>
            </w:r>
          </w:p>
        </w:tc>
      </w:tr>
      <w:tr w:rsidR="00C22852" w:rsidRPr="00617A89" w14:paraId="58DBAEE0"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0648BE89"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Victoria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2FC24CA3" w14:textId="3B993D4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82.7 (77.6, 86.7)</w:t>
            </w:r>
          </w:p>
        </w:tc>
        <w:tc>
          <w:tcPr>
            <w:tcW w:w="1803" w:type="dxa"/>
            <w:tcBorders>
              <w:top w:val="single" w:sz="4" w:space="0" w:color="auto"/>
              <w:left w:val="single" w:sz="4" w:space="0" w:color="auto"/>
              <w:bottom w:val="single" w:sz="4" w:space="0" w:color="auto"/>
              <w:right w:val="single" w:sz="4" w:space="0" w:color="auto"/>
            </w:tcBorders>
            <w:vAlign w:val="center"/>
          </w:tcPr>
          <w:p w14:paraId="4C02CBE7" w14:textId="117031BF"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91.1 (86.9, 93.9)</w:t>
            </w:r>
          </w:p>
        </w:tc>
        <w:tc>
          <w:tcPr>
            <w:tcW w:w="1803" w:type="dxa"/>
            <w:tcBorders>
              <w:top w:val="single" w:sz="4" w:space="0" w:color="auto"/>
              <w:left w:val="single" w:sz="4" w:space="0" w:color="auto"/>
              <w:bottom w:val="single" w:sz="4" w:space="0" w:color="auto"/>
              <w:right w:val="single" w:sz="4" w:space="0" w:color="auto"/>
            </w:tcBorders>
            <w:vAlign w:val="center"/>
          </w:tcPr>
          <w:p w14:paraId="382E58A7" w14:textId="58C8E724"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91,600 (86,100, 97,100)</w:t>
            </w:r>
          </w:p>
        </w:tc>
        <w:tc>
          <w:tcPr>
            <w:tcW w:w="1804" w:type="dxa"/>
            <w:tcBorders>
              <w:top w:val="single" w:sz="4" w:space="0" w:color="auto"/>
              <w:left w:val="single" w:sz="4" w:space="0" w:color="auto"/>
              <w:bottom w:val="single" w:sz="4" w:space="0" w:color="auto"/>
              <w:right w:val="single" w:sz="4" w:space="0" w:color="auto"/>
            </w:tcBorders>
            <w:vAlign w:val="center"/>
          </w:tcPr>
          <w:p w14:paraId="10A65A1C" w14:textId="28BB8021" w:rsidR="00E175F7" w:rsidRPr="00617A89" w:rsidRDefault="00E175F7" w:rsidP="00007781">
            <w:pPr>
              <w:jc w:val="right"/>
              <w:rPr>
                <w:rFonts w:cs="Arial"/>
                <w:color w:val="000000" w:themeColor="text1"/>
                <w:spacing w:val="-2"/>
                <w:sz w:val="18"/>
                <w:szCs w:val="18"/>
                <w:lang w:val="en-GB"/>
              </w:rPr>
            </w:pPr>
            <w:r w:rsidRPr="00617A89">
              <w:rPr>
                <w:rFonts w:cs="Arial"/>
                <w:color w:val="000000" w:themeColor="text1"/>
                <w:sz w:val="18"/>
                <w:szCs w:val="18"/>
              </w:rPr>
              <w:t>112,300 (105,300, 119,200)</w:t>
            </w:r>
          </w:p>
        </w:tc>
      </w:tr>
      <w:tr w:rsidR="00C22852" w:rsidRPr="00617A89" w14:paraId="33B3BC0F"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7ED0A4E2"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617A89">
              <w:rPr>
                <w:rFonts w:cs="Arial"/>
                <w:color w:val="000000" w:themeColor="text1"/>
                <w:sz w:val="18"/>
              </w:rPr>
              <w:t>Western Sydney University</w:t>
            </w:r>
          </w:p>
        </w:tc>
        <w:tc>
          <w:tcPr>
            <w:tcW w:w="1803" w:type="dxa"/>
            <w:tcBorders>
              <w:top w:val="single" w:sz="4" w:space="0" w:color="auto"/>
              <w:left w:val="single" w:sz="4" w:space="0" w:color="auto"/>
              <w:bottom w:val="single" w:sz="4" w:space="0" w:color="auto"/>
              <w:right w:val="single" w:sz="4" w:space="0" w:color="auto"/>
            </w:tcBorders>
            <w:vAlign w:val="center"/>
          </w:tcPr>
          <w:p w14:paraId="25526651" w14:textId="492F8696"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81.6 (76.4, 85.6)</w:t>
            </w:r>
          </w:p>
        </w:tc>
        <w:tc>
          <w:tcPr>
            <w:tcW w:w="1803" w:type="dxa"/>
            <w:tcBorders>
              <w:top w:val="single" w:sz="4" w:space="0" w:color="auto"/>
              <w:left w:val="single" w:sz="4" w:space="0" w:color="auto"/>
              <w:bottom w:val="single" w:sz="4" w:space="0" w:color="auto"/>
              <w:right w:val="single" w:sz="4" w:space="0" w:color="auto"/>
            </w:tcBorders>
            <w:vAlign w:val="center"/>
          </w:tcPr>
          <w:p w14:paraId="652C00C6" w14:textId="50C406AD"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93.8 (89.7, 96.0)</w:t>
            </w:r>
          </w:p>
        </w:tc>
        <w:tc>
          <w:tcPr>
            <w:tcW w:w="1803" w:type="dxa"/>
            <w:tcBorders>
              <w:top w:val="single" w:sz="4" w:space="0" w:color="auto"/>
              <w:left w:val="single" w:sz="4" w:space="0" w:color="auto"/>
              <w:bottom w:val="single" w:sz="4" w:space="0" w:color="auto"/>
              <w:right w:val="single" w:sz="4" w:space="0" w:color="auto"/>
            </w:tcBorders>
            <w:vAlign w:val="center"/>
          </w:tcPr>
          <w:p w14:paraId="36F4B093" w14:textId="64AAF253"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83,500 (75,500, 91,400)</w:t>
            </w:r>
          </w:p>
        </w:tc>
        <w:tc>
          <w:tcPr>
            <w:tcW w:w="1804" w:type="dxa"/>
            <w:tcBorders>
              <w:top w:val="single" w:sz="4" w:space="0" w:color="auto"/>
              <w:left w:val="single" w:sz="4" w:space="0" w:color="auto"/>
              <w:bottom w:val="single" w:sz="4" w:space="0" w:color="auto"/>
              <w:right w:val="single" w:sz="4" w:space="0" w:color="auto"/>
            </w:tcBorders>
            <w:vAlign w:val="center"/>
          </w:tcPr>
          <w:p w14:paraId="3C5C158E" w14:textId="0DCC449B" w:rsidR="00E175F7" w:rsidRPr="00617A89" w:rsidRDefault="00E175F7" w:rsidP="00007781">
            <w:pPr>
              <w:jc w:val="right"/>
              <w:rPr>
                <w:rFonts w:cs="Arial"/>
                <w:color w:val="000000" w:themeColor="text1"/>
                <w:sz w:val="18"/>
                <w:szCs w:val="18"/>
              </w:rPr>
            </w:pPr>
            <w:r w:rsidRPr="00617A89">
              <w:rPr>
                <w:rFonts w:cs="Arial"/>
                <w:color w:val="000000" w:themeColor="text1"/>
                <w:sz w:val="18"/>
                <w:szCs w:val="18"/>
              </w:rPr>
              <w:t>102,000 (96,700, 107,300)</w:t>
            </w:r>
          </w:p>
        </w:tc>
      </w:tr>
      <w:tr w:rsidR="00C22852" w:rsidRPr="00617A89" w14:paraId="5230B629"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11424C44" w14:textId="77777777" w:rsidR="00E175F7" w:rsidRPr="00617A89" w:rsidRDefault="00E175F7" w:rsidP="00E175F7">
            <w:pPr>
              <w:widowControl w:val="0"/>
              <w:suppressAutoHyphens/>
              <w:autoSpaceDE w:val="0"/>
              <w:autoSpaceDN w:val="0"/>
              <w:adjustRightInd w:val="0"/>
              <w:spacing w:before="85" w:line="288" w:lineRule="auto"/>
              <w:textAlignment w:val="center"/>
              <w:rPr>
                <w:rFonts w:cs="Arial"/>
                <w:b/>
                <w:bCs/>
                <w:color w:val="000000" w:themeColor="text1"/>
                <w:sz w:val="18"/>
              </w:rPr>
            </w:pPr>
            <w:r w:rsidRPr="00617A89">
              <w:rPr>
                <w:rFonts w:cs="Arial"/>
                <w:b/>
                <w:bCs/>
                <w:color w:val="000000" w:themeColor="text1"/>
                <w:sz w:val="18"/>
              </w:rPr>
              <w:t>All universities</w:t>
            </w:r>
          </w:p>
        </w:tc>
        <w:tc>
          <w:tcPr>
            <w:tcW w:w="1803" w:type="dxa"/>
            <w:tcBorders>
              <w:top w:val="single" w:sz="4" w:space="0" w:color="auto"/>
              <w:left w:val="single" w:sz="4" w:space="0" w:color="auto"/>
              <w:bottom w:val="single" w:sz="4" w:space="0" w:color="auto"/>
              <w:right w:val="single" w:sz="4" w:space="0" w:color="auto"/>
            </w:tcBorders>
            <w:vAlign w:val="center"/>
          </w:tcPr>
          <w:p w14:paraId="377484C0" w14:textId="129B9823" w:rsidR="00E175F7" w:rsidRPr="00617A89" w:rsidRDefault="00E175F7" w:rsidP="00007781">
            <w:pPr>
              <w:jc w:val="right"/>
              <w:rPr>
                <w:rFonts w:cs="Arial"/>
                <w:b/>
                <w:bCs/>
                <w:color w:val="000000" w:themeColor="text1"/>
                <w:sz w:val="18"/>
                <w:szCs w:val="18"/>
              </w:rPr>
            </w:pPr>
            <w:r w:rsidRPr="00617A89">
              <w:rPr>
                <w:rFonts w:cs="Arial"/>
                <w:b/>
                <w:bCs/>
                <w:color w:val="000000" w:themeColor="text1"/>
                <w:sz w:val="18"/>
                <w:szCs w:val="18"/>
              </w:rPr>
              <w:t>89.3 (88.8, 89.7)</w:t>
            </w:r>
          </w:p>
        </w:tc>
        <w:tc>
          <w:tcPr>
            <w:tcW w:w="1803" w:type="dxa"/>
            <w:tcBorders>
              <w:top w:val="single" w:sz="4" w:space="0" w:color="auto"/>
              <w:left w:val="single" w:sz="4" w:space="0" w:color="auto"/>
              <w:bottom w:val="single" w:sz="4" w:space="0" w:color="auto"/>
              <w:right w:val="single" w:sz="4" w:space="0" w:color="auto"/>
            </w:tcBorders>
            <w:vAlign w:val="center"/>
          </w:tcPr>
          <w:p w14:paraId="0C158E7F" w14:textId="3A0BC200" w:rsidR="00E175F7" w:rsidRPr="00617A89" w:rsidRDefault="00E175F7" w:rsidP="00007781">
            <w:pPr>
              <w:jc w:val="right"/>
              <w:rPr>
                <w:rFonts w:cs="Arial"/>
                <w:b/>
                <w:bCs/>
                <w:color w:val="000000" w:themeColor="text1"/>
                <w:sz w:val="18"/>
                <w:szCs w:val="18"/>
              </w:rPr>
            </w:pPr>
            <w:r w:rsidRPr="00617A89">
              <w:rPr>
                <w:rFonts w:cs="Arial"/>
                <w:b/>
                <w:bCs/>
                <w:color w:val="000000" w:themeColor="text1"/>
                <w:sz w:val="18"/>
                <w:szCs w:val="18"/>
              </w:rPr>
              <w:t>95.3 (95.0, 95.6)</w:t>
            </w:r>
          </w:p>
        </w:tc>
        <w:tc>
          <w:tcPr>
            <w:tcW w:w="1803" w:type="dxa"/>
            <w:tcBorders>
              <w:top w:val="single" w:sz="4" w:space="0" w:color="auto"/>
              <w:left w:val="single" w:sz="4" w:space="0" w:color="auto"/>
              <w:bottom w:val="single" w:sz="4" w:space="0" w:color="auto"/>
              <w:right w:val="single" w:sz="4" w:space="0" w:color="auto"/>
            </w:tcBorders>
            <w:vAlign w:val="center"/>
          </w:tcPr>
          <w:p w14:paraId="06B0C8DF" w14:textId="63086662" w:rsidR="00E175F7" w:rsidRPr="00617A89" w:rsidRDefault="00E175F7" w:rsidP="00007781">
            <w:pPr>
              <w:jc w:val="right"/>
              <w:rPr>
                <w:rFonts w:cs="Arial"/>
                <w:b/>
                <w:bCs/>
                <w:color w:val="000000" w:themeColor="text1"/>
                <w:sz w:val="18"/>
                <w:szCs w:val="18"/>
              </w:rPr>
            </w:pPr>
            <w:r w:rsidRPr="00617A89">
              <w:rPr>
                <w:rFonts w:cs="Arial"/>
                <w:b/>
                <w:bCs/>
                <w:color w:val="000000" w:themeColor="text1"/>
                <w:sz w:val="18"/>
                <w:szCs w:val="18"/>
              </w:rPr>
              <w:t>91,800 (91,000, 92,700)</w:t>
            </w:r>
          </w:p>
        </w:tc>
        <w:tc>
          <w:tcPr>
            <w:tcW w:w="1804" w:type="dxa"/>
            <w:tcBorders>
              <w:top w:val="single" w:sz="4" w:space="0" w:color="auto"/>
              <w:left w:val="single" w:sz="4" w:space="0" w:color="auto"/>
              <w:bottom w:val="single" w:sz="4" w:space="0" w:color="auto"/>
              <w:right w:val="single" w:sz="4" w:space="0" w:color="auto"/>
            </w:tcBorders>
            <w:vAlign w:val="center"/>
          </w:tcPr>
          <w:p w14:paraId="4FFA58E2" w14:textId="2A818105" w:rsidR="00E175F7" w:rsidRPr="00617A89" w:rsidRDefault="00E175F7" w:rsidP="00007781">
            <w:pPr>
              <w:jc w:val="right"/>
              <w:rPr>
                <w:rFonts w:cs="Arial"/>
                <w:b/>
                <w:bCs/>
                <w:color w:val="000000" w:themeColor="text1"/>
                <w:sz w:val="18"/>
                <w:szCs w:val="18"/>
              </w:rPr>
            </w:pPr>
            <w:r w:rsidRPr="00617A89">
              <w:rPr>
                <w:rFonts w:cs="Arial"/>
                <w:b/>
                <w:bCs/>
                <w:color w:val="000000" w:themeColor="text1"/>
                <w:sz w:val="18"/>
                <w:szCs w:val="18"/>
              </w:rPr>
              <w:t>115,000 (114,200, 115,800)</w:t>
            </w:r>
          </w:p>
        </w:tc>
      </w:tr>
      <w:tr w:rsidR="00C22852" w:rsidRPr="00617A89" w14:paraId="1D77539A" w14:textId="77777777" w:rsidTr="002D3B23">
        <w:tc>
          <w:tcPr>
            <w:tcW w:w="3337" w:type="dxa"/>
            <w:tcBorders>
              <w:top w:val="single" w:sz="4" w:space="0" w:color="auto"/>
              <w:left w:val="single" w:sz="4" w:space="0" w:color="auto"/>
              <w:bottom w:val="single" w:sz="4" w:space="0" w:color="auto"/>
              <w:right w:val="single" w:sz="4" w:space="0" w:color="auto"/>
            </w:tcBorders>
            <w:vAlign w:val="center"/>
          </w:tcPr>
          <w:p w14:paraId="31C9177D" w14:textId="77777777" w:rsidR="0080139E" w:rsidRPr="00617A89" w:rsidRDefault="0080139E" w:rsidP="0080139E">
            <w:pPr>
              <w:widowControl w:val="0"/>
              <w:suppressAutoHyphens/>
              <w:autoSpaceDE w:val="0"/>
              <w:autoSpaceDN w:val="0"/>
              <w:adjustRightInd w:val="0"/>
              <w:spacing w:before="85" w:line="288" w:lineRule="auto"/>
              <w:textAlignment w:val="center"/>
              <w:rPr>
                <w:rStyle w:val="AtleticoMED"/>
                <w:rFonts w:cs="Arial"/>
                <w:color w:val="000000" w:themeColor="text1"/>
                <w:sz w:val="18"/>
              </w:rPr>
            </w:pPr>
            <w:r w:rsidRPr="00617A89">
              <w:rPr>
                <w:rFonts w:cs="Arial"/>
                <w:color w:val="000000" w:themeColor="text1"/>
                <w:sz w:val="18"/>
              </w:rPr>
              <w:t>Standard deviation</w:t>
            </w:r>
          </w:p>
        </w:tc>
        <w:tc>
          <w:tcPr>
            <w:tcW w:w="1803" w:type="dxa"/>
            <w:tcBorders>
              <w:top w:val="single" w:sz="4" w:space="0" w:color="auto"/>
              <w:left w:val="single" w:sz="4" w:space="0" w:color="auto"/>
              <w:bottom w:val="single" w:sz="4" w:space="0" w:color="auto"/>
              <w:right w:val="single" w:sz="4" w:space="0" w:color="auto"/>
            </w:tcBorders>
            <w:vAlign w:val="center"/>
          </w:tcPr>
          <w:p w14:paraId="0A96F306" w14:textId="0BD04C38" w:rsidR="0080139E" w:rsidRPr="00617A89" w:rsidRDefault="0080139E" w:rsidP="00007781">
            <w:pPr>
              <w:jc w:val="right"/>
              <w:rPr>
                <w:rFonts w:cs="Arial"/>
                <w:color w:val="000000" w:themeColor="text1"/>
                <w:sz w:val="18"/>
                <w:szCs w:val="18"/>
              </w:rPr>
            </w:pPr>
            <w:r w:rsidRPr="00617A89">
              <w:rPr>
                <w:rFonts w:cs="Arial"/>
                <w:color w:val="000000" w:themeColor="text1"/>
                <w:sz w:val="18"/>
                <w:szCs w:val="18"/>
              </w:rPr>
              <w:t>4.0</w:t>
            </w:r>
          </w:p>
        </w:tc>
        <w:tc>
          <w:tcPr>
            <w:tcW w:w="1803" w:type="dxa"/>
            <w:tcBorders>
              <w:top w:val="single" w:sz="4" w:space="0" w:color="auto"/>
              <w:left w:val="single" w:sz="4" w:space="0" w:color="auto"/>
              <w:bottom w:val="single" w:sz="4" w:space="0" w:color="auto"/>
              <w:right w:val="single" w:sz="4" w:space="0" w:color="auto"/>
            </w:tcBorders>
            <w:vAlign w:val="center"/>
          </w:tcPr>
          <w:p w14:paraId="5BF5F423" w14:textId="77777777" w:rsidR="0080139E" w:rsidRPr="00617A89" w:rsidRDefault="0080139E" w:rsidP="00007781">
            <w:pPr>
              <w:jc w:val="right"/>
              <w:rPr>
                <w:rFonts w:cs="Arial"/>
                <w:color w:val="000000" w:themeColor="text1"/>
                <w:sz w:val="18"/>
                <w:szCs w:val="18"/>
              </w:rPr>
            </w:pPr>
            <w:r w:rsidRPr="00617A89">
              <w:rPr>
                <w:rFonts w:cs="Arial"/>
                <w:color w:val="000000" w:themeColor="text1"/>
                <w:sz w:val="18"/>
                <w:szCs w:val="18"/>
              </w:rPr>
              <w:t>2.3</w:t>
            </w:r>
          </w:p>
        </w:tc>
        <w:tc>
          <w:tcPr>
            <w:tcW w:w="1803" w:type="dxa"/>
            <w:tcBorders>
              <w:top w:val="single" w:sz="4" w:space="0" w:color="auto"/>
              <w:left w:val="single" w:sz="4" w:space="0" w:color="auto"/>
              <w:bottom w:val="single" w:sz="4" w:space="0" w:color="auto"/>
              <w:right w:val="single" w:sz="4" w:space="0" w:color="auto"/>
            </w:tcBorders>
            <w:vAlign w:val="center"/>
          </w:tcPr>
          <w:p w14:paraId="05A3BD15" w14:textId="0AA6F2B4" w:rsidR="0080139E" w:rsidRPr="00617A89" w:rsidRDefault="0080139E" w:rsidP="00007781">
            <w:pPr>
              <w:jc w:val="right"/>
              <w:rPr>
                <w:rFonts w:cs="Arial"/>
                <w:color w:val="000000" w:themeColor="text1"/>
                <w:sz w:val="18"/>
                <w:szCs w:val="18"/>
              </w:rPr>
            </w:pPr>
            <w:r w:rsidRPr="00617A89">
              <w:rPr>
                <w:rFonts w:cs="Arial"/>
                <w:color w:val="000000" w:themeColor="text1"/>
                <w:sz w:val="18"/>
                <w:szCs w:val="18"/>
              </w:rPr>
              <w:t>8,700</w:t>
            </w:r>
          </w:p>
        </w:tc>
        <w:tc>
          <w:tcPr>
            <w:tcW w:w="1804" w:type="dxa"/>
            <w:tcBorders>
              <w:top w:val="single" w:sz="4" w:space="0" w:color="auto"/>
              <w:left w:val="single" w:sz="4" w:space="0" w:color="auto"/>
              <w:bottom w:val="single" w:sz="4" w:space="0" w:color="auto"/>
              <w:right w:val="single" w:sz="4" w:space="0" w:color="auto"/>
            </w:tcBorders>
            <w:vAlign w:val="center"/>
          </w:tcPr>
          <w:p w14:paraId="75998459" w14:textId="0A10FAFA" w:rsidR="0080139E" w:rsidRPr="00617A89" w:rsidRDefault="0080139E" w:rsidP="00007781">
            <w:pPr>
              <w:jc w:val="right"/>
              <w:rPr>
                <w:rFonts w:cs="Arial"/>
                <w:color w:val="000000" w:themeColor="text1"/>
                <w:sz w:val="18"/>
                <w:szCs w:val="18"/>
              </w:rPr>
            </w:pPr>
            <w:r w:rsidRPr="00617A89">
              <w:rPr>
                <w:rFonts w:cs="Arial"/>
                <w:color w:val="000000" w:themeColor="text1"/>
                <w:sz w:val="18"/>
                <w:szCs w:val="18"/>
              </w:rPr>
              <w:t>10,400</w:t>
            </w:r>
          </w:p>
        </w:tc>
      </w:tr>
    </w:tbl>
    <w:p w14:paraId="12B9E958" w14:textId="77777777" w:rsidR="00643923" w:rsidRPr="00617A89" w:rsidRDefault="00643923" w:rsidP="00FF3463">
      <w:pPr>
        <w:pStyle w:val="FigureNote"/>
        <w:rPr>
          <w:color w:val="000000" w:themeColor="text1"/>
          <w:sz w:val="18"/>
          <w:szCs w:val="24"/>
        </w:rPr>
      </w:pPr>
      <w:r w:rsidRPr="00617A89">
        <w:rPr>
          <w:color w:val="000000" w:themeColor="text1"/>
          <w:sz w:val="18"/>
          <w:szCs w:val="24"/>
        </w:rPr>
        <w:t>Note: Cells marked with n/a had too few responses for meaningful analysis.</w:t>
      </w:r>
    </w:p>
    <w:p w14:paraId="49B21BEA" w14:textId="02A578D6" w:rsidR="00CF12E9" w:rsidRPr="00617A89" w:rsidRDefault="007A7B63" w:rsidP="00FF3463">
      <w:pPr>
        <w:pStyle w:val="FigureNote"/>
        <w:rPr>
          <w:color w:val="000000" w:themeColor="text1"/>
          <w:sz w:val="18"/>
          <w:szCs w:val="24"/>
        </w:rPr>
      </w:pPr>
      <w:r w:rsidRPr="00617A89">
        <w:rPr>
          <w:color w:val="000000" w:themeColor="text1"/>
          <w:sz w:val="18"/>
          <w:szCs w:val="24"/>
        </w:rPr>
        <w:t xml:space="preserve">* </w:t>
      </w:r>
      <w:r w:rsidR="00F31940" w:rsidRPr="00617A89">
        <w:rPr>
          <w:color w:val="000000" w:themeColor="text1"/>
          <w:sz w:val="18"/>
          <w:szCs w:val="24"/>
        </w:rPr>
        <w:t>In December 2024, the Tertiary Education Quality Standards Agency (TEQSA) changed the provider category in which the Australian University of Theology was registered to Australian University</w:t>
      </w:r>
      <w:r w:rsidRPr="00617A89">
        <w:rPr>
          <w:color w:val="000000" w:themeColor="text1"/>
          <w:sz w:val="18"/>
          <w:szCs w:val="24"/>
        </w:rPr>
        <w:t xml:space="preserve">. Prior to this, the institution was known as the Australian College of Theology and was classified as a NUHEI. The outcomes presented in this </w:t>
      </w:r>
      <w:r w:rsidR="00F77A67" w:rsidRPr="00617A89">
        <w:rPr>
          <w:color w:val="000000" w:themeColor="text1"/>
          <w:sz w:val="18"/>
          <w:szCs w:val="24"/>
        </w:rPr>
        <w:t>table</w:t>
      </w:r>
      <w:r w:rsidRPr="00617A89">
        <w:rPr>
          <w:color w:val="000000" w:themeColor="text1"/>
          <w:sz w:val="18"/>
          <w:szCs w:val="24"/>
        </w:rPr>
        <w:t xml:space="preserve"> are for graduates who completed their studies when the institution was </w:t>
      </w:r>
      <w:r w:rsidR="00F31940" w:rsidRPr="00617A89">
        <w:rPr>
          <w:color w:val="000000" w:themeColor="text1"/>
          <w:sz w:val="18"/>
          <w:szCs w:val="24"/>
        </w:rPr>
        <w:t xml:space="preserve">classified as </w:t>
      </w:r>
      <w:r w:rsidRPr="00617A89">
        <w:rPr>
          <w:color w:val="000000" w:themeColor="text1"/>
          <w:sz w:val="18"/>
          <w:szCs w:val="24"/>
        </w:rPr>
        <w:t>a NUHEI.</w:t>
      </w:r>
    </w:p>
    <w:p w14:paraId="63FD5E84" w14:textId="21EBF374" w:rsidR="00CF12E9" w:rsidRPr="00617A89" w:rsidRDefault="00CF12E9" w:rsidP="00FF7566">
      <w:pPr>
        <w:pStyle w:val="Body"/>
        <w:rPr>
          <w:color w:val="000000" w:themeColor="text1"/>
        </w:rPr>
        <w:sectPr w:rsidR="00CF12E9" w:rsidRPr="00617A89" w:rsidSect="007D477C">
          <w:pgSz w:w="11900" w:h="16840"/>
          <w:pgMar w:top="720" w:right="720" w:bottom="720" w:left="720" w:header="397" w:footer="397" w:gutter="0"/>
          <w:cols w:space="708"/>
          <w:docGrid w:linePitch="360"/>
        </w:sectPr>
      </w:pPr>
    </w:p>
    <w:bookmarkEnd w:id="106"/>
    <w:bookmarkEnd w:id="107"/>
    <w:p w14:paraId="793294BA" w14:textId="46C8050C" w:rsidR="00034502" w:rsidRPr="00617A89" w:rsidRDefault="00A635D1" w:rsidP="00A635D1">
      <w:pPr>
        <w:tabs>
          <w:tab w:val="left" w:pos="3689"/>
        </w:tabs>
        <w:spacing w:before="10080" w:after="120"/>
        <w:rPr>
          <w:rFonts w:asciiTheme="minorBidi" w:hAnsiTheme="minorBidi"/>
          <w:color w:val="000000" w:themeColor="text1"/>
          <w:sz w:val="16"/>
          <w:szCs w:val="16"/>
        </w:rPr>
      </w:pPr>
      <w:r w:rsidRPr="00617A89">
        <w:rPr>
          <w:rFonts w:asciiTheme="minorBidi" w:hAnsiTheme="minorBidi"/>
          <w:color w:val="000000" w:themeColor="text1"/>
          <w:sz w:val="16"/>
          <w:szCs w:val="16"/>
        </w:rPr>
        <w:br w:type="textWrapping" w:clear="all"/>
      </w:r>
    </w:p>
    <w:p w14:paraId="6D35019A" w14:textId="570CF2E3" w:rsidR="00034502" w:rsidRPr="00617A89" w:rsidRDefault="00034502" w:rsidP="00034502">
      <w:pPr>
        <w:spacing w:before="240" w:after="120"/>
        <w:rPr>
          <w:rFonts w:asciiTheme="minorBidi" w:hAnsiTheme="minorBidi"/>
          <w:color w:val="000000" w:themeColor="text1"/>
          <w:sz w:val="16"/>
          <w:szCs w:val="16"/>
        </w:rPr>
      </w:pPr>
      <w:r w:rsidRPr="00617A89">
        <w:rPr>
          <w:rFonts w:asciiTheme="minorBidi" w:hAnsiTheme="minorBidi"/>
          <w:color w:val="000000" w:themeColor="text1"/>
          <w:sz w:val="16"/>
          <w:szCs w:val="16"/>
        </w:rPr>
        <w:t>Level 5, 350 Queen Street</w:t>
      </w:r>
      <w:r w:rsidRPr="00617A89">
        <w:rPr>
          <w:rFonts w:asciiTheme="minorBidi" w:hAnsiTheme="minorBidi"/>
          <w:color w:val="000000" w:themeColor="text1"/>
          <w:sz w:val="16"/>
          <w:szCs w:val="16"/>
        </w:rPr>
        <w:br/>
        <w:t>Melbourne VIC 3000</w:t>
      </w:r>
    </w:p>
    <w:p w14:paraId="784893ED" w14:textId="74261EEB" w:rsidR="00034502" w:rsidRPr="00617A89" w:rsidRDefault="00034502" w:rsidP="00034502">
      <w:pPr>
        <w:spacing w:before="240" w:after="120"/>
        <w:rPr>
          <w:rFonts w:asciiTheme="minorBidi" w:hAnsiTheme="minorBidi"/>
          <w:color w:val="000000" w:themeColor="text1"/>
          <w:sz w:val="16"/>
          <w:szCs w:val="16"/>
        </w:rPr>
      </w:pPr>
      <w:r w:rsidRPr="00617A89">
        <w:rPr>
          <w:rFonts w:asciiTheme="minorBidi" w:hAnsiTheme="minorBidi"/>
          <w:color w:val="000000" w:themeColor="text1"/>
          <w:sz w:val="16"/>
          <w:szCs w:val="16"/>
        </w:rPr>
        <w:t>PO Box 13328</w:t>
      </w:r>
      <w:r w:rsidRPr="00617A89">
        <w:rPr>
          <w:rFonts w:asciiTheme="minorBidi" w:hAnsiTheme="minorBidi"/>
          <w:color w:val="000000" w:themeColor="text1"/>
          <w:sz w:val="16"/>
          <w:szCs w:val="16"/>
        </w:rPr>
        <w:br/>
        <w:t>Law Courts VIC 8010</w:t>
      </w:r>
    </w:p>
    <w:p w14:paraId="49BCF94D" w14:textId="77777777" w:rsidR="00034502" w:rsidRPr="00617A89" w:rsidRDefault="00034502" w:rsidP="00034502">
      <w:pPr>
        <w:spacing w:before="120" w:after="120"/>
        <w:rPr>
          <w:rFonts w:asciiTheme="minorBidi" w:hAnsiTheme="minorBidi"/>
          <w:color w:val="000000" w:themeColor="text1"/>
          <w:sz w:val="16"/>
          <w:szCs w:val="16"/>
        </w:rPr>
      </w:pPr>
      <w:r w:rsidRPr="00617A89">
        <w:rPr>
          <w:rFonts w:asciiTheme="minorBidi" w:hAnsiTheme="minorBidi"/>
          <w:color w:val="000000" w:themeColor="text1"/>
          <w:sz w:val="16"/>
          <w:szCs w:val="16"/>
        </w:rPr>
        <w:t>Phone (61 3) 9114 1003</w:t>
      </w:r>
    </w:p>
    <w:p w14:paraId="606B6ACF" w14:textId="5918F29D" w:rsidR="00034502" w:rsidRPr="00617A89" w:rsidRDefault="00034502" w:rsidP="00034502">
      <w:pPr>
        <w:spacing w:before="240" w:after="120"/>
        <w:rPr>
          <w:rFonts w:asciiTheme="minorBidi" w:hAnsiTheme="minorBidi"/>
          <w:color w:val="000000" w:themeColor="text1"/>
          <w:sz w:val="16"/>
          <w:szCs w:val="16"/>
        </w:rPr>
      </w:pPr>
      <w:hyperlink r:id="rId120" w:history="1">
        <w:r w:rsidRPr="00617A89">
          <w:rPr>
            <w:rStyle w:val="Hyperlink"/>
            <w:rFonts w:asciiTheme="minorBidi" w:hAnsiTheme="minorBidi"/>
            <w:sz w:val="16"/>
            <w:szCs w:val="16"/>
          </w:rPr>
          <w:t>qilt@srcentre.com.au</w:t>
        </w:r>
      </w:hyperlink>
      <w:r w:rsidRPr="00617A89">
        <w:rPr>
          <w:rFonts w:asciiTheme="minorBidi" w:hAnsiTheme="minorBidi"/>
          <w:color w:val="000000" w:themeColor="text1"/>
          <w:sz w:val="16"/>
          <w:szCs w:val="16"/>
        </w:rPr>
        <w:br/>
      </w:r>
      <w:hyperlink r:id="rId121" w:history="1">
        <w:r w:rsidRPr="00617A89">
          <w:rPr>
            <w:rStyle w:val="Hyperlink"/>
            <w:rFonts w:asciiTheme="minorBidi" w:hAnsiTheme="minorBidi"/>
            <w:b/>
            <w:bCs/>
            <w:sz w:val="16"/>
            <w:szCs w:val="16"/>
          </w:rPr>
          <w:t>www.qilt.com.au</w:t>
        </w:r>
      </w:hyperlink>
    </w:p>
    <w:p w14:paraId="4EDF0CD5" w14:textId="027666A5" w:rsidR="007D3E2A" w:rsidRPr="00C22852" w:rsidRDefault="00A635D1" w:rsidP="00034502">
      <w:pPr>
        <w:pStyle w:val="Footerrunning"/>
        <w:spacing w:after="120" w:line="240" w:lineRule="auto"/>
        <w:ind w:right="1134"/>
        <w:rPr>
          <w:rFonts w:asciiTheme="minorBidi" w:hAnsiTheme="minorBidi"/>
          <w:color w:val="000000" w:themeColor="text1"/>
          <w:sz w:val="12"/>
          <w:szCs w:val="12"/>
        </w:rPr>
      </w:pPr>
      <w:r w:rsidRPr="00617A89">
        <w:rPr>
          <w:rFonts w:asciiTheme="minorBidi" w:hAnsiTheme="minorBidi"/>
          <w:noProof/>
          <w:color w:val="000000" w:themeColor="text1"/>
          <w:sz w:val="16"/>
          <w:szCs w:val="16"/>
        </w:rPr>
        <w:drawing>
          <wp:anchor distT="0" distB="0" distL="114300" distR="114300" simplePos="0" relativeHeight="251658240" behindDoc="0" locked="0" layoutInCell="1" allowOverlap="1" wp14:anchorId="3C054ADB" wp14:editId="54968DC1">
            <wp:simplePos x="0" y="0"/>
            <wp:positionH relativeFrom="column">
              <wp:posOffset>9525</wp:posOffset>
            </wp:positionH>
            <wp:positionV relativeFrom="paragraph">
              <wp:posOffset>829310</wp:posOffset>
            </wp:positionV>
            <wp:extent cx="1224501" cy="412754"/>
            <wp:effectExtent l="0" t="0" r="0" b="6350"/>
            <wp:wrapSquare wrapText="bothSides"/>
            <wp:docPr id="1206510048" name="Graphic 12"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10048" name="Graphic 12" descr="The Social Research Centre logo"/>
                    <pic:cNvPicPr/>
                  </pic:nvPicPr>
                  <pic:blipFill>
                    <a:blip r:embed="rId122">
                      <a:extLst>
                        <a:ext uri="{96DAC541-7B7A-43D3-8B79-37D633B846F1}">
                          <asvg:svgBlip xmlns:asvg="http://schemas.microsoft.com/office/drawing/2016/SVG/main" r:embed="rId123"/>
                        </a:ext>
                      </a:extLst>
                    </a:blip>
                    <a:stretch>
                      <a:fillRect/>
                    </a:stretch>
                  </pic:blipFill>
                  <pic:spPr>
                    <a:xfrm>
                      <a:off x="0" y="0"/>
                      <a:ext cx="1224501" cy="412754"/>
                    </a:xfrm>
                    <a:prstGeom prst="rect">
                      <a:avLst/>
                    </a:prstGeom>
                  </pic:spPr>
                </pic:pic>
              </a:graphicData>
            </a:graphic>
          </wp:anchor>
        </w:drawing>
      </w:r>
      <w:r w:rsidR="00034502" w:rsidRPr="00617A89">
        <w:rPr>
          <w:rFonts w:asciiTheme="minorBidi" w:hAnsiTheme="minorBidi"/>
          <w:color w:val="000000" w:themeColor="text1"/>
          <w:sz w:val="12"/>
          <w:szCs w:val="12"/>
        </w:rPr>
        <w:br/>
        <w:t xml:space="preserve">The version of this publication is aimed to assist those with various </w:t>
      </w:r>
      <w:r w:rsidR="00034502" w:rsidRPr="00617A89">
        <w:rPr>
          <w:rFonts w:asciiTheme="minorBidi" w:hAnsiTheme="minorBidi"/>
          <w:color w:val="000000" w:themeColor="text1"/>
          <w:sz w:val="12"/>
          <w:szCs w:val="12"/>
        </w:rPr>
        <w:br/>
        <w:t xml:space="preserve">vision impairments; however, The Social Research Centre and its </w:t>
      </w:r>
      <w:r w:rsidR="00034502" w:rsidRPr="00617A89">
        <w:rPr>
          <w:rFonts w:asciiTheme="minorBidi" w:hAnsiTheme="minorBidi"/>
          <w:color w:val="000000" w:themeColor="text1"/>
          <w:sz w:val="12"/>
          <w:szCs w:val="12"/>
        </w:rPr>
        <w:br/>
        <w:t xml:space="preserve">employees do not guarantee that the publication meets all broad </w:t>
      </w:r>
      <w:r w:rsidR="00034502" w:rsidRPr="00617A89">
        <w:rPr>
          <w:rFonts w:asciiTheme="minorBidi" w:hAnsiTheme="minorBidi"/>
          <w:color w:val="000000" w:themeColor="text1"/>
          <w:sz w:val="12"/>
          <w:szCs w:val="12"/>
        </w:rPr>
        <w:br/>
        <w:t xml:space="preserve">accessibility standards and therefore disclaim all liability for any </w:t>
      </w:r>
      <w:r w:rsidR="00034502" w:rsidRPr="00617A89">
        <w:rPr>
          <w:rFonts w:asciiTheme="minorBidi" w:hAnsiTheme="minorBidi"/>
          <w:color w:val="000000" w:themeColor="text1"/>
          <w:sz w:val="12"/>
          <w:szCs w:val="12"/>
        </w:rPr>
        <w:br/>
        <w:t xml:space="preserve">inconvenience or other consequence that may arise from readers </w:t>
      </w:r>
      <w:r w:rsidR="00034502" w:rsidRPr="00617A89">
        <w:rPr>
          <w:rFonts w:asciiTheme="minorBidi" w:hAnsiTheme="minorBidi"/>
          <w:color w:val="000000" w:themeColor="text1"/>
          <w:sz w:val="12"/>
          <w:szCs w:val="12"/>
        </w:rPr>
        <w:br/>
        <w:t xml:space="preserve">relying on this publication. Please contact The Social Research </w:t>
      </w:r>
      <w:r w:rsidR="00034502" w:rsidRPr="00617A89">
        <w:rPr>
          <w:rFonts w:asciiTheme="minorBidi" w:hAnsiTheme="minorBidi"/>
          <w:color w:val="000000" w:themeColor="text1"/>
          <w:sz w:val="12"/>
          <w:szCs w:val="12"/>
        </w:rPr>
        <w:br/>
        <w:t>Centre if you require further assistance.</w:t>
      </w:r>
    </w:p>
    <w:sectPr w:rsidR="007D3E2A" w:rsidRPr="00C22852" w:rsidSect="00034502">
      <w:headerReference w:type="even" r:id="rId124"/>
      <w:headerReference w:type="default" r:id="rId125"/>
      <w:footerReference w:type="even" r:id="rId126"/>
      <w:footerReference w:type="default" r:id="rId127"/>
      <w:headerReference w:type="first" r:id="rId128"/>
      <w:pgSz w:w="11906" w:h="16838" w:code="9"/>
      <w:pgMar w:top="1134" w:right="397" w:bottom="397" w:left="397" w:header="57" w:footer="28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9A5B7" w14:textId="77777777" w:rsidR="005220FC" w:rsidRDefault="005220FC" w:rsidP="00BE7643">
      <w:r>
        <w:separator/>
      </w:r>
    </w:p>
  </w:endnote>
  <w:endnote w:type="continuationSeparator" w:id="0">
    <w:p w14:paraId="5E6A338B" w14:textId="77777777" w:rsidR="005220FC" w:rsidRDefault="005220FC" w:rsidP="00BE7643">
      <w:r>
        <w:continuationSeparator/>
      </w:r>
    </w:p>
  </w:endnote>
  <w:endnote w:type="continuationNotice" w:id="1">
    <w:p w14:paraId="0C1BF6F4" w14:textId="77777777" w:rsidR="005220FC" w:rsidRDefault="00522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DengXian">
    <w:panose1 w:val="02010600030101010101"/>
    <w:charset w:val="86"/>
    <w:family w:val="auto"/>
    <w:pitch w:val="variable"/>
    <w:sig w:usb0="A00002BF" w:usb1="38CF7CFA" w:usb2="00000016" w:usb3="00000000" w:csb0="0004000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tletico-Medium">
    <w:altName w:val="Calibri"/>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 Sans ExtraLight">
    <w:panose1 w:val="00000000000000000000"/>
    <w:charset w:val="00"/>
    <w:family w:val="auto"/>
    <w:pitch w:val="variable"/>
    <w:sig w:usb0="A00000FF" w:usb1="4000205B" w:usb2="00000000" w:usb3="00000000" w:csb0="00000193" w:csb1="00000000"/>
  </w:font>
  <w:font w:name="Quicksand SemiBold">
    <w:panose1 w:val="00000000000000000000"/>
    <w:charset w:val="00"/>
    <w:family w:val="auto"/>
    <w:pitch w:val="variable"/>
    <w:sig w:usb0="A00000FF" w:usb1="4000205B" w:usb2="00000000" w:usb3="00000000" w:csb0="00000193" w:csb1="00000000"/>
  </w:font>
  <w:font w:name="Lato">
    <w:charset w:val="00"/>
    <w:family w:val="swiss"/>
    <w:pitch w:val="variable"/>
    <w:sig w:usb0="E10002FF" w:usb1="5000ECFF" w:usb2="00000021" w:usb3="00000000" w:csb0="0000019F" w:csb1="00000000"/>
  </w:font>
  <w:font w:name="MS Mincho">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F9EB" w14:textId="1914C1C6" w:rsidR="00A01394" w:rsidRPr="00A01394" w:rsidRDefault="00A01394" w:rsidP="00A01394">
    <w:pPr>
      <w:pStyle w:val="Footer"/>
      <w:tabs>
        <w:tab w:val="clear" w:pos="4513"/>
        <w:tab w:val="clear" w:pos="9026"/>
        <w:tab w:val="right" w:pos="9639"/>
      </w:tabs>
      <w:rPr>
        <w:rFonts w:cs="Arial"/>
        <w:sz w:val="18"/>
      </w:rPr>
    </w:pP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B07A" w14:textId="77777777" w:rsidR="00C22852" w:rsidRPr="00F91A59" w:rsidRDefault="00C22852" w:rsidP="00A01394">
    <w:pPr>
      <w:pStyle w:val="Footer"/>
      <w:tabs>
        <w:tab w:val="right" w:pos="9639"/>
      </w:tabs>
      <w:rPr>
        <w:rFonts w:cs="Arial"/>
        <w:sz w:val="18"/>
      </w:rPr>
    </w:pPr>
    <w:r w:rsidRPr="00F91A59">
      <w:rPr>
        <w:rFonts w:cs="Arial"/>
        <w:noProof/>
        <w:sz w:val="18"/>
      </w:rPr>
      <w:drawing>
        <wp:anchor distT="0" distB="0" distL="114300" distR="114300" simplePos="0" relativeHeight="251702272" behindDoc="0" locked="0" layoutInCell="1" allowOverlap="1" wp14:anchorId="711B9321" wp14:editId="49E858D1">
          <wp:simplePos x="0" y="0"/>
          <wp:positionH relativeFrom="column">
            <wp:posOffset>-385074</wp:posOffset>
          </wp:positionH>
          <wp:positionV relativeFrom="paragraph">
            <wp:posOffset>31408</wp:posOffset>
          </wp:positionV>
          <wp:extent cx="237958" cy="193341"/>
          <wp:effectExtent l="0" t="0" r="3810" b="0"/>
          <wp:wrapNone/>
          <wp:docPr id="22899268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0701F4DE" w14:textId="713C21CE" w:rsidR="00C22852" w:rsidRPr="00A01394" w:rsidRDefault="00C22852" w:rsidP="00C22852">
    <w:pPr>
      <w:pStyle w:val="Footer"/>
      <w:tabs>
        <w:tab w:val="clear" w:pos="4513"/>
        <w:tab w:val="clear" w:pos="9026"/>
        <w:tab w:val="right" w:pos="15309"/>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A247" w14:textId="77777777" w:rsidR="00C22852" w:rsidRPr="00F91A59" w:rsidRDefault="00C22852" w:rsidP="00A01394">
    <w:pPr>
      <w:pStyle w:val="Footer"/>
      <w:tabs>
        <w:tab w:val="right" w:pos="9639"/>
      </w:tabs>
      <w:rPr>
        <w:rFonts w:cs="Arial"/>
        <w:sz w:val="18"/>
      </w:rPr>
    </w:pPr>
    <w:r w:rsidRPr="00F91A59">
      <w:rPr>
        <w:rFonts w:cs="Arial"/>
        <w:noProof/>
        <w:sz w:val="18"/>
      </w:rPr>
      <w:drawing>
        <wp:anchor distT="0" distB="0" distL="114300" distR="114300" simplePos="0" relativeHeight="251696128" behindDoc="0" locked="0" layoutInCell="1" allowOverlap="1" wp14:anchorId="62B827A0" wp14:editId="4DD50302">
          <wp:simplePos x="0" y="0"/>
          <wp:positionH relativeFrom="column">
            <wp:posOffset>-385074</wp:posOffset>
          </wp:positionH>
          <wp:positionV relativeFrom="paragraph">
            <wp:posOffset>31408</wp:posOffset>
          </wp:positionV>
          <wp:extent cx="237958" cy="193341"/>
          <wp:effectExtent l="0" t="0" r="3810" b="0"/>
          <wp:wrapNone/>
          <wp:docPr id="9122685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65755E86" w14:textId="18BDDA5A" w:rsidR="00C22852" w:rsidRPr="00A01394" w:rsidRDefault="00C22852" w:rsidP="00C22852">
    <w:pPr>
      <w:pStyle w:val="Footer"/>
      <w:tabs>
        <w:tab w:val="clear" w:pos="4513"/>
        <w:tab w:val="clear" w:pos="9026"/>
        <w:tab w:val="right" w:pos="10206"/>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9A619" w14:textId="77777777" w:rsidR="00A922A0" w:rsidRPr="00F91A59" w:rsidRDefault="00A922A0" w:rsidP="00A01394">
    <w:pPr>
      <w:pStyle w:val="Footer"/>
      <w:tabs>
        <w:tab w:val="right" w:pos="9639"/>
      </w:tabs>
      <w:rPr>
        <w:rFonts w:cs="Arial"/>
        <w:sz w:val="18"/>
      </w:rPr>
    </w:pPr>
    <w:r w:rsidRPr="00F91A59">
      <w:rPr>
        <w:rFonts w:cs="Arial"/>
        <w:noProof/>
        <w:sz w:val="18"/>
      </w:rPr>
      <w:drawing>
        <wp:anchor distT="0" distB="0" distL="114300" distR="114300" simplePos="0" relativeHeight="251685888" behindDoc="0" locked="0" layoutInCell="1" allowOverlap="1" wp14:anchorId="4D1758D3" wp14:editId="13B7675A">
          <wp:simplePos x="0" y="0"/>
          <wp:positionH relativeFrom="column">
            <wp:posOffset>-385074</wp:posOffset>
          </wp:positionH>
          <wp:positionV relativeFrom="paragraph">
            <wp:posOffset>31408</wp:posOffset>
          </wp:positionV>
          <wp:extent cx="237958" cy="193341"/>
          <wp:effectExtent l="0" t="0" r="3810" b="0"/>
          <wp:wrapNone/>
          <wp:docPr id="16167639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7A05D708" w14:textId="29258112" w:rsidR="00A922A0" w:rsidRPr="00A01394" w:rsidRDefault="00A922A0" w:rsidP="00A922A0">
    <w:pPr>
      <w:pStyle w:val="Footer"/>
      <w:tabs>
        <w:tab w:val="clear" w:pos="4513"/>
        <w:tab w:val="clear" w:pos="9026"/>
        <w:tab w:val="right" w:pos="15309"/>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0046" w14:textId="77777777" w:rsidR="00B83377" w:rsidRPr="00F91A59" w:rsidRDefault="00B83377" w:rsidP="00A01394">
    <w:pPr>
      <w:pStyle w:val="Footer"/>
      <w:tabs>
        <w:tab w:val="right" w:pos="9639"/>
      </w:tabs>
      <w:rPr>
        <w:rFonts w:cs="Arial"/>
        <w:sz w:val="18"/>
      </w:rPr>
    </w:pPr>
    <w:r w:rsidRPr="00F91A59">
      <w:rPr>
        <w:rFonts w:cs="Arial"/>
        <w:noProof/>
        <w:sz w:val="18"/>
      </w:rPr>
      <w:drawing>
        <wp:anchor distT="0" distB="0" distL="114300" distR="114300" simplePos="0" relativeHeight="251677696" behindDoc="0" locked="0" layoutInCell="1" allowOverlap="1" wp14:anchorId="76232977" wp14:editId="3DFAB856">
          <wp:simplePos x="0" y="0"/>
          <wp:positionH relativeFrom="column">
            <wp:posOffset>-385074</wp:posOffset>
          </wp:positionH>
          <wp:positionV relativeFrom="paragraph">
            <wp:posOffset>31408</wp:posOffset>
          </wp:positionV>
          <wp:extent cx="237958" cy="193341"/>
          <wp:effectExtent l="0" t="0" r="3810" b="0"/>
          <wp:wrapNone/>
          <wp:docPr id="176882375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6657517F" w14:textId="3EE2418A" w:rsidR="00B83377" w:rsidRPr="00A01394" w:rsidRDefault="00B83377" w:rsidP="007A255C">
    <w:pPr>
      <w:pStyle w:val="Footer"/>
      <w:tabs>
        <w:tab w:val="clear" w:pos="4513"/>
        <w:tab w:val="clear" w:pos="9026"/>
        <w:tab w:val="right" w:pos="15168"/>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DEE30" w14:textId="77777777" w:rsidR="00B83377" w:rsidRDefault="00B83377">
    <w:pPr>
      <w:pStyle w:val="Footer"/>
      <w:jc w:val="right"/>
    </w:pPr>
  </w:p>
  <w:p w14:paraId="614797C1" w14:textId="77777777" w:rsidR="00B83377" w:rsidRDefault="00B833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C33B6" w14:textId="77777777" w:rsidR="0062339E" w:rsidRPr="00F91A59" w:rsidRDefault="0062339E" w:rsidP="00A01394">
    <w:pPr>
      <w:pStyle w:val="Footer"/>
      <w:tabs>
        <w:tab w:val="right" w:pos="9639"/>
      </w:tabs>
      <w:rPr>
        <w:rFonts w:cs="Arial"/>
        <w:sz w:val="18"/>
      </w:rPr>
    </w:pPr>
    <w:r w:rsidRPr="00F91A59">
      <w:rPr>
        <w:rFonts w:cs="Arial"/>
        <w:noProof/>
        <w:sz w:val="18"/>
      </w:rPr>
      <w:drawing>
        <wp:anchor distT="0" distB="0" distL="114300" distR="114300" simplePos="0" relativeHeight="251694080" behindDoc="0" locked="0" layoutInCell="1" allowOverlap="1" wp14:anchorId="4B9530CD" wp14:editId="357DF653">
          <wp:simplePos x="0" y="0"/>
          <wp:positionH relativeFrom="column">
            <wp:posOffset>-385074</wp:posOffset>
          </wp:positionH>
          <wp:positionV relativeFrom="paragraph">
            <wp:posOffset>31408</wp:posOffset>
          </wp:positionV>
          <wp:extent cx="237958" cy="193341"/>
          <wp:effectExtent l="0" t="0" r="3810" b="0"/>
          <wp:wrapNone/>
          <wp:docPr id="189025420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546897D2" w14:textId="2EA08071" w:rsidR="0062339E" w:rsidRPr="00A01394" w:rsidRDefault="0062339E" w:rsidP="0062339E">
    <w:pPr>
      <w:pStyle w:val="Footer"/>
      <w:tabs>
        <w:tab w:val="clear" w:pos="4513"/>
        <w:tab w:val="clear" w:pos="9026"/>
        <w:tab w:val="right" w:pos="15400"/>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7FF9" w14:textId="77777777" w:rsidR="0062339E" w:rsidRPr="00F91A59" w:rsidRDefault="0062339E" w:rsidP="00A01394">
    <w:pPr>
      <w:pStyle w:val="Footer"/>
      <w:tabs>
        <w:tab w:val="right" w:pos="9639"/>
      </w:tabs>
      <w:rPr>
        <w:rFonts w:cs="Arial"/>
        <w:sz w:val="18"/>
      </w:rPr>
    </w:pPr>
    <w:r w:rsidRPr="00F91A59">
      <w:rPr>
        <w:rFonts w:cs="Arial"/>
        <w:noProof/>
        <w:sz w:val="18"/>
      </w:rPr>
      <w:drawing>
        <wp:anchor distT="0" distB="0" distL="114300" distR="114300" simplePos="0" relativeHeight="251687936" behindDoc="0" locked="0" layoutInCell="1" allowOverlap="1" wp14:anchorId="0710F748" wp14:editId="30EB3A48">
          <wp:simplePos x="0" y="0"/>
          <wp:positionH relativeFrom="column">
            <wp:posOffset>-385074</wp:posOffset>
          </wp:positionH>
          <wp:positionV relativeFrom="paragraph">
            <wp:posOffset>31408</wp:posOffset>
          </wp:positionV>
          <wp:extent cx="237958" cy="193341"/>
          <wp:effectExtent l="0" t="0" r="3810" b="0"/>
          <wp:wrapNone/>
          <wp:docPr id="17391943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7816358A" w14:textId="0A6A648F" w:rsidR="0062339E" w:rsidRPr="00A01394" w:rsidRDefault="0062339E" w:rsidP="001B68EF">
    <w:pPr>
      <w:pStyle w:val="Footer"/>
      <w:tabs>
        <w:tab w:val="clear" w:pos="4513"/>
        <w:tab w:val="clear" w:pos="9026"/>
        <w:tab w:val="right" w:pos="10348"/>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8C86E" w14:textId="77777777" w:rsidR="004F5DBB" w:rsidRPr="004F5DBB" w:rsidRDefault="004F5DBB" w:rsidP="004F5DB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69AA2" w14:textId="7178BF6E" w:rsidR="00021179" w:rsidRPr="0050671B" w:rsidRDefault="00034502">
    <w:pPr>
      <w:pStyle w:val="Footer"/>
      <w:rPr>
        <w:szCs w:val="20"/>
      </w:rPr>
    </w:pPr>
    <w:r w:rsidRPr="006A1C87">
      <w:rPr>
        <w:noProof/>
      </w:rPr>
      <w:drawing>
        <wp:inline distT="0" distB="0" distL="0" distR="0" wp14:anchorId="4054CFF4" wp14:editId="10BA9A30">
          <wp:extent cx="6919254" cy="365044"/>
          <wp:effectExtent l="0" t="0" r="0" b="3810"/>
          <wp:docPr id="476875625" name="Picture 3" descr="Image of all QILT logos including the QILT central logo and each of the QILT survey logo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92661" name="Picture 3" descr="Image of all QILT logos including the QILT central logo and each of the QILT survey logos. ">
                    <a:extLst>
                      <a:ext uri="{C183D7F6-B498-43B3-948B-1728B52AA6E4}">
                        <adec:decorative xmlns:adec="http://schemas.microsoft.com/office/drawing/2017/decorative" val="0"/>
                      </a:ext>
                    </a:extLst>
                  </pic:cNvPr>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6919254" cy="36504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58535" w14:textId="77777777" w:rsidR="00A01394" w:rsidRPr="00F91A59" w:rsidRDefault="00A01394" w:rsidP="00A01394">
    <w:pPr>
      <w:pStyle w:val="Footer"/>
      <w:tabs>
        <w:tab w:val="right" w:pos="9639"/>
      </w:tabs>
      <w:rPr>
        <w:rFonts w:cs="Arial"/>
        <w:sz w:val="18"/>
      </w:rPr>
    </w:pPr>
    <w:r w:rsidRPr="00F91A59">
      <w:rPr>
        <w:rFonts w:cs="Arial"/>
        <w:noProof/>
        <w:sz w:val="18"/>
      </w:rPr>
      <w:drawing>
        <wp:anchor distT="0" distB="0" distL="114300" distR="114300" simplePos="0" relativeHeight="251641856" behindDoc="0" locked="0" layoutInCell="1" allowOverlap="1" wp14:anchorId="6D810C8F" wp14:editId="0ACBC369">
          <wp:simplePos x="0" y="0"/>
          <wp:positionH relativeFrom="column">
            <wp:posOffset>-385074</wp:posOffset>
          </wp:positionH>
          <wp:positionV relativeFrom="paragraph">
            <wp:posOffset>31408</wp:posOffset>
          </wp:positionV>
          <wp:extent cx="237958" cy="193341"/>
          <wp:effectExtent l="0" t="0" r="3810" b="0"/>
          <wp:wrapNone/>
          <wp:docPr id="4125614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05B943AA" w14:textId="50C27B56" w:rsidR="00A01394" w:rsidRPr="00A01394" w:rsidRDefault="00A01394" w:rsidP="00C22852">
    <w:pPr>
      <w:pStyle w:val="Footer"/>
      <w:tabs>
        <w:tab w:val="clear" w:pos="4513"/>
        <w:tab w:val="clear" w:pos="9026"/>
        <w:tab w:val="right" w:pos="10348"/>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D9EA2" w14:textId="77777777" w:rsidR="001D61B7" w:rsidRPr="00A50750" w:rsidRDefault="001D61B7" w:rsidP="00A450C5">
    <w:pPr>
      <w:pStyle w:val="NoSpacing"/>
      <w:tabs>
        <w:tab w:val="right" w:pos="9638"/>
      </w:tabs>
      <w:rPr>
        <w:rFonts w:cs="Arial"/>
        <w:b/>
        <w:bCs/>
        <w:sz w:val="18"/>
      </w:rPr>
    </w:pPr>
    <w:r w:rsidRPr="00A50750">
      <w:rPr>
        <w:rFonts w:cs="Arial"/>
        <w:sz w:val="18"/>
      </w:rPr>
      <w:tab/>
    </w:r>
    <w:r w:rsidR="002349A3" w:rsidRPr="00A50750">
      <w:rPr>
        <w:rFonts w:cs="Arial"/>
        <w:sz w:val="18"/>
      </w:rPr>
      <w:t>Proposal</w:t>
    </w:r>
    <w:r w:rsidRPr="00A50750">
      <w:rPr>
        <w:rFonts w:cs="Arial"/>
        <w:sz w:val="18"/>
      </w:rPr>
      <w:t xml:space="preserve"> name</w:t>
    </w:r>
  </w:p>
  <w:p w14:paraId="3C9B9FDE" w14:textId="77777777" w:rsidR="001D61B7" w:rsidRPr="00A50750" w:rsidRDefault="001D61B7" w:rsidP="00A450C5">
    <w:pPr>
      <w:pStyle w:val="NoSpacing"/>
      <w:tabs>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 xml:space="preserve">Prepared by </w:t>
    </w:r>
    <w:r w:rsidR="001808B2" w:rsidRPr="00A50750">
      <w:rPr>
        <w:rFonts w:cs="Arial"/>
        <w:sz w:val="18"/>
      </w:rPr>
      <w:t>t</w:t>
    </w:r>
    <w:r w:rsidRPr="00A50750">
      <w:rPr>
        <w:rFonts w:cs="Arial"/>
        <w:sz w:val="18"/>
      </w:rPr>
      <w:t>he Social Research Cent</w:t>
    </w:r>
    <w:r w:rsidR="000E1BF4" w:rsidRPr="00A50750">
      <w:rPr>
        <w:rFonts w:cs="Arial"/>
        <w:sz w:val="18"/>
      </w:rPr>
      <w:t>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7736F" w14:textId="77777777" w:rsidR="004C262D" w:rsidRPr="004C262D" w:rsidRDefault="004C262D" w:rsidP="004C26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5BA3" w14:textId="77777777" w:rsidR="00244416" w:rsidRDefault="00244416">
    <w:pPr>
      <w:pStyle w:val="Footer"/>
      <w:jc w:val="right"/>
    </w:pPr>
  </w:p>
  <w:p w14:paraId="4CCB3B3B" w14:textId="77777777" w:rsidR="00244416" w:rsidRDefault="0024441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930E8" w14:textId="77777777" w:rsidR="00BC457C" w:rsidRPr="00F91A59" w:rsidRDefault="00BC457C" w:rsidP="00A01394">
    <w:pPr>
      <w:pStyle w:val="Footer"/>
      <w:tabs>
        <w:tab w:val="right" w:pos="9639"/>
      </w:tabs>
      <w:rPr>
        <w:rFonts w:cs="Arial"/>
        <w:sz w:val="18"/>
      </w:rPr>
    </w:pPr>
    <w:r w:rsidRPr="00F91A59">
      <w:rPr>
        <w:rFonts w:cs="Arial"/>
        <w:noProof/>
        <w:sz w:val="18"/>
      </w:rPr>
      <w:drawing>
        <wp:anchor distT="0" distB="0" distL="114300" distR="114300" simplePos="0" relativeHeight="251679744" behindDoc="0" locked="0" layoutInCell="1" allowOverlap="1" wp14:anchorId="0D1F15AD" wp14:editId="7C8F3AA7">
          <wp:simplePos x="0" y="0"/>
          <wp:positionH relativeFrom="column">
            <wp:posOffset>-385074</wp:posOffset>
          </wp:positionH>
          <wp:positionV relativeFrom="paragraph">
            <wp:posOffset>31408</wp:posOffset>
          </wp:positionV>
          <wp:extent cx="237958" cy="193341"/>
          <wp:effectExtent l="0" t="0" r="3810" b="0"/>
          <wp:wrapNone/>
          <wp:docPr id="65321602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4D95F684" w14:textId="250A6D88" w:rsidR="00BC457C" w:rsidRPr="00A01394" w:rsidRDefault="00BC457C" w:rsidP="00BC457C">
    <w:pPr>
      <w:pStyle w:val="Footer"/>
      <w:tabs>
        <w:tab w:val="clear" w:pos="4513"/>
        <w:tab w:val="clear" w:pos="9026"/>
        <w:tab w:val="right" w:pos="15026"/>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9565" w14:textId="77777777" w:rsidR="00910822" w:rsidRPr="00F91A59" w:rsidRDefault="00910822" w:rsidP="00A01394">
    <w:pPr>
      <w:pStyle w:val="Footer"/>
      <w:tabs>
        <w:tab w:val="right" w:pos="9639"/>
      </w:tabs>
      <w:rPr>
        <w:rFonts w:cs="Arial"/>
        <w:sz w:val="18"/>
      </w:rPr>
    </w:pPr>
    <w:r w:rsidRPr="00F91A59">
      <w:rPr>
        <w:rFonts w:cs="Arial"/>
        <w:noProof/>
        <w:sz w:val="18"/>
      </w:rPr>
      <w:drawing>
        <wp:anchor distT="0" distB="0" distL="114300" distR="114300" simplePos="0" relativeHeight="251649024" behindDoc="0" locked="0" layoutInCell="1" allowOverlap="1" wp14:anchorId="15FEB3DA" wp14:editId="67466944">
          <wp:simplePos x="0" y="0"/>
          <wp:positionH relativeFrom="column">
            <wp:posOffset>-385074</wp:posOffset>
          </wp:positionH>
          <wp:positionV relativeFrom="paragraph">
            <wp:posOffset>31408</wp:posOffset>
          </wp:positionV>
          <wp:extent cx="237958" cy="193341"/>
          <wp:effectExtent l="0" t="0" r="3810" b="0"/>
          <wp:wrapNone/>
          <wp:docPr id="200411768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5A4E0986" w14:textId="15FE34CD" w:rsidR="00910822" w:rsidRPr="00A01394" w:rsidRDefault="00910822" w:rsidP="00BC457C">
    <w:pPr>
      <w:pStyle w:val="Footer"/>
      <w:tabs>
        <w:tab w:val="clear" w:pos="4513"/>
        <w:tab w:val="clear" w:pos="9026"/>
        <w:tab w:val="right" w:pos="15026"/>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DE5D5" w14:textId="77777777" w:rsidR="00910822" w:rsidRDefault="00910822">
    <w:pPr>
      <w:pStyle w:val="Footer"/>
      <w:jc w:val="right"/>
    </w:pPr>
  </w:p>
  <w:p w14:paraId="0646F0C1" w14:textId="77777777" w:rsidR="00910822" w:rsidRDefault="009108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118E4" w14:textId="77777777" w:rsidR="00BC457C" w:rsidRPr="00F91A59" w:rsidRDefault="00BC457C" w:rsidP="00A01394">
    <w:pPr>
      <w:pStyle w:val="Footer"/>
      <w:tabs>
        <w:tab w:val="right" w:pos="9639"/>
      </w:tabs>
      <w:rPr>
        <w:rFonts w:cs="Arial"/>
        <w:sz w:val="18"/>
      </w:rPr>
    </w:pPr>
    <w:r w:rsidRPr="00F91A59">
      <w:rPr>
        <w:rFonts w:cs="Arial"/>
        <w:noProof/>
        <w:sz w:val="18"/>
      </w:rPr>
      <w:drawing>
        <wp:anchor distT="0" distB="0" distL="114300" distR="114300" simplePos="0" relativeHeight="251681792" behindDoc="0" locked="0" layoutInCell="1" allowOverlap="1" wp14:anchorId="74C3EE79" wp14:editId="1BA0923E">
          <wp:simplePos x="0" y="0"/>
          <wp:positionH relativeFrom="column">
            <wp:posOffset>-385074</wp:posOffset>
          </wp:positionH>
          <wp:positionV relativeFrom="paragraph">
            <wp:posOffset>31408</wp:posOffset>
          </wp:positionV>
          <wp:extent cx="237958" cy="193341"/>
          <wp:effectExtent l="0" t="0" r="3810" b="0"/>
          <wp:wrapNone/>
          <wp:docPr id="13753307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244416">
      <w:rPr>
        <w:rFonts w:cs="Arial"/>
        <w:sz w:val="18"/>
      </w:rPr>
      <w:t>2025 Graduate Outcomes Survey - Longitudinal (GOS-L)</w:t>
    </w:r>
  </w:p>
  <w:p w14:paraId="0434B301" w14:textId="7F085D4D" w:rsidR="00BC457C" w:rsidRPr="00A01394" w:rsidRDefault="00BC457C" w:rsidP="00C22852">
    <w:pPr>
      <w:pStyle w:val="Footer"/>
      <w:tabs>
        <w:tab w:val="clear" w:pos="4513"/>
        <w:tab w:val="clear" w:pos="9026"/>
        <w:tab w:val="right" w:pos="10348"/>
      </w:tabs>
      <w:rPr>
        <w:rFonts w:cs="Arial"/>
        <w:sz w:val="18"/>
      </w:rPr>
    </w:pPr>
    <w:r>
      <w:rPr>
        <w:rFonts w:cs="Arial"/>
        <w:sz w:val="18"/>
      </w:rPr>
      <w:t>National Report</w:t>
    </w:r>
    <w:r w:rsidR="007A255C">
      <w:rPr>
        <w:rFonts w:cs="Arial"/>
        <w:sz w:val="18"/>
      </w:rPr>
      <w:t xml:space="preserve"> – Accessible</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w:t>
    </w:r>
    <w:r w:rsidRPr="00F91A59">
      <w:rPr>
        <w:rFonts w:cs="Arial"/>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54F92" w14:textId="77777777" w:rsidR="005220FC" w:rsidRDefault="005220FC" w:rsidP="00BE7643">
      <w:r>
        <w:separator/>
      </w:r>
    </w:p>
  </w:footnote>
  <w:footnote w:type="continuationSeparator" w:id="0">
    <w:p w14:paraId="4D905E6B" w14:textId="77777777" w:rsidR="005220FC" w:rsidRDefault="005220FC" w:rsidP="00BE7643">
      <w:r>
        <w:continuationSeparator/>
      </w:r>
    </w:p>
  </w:footnote>
  <w:footnote w:type="continuationNotice" w:id="1">
    <w:p w14:paraId="5AFACAE9" w14:textId="77777777" w:rsidR="005220FC" w:rsidRDefault="005220FC"/>
  </w:footnote>
  <w:footnote w:id="2">
    <w:p w14:paraId="196A478F" w14:textId="77777777" w:rsidR="00525FB0" w:rsidRPr="005A0EDE" w:rsidRDefault="00525FB0" w:rsidP="00525FB0">
      <w:pPr>
        <w:pStyle w:val="FootnoteText"/>
        <w:rPr>
          <w:lang w:val="en-AU"/>
        </w:rPr>
      </w:pPr>
      <w:r w:rsidRPr="00200B73">
        <w:rPr>
          <w:rStyle w:val="FootnoteReference"/>
          <w:sz w:val="18"/>
          <w:szCs w:val="21"/>
        </w:rPr>
        <w:footnoteRef/>
      </w:r>
      <w:r w:rsidRPr="00200B73">
        <w:rPr>
          <w:sz w:val="18"/>
          <w:szCs w:val="21"/>
        </w:rPr>
        <w:t xml:space="preserve"> In December 2024, the Tertiary Education Quality Standards Agency (TEQSA) changed the provider category in which the Australian University of Theology was registered to Australian University. Prior to this, the institution was known as the </w:t>
      </w:r>
      <w:r w:rsidRPr="00200B73">
        <w:rPr>
          <w:sz w:val="18"/>
          <w:szCs w:val="21"/>
          <w:lang w:val="en-AU"/>
        </w:rPr>
        <w:t xml:space="preserve">Australian College of Theology and was </w:t>
      </w:r>
      <w:r w:rsidRPr="00200B73">
        <w:rPr>
          <w:sz w:val="18"/>
          <w:szCs w:val="21"/>
        </w:rPr>
        <w:t>classified as a non-university higher education institution (NUHEI). As data collection for the 2025 GOS-L took place after the change to provider category, the Australian University of Theology is reported as a university in this report, however, the institution was a NUHEI when data was collected in the 2022 GOS.</w:t>
      </w:r>
    </w:p>
  </w:footnote>
  <w:footnote w:id="3">
    <w:p w14:paraId="76587E73" w14:textId="77777777" w:rsidR="00CA1F11" w:rsidRPr="00200B73" w:rsidRDefault="00CA1F11" w:rsidP="00CA1F11">
      <w:pPr>
        <w:pStyle w:val="FootnoteText"/>
        <w:rPr>
          <w:sz w:val="18"/>
          <w:szCs w:val="21"/>
          <w:highlight w:val="cyan"/>
          <w:lang w:val="en-AU"/>
        </w:rPr>
      </w:pPr>
      <w:r w:rsidRPr="00200B73">
        <w:rPr>
          <w:rStyle w:val="FootnoteReference"/>
          <w:sz w:val="18"/>
          <w:szCs w:val="21"/>
        </w:rPr>
        <w:footnoteRef/>
      </w:r>
      <w:r w:rsidRPr="00200B73">
        <w:rPr>
          <w:sz w:val="18"/>
          <w:szCs w:val="21"/>
        </w:rPr>
        <w:t xml:space="preserve"> The labour force participation rate is defined as the proportion of graduates who were </w:t>
      </w:r>
      <w:r w:rsidRPr="00200B73">
        <w:rPr>
          <w:i/>
          <w:iCs/>
          <w:sz w:val="18"/>
          <w:szCs w:val="21"/>
        </w:rPr>
        <w:t>available for employment.</w:t>
      </w:r>
    </w:p>
  </w:footnote>
  <w:footnote w:id="4">
    <w:p w14:paraId="4E9EA6B4" w14:textId="217B2E16" w:rsidR="00DE3DCD" w:rsidRPr="00DE3DCD" w:rsidRDefault="00DE3DCD">
      <w:pPr>
        <w:pStyle w:val="FootnoteText"/>
        <w:rPr>
          <w:lang w:val="en-AU"/>
        </w:rPr>
      </w:pPr>
      <w:r w:rsidRPr="00200B73">
        <w:rPr>
          <w:rStyle w:val="FootnoteReference"/>
          <w:sz w:val="18"/>
          <w:szCs w:val="21"/>
        </w:rPr>
        <w:footnoteRef/>
      </w:r>
      <w:r w:rsidRPr="00200B73">
        <w:rPr>
          <w:sz w:val="18"/>
          <w:szCs w:val="21"/>
        </w:rPr>
        <w:t xml:space="preserve"> </w:t>
      </w:r>
      <w:r w:rsidR="00FD6AB7" w:rsidRPr="00200B73">
        <w:rPr>
          <w:sz w:val="18"/>
          <w:szCs w:val="21"/>
        </w:rPr>
        <w:t xml:space="preserve">Prior to 2025, </w:t>
      </w:r>
      <w:r w:rsidR="00E74596" w:rsidRPr="00200B73">
        <w:rPr>
          <w:sz w:val="18"/>
          <w:szCs w:val="21"/>
        </w:rPr>
        <w:t>graduates were consider</w:t>
      </w:r>
      <w:r w:rsidR="00682B36" w:rsidRPr="00200B73">
        <w:rPr>
          <w:sz w:val="18"/>
          <w:szCs w:val="21"/>
        </w:rPr>
        <w:t>ed</w:t>
      </w:r>
      <w:r w:rsidR="00E74596" w:rsidRPr="00200B73">
        <w:rPr>
          <w:sz w:val="18"/>
          <w:szCs w:val="21"/>
        </w:rPr>
        <w:t xml:space="preserve"> ‘available for employment’ if they were curren</w:t>
      </w:r>
      <w:r w:rsidR="000412D5" w:rsidRPr="00200B73">
        <w:rPr>
          <w:sz w:val="18"/>
          <w:szCs w:val="21"/>
        </w:rPr>
        <w:t>tly employed, waiting to start work</w:t>
      </w:r>
      <w:r w:rsidR="00C4617F" w:rsidRPr="00200B73">
        <w:rPr>
          <w:sz w:val="18"/>
          <w:szCs w:val="21"/>
        </w:rPr>
        <w:t xml:space="preserve"> or looking </w:t>
      </w:r>
      <w:r w:rsidR="0011213D" w:rsidRPr="00200B73">
        <w:rPr>
          <w:sz w:val="18"/>
          <w:szCs w:val="21"/>
        </w:rPr>
        <w:t xml:space="preserve">for work in the reference period. </w:t>
      </w:r>
      <w:r w:rsidR="00B80094" w:rsidRPr="00200B73">
        <w:rPr>
          <w:sz w:val="18"/>
          <w:szCs w:val="21"/>
        </w:rPr>
        <w:t>Changes made to the survey instrument in 2025</w:t>
      </w:r>
      <w:r w:rsidR="00D33061" w:rsidRPr="00200B73">
        <w:rPr>
          <w:sz w:val="18"/>
          <w:szCs w:val="21"/>
        </w:rPr>
        <w:t xml:space="preserve"> </w:t>
      </w:r>
      <w:r w:rsidR="00C717B0" w:rsidRPr="00200B73">
        <w:rPr>
          <w:sz w:val="18"/>
          <w:szCs w:val="21"/>
        </w:rPr>
        <w:t>allow for</w:t>
      </w:r>
      <w:r w:rsidR="00CA7768" w:rsidRPr="00200B73">
        <w:rPr>
          <w:sz w:val="18"/>
          <w:szCs w:val="21"/>
        </w:rPr>
        <w:t xml:space="preserve"> identification of graduates </w:t>
      </w:r>
      <w:r w:rsidR="00CA7768" w:rsidRPr="00200B73">
        <w:rPr>
          <w:i/>
          <w:iCs/>
          <w:sz w:val="18"/>
          <w:szCs w:val="21"/>
        </w:rPr>
        <w:t>actively</w:t>
      </w:r>
      <w:r w:rsidR="00CA7768" w:rsidRPr="00200B73">
        <w:rPr>
          <w:sz w:val="18"/>
          <w:szCs w:val="21"/>
        </w:rPr>
        <w:t xml:space="preserve"> </w:t>
      </w:r>
      <w:r w:rsidR="00FE5A4C" w:rsidRPr="00200B73">
        <w:rPr>
          <w:sz w:val="18"/>
          <w:szCs w:val="21"/>
        </w:rPr>
        <w:t xml:space="preserve">and </w:t>
      </w:r>
      <w:r w:rsidR="00FE5A4C" w:rsidRPr="00200B73">
        <w:rPr>
          <w:i/>
          <w:iCs/>
          <w:sz w:val="18"/>
          <w:szCs w:val="21"/>
        </w:rPr>
        <w:t>passively</w:t>
      </w:r>
      <w:r w:rsidR="00FE5A4C" w:rsidRPr="00200B73">
        <w:rPr>
          <w:sz w:val="18"/>
          <w:szCs w:val="21"/>
        </w:rPr>
        <w:t xml:space="preserve"> looking for work</w:t>
      </w:r>
      <w:r w:rsidR="008C3B99" w:rsidRPr="00200B73">
        <w:rPr>
          <w:sz w:val="18"/>
          <w:szCs w:val="21"/>
        </w:rPr>
        <w:t xml:space="preserve">. </w:t>
      </w:r>
      <w:r w:rsidR="00101B17" w:rsidRPr="00200B73">
        <w:rPr>
          <w:sz w:val="18"/>
          <w:szCs w:val="21"/>
        </w:rPr>
        <w:t>‘</w:t>
      </w:r>
      <w:r w:rsidR="00A26417" w:rsidRPr="00200B73">
        <w:rPr>
          <w:sz w:val="18"/>
          <w:szCs w:val="21"/>
          <w:lang w:val="en-AU"/>
        </w:rPr>
        <w:t>Passively looking</w:t>
      </w:r>
      <w:r w:rsidR="00101B17" w:rsidRPr="00200B73">
        <w:rPr>
          <w:sz w:val="18"/>
          <w:szCs w:val="21"/>
          <w:lang w:val="en-AU"/>
        </w:rPr>
        <w:t>’</w:t>
      </w:r>
      <w:r w:rsidR="00A26417" w:rsidRPr="00200B73">
        <w:rPr>
          <w:sz w:val="18"/>
          <w:szCs w:val="21"/>
          <w:lang w:val="en-AU"/>
        </w:rPr>
        <w:t xml:space="preserve"> includes searching newspapers, the internet, or notice boards, but not taking any specific action to obtain work from these sources</w:t>
      </w:r>
      <w:r w:rsidR="006006E6" w:rsidRPr="00200B73">
        <w:rPr>
          <w:sz w:val="18"/>
          <w:szCs w:val="21"/>
          <w:lang w:val="en-AU"/>
        </w:rPr>
        <w:t>.</w:t>
      </w:r>
      <w:r w:rsidR="00C336A5" w:rsidRPr="00200B73">
        <w:rPr>
          <w:sz w:val="18"/>
          <w:szCs w:val="21"/>
          <w:lang w:val="en-AU"/>
        </w:rPr>
        <w:t xml:space="preserve"> </w:t>
      </w:r>
      <w:r w:rsidR="00F87D04" w:rsidRPr="00F87D04">
        <w:rPr>
          <w:sz w:val="18"/>
          <w:szCs w:val="21"/>
          <w:lang w:val="en-AU"/>
        </w:rPr>
        <w:t xml:space="preserve">As a result, those not employed but only looking for work passively are no longer considered to be in the labour force, consistent with the Australian Bureau of Statistics (ABS) Labour Statistics: Concepts, Sources and Methods. </w:t>
      </w:r>
      <w:r w:rsidR="00500EE6" w:rsidRPr="00200B73">
        <w:rPr>
          <w:sz w:val="18"/>
          <w:szCs w:val="21"/>
          <w:lang w:val="en-AU"/>
        </w:rPr>
        <w:t xml:space="preserve">See </w:t>
      </w:r>
      <w:r w:rsidR="00D7312E" w:rsidRPr="00200B73">
        <w:rPr>
          <w:b/>
          <w:bCs/>
          <w:sz w:val="18"/>
          <w:szCs w:val="21"/>
          <w:lang w:val="en-AU"/>
        </w:rPr>
        <w:t>Appendix 1</w:t>
      </w:r>
      <w:r w:rsidR="00D7312E" w:rsidRPr="00200B73">
        <w:rPr>
          <w:sz w:val="18"/>
          <w:szCs w:val="21"/>
          <w:lang w:val="en-AU"/>
        </w:rPr>
        <w:t xml:space="preserve"> for </w:t>
      </w:r>
      <w:r w:rsidR="00037FEC" w:rsidRPr="00200B73">
        <w:rPr>
          <w:sz w:val="18"/>
          <w:szCs w:val="21"/>
          <w:lang w:val="en-AU"/>
        </w:rPr>
        <w:t>further</w:t>
      </w:r>
      <w:r w:rsidR="00D7312E" w:rsidRPr="00200B73">
        <w:rPr>
          <w:sz w:val="18"/>
          <w:szCs w:val="21"/>
          <w:lang w:val="en-AU"/>
        </w:rPr>
        <w:t xml:space="preserve"> information.</w:t>
      </w:r>
      <w:r w:rsidR="006006E6" w:rsidRPr="00200B73">
        <w:rPr>
          <w:sz w:val="18"/>
          <w:szCs w:val="21"/>
          <w:lang w:val="en-AU"/>
        </w:rPr>
        <w:t xml:space="preserve"> </w:t>
      </w:r>
    </w:p>
  </w:footnote>
  <w:footnote w:id="5">
    <w:p w14:paraId="06BF93DD" w14:textId="51C3798F" w:rsidR="006F0331" w:rsidRPr="00BC2AD3" w:rsidRDefault="006F0331">
      <w:pPr>
        <w:pStyle w:val="FootnoteText"/>
        <w:rPr>
          <w:sz w:val="18"/>
          <w:szCs w:val="21"/>
          <w:lang w:val="en-AU"/>
        </w:rPr>
      </w:pPr>
      <w:r w:rsidRPr="00BC2AD3">
        <w:rPr>
          <w:rStyle w:val="FootnoteReference"/>
          <w:sz w:val="18"/>
          <w:szCs w:val="21"/>
        </w:rPr>
        <w:footnoteRef/>
      </w:r>
      <w:r w:rsidRPr="00BC2AD3">
        <w:rPr>
          <w:sz w:val="18"/>
          <w:szCs w:val="21"/>
        </w:rPr>
        <w:t xml:space="preserve"> </w:t>
      </w:r>
      <w:hyperlink r:id="rId1" w:history="1">
        <w:r w:rsidR="00A01318" w:rsidRPr="00BC2AD3">
          <w:rPr>
            <w:rStyle w:val="Hyperlink"/>
            <w:sz w:val="18"/>
            <w:szCs w:val="21"/>
            <w:lang w:val="en-AU"/>
          </w:rPr>
          <w:t>Wage Price Index, Australia, March 2025 | Australian Bureau of Statistics</w:t>
        </w:r>
      </w:hyperlink>
      <w:r w:rsidR="00484DF7" w:rsidRPr="00BC2AD3">
        <w:rPr>
          <w:sz w:val="18"/>
          <w:szCs w:val="21"/>
        </w:rPr>
        <w:t>.</w:t>
      </w:r>
    </w:p>
  </w:footnote>
  <w:footnote w:id="6">
    <w:p w14:paraId="34EFC97C" w14:textId="0EEE8B95" w:rsidR="00013975" w:rsidRPr="00AB4EA3" w:rsidRDefault="00013975">
      <w:pPr>
        <w:pStyle w:val="FootnoteText"/>
        <w:rPr>
          <w:lang w:val="en-AU"/>
        </w:rPr>
      </w:pPr>
      <w:r w:rsidRPr="00BC2AD3">
        <w:rPr>
          <w:rStyle w:val="FootnoteReference"/>
          <w:sz w:val="18"/>
          <w:szCs w:val="21"/>
        </w:rPr>
        <w:footnoteRef/>
      </w:r>
      <w:r w:rsidR="00484DF7" w:rsidRPr="00BC2AD3">
        <w:rPr>
          <w:sz w:val="18"/>
          <w:szCs w:val="21"/>
        </w:rPr>
        <w:t xml:space="preserve"> </w:t>
      </w:r>
      <w:hyperlink r:id="rId2" w:history="1">
        <w:r w:rsidR="00484DF7" w:rsidRPr="00BC2AD3">
          <w:rPr>
            <w:rStyle w:val="Hyperlink"/>
            <w:sz w:val="18"/>
            <w:szCs w:val="21"/>
            <w:lang w:val="en-AU"/>
          </w:rPr>
          <w:t>Average Weekly Earnings, Australia, May 2025 | Australian Bureau of Statistics</w:t>
        </w:r>
      </w:hyperlink>
      <w:r w:rsidRPr="00BC2AD3">
        <w:rPr>
          <w:sz w:val="18"/>
          <w:szCs w:val="21"/>
        </w:rPr>
        <w:t xml:space="preserve">. </w:t>
      </w:r>
      <w:bookmarkStart w:id="38" w:name="_Hlk206668491"/>
      <w:r w:rsidR="004D03D4" w:rsidRPr="00BC2AD3">
        <w:rPr>
          <w:sz w:val="18"/>
          <w:szCs w:val="21"/>
        </w:rPr>
        <w:t>Average Weekly Ordinary Time Earnings (AWOTE)</w:t>
      </w:r>
      <w:r w:rsidRPr="00BC2AD3">
        <w:rPr>
          <w:sz w:val="18"/>
          <w:szCs w:val="21"/>
        </w:rPr>
        <w:t xml:space="preserve"> is a broader measure of labour earnings than the </w:t>
      </w:r>
      <w:r w:rsidR="004D03D4" w:rsidRPr="00BC2AD3">
        <w:rPr>
          <w:sz w:val="18"/>
          <w:szCs w:val="21"/>
        </w:rPr>
        <w:t>Wage Price Index (</w:t>
      </w:r>
      <w:r w:rsidRPr="00BC2AD3">
        <w:rPr>
          <w:sz w:val="18"/>
          <w:szCs w:val="21"/>
        </w:rPr>
        <w:t>WPI</w:t>
      </w:r>
      <w:r w:rsidR="004D03D4" w:rsidRPr="00BC2AD3">
        <w:rPr>
          <w:sz w:val="18"/>
          <w:szCs w:val="21"/>
        </w:rPr>
        <w:t>)</w:t>
      </w:r>
      <w:r w:rsidRPr="00BC2AD3">
        <w:rPr>
          <w:sz w:val="18"/>
          <w:szCs w:val="21"/>
        </w:rPr>
        <w:t>, as it reflects the impact of workers moving to jobs with different levels of pay</w:t>
      </w:r>
      <w:bookmarkEnd w:id="38"/>
      <w:r w:rsidR="005A0E7D" w:rsidRPr="00BC2AD3">
        <w:rPr>
          <w:sz w:val="18"/>
          <w:szCs w:val="21"/>
        </w:rPr>
        <w:t>.</w:t>
      </w:r>
    </w:p>
  </w:footnote>
  <w:footnote w:id="7">
    <w:p w14:paraId="5ACA2A66" w14:textId="77777777" w:rsidR="00C71CF2" w:rsidRPr="00A656BE" w:rsidRDefault="00C71CF2" w:rsidP="00C71CF2">
      <w:pPr>
        <w:pStyle w:val="FootnoteText"/>
        <w:rPr>
          <w:lang w:val="en-AU"/>
        </w:rPr>
      </w:pPr>
      <w:r w:rsidRPr="00200B73">
        <w:rPr>
          <w:rStyle w:val="FootnoteReference"/>
          <w:rFonts w:eastAsiaTheme="majorEastAsia"/>
          <w:sz w:val="18"/>
          <w:szCs w:val="21"/>
        </w:rPr>
        <w:footnoteRef/>
      </w:r>
      <w:r w:rsidRPr="00200B73">
        <w:rPr>
          <w:sz w:val="18"/>
          <w:szCs w:val="21"/>
        </w:rPr>
        <w:t xml:space="preserve"> Based on the Australian and New Zealand Standard Classification of Occupations (ANZSCO). The ANZSCO was jointly developed by the ABS, Stats NZ and the then Australian Government Department of Education, Employment and Workplace Relations.</w:t>
      </w:r>
    </w:p>
  </w:footnote>
  <w:footnote w:id="8">
    <w:p w14:paraId="1880DC43" w14:textId="680FA77A" w:rsidR="00BF1CC4" w:rsidRPr="005A0EDE" w:rsidRDefault="00BF1CC4">
      <w:pPr>
        <w:pStyle w:val="FootnoteText"/>
        <w:rPr>
          <w:lang w:val="en-AU"/>
        </w:rPr>
      </w:pPr>
      <w:r w:rsidRPr="00200B73">
        <w:rPr>
          <w:rStyle w:val="FootnoteReference"/>
          <w:sz w:val="18"/>
          <w:szCs w:val="21"/>
        </w:rPr>
        <w:footnoteRef/>
      </w:r>
      <w:r w:rsidRPr="00200B73">
        <w:rPr>
          <w:sz w:val="18"/>
          <w:szCs w:val="21"/>
        </w:rPr>
        <w:t xml:space="preserve"> </w:t>
      </w:r>
      <w:r w:rsidRPr="00200B73">
        <w:rPr>
          <w:sz w:val="18"/>
          <w:szCs w:val="21"/>
          <w:lang w:val="en-AU"/>
        </w:rPr>
        <w:t xml:space="preserve">Overqualification is measured using the Scale of Perceived Overqualification (SPOQ), which assesses the extent to which graduates perceive their </w:t>
      </w:r>
      <w:r w:rsidR="00A004AC" w:rsidRPr="00200B73">
        <w:rPr>
          <w:sz w:val="18"/>
          <w:szCs w:val="21"/>
          <w:lang w:val="en-AU"/>
        </w:rPr>
        <w:t xml:space="preserve">skills and education are not fully utilised in their current job. See </w:t>
      </w:r>
      <w:r w:rsidR="00085412">
        <w:rPr>
          <w:sz w:val="18"/>
          <w:szCs w:val="21"/>
          <w:lang w:val="en-AU"/>
        </w:rPr>
        <w:t xml:space="preserve">the </w:t>
      </w:r>
      <w:hyperlink r:id="rId3" w:history="1">
        <w:r w:rsidR="00085412" w:rsidRPr="00085412">
          <w:rPr>
            <w:rStyle w:val="Hyperlink"/>
            <w:sz w:val="18"/>
            <w:szCs w:val="21"/>
            <w:lang w:val="en-AU"/>
          </w:rPr>
          <w:t>GOS-L questionnaire</w:t>
        </w:r>
      </w:hyperlink>
      <w:r w:rsidR="00A004AC" w:rsidRPr="00200B73">
        <w:rPr>
          <w:sz w:val="18"/>
          <w:szCs w:val="21"/>
          <w:lang w:val="en-AU"/>
        </w:rPr>
        <w:t xml:space="preserve"> </w:t>
      </w:r>
      <w:r w:rsidR="00085412">
        <w:rPr>
          <w:sz w:val="18"/>
          <w:szCs w:val="21"/>
          <w:lang w:val="en-AU"/>
        </w:rPr>
        <w:t xml:space="preserve">on the QILT website </w:t>
      </w:r>
      <w:r w:rsidR="00A004AC" w:rsidRPr="00200B73">
        <w:rPr>
          <w:sz w:val="18"/>
          <w:szCs w:val="21"/>
          <w:lang w:val="en-AU"/>
        </w:rPr>
        <w:t>for the 8 items included in the SPOQ.</w:t>
      </w:r>
    </w:p>
  </w:footnote>
  <w:footnote w:id="9">
    <w:p w14:paraId="71F70989" w14:textId="77777777" w:rsidR="0059534A" w:rsidRPr="00BC457C" w:rsidRDefault="0059534A" w:rsidP="0059534A">
      <w:pPr>
        <w:pStyle w:val="FootnoteText"/>
        <w:rPr>
          <w:sz w:val="18"/>
          <w:szCs w:val="21"/>
        </w:rPr>
      </w:pPr>
      <w:r w:rsidRPr="00BC457C">
        <w:rPr>
          <w:rStyle w:val="FootnoteReference"/>
          <w:sz w:val="18"/>
          <w:szCs w:val="21"/>
        </w:rPr>
        <w:footnoteRef/>
      </w:r>
      <w:r w:rsidRPr="00BC457C">
        <w:rPr>
          <w:sz w:val="18"/>
          <w:szCs w:val="21"/>
        </w:rPr>
        <w:t xml:space="preserve"> This section uses the Broad Field of Education (BFOE) categories from the ABS Australian Standard Classification of Education (ASCED) to examine graduates’ original and destination </w:t>
      </w:r>
    </w:p>
    <w:p w14:paraId="2D35CDDF" w14:textId="77777777" w:rsidR="0059534A" w:rsidRPr="00F5157F" w:rsidRDefault="0059534A" w:rsidP="0059534A">
      <w:pPr>
        <w:pStyle w:val="FootnoteText"/>
        <w:rPr>
          <w:lang w:val="en-AU"/>
        </w:rPr>
      </w:pPr>
      <w:r w:rsidRPr="00BC457C">
        <w:rPr>
          <w:sz w:val="18"/>
          <w:szCs w:val="21"/>
        </w:rPr>
        <w:t>courses. For a concordance of study areas to BFOE see</w:t>
      </w:r>
      <w:r w:rsidRPr="00BC457C">
        <w:rPr>
          <w:rFonts w:eastAsiaTheme="minorHAnsi" w:cstheme="minorBidi"/>
          <w:sz w:val="21"/>
          <w:lang w:val="en-AU"/>
        </w:rPr>
        <w:t xml:space="preserve"> </w:t>
      </w:r>
      <w:hyperlink r:id="rId4" w:history="1">
        <w:r w:rsidRPr="00BC457C">
          <w:rPr>
            <w:rStyle w:val="Hyperlink"/>
            <w:sz w:val="18"/>
            <w:szCs w:val="21"/>
            <w:lang w:val="en-AU"/>
          </w:rPr>
          <w:t>Study areas</w:t>
        </w:r>
      </w:hyperlink>
      <w:r w:rsidRPr="00BC457C">
        <w:rPr>
          <w:sz w:val="18"/>
          <w:szCs w:val="21"/>
        </w:rPr>
        <w:t xml:space="preserve"> on the QILT website.</w:t>
      </w:r>
    </w:p>
  </w:footnote>
  <w:footnote w:id="10">
    <w:p w14:paraId="2A03CE23" w14:textId="25B79F71" w:rsidR="00910822" w:rsidRPr="005B0BA4" w:rsidRDefault="00910822" w:rsidP="00910822">
      <w:pPr>
        <w:pStyle w:val="FootnoteText"/>
        <w:rPr>
          <w:lang w:val="en-AU"/>
        </w:rPr>
      </w:pPr>
      <w:r w:rsidRPr="00C22852">
        <w:rPr>
          <w:rStyle w:val="FootnoteReference"/>
          <w:sz w:val="18"/>
          <w:szCs w:val="21"/>
        </w:rPr>
        <w:footnoteRef/>
      </w:r>
      <w:r w:rsidRPr="00C22852">
        <w:rPr>
          <w:sz w:val="18"/>
          <w:szCs w:val="21"/>
        </w:rPr>
        <w:t xml:space="preserve"> </w:t>
      </w:r>
      <w:bookmarkStart w:id="110" w:name="_Hlk147828398"/>
      <w:bookmarkStart w:id="111" w:name="_Hlk172306243"/>
      <w:r w:rsidRPr="00C22852">
        <w:rPr>
          <w:rStyle w:val="FigureNoteChar"/>
          <w:sz w:val="18"/>
          <w:szCs w:val="24"/>
        </w:rPr>
        <w:t xml:space="preserve">Refer to the STMT_PGC_ALL_1Y_SG and STMT_PGR_ALL_1Y_SG worksheets in the </w:t>
      </w:r>
      <w:r w:rsidR="005F62C3" w:rsidRPr="00C22852">
        <w:rPr>
          <w:rStyle w:val="FigureNoteChar"/>
          <w:sz w:val="18"/>
          <w:szCs w:val="24"/>
        </w:rPr>
        <w:t>2025</w:t>
      </w:r>
      <w:r w:rsidRPr="00C22852">
        <w:rPr>
          <w:rStyle w:val="FigureNoteChar"/>
          <w:sz w:val="18"/>
          <w:szCs w:val="24"/>
        </w:rPr>
        <w:t xml:space="preserve"> GOS-L National Tables available on the QILT website</w:t>
      </w:r>
      <w:bookmarkEnd w:id="110"/>
      <w:r w:rsidRPr="00C22852">
        <w:rPr>
          <w:rStyle w:val="FigureNoteChar"/>
          <w:sz w:val="18"/>
          <w:szCs w:val="24"/>
        </w:rPr>
        <w:t>.</w:t>
      </w:r>
      <w:bookmarkEnd w:id="111"/>
    </w:p>
  </w:footnote>
  <w:footnote w:id="11">
    <w:p w14:paraId="4D8D841A" w14:textId="77777777" w:rsidR="00D155D2" w:rsidRDefault="00D155D2" w:rsidP="00D155D2">
      <w:pPr>
        <w:pStyle w:val="FootnoteText"/>
      </w:pPr>
      <w:r w:rsidRPr="00C22852">
        <w:rPr>
          <w:rStyle w:val="FootnoteReference"/>
          <w:sz w:val="18"/>
          <w:szCs w:val="21"/>
        </w:rPr>
        <w:footnoteRef/>
      </w:r>
      <w:r w:rsidRPr="00C22852">
        <w:rPr>
          <w:sz w:val="18"/>
          <w:szCs w:val="21"/>
        </w:rPr>
        <w:t xml:space="preserve"> </w:t>
      </w:r>
      <w:r w:rsidRPr="00C22852">
        <w:rPr>
          <w:sz w:val="18"/>
          <w:szCs w:val="21"/>
          <w:lang w:val="en-AU"/>
        </w:rPr>
        <w:t>Refers to graduates who arrived in Australia less than 10 years prior to the year in which the data was collected and who come from a home where a language other than English is spoken. This information is reported by institutions through the Tertiary Collection of Student Information (TCSI) system.</w:t>
      </w:r>
    </w:p>
  </w:footnote>
  <w:footnote w:id="12">
    <w:p w14:paraId="6B7EF121" w14:textId="574EEE85" w:rsidR="00910822" w:rsidRPr="00F262A7" w:rsidRDefault="00910822" w:rsidP="00910822">
      <w:pPr>
        <w:pStyle w:val="FootnoteText"/>
        <w:rPr>
          <w:lang w:val="en-AU"/>
        </w:rPr>
      </w:pPr>
      <w:r>
        <w:rPr>
          <w:rStyle w:val="FootnoteReference"/>
        </w:rPr>
        <w:footnoteRef/>
      </w:r>
      <w:r>
        <w:t xml:space="preserve"> Short- and medium-term</w:t>
      </w:r>
      <w:r w:rsidRPr="00894735">
        <w:t xml:space="preserve"> </w:t>
      </w:r>
      <w:r>
        <w:t xml:space="preserve">postgraduate </w:t>
      </w:r>
      <w:r w:rsidRPr="00894735">
        <w:t xml:space="preserve">full-time employment outcomes are </w:t>
      </w:r>
      <w:r>
        <w:t>presented</w:t>
      </w:r>
      <w:r w:rsidRPr="00894735">
        <w:t xml:space="preserve"> in the STMT_PGC_ALL_1Y_AREA and STMT_PGR_ALL_1Y_AREA worksheets in the 202</w:t>
      </w:r>
      <w:r w:rsidR="008B1944">
        <w:t>5</w:t>
      </w:r>
      <w:r w:rsidRPr="00894735">
        <w:t xml:space="preserve"> GOS-L National Tables available on the QILT website.</w:t>
      </w:r>
    </w:p>
  </w:footnote>
  <w:footnote w:id="13">
    <w:p w14:paraId="428AA293" w14:textId="77777777" w:rsidR="00562A93" w:rsidRPr="00B97AFA" w:rsidRDefault="00562A93" w:rsidP="00562A93">
      <w:pPr>
        <w:pStyle w:val="FigureNote"/>
      </w:pPr>
      <w:r w:rsidRPr="00A922A0">
        <w:rPr>
          <w:rStyle w:val="FootnoteReference"/>
          <w:sz w:val="18"/>
          <w:szCs w:val="24"/>
        </w:rPr>
        <w:footnoteRef/>
      </w:r>
      <w:r w:rsidRPr="00A922A0">
        <w:rPr>
          <w:sz w:val="18"/>
          <w:szCs w:val="24"/>
        </w:rPr>
        <w:t xml:space="preserve"> The gender pay gap is calculated as 100 x (Male median salary – Female median salary)/Male median salary, consistent with the methodology used by the Workplace Gender Equality Agency (WGEA).</w:t>
      </w:r>
    </w:p>
  </w:footnote>
  <w:footnote w:id="14">
    <w:p w14:paraId="7FF5717A" w14:textId="6E3E46C5" w:rsidR="00910822" w:rsidRPr="00A71B1C" w:rsidRDefault="00910822" w:rsidP="00910822">
      <w:pPr>
        <w:pStyle w:val="FootnoteText"/>
        <w:rPr>
          <w:lang w:val="en-AU"/>
        </w:rPr>
      </w:pPr>
      <w:r w:rsidRPr="00A922A0">
        <w:rPr>
          <w:rStyle w:val="FootnoteReference"/>
          <w:sz w:val="18"/>
          <w:szCs w:val="21"/>
        </w:rPr>
        <w:footnoteRef/>
      </w:r>
      <w:r w:rsidRPr="00A922A0">
        <w:rPr>
          <w:sz w:val="18"/>
          <w:szCs w:val="21"/>
        </w:rPr>
        <w:t xml:space="preserve"> The GOS-L has included non-university higher education institutions (NUHEIs) since its inception in 2019. The number of NUHEIs included in the GOS-L has been increasing and in 2025</w:t>
      </w:r>
      <w:r w:rsidR="00247CC4" w:rsidRPr="00A922A0">
        <w:rPr>
          <w:sz w:val="18"/>
          <w:szCs w:val="21"/>
        </w:rPr>
        <w:t>,</w:t>
      </w:r>
      <w:r w:rsidRPr="00A922A0">
        <w:rPr>
          <w:sz w:val="18"/>
          <w:szCs w:val="21"/>
        </w:rPr>
        <w:t xml:space="preserve"> NUHEIs accounted for 8</w:t>
      </w:r>
      <w:r w:rsidR="001B52D5" w:rsidRPr="00A922A0">
        <w:rPr>
          <w:sz w:val="18"/>
          <w:szCs w:val="21"/>
        </w:rPr>
        <w:t>4</w:t>
      </w:r>
      <w:r w:rsidRPr="00A922A0">
        <w:rPr>
          <w:sz w:val="18"/>
          <w:szCs w:val="21"/>
        </w:rPr>
        <w:t xml:space="preserve"> of the 127 institutions represented in the GOS-L. These institutions include TAFE institutions and several specialist international, creative arts and theological colleges.</w:t>
      </w:r>
    </w:p>
  </w:footnote>
  <w:footnote w:id="15">
    <w:p w14:paraId="060F4425" w14:textId="15FBBA28" w:rsidR="00910822" w:rsidRPr="00106751" w:rsidRDefault="00910822" w:rsidP="00910822">
      <w:pPr>
        <w:pStyle w:val="Body"/>
        <w:rPr>
          <w:rFonts w:ascii="ArialMT" w:hAnsi="ArialMT"/>
        </w:rPr>
      </w:pPr>
      <w:r>
        <w:rPr>
          <w:rStyle w:val="FootnoteReference"/>
        </w:rPr>
        <w:footnoteRef/>
      </w:r>
      <w:r>
        <w:t xml:space="preserve"> </w:t>
      </w:r>
      <w:bookmarkStart w:id="156" w:name="_Hlk149647742"/>
      <w:r w:rsidRPr="00106751">
        <w:rPr>
          <w:rStyle w:val="FigureNoteChar"/>
        </w:rPr>
        <w:t xml:space="preserve">The calculation of confidence intervals is detailed in </w:t>
      </w:r>
      <w:hyperlink r:id="rId5" w:history="1">
        <w:r w:rsidR="00085412" w:rsidRPr="00500825">
          <w:rPr>
            <w:rStyle w:val="Hyperlink"/>
            <w:rFonts w:eastAsia="Calibri"/>
            <w:sz w:val="16"/>
            <w:szCs w:val="22"/>
            <w:lang w:val="en-GB"/>
          </w:rPr>
          <w:t>Construction of confidence intervals in QILT surveys</w:t>
        </w:r>
      </w:hyperlink>
      <w:r w:rsidRPr="00106751">
        <w:rPr>
          <w:rStyle w:val="FigureNoteChar"/>
        </w:rPr>
        <w:t xml:space="preserve">. </w:t>
      </w:r>
      <w:r>
        <w:rPr>
          <w:rStyle w:val="FigureNoteChar"/>
        </w:rPr>
        <w:t>Confidence intervals may be wider where</w:t>
      </w:r>
      <w:r w:rsidRPr="00106751">
        <w:rPr>
          <w:rStyle w:val="FigureNoteChar"/>
        </w:rPr>
        <w:t xml:space="preserve"> the </w:t>
      </w:r>
      <w:r>
        <w:rPr>
          <w:rStyle w:val="FigureNoteChar"/>
        </w:rPr>
        <w:t xml:space="preserve">number </w:t>
      </w:r>
      <w:r w:rsidRPr="00106751">
        <w:rPr>
          <w:rStyle w:val="FigureNoteChar"/>
        </w:rPr>
        <w:t xml:space="preserve">of survey responses for </w:t>
      </w:r>
      <w:r>
        <w:rPr>
          <w:rStyle w:val="FigureNoteChar"/>
        </w:rPr>
        <w:t xml:space="preserve">a given </w:t>
      </w:r>
      <w:r w:rsidRPr="00106751">
        <w:rPr>
          <w:rStyle w:val="FigureNoteChar"/>
        </w:rPr>
        <w:t xml:space="preserve">institution </w:t>
      </w:r>
      <w:r>
        <w:rPr>
          <w:rStyle w:val="FigureNoteChar"/>
        </w:rPr>
        <w:t xml:space="preserve">is </w:t>
      </w:r>
      <w:r w:rsidRPr="00106751">
        <w:rPr>
          <w:rStyle w:val="FigureNoteChar"/>
        </w:rPr>
        <w:t>relatively small</w:t>
      </w:r>
      <w:r>
        <w:rPr>
          <w:rStyle w:val="FigureNoteChar"/>
        </w:rPr>
        <w:t>.</w:t>
      </w:r>
      <w:r w:rsidRPr="00106751">
        <w:rPr>
          <w:rStyle w:val="FigureNoteChar"/>
        </w:rPr>
        <w:t xml:space="preserve"> </w:t>
      </w:r>
      <w:r>
        <w:rPr>
          <w:rStyle w:val="FigureNoteChar"/>
        </w:rPr>
        <w:t xml:space="preserve">Where </w:t>
      </w:r>
      <w:r w:rsidRPr="00106751">
        <w:rPr>
          <w:rStyle w:val="FigureNoteChar"/>
        </w:rPr>
        <w:t xml:space="preserve">confidence intervals </w:t>
      </w:r>
      <w:r>
        <w:rPr>
          <w:rStyle w:val="FigureNoteChar"/>
        </w:rPr>
        <w:t xml:space="preserve">for institution estimates do not </w:t>
      </w:r>
      <w:r w:rsidRPr="00106751">
        <w:rPr>
          <w:rStyle w:val="FigureNoteChar"/>
        </w:rPr>
        <w:t xml:space="preserve">overlap, </w:t>
      </w:r>
      <w:r>
        <w:rPr>
          <w:rStyle w:val="FigureNoteChar"/>
        </w:rPr>
        <w:t xml:space="preserve">this </w:t>
      </w:r>
      <w:r w:rsidRPr="00106751">
        <w:rPr>
          <w:rStyle w:val="FigureNoteChar"/>
        </w:rPr>
        <w:t xml:space="preserve">broadly </w:t>
      </w:r>
      <w:r>
        <w:rPr>
          <w:rStyle w:val="FigureNoteChar"/>
        </w:rPr>
        <w:t xml:space="preserve">implies </w:t>
      </w:r>
      <w:r w:rsidRPr="00106751">
        <w:rPr>
          <w:rStyle w:val="FigureNoteChar"/>
        </w:rPr>
        <w:t xml:space="preserve">the difference in labour market outcomes </w:t>
      </w:r>
      <w:r>
        <w:rPr>
          <w:rStyle w:val="FigureNoteChar"/>
        </w:rPr>
        <w:t xml:space="preserve">is </w:t>
      </w:r>
      <w:r w:rsidRPr="00106751">
        <w:rPr>
          <w:rStyle w:val="FigureNoteChar"/>
        </w:rPr>
        <w:t xml:space="preserve">statistically significant. </w:t>
      </w:r>
      <w:bookmarkEnd w:id="156"/>
      <w:r>
        <w:rPr>
          <w:rStyle w:val="FigureNoteChar"/>
        </w:rPr>
        <w:t xml:space="preserve">Where confidence intervals overlap </w:t>
      </w:r>
      <w:r w:rsidRPr="009D6EA1">
        <w:rPr>
          <w:rStyle w:val="FigureNoteChar"/>
        </w:rPr>
        <w:t xml:space="preserve">it cannot be inferred that </w:t>
      </w:r>
      <w:r>
        <w:rPr>
          <w:rStyle w:val="FigureNoteChar"/>
        </w:rPr>
        <w:t xml:space="preserve">the difference either </w:t>
      </w:r>
      <w:r w:rsidRPr="009D6EA1">
        <w:rPr>
          <w:rStyle w:val="FigureNoteChar"/>
        </w:rPr>
        <w:t>is</w:t>
      </w:r>
      <w:r>
        <w:rPr>
          <w:rStyle w:val="FigureNoteChar"/>
        </w:rPr>
        <w:t>,</w:t>
      </w:r>
      <w:r w:rsidRPr="009D6EA1">
        <w:rPr>
          <w:rStyle w:val="FigureNoteChar"/>
        </w:rPr>
        <w:t xml:space="preserve"> or is not</w:t>
      </w:r>
      <w:r>
        <w:rPr>
          <w:rStyle w:val="FigureNoteChar"/>
        </w:rPr>
        <w:t>,</w:t>
      </w:r>
      <w:r w:rsidRPr="009D6EA1">
        <w:rPr>
          <w:rStyle w:val="FigureNoteChar"/>
        </w:rPr>
        <w:t xml:space="preserve"> </w:t>
      </w:r>
      <w:r>
        <w:rPr>
          <w:rStyle w:val="FigureNoteChar"/>
        </w:rPr>
        <w:t xml:space="preserve">statistically </w:t>
      </w:r>
      <w:r w:rsidRPr="009D6EA1">
        <w:rPr>
          <w:rStyle w:val="FigureNoteChar"/>
        </w:rPr>
        <w:t>significant</w:t>
      </w:r>
      <w:r>
        <w:rPr>
          <w:rStyle w:val="FigureNoteChar"/>
        </w:rPr>
        <w:t>.</w:t>
      </w:r>
    </w:p>
  </w:footnote>
  <w:footnote w:id="16">
    <w:p w14:paraId="49D1070A" w14:textId="1FCB7818" w:rsidR="00F36D62" w:rsidRPr="00754C51" w:rsidRDefault="00F36D62" w:rsidP="00F36D62">
      <w:pPr>
        <w:pStyle w:val="FootnoteText"/>
        <w:rPr>
          <w:lang w:val="en-AU"/>
        </w:rPr>
      </w:pPr>
      <w:r>
        <w:rPr>
          <w:rStyle w:val="FootnoteReference"/>
        </w:rPr>
        <w:footnoteRef/>
      </w:r>
      <w:r>
        <w:t xml:space="preserve"> This report discusses the characteristics of graduates who responded to</w:t>
      </w:r>
      <w:r w:rsidR="00000494">
        <w:t xml:space="preserve"> both</w:t>
      </w:r>
      <w:r w:rsidR="00304D17">
        <w:t xml:space="preserve"> the 2022 GOS and 2025 GOS-L</w:t>
      </w:r>
      <w:r>
        <w:t>. Demographic and course characteristics of the responding population closely matched the total population of graduates eligible to take part in the 202</w:t>
      </w:r>
      <w:r w:rsidR="002C20D3">
        <w:t>5</w:t>
      </w:r>
      <w:r>
        <w:t xml:space="preserve"> GOS</w:t>
      </w:r>
      <w:r w:rsidR="002C20D3">
        <w:t>-L</w:t>
      </w:r>
      <w:r>
        <w:t>. Detailed analysis of graduates’ propensity to respond to the 202</w:t>
      </w:r>
      <w:r w:rsidR="00CD75A2">
        <w:t>5</w:t>
      </w:r>
      <w:r>
        <w:t xml:space="preserve"> GOS</w:t>
      </w:r>
      <w:r w:rsidR="00CD75A2">
        <w:t>-L</w:t>
      </w:r>
      <w:r>
        <w:t xml:space="preserve"> are discussed in </w:t>
      </w:r>
      <w:r w:rsidR="00CD75A2">
        <w:t xml:space="preserve">the 2025 GOS-L </w:t>
      </w:r>
      <w:r w:rsidR="00777F58">
        <w:t>Methodological</w:t>
      </w:r>
      <w:r w:rsidR="00CD75A2">
        <w:t xml:space="preserve"> Report</w:t>
      </w:r>
      <w:r w:rsidR="00777F58">
        <w:t xml:space="preserve"> available to download from the QILT website: </w:t>
      </w:r>
      <w:hyperlink r:id="rId6" w:history="1">
        <w:r w:rsidR="00B000A7" w:rsidRPr="00B000A7">
          <w:rPr>
            <w:rStyle w:val="Hyperlink"/>
            <w:lang w:val="en-AU"/>
          </w:rPr>
          <w:t>Graduate Outcomes Survey - Longitudinal</w:t>
        </w:r>
      </w:hyperlink>
      <w:r>
        <w:t xml:space="preserve"> </w:t>
      </w:r>
    </w:p>
  </w:footnote>
  <w:footnote w:id="17">
    <w:p w14:paraId="43312EA1" w14:textId="571EFD42" w:rsidR="002B2406" w:rsidRPr="00AC0938" w:rsidRDefault="002B2406" w:rsidP="002B2406">
      <w:pPr>
        <w:pStyle w:val="FootnoteText"/>
      </w:pPr>
      <w:r>
        <w:rPr>
          <w:rStyle w:val="FootnoteReference"/>
        </w:rPr>
        <w:footnoteRef/>
      </w:r>
      <w:r>
        <w:t xml:space="preserve"> </w:t>
      </w:r>
      <w:r w:rsidRPr="00400F64">
        <w:t>Note</w:t>
      </w:r>
      <w:r w:rsidR="00112CBC">
        <w:t>:</w:t>
      </w:r>
      <w:r w:rsidRPr="00400F64">
        <w:t xml:space="preserve"> </w:t>
      </w:r>
      <w:r>
        <w:t>‘</w:t>
      </w:r>
      <w:r w:rsidRPr="00400F64">
        <w:t>source country</w:t>
      </w:r>
      <w:r>
        <w:t>’</w:t>
      </w:r>
      <w:r w:rsidRPr="00400F64">
        <w:t xml:space="preserve"> is derived from </w:t>
      </w:r>
      <w:hyperlink r:id="rId7" w:history="1">
        <w:r w:rsidR="00B117D8">
          <w:rPr>
            <w:rStyle w:val="Hyperlink"/>
          </w:rPr>
          <w:t>TCSI E346 Country of Birth Code</w:t>
        </w:r>
      </w:hyperlink>
      <w:r w:rsidRPr="00400F64">
        <w:t xml:space="preserve"> and represents the </w:t>
      </w:r>
      <w:r w:rsidR="00AA01A4">
        <w:t>respondent’s country of birth.</w:t>
      </w:r>
      <w:r w:rsidR="00120F34">
        <w:t xml:space="preserve"> </w:t>
      </w:r>
      <w:r w:rsidR="0044587A">
        <w:t xml:space="preserve">Country of birth was </w:t>
      </w:r>
      <w:r w:rsidR="008A4EE3">
        <w:t>used</w:t>
      </w:r>
      <w:r w:rsidR="00CC296F">
        <w:t xml:space="preserve"> </w:t>
      </w:r>
      <w:r w:rsidR="0023319D">
        <w:t>in</w:t>
      </w:r>
      <w:r w:rsidR="008A4EE3">
        <w:t xml:space="preserve"> </w:t>
      </w:r>
      <w:r w:rsidR="00720843">
        <w:t xml:space="preserve">reporting </w:t>
      </w:r>
      <w:r w:rsidR="006B0222">
        <w:t>Graduate</w:t>
      </w:r>
      <w:r w:rsidR="00720843">
        <w:t xml:space="preserve"> Outcomes Survey (GOS) results until 2023</w:t>
      </w:r>
      <w:r w:rsidR="00A47DE4">
        <w:t>. Since 2023, the GOS</w:t>
      </w:r>
      <w:r w:rsidR="00BF2EE2">
        <w:t xml:space="preserve"> ha</w:t>
      </w:r>
      <w:r w:rsidR="00AC0938">
        <w:t>s</w:t>
      </w:r>
      <w:r w:rsidR="00BF2EE2">
        <w:t xml:space="preserve"> used E658 Country of Permanent Residence for deriving source countr</w:t>
      </w:r>
      <w:r w:rsidR="006B0222">
        <w:t>y.</w:t>
      </w:r>
    </w:p>
  </w:footnote>
  <w:footnote w:id="18">
    <w:p w14:paraId="27E7294C" w14:textId="50C7C7B0" w:rsidR="00750B07" w:rsidRPr="002E5B12" w:rsidRDefault="00750B07" w:rsidP="00750B07">
      <w:pPr>
        <w:pStyle w:val="FootnoteText"/>
        <w:rPr>
          <w:lang w:val="en-AU"/>
        </w:rPr>
      </w:pPr>
      <w:r w:rsidRPr="0062339E">
        <w:rPr>
          <w:rStyle w:val="FootnoteReference"/>
          <w:sz w:val="18"/>
          <w:szCs w:val="21"/>
        </w:rPr>
        <w:footnoteRef/>
      </w:r>
      <w:r w:rsidRPr="0062339E">
        <w:rPr>
          <w:sz w:val="18"/>
          <w:szCs w:val="21"/>
        </w:rPr>
        <w:t xml:space="preserve"> </w:t>
      </w:r>
      <w:hyperlink r:id="rId8" w:history="1">
        <w:r w:rsidR="00E2650D" w:rsidRPr="0062339E">
          <w:rPr>
            <w:rStyle w:val="Hyperlink"/>
            <w:sz w:val="18"/>
            <w:szCs w:val="21"/>
            <w:lang w:val="en-AU"/>
          </w:rPr>
          <w:t>Concepts and sources | Australian Bureau of Statistics</w:t>
        </w:r>
      </w:hyperlink>
    </w:p>
  </w:footnote>
  <w:footnote w:id="19">
    <w:p w14:paraId="1E3BD05C" w14:textId="77777777" w:rsidR="000539F2" w:rsidRPr="00AE5A5E" w:rsidRDefault="000539F2" w:rsidP="000539F2">
      <w:pPr>
        <w:pStyle w:val="FootnoteText"/>
        <w:rPr>
          <w:lang w:val="en-AU"/>
        </w:rPr>
      </w:pPr>
      <w:r w:rsidRPr="000539F2">
        <w:rPr>
          <w:rStyle w:val="FootnoteReference"/>
        </w:rPr>
        <w:footnoteRef/>
      </w:r>
      <w:r w:rsidRPr="000539F2">
        <w:t xml:space="preserve"> </w:t>
      </w:r>
      <w:r w:rsidRPr="000539F2">
        <w:rPr>
          <w:lang w:val="en-AU"/>
        </w:rPr>
        <w:t>For example, the predictor used for the estimation of domestic undergraduates that were employed part-time, but available for full-time work in the GOS was ABS Labour Force data on individuals employed part-time, but preferred to work full-time, that were aged 20-29 years and had a bachelor degree as the highest level of educational attainment.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DE64" w14:textId="4C5463A5" w:rsidR="00034502" w:rsidRDefault="0003450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6580C" w14:textId="77777777" w:rsidR="00BC457C" w:rsidRDefault="00BC457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8A52" w14:textId="57F7A9EB" w:rsidR="00910822" w:rsidRDefault="0047134D">
    <w:pPr>
      <w:pStyle w:val="Header"/>
    </w:pPr>
    <w:r>
      <w:rPr>
        <w:noProof/>
      </w:rPr>
      <mc:AlternateContent>
        <mc:Choice Requires="wps">
          <w:drawing>
            <wp:anchor distT="0" distB="0" distL="114300" distR="114300" simplePos="0" relativeHeight="251658249" behindDoc="1" locked="0" layoutInCell="0" allowOverlap="1" wp14:anchorId="7FDB657F" wp14:editId="268B6046">
              <wp:simplePos x="0" y="0"/>
              <wp:positionH relativeFrom="margin">
                <wp:align>center</wp:align>
              </wp:positionH>
              <wp:positionV relativeFrom="margin">
                <wp:align>center</wp:align>
              </wp:positionV>
              <wp:extent cx="6689090" cy="2675255"/>
              <wp:effectExtent l="0" t="1809750" r="0" b="1468120"/>
              <wp:wrapNone/>
              <wp:docPr id="17358132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A54ADD" w14:textId="77777777" w:rsidR="0047134D" w:rsidRDefault="0047134D"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DB657F" id="_x0000_t202" coordsize="21600,21600" o:spt="202" path="m,l,21600r21600,l21600,xe">
              <v:stroke joinstyle="miter"/>
              <v:path gradientshapeok="t" o:connecttype="rect"/>
            </v:shapetype>
            <v:shape id="Text Box 1" o:spid="_x0000_s1026" type="#_x0000_t202" style="position:absolute;margin-left:0;margin-top:0;width:526.7pt;height:210.6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" o:allowincell="f" filled="f" stroked="f">
              <v:stroke joinstyle="round"/>
              <o:lock v:ext="edit" shapetype="t"/>
              <v:textbox style="mso-fit-shape-to-text:t">
                <w:txbxContent>
                  <w:p w14:paraId="3FA54ADD" w14:textId="77777777" w:rsidR="0047134D" w:rsidRDefault="0047134D"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BF22" w14:textId="533E8EDC" w:rsidR="00910822" w:rsidRDefault="0047134D">
    <w:pPr>
      <w:pStyle w:val="Header"/>
    </w:pPr>
    <w:r>
      <w:rPr>
        <w:noProof/>
      </w:rPr>
      <mc:AlternateContent>
        <mc:Choice Requires="wps">
          <w:drawing>
            <wp:anchor distT="0" distB="0" distL="114300" distR="114300" simplePos="0" relativeHeight="251658250" behindDoc="1" locked="0" layoutInCell="0" allowOverlap="1" wp14:anchorId="17724342" wp14:editId="1D20D873">
              <wp:simplePos x="0" y="0"/>
              <wp:positionH relativeFrom="margin">
                <wp:align>center</wp:align>
              </wp:positionH>
              <wp:positionV relativeFrom="margin">
                <wp:align>center</wp:align>
              </wp:positionV>
              <wp:extent cx="6689090" cy="2675255"/>
              <wp:effectExtent l="0" t="1809750" r="0" b="1468120"/>
              <wp:wrapNone/>
              <wp:docPr id="1645575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A01383" w14:textId="77777777" w:rsidR="0047134D" w:rsidRDefault="0047134D"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724342" id="_x0000_t202" coordsize="21600,21600" o:spt="202" path="m,l,21600r21600,l21600,xe">
              <v:stroke joinstyle="miter"/>
              <v:path gradientshapeok="t" o:connecttype="rect"/>
            </v:shapetype>
            <v:shape id="Text Box 2" o:spid="_x0000_s1027" type="#_x0000_t202" style="position:absolute;margin-left:0;margin-top:0;width:526.7pt;height:210.6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" o:allowincell="f" filled="f" stroked="f">
              <v:stroke joinstyle="round"/>
              <o:lock v:ext="edit" shapetype="t"/>
              <v:textbox style="mso-fit-shape-to-text:t">
                <w:txbxContent>
                  <w:p w14:paraId="0FA01383" w14:textId="77777777" w:rsidR="0047134D" w:rsidRDefault="0047134D"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37AC" w14:textId="09B0A006" w:rsidR="00910822" w:rsidRDefault="0047134D">
    <w:pPr>
      <w:pStyle w:val="Header"/>
    </w:pPr>
    <w:r>
      <w:rPr>
        <w:noProof/>
      </w:rPr>
      <mc:AlternateContent>
        <mc:Choice Requires="wps">
          <w:drawing>
            <wp:anchor distT="0" distB="0" distL="114300" distR="114300" simplePos="0" relativeHeight="251658251" behindDoc="1" locked="0" layoutInCell="0" allowOverlap="1" wp14:anchorId="191AA393" wp14:editId="776BBA27">
              <wp:simplePos x="0" y="0"/>
              <wp:positionH relativeFrom="margin">
                <wp:align>center</wp:align>
              </wp:positionH>
              <wp:positionV relativeFrom="margin">
                <wp:align>center</wp:align>
              </wp:positionV>
              <wp:extent cx="6689090" cy="2675255"/>
              <wp:effectExtent l="0" t="1809750" r="0" b="1468120"/>
              <wp:wrapNone/>
              <wp:docPr id="8575211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AF2B61" w14:textId="77777777" w:rsidR="0047134D" w:rsidRDefault="0047134D"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1AA393" id="_x0000_t202" coordsize="21600,21600" o:spt="202" path="m,l,21600r21600,l21600,xe">
              <v:stroke joinstyle="miter"/>
              <v:path gradientshapeok="t" o:connecttype="rect"/>
            </v:shapetype>
            <v:shape id="Text Box 3" o:spid="_x0000_s1028" type="#_x0000_t202" style="position:absolute;margin-left:0;margin-top:0;width:526.7pt;height:210.6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" o:allowincell="f" filled="f" stroked="f">
              <v:stroke joinstyle="round"/>
              <o:lock v:ext="edit" shapetype="t"/>
              <v:textbox style="mso-fit-shape-to-text:t">
                <w:txbxContent>
                  <w:p w14:paraId="13AF2B61" w14:textId="77777777" w:rsidR="0047134D" w:rsidRDefault="0047134D"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DF23" w14:textId="77777777" w:rsidR="00BC457C" w:rsidRDefault="00BC457C">
    <w:pPr>
      <w:pStyle w:val="Header"/>
    </w:pPr>
    <w:r>
      <w:rPr>
        <w:noProof/>
      </w:rPr>
      <mc:AlternateContent>
        <mc:Choice Requires="wps">
          <w:drawing>
            <wp:anchor distT="0" distB="0" distL="114300" distR="114300" simplePos="0" relativeHeight="251683840" behindDoc="1" locked="0" layoutInCell="0" allowOverlap="1" wp14:anchorId="3070272B" wp14:editId="599B7436">
              <wp:simplePos x="0" y="0"/>
              <wp:positionH relativeFrom="margin">
                <wp:align>center</wp:align>
              </wp:positionH>
              <wp:positionV relativeFrom="margin">
                <wp:align>center</wp:align>
              </wp:positionV>
              <wp:extent cx="6689090" cy="2675255"/>
              <wp:effectExtent l="0" t="1809750" r="0" b="1468120"/>
              <wp:wrapNone/>
              <wp:docPr id="1552255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03242F" w14:textId="77777777" w:rsidR="00BC457C" w:rsidRDefault="00BC457C"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70272B" id="_x0000_t202" coordsize="21600,21600" o:spt="202" path="m,l,21600r21600,l21600,xe">
              <v:stroke joinstyle="miter"/>
              <v:path gradientshapeok="t" o:connecttype="rect"/>
            </v:shapetype>
            <v:shape id="_x0000_s1029" type="#_x0000_t202" style="position:absolute;margin-left:0;margin-top:0;width:526.7pt;height:210.65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" o:allowincell="f" filled="f" stroked="f">
              <v:stroke joinstyle="round"/>
              <o:lock v:ext="edit" shapetype="t"/>
              <v:textbox style="mso-fit-shape-to-text:t">
                <w:txbxContent>
                  <w:p w14:paraId="2703242F" w14:textId="77777777" w:rsidR="00BC457C" w:rsidRDefault="00BC457C"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6D59E" w14:textId="77777777" w:rsidR="00C22852" w:rsidRDefault="00C22852">
    <w:pPr>
      <w:pStyle w:val="Header"/>
    </w:pPr>
    <w:r>
      <w:rPr>
        <w:noProof/>
      </w:rPr>
      <mc:AlternateContent>
        <mc:Choice Requires="wps">
          <w:drawing>
            <wp:anchor distT="0" distB="0" distL="114300" distR="114300" simplePos="0" relativeHeight="251700224" behindDoc="1" locked="0" layoutInCell="0" allowOverlap="1" wp14:anchorId="41BDC326" wp14:editId="27F45DDA">
              <wp:simplePos x="0" y="0"/>
              <wp:positionH relativeFrom="margin">
                <wp:align>center</wp:align>
              </wp:positionH>
              <wp:positionV relativeFrom="margin">
                <wp:align>center</wp:align>
              </wp:positionV>
              <wp:extent cx="6689090" cy="2675255"/>
              <wp:effectExtent l="0" t="1809750" r="0" b="1468120"/>
              <wp:wrapNone/>
              <wp:docPr id="145424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C2781E" w14:textId="77777777" w:rsidR="00C22852" w:rsidRDefault="00C22852"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BDC326" id="_x0000_t202" coordsize="21600,21600" o:spt="202" path="m,l,21600r21600,l21600,xe">
              <v:stroke joinstyle="miter"/>
              <v:path gradientshapeok="t" o:connecttype="rect"/>
            </v:shapetype>
            <v:shape id="_x0000_s1030" type="#_x0000_t202" style="position:absolute;margin-left:0;margin-top:0;width:526.7pt;height:210.65pt;rotation:-45;z-index:-25161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" o:allowincell="f" filled="f" stroked="f">
              <v:stroke joinstyle="round"/>
              <o:lock v:ext="edit" shapetype="t"/>
              <v:textbox style="mso-fit-shape-to-text:t">
                <w:txbxContent>
                  <w:p w14:paraId="17C2781E" w14:textId="77777777" w:rsidR="00C22852" w:rsidRDefault="00C22852"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A364" w14:textId="77777777" w:rsidR="00C22852" w:rsidRDefault="00C22852">
    <w:pPr>
      <w:pStyle w:val="Header"/>
    </w:pPr>
    <w:r>
      <w:rPr>
        <w:noProof/>
      </w:rPr>
      <mc:AlternateContent>
        <mc:Choice Requires="wps">
          <w:drawing>
            <wp:anchor distT="0" distB="0" distL="114300" distR="114300" simplePos="0" relativeHeight="251698176" behindDoc="1" locked="0" layoutInCell="0" allowOverlap="1" wp14:anchorId="4D3302AD" wp14:editId="38FA8E66">
              <wp:simplePos x="0" y="0"/>
              <wp:positionH relativeFrom="margin">
                <wp:align>center</wp:align>
              </wp:positionH>
              <wp:positionV relativeFrom="margin">
                <wp:align>center</wp:align>
              </wp:positionV>
              <wp:extent cx="6689090" cy="2675255"/>
              <wp:effectExtent l="0" t="1809750" r="0" b="1468120"/>
              <wp:wrapNone/>
              <wp:docPr id="106460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817002" w14:textId="77777777" w:rsidR="00C22852" w:rsidRDefault="00C22852"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3302AD" id="_x0000_t202" coordsize="21600,21600" o:spt="202" path="m,l,21600r21600,l21600,xe">
              <v:stroke joinstyle="miter"/>
              <v:path gradientshapeok="t" o:connecttype="rect"/>
            </v:shapetype>
            <v:shape id="_x0000_s1031" type="#_x0000_t202" style="position:absolute;margin-left:0;margin-top:0;width:526.7pt;height:210.65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" o:allowincell="f" filled="f" stroked="f">
              <v:stroke joinstyle="round"/>
              <o:lock v:ext="edit" shapetype="t"/>
              <v:textbox style="mso-fit-shape-to-text:t">
                <w:txbxContent>
                  <w:p w14:paraId="05817002" w14:textId="77777777" w:rsidR="00C22852" w:rsidRDefault="00C22852" w:rsidP="0047134D">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B0EC" w14:textId="47ED514D" w:rsidR="00B83377" w:rsidRDefault="00B83377">
    <w:pPr>
      <w:pStyle w:val="Header"/>
    </w:pPr>
    <w:r>
      <w:rPr>
        <w:noProof/>
      </w:rPr>
      <mc:AlternateContent>
        <mc:Choice Requires="wps">
          <w:drawing>
            <wp:anchor distT="0" distB="0" distL="114300" distR="114300" simplePos="0" relativeHeight="251663360" behindDoc="1" locked="0" layoutInCell="0" allowOverlap="1" wp14:anchorId="11355F7B" wp14:editId="7D79FA16">
              <wp:simplePos x="0" y="0"/>
              <wp:positionH relativeFrom="margin">
                <wp:align>center</wp:align>
              </wp:positionH>
              <wp:positionV relativeFrom="margin">
                <wp:align>center</wp:align>
              </wp:positionV>
              <wp:extent cx="6689090" cy="2675255"/>
              <wp:effectExtent l="0" t="1809750" r="0" b="1468120"/>
              <wp:wrapNone/>
              <wp:docPr id="7308063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AB3AF7" w14:textId="77777777" w:rsidR="00B83377" w:rsidRDefault="00B83377"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355F7B" id="_x0000_t202" coordsize="21600,21600" o:spt="202" path="m,l,21600r21600,l21600,xe">
              <v:stroke joinstyle="miter"/>
              <v:path gradientshapeok="t" o:connecttype="rect"/>
            </v:shapetype>
            <v:shape id="Text Box 4" o:spid="_x0000_s1032" type="#_x0000_t202" style="position:absolute;margin-left:0;margin-top:0;width:526.7pt;height:210.6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" o:allowincell="f" filled="f" stroked="f">
              <v:stroke joinstyle="round"/>
              <o:lock v:ext="edit" shapetype="t"/>
              <v:textbox style="mso-fit-shape-to-text:t">
                <w:txbxContent>
                  <w:p w14:paraId="7AAB3AF7" w14:textId="77777777" w:rsidR="00B83377" w:rsidRDefault="00B83377"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AD3D" w14:textId="7654CD5D" w:rsidR="00B83377" w:rsidRDefault="00B83377">
    <w:pPr>
      <w:pStyle w:val="Header"/>
    </w:pPr>
    <w:r>
      <w:rPr>
        <w:noProof/>
      </w:rPr>
      <mc:AlternateContent>
        <mc:Choice Requires="wps">
          <w:drawing>
            <wp:anchor distT="0" distB="0" distL="114300" distR="114300" simplePos="0" relativeHeight="251656192" behindDoc="1" locked="0" layoutInCell="0" allowOverlap="1" wp14:anchorId="5D876FE6" wp14:editId="75518781">
              <wp:simplePos x="0" y="0"/>
              <wp:positionH relativeFrom="margin">
                <wp:align>center</wp:align>
              </wp:positionH>
              <wp:positionV relativeFrom="margin">
                <wp:align>center</wp:align>
              </wp:positionV>
              <wp:extent cx="6689090" cy="2675255"/>
              <wp:effectExtent l="0" t="1809750" r="0" b="1468120"/>
              <wp:wrapNone/>
              <wp:docPr id="2994114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9D8A53" w14:textId="77777777" w:rsidR="00B83377" w:rsidRDefault="00B83377"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876FE6" id="_x0000_t202" coordsize="21600,21600" o:spt="202" path="m,l,21600r21600,l21600,xe">
              <v:stroke joinstyle="miter"/>
              <v:path gradientshapeok="t" o:connecttype="rect"/>
            </v:shapetype>
            <v:shape id="Text Box 5" o:spid="_x0000_s1033" type="#_x0000_t202" style="position:absolute;margin-left:0;margin-top:0;width:526.7pt;height:210.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" o:allowincell="f" filled="f" stroked="f">
              <v:stroke joinstyle="round"/>
              <o:lock v:ext="edit" shapetype="t"/>
              <v:textbox style="mso-fit-shape-to-text:t">
                <w:txbxContent>
                  <w:p w14:paraId="1C9D8A53" w14:textId="77777777" w:rsidR="00B83377" w:rsidRDefault="00B83377"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2BF5" w14:textId="21FB7CBE" w:rsidR="00B83377" w:rsidRDefault="00B83377">
    <w:pPr>
      <w:pStyle w:val="Header"/>
    </w:pPr>
    <w:r>
      <w:rPr>
        <w:noProof/>
      </w:rPr>
      <mc:AlternateContent>
        <mc:Choice Requires="wps">
          <w:drawing>
            <wp:anchor distT="0" distB="0" distL="114300" distR="114300" simplePos="0" relativeHeight="251670528" behindDoc="1" locked="0" layoutInCell="0" allowOverlap="1" wp14:anchorId="567E89B1" wp14:editId="780AA673">
              <wp:simplePos x="0" y="0"/>
              <wp:positionH relativeFrom="margin">
                <wp:align>center</wp:align>
              </wp:positionH>
              <wp:positionV relativeFrom="margin">
                <wp:align>center</wp:align>
              </wp:positionV>
              <wp:extent cx="6689090" cy="2675255"/>
              <wp:effectExtent l="0" t="1809750" r="0" b="1468120"/>
              <wp:wrapNone/>
              <wp:docPr id="9446686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B4CF60" w14:textId="77777777" w:rsidR="00B83377" w:rsidRDefault="00B83377"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7E89B1" id="_x0000_t202" coordsize="21600,21600" o:spt="202" path="m,l,21600r21600,l21600,xe">
              <v:stroke joinstyle="miter"/>
              <v:path gradientshapeok="t" o:connecttype="rect"/>
            </v:shapetype>
            <v:shape id="Text Box 6" o:spid="_x0000_s1034" type="#_x0000_t202" style="position:absolute;margin-left:0;margin-top:0;width:526.7pt;height:210.6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" o:allowincell="f" filled="f" stroked="f">
              <v:stroke joinstyle="round"/>
              <o:lock v:ext="edit" shapetype="t"/>
              <v:textbox style="mso-fit-shape-to-text:t">
                <w:txbxContent>
                  <w:p w14:paraId="31B4CF60" w14:textId="77777777" w:rsidR="00B83377" w:rsidRDefault="00B83377"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C2BB" w14:textId="5C7F938C" w:rsidR="00034502" w:rsidRDefault="0003450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0E8D" w14:textId="77777777" w:rsidR="0062339E" w:rsidRDefault="0062339E">
    <w:pPr>
      <w:pStyle w:val="Header"/>
    </w:pPr>
    <w:r>
      <w:rPr>
        <w:noProof/>
      </w:rPr>
      <mc:AlternateContent>
        <mc:Choice Requires="wps">
          <w:drawing>
            <wp:anchor distT="0" distB="0" distL="114300" distR="114300" simplePos="0" relativeHeight="251692032" behindDoc="1" locked="0" layoutInCell="0" allowOverlap="1" wp14:anchorId="5CE4F7BC" wp14:editId="5700D032">
              <wp:simplePos x="0" y="0"/>
              <wp:positionH relativeFrom="margin">
                <wp:align>center</wp:align>
              </wp:positionH>
              <wp:positionV relativeFrom="margin">
                <wp:align>center</wp:align>
              </wp:positionV>
              <wp:extent cx="6689090" cy="2675255"/>
              <wp:effectExtent l="0" t="1809750" r="0" b="1468120"/>
              <wp:wrapNone/>
              <wp:docPr id="6644135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E0A68" w14:textId="77777777" w:rsidR="0062339E" w:rsidRDefault="0062339E"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E4F7BC" id="_x0000_t202" coordsize="21600,21600" o:spt="202" path="m,l,21600r21600,l21600,xe">
              <v:stroke joinstyle="miter"/>
              <v:path gradientshapeok="t" o:connecttype="rect"/>
            </v:shapetype>
            <v:shape id="_x0000_s1035" type="#_x0000_t202" style="position:absolute;margin-left:0;margin-top:0;width:526.7pt;height:210.6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Dk9gEAAMwDAAAOAAAAZHJzL2Uyb0RvYy54bWysU8GO0zAQvSPxD5bvNGmllm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" o:allowincell="f" filled="f" stroked="f">
              <v:stroke joinstyle="round"/>
              <o:lock v:ext="edit" shapetype="t"/>
              <v:textbox style="mso-fit-shape-to-text:t">
                <w:txbxContent>
                  <w:p w14:paraId="420E0A68" w14:textId="77777777" w:rsidR="0062339E" w:rsidRDefault="0062339E"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2BE3C" w14:textId="77777777" w:rsidR="0062339E" w:rsidRDefault="0062339E">
    <w:pPr>
      <w:pStyle w:val="Header"/>
    </w:pPr>
    <w:r>
      <w:rPr>
        <w:noProof/>
      </w:rPr>
      <mc:AlternateContent>
        <mc:Choice Requires="wps">
          <w:drawing>
            <wp:anchor distT="0" distB="0" distL="114300" distR="114300" simplePos="0" relativeHeight="251689984" behindDoc="1" locked="0" layoutInCell="0" allowOverlap="1" wp14:anchorId="0078F16C" wp14:editId="3AD265BF">
              <wp:simplePos x="0" y="0"/>
              <wp:positionH relativeFrom="margin">
                <wp:align>center</wp:align>
              </wp:positionH>
              <wp:positionV relativeFrom="margin">
                <wp:align>center</wp:align>
              </wp:positionV>
              <wp:extent cx="6689090" cy="2675255"/>
              <wp:effectExtent l="0" t="1809750" r="0" b="1468120"/>
              <wp:wrapNone/>
              <wp:docPr id="3669387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FD1DD" w14:textId="77777777" w:rsidR="0062339E" w:rsidRDefault="0062339E"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78F16C" id="_x0000_t202" coordsize="21600,21600" o:spt="202" path="m,l,21600r21600,l21600,xe">
              <v:stroke joinstyle="miter"/>
              <v:path gradientshapeok="t" o:connecttype="rect"/>
            </v:shapetype>
            <v:shape id="_x0000_s1036" type="#_x0000_t202" style="position:absolute;margin-left:0;margin-top:0;width:526.7pt;height:210.65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" o:allowincell="f" filled="f" stroked="f">
              <v:stroke joinstyle="round"/>
              <o:lock v:ext="edit" shapetype="t"/>
              <v:textbox style="mso-fit-shape-to-text:t">
                <w:txbxContent>
                  <w:p w14:paraId="100FD1DD" w14:textId="77777777" w:rsidR="0062339E" w:rsidRDefault="0062339E" w:rsidP="00B8337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61258" w14:textId="671F0937" w:rsidR="00034502" w:rsidRDefault="0003450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C854" w14:textId="2CB16656" w:rsidR="00034502" w:rsidRDefault="0003450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DE3F" w14:textId="2E57532F" w:rsidR="00034502" w:rsidRDefault="000345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B63DB" w14:textId="5E826B1F" w:rsidR="00034502" w:rsidRDefault="000345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00BC" w14:textId="78D4911C" w:rsidR="00034502" w:rsidRDefault="000345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5F5A1" w14:textId="0DCFD93C" w:rsidR="00034502" w:rsidRDefault="000345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F936" w14:textId="254C3D33" w:rsidR="00034502" w:rsidRDefault="000345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746E3" w14:textId="5C09C415" w:rsidR="00244416" w:rsidRDefault="002444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2E74" w14:textId="7DB451BC" w:rsidR="00244416" w:rsidRDefault="002444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5169" w14:textId="79CD8239" w:rsidR="00244416" w:rsidRDefault="002444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6B31"/>
    <w:multiLevelType w:val="hybridMultilevel"/>
    <w:tmpl w:val="EE0828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3"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2F2C6F"/>
    <w:multiLevelType w:val="hybridMultilevel"/>
    <w:tmpl w:val="D58C08E8"/>
    <w:lvl w:ilvl="0" w:tplc="F594ED34">
      <w:start w:val="1"/>
      <w:numFmt w:val="decimal"/>
      <w:lvlText w:val="%1."/>
      <w:lvlJc w:val="left"/>
      <w:pPr>
        <w:ind w:left="1020" w:hanging="360"/>
      </w:pPr>
    </w:lvl>
    <w:lvl w:ilvl="1" w:tplc="A230813C">
      <w:start w:val="1"/>
      <w:numFmt w:val="decimal"/>
      <w:lvlText w:val="%2."/>
      <w:lvlJc w:val="left"/>
      <w:pPr>
        <w:ind w:left="1020" w:hanging="360"/>
      </w:pPr>
    </w:lvl>
    <w:lvl w:ilvl="2" w:tplc="7C986192">
      <w:start w:val="1"/>
      <w:numFmt w:val="decimal"/>
      <w:lvlText w:val="%3."/>
      <w:lvlJc w:val="left"/>
      <w:pPr>
        <w:ind w:left="1020" w:hanging="360"/>
      </w:pPr>
    </w:lvl>
    <w:lvl w:ilvl="3" w:tplc="73609EA8">
      <w:start w:val="1"/>
      <w:numFmt w:val="decimal"/>
      <w:lvlText w:val="%4."/>
      <w:lvlJc w:val="left"/>
      <w:pPr>
        <w:ind w:left="1020" w:hanging="360"/>
      </w:pPr>
    </w:lvl>
    <w:lvl w:ilvl="4" w:tplc="19925D76">
      <w:start w:val="1"/>
      <w:numFmt w:val="decimal"/>
      <w:lvlText w:val="%5."/>
      <w:lvlJc w:val="left"/>
      <w:pPr>
        <w:ind w:left="1020" w:hanging="360"/>
      </w:pPr>
    </w:lvl>
    <w:lvl w:ilvl="5" w:tplc="E9D89DDE">
      <w:start w:val="1"/>
      <w:numFmt w:val="decimal"/>
      <w:lvlText w:val="%6."/>
      <w:lvlJc w:val="left"/>
      <w:pPr>
        <w:ind w:left="1020" w:hanging="360"/>
      </w:pPr>
    </w:lvl>
    <w:lvl w:ilvl="6" w:tplc="E012A558">
      <w:start w:val="1"/>
      <w:numFmt w:val="decimal"/>
      <w:lvlText w:val="%7."/>
      <w:lvlJc w:val="left"/>
      <w:pPr>
        <w:ind w:left="1020" w:hanging="360"/>
      </w:pPr>
    </w:lvl>
    <w:lvl w:ilvl="7" w:tplc="9F3C667C">
      <w:start w:val="1"/>
      <w:numFmt w:val="decimal"/>
      <w:lvlText w:val="%8."/>
      <w:lvlJc w:val="left"/>
      <w:pPr>
        <w:ind w:left="1020" w:hanging="360"/>
      </w:pPr>
    </w:lvl>
    <w:lvl w:ilvl="8" w:tplc="2C4CE09A">
      <w:start w:val="1"/>
      <w:numFmt w:val="decimal"/>
      <w:lvlText w:val="%9."/>
      <w:lvlJc w:val="left"/>
      <w:pPr>
        <w:ind w:left="1020" w:hanging="360"/>
      </w:pPr>
    </w:lvl>
  </w:abstractNum>
  <w:abstractNum w:abstractNumId="5" w15:restartNumberingAfterBreak="0">
    <w:nsid w:val="233B48A6"/>
    <w:multiLevelType w:val="multilevel"/>
    <w:tmpl w:val="AFE091CC"/>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8CB29AB"/>
    <w:multiLevelType w:val="hybridMultilevel"/>
    <w:tmpl w:val="FE6C0AD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ED60935"/>
    <w:multiLevelType w:val="multilevel"/>
    <w:tmpl w:val="1B2A74A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FC60591"/>
    <w:multiLevelType w:val="hybridMultilevel"/>
    <w:tmpl w:val="8ABAA730"/>
    <w:lvl w:ilvl="0" w:tplc="68B08000">
      <w:start w:val="1"/>
      <w:numFmt w:val="decimal"/>
      <w:lvlText w:val="%1)"/>
      <w:lvlJc w:val="left"/>
      <w:pPr>
        <w:ind w:left="1020" w:hanging="360"/>
      </w:pPr>
    </w:lvl>
    <w:lvl w:ilvl="1" w:tplc="068A2776">
      <w:start w:val="1"/>
      <w:numFmt w:val="decimal"/>
      <w:lvlText w:val="%2)"/>
      <w:lvlJc w:val="left"/>
      <w:pPr>
        <w:ind w:left="1020" w:hanging="360"/>
      </w:pPr>
    </w:lvl>
    <w:lvl w:ilvl="2" w:tplc="4C62C2DE">
      <w:start w:val="1"/>
      <w:numFmt w:val="decimal"/>
      <w:lvlText w:val="%3)"/>
      <w:lvlJc w:val="left"/>
      <w:pPr>
        <w:ind w:left="1020" w:hanging="360"/>
      </w:pPr>
    </w:lvl>
    <w:lvl w:ilvl="3" w:tplc="5D760C5C">
      <w:start w:val="1"/>
      <w:numFmt w:val="decimal"/>
      <w:lvlText w:val="%4)"/>
      <w:lvlJc w:val="left"/>
      <w:pPr>
        <w:ind w:left="1020" w:hanging="360"/>
      </w:pPr>
    </w:lvl>
    <w:lvl w:ilvl="4" w:tplc="6322A2C0">
      <w:start w:val="1"/>
      <w:numFmt w:val="decimal"/>
      <w:lvlText w:val="%5)"/>
      <w:lvlJc w:val="left"/>
      <w:pPr>
        <w:ind w:left="1020" w:hanging="360"/>
      </w:pPr>
    </w:lvl>
    <w:lvl w:ilvl="5" w:tplc="3740F548">
      <w:start w:val="1"/>
      <w:numFmt w:val="decimal"/>
      <w:lvlText w:val="%6)"/>
      <w:lvlJc w:val="left"/>
      <w:pPr>
        <w:ind w:left="1020" w:hanging="360"/>
      </w:pPr>
    </w:lvl>
    <w:lvl w:ilvl="6" w:tplc="60A6447E">
      <w:start w:val="1"/>
      <w:numFmt w:val="decimal"/>
      <w:lvlText w:val="%7)"/>
      <w:lvlJc w:val="left"/>
      <w:pPr>
        <w:ind w:left="1020" w:hanging="360"/>
      </w:pPr>
    </w:lvl>
    <w:lvl w:ilvl="7" w:tplc="0B6ECCAC">
      <w:start w:val="1"/>
      <w:numFmt w:val="decimal"/>
      <w:lvlText w:val="%8)"/>
      <w:lvlJc w:val="left"/>
      <w:pPr>
        <w:ind w:left="1020" w:hanging="360"/>
      </w:pPr>
    </w:lvl>
    <w:lvl w:ilvl="8" w:tplc="7068D974">
      <w:start w:val="1"/>
      <w:numFmt w:val="decimal"/>
      <w:lvlText w:val="%9)"/>
      <w:lvlJc w:val="left"/>
      <w:pPr>
        <w:ind w:left="1020" w:hanging="360"/>
      </w:pPr>
    </w:lvl>
  </w:abstractNum>
  <w:abstractNum w:abstractNumId="10" w15:restartNumberingAfterBreak="0">
    <w:nsid w:val="365E0319"/>
    <w:multiLevelType w:val="hybridMultilevel"/>
    <w:tmpl w:val="8DE4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67656C"/>
    <w:multiLevelType w:val="multilevel"/>
    <w:tmpl w:val="A63CBD94"/>
    <w:lvl w:ilvl="0">
      <w:start w:val="1"/>
      <w:numFmt w:val="decimal"/>
      <w:pStyle w:val="Appendix1"/>
      <w:lvlText w:val="Appendix %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E952014"/>
    <w:multiLevelType w:val="hybridMultilevel"/>
    <w:tmpl w:val="B1AECE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F3C3171"/>
    <w:multiLevelType w:val="multilevel"/>
    <w:tmpl w:val="B942BF60"/>
    <w:lvl w:ilvl="0">
      <w:start w:val="1"/>
      <w:numFmt w:val="decimal"/>
      <w:pStyle w:val="AppendixHeading1"/>
      <w:lvlText w:val="Appendix %1"/>
      <w:lvlJc w:val="left"/>
      <w:pPr>
        <w:ind w:left="360" w:hanging="360"/>
      </w:pPr>
      <w:rPr>
        <w:rFonts w:hint="default"/>
      </w:rPr>
    </w:lvl>
    <w:lvl w:ilvl="1">
      <w:start w:val="1"/>
      <w:numFmt w:val="decimal"/>
      <w:pStyle w:val="AppendixHeading2"/>
      <w:lvlText w:val="A%1.%2"/>
      <w:lvlJc w:val="left"/>
      <w:pPr>
        <w:ind w:left="1134" w:hanging="1134"/>
      </w:pPr>
      <w:rPr>
        <w:rFonts w:hint="default"/>
      </w:rPr>
    </w:lvl>
    <w:lvl w:ilvl="2">
      <w:start w:val="1"/>
      <w:numFmt w:val="decimal"/>
      <w:pStyle w:val="Appendixheading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BA1668"/>
    <w:multiLevelType w:val="hybridMultilevel"/>
    <w:tmpl w:val="A88802DE"/>
    <w:lvl w:ilvl="0" w:tplc="4AF64E0E">
      <w:start w:val="1"/>
      <w:numFmt w:val="decimal"/>
      <w:lvlText w:val="%1."/>
      <w:lvlJc w:val="left"/>
      <w:pPr>
        <w:ind w:left="1020" w:hanging="360"/>
      </w:pPr>
    </w:lvl>
    <w:lvl w:ilvl="1" w:tplc="CACCB084">
      <w:start w:val="1"/>
      <w:numFmt w:val="decimal"/>
      <w:lvlText w:val="%2."/>
      <w:lvlJc w:val="left"/>
      <w:pPr>
        <w:ind w:left="1020" w:hanging="360"/>
      </w:pPr>
    </w:lvl>
    <w:lvl w:ilvl="2" w:tplc="67D853FA">
      <w:start w:val="1"/>
      <w:numFmt w:val="decimal"/>
      <w:lvlText w:val="%3."/>
      <w:lvlJc w:val="left"/>
      <w:pPr>
        <w:ind w:left="1020" w:hanging="360"/>
      </w:pPr>
    </w:lvl>
    <w:lvl w:ilvl="3" w:tplc="11262E62">
      <w:start w:val="1"/>
      <w:numFmt w:val="decimal"/>
      <w:lvlText w:val="%4."/>
      <w:lvlJc w:val="left"/>
      <w:pPr>
        <w:ind w:left="1020" w:hanging="360"/>
      </w:pPr>
    </w:lvl>
    <w:lvl w:ilvl="4" w:tplc="D842F442">
      <w:start w:val="1"/>
      <w:numFmt w:val="decimal"/>
      <w:lvlText w:val="%5."/>
      <w:lvlJc w:val="left"/>
      <w:pPr>
        <w:ind w:left="1020" w:hanging="360"/>
      </w:pPr>
    </w:lvl>
    <w:lvl w:ilvl="5" w:tplc="24D6A622">
      <w:start w:val="1"/>
      <w:numFmt w:val="decimal"/>
      <w:lvlText w:val="%6."/>
      <w:lvlJc w:val="left"/>
      <w:pPr>
        <w:ind w:left="1020" w:hanging="360"/>
      </w:pPr>
    </w:lvl>
    <w:lvl w:ilvl="6" w:tplc="D046A02C">
      <w:start w:val="1"/>
      <w:numFmt w:val="decimal"/>
      <w:lvlText w:val="%7."/>
      <w:lvlJc w:val="left"/>
      <w:pPr>
        <w:ind w:left="1020" w:hanging="360"/>
      </w:pPr>
    </w:lvl>
    <w:lvl w:ilvl="7" w:tplc="315CDF78">
      <w:start w:val="1"/>
      <w:numFmt w:val="decimal"/>
      <w:lvlText w:val="%8."/>
      <w:lvlJc w:val="left"/>
      <w:pPr>
        <w:ind w:left="1020" w:hanging="360"/>
      </w:pPr>
    </w:lvl>
    <w:lvl w:ilvl="8" w:tplc="95D0B3B8">
      <w:start w:val="1"/>
      <w:numFmt w:val="decimal"/>
      <w:lvlText w:val="%9."/>
      <w:lvlJc w:val="left"/>
      <w:pPr>
        <w:ind w:left="1020" w:hanging="360"/>
      </w:pPr>
    </w:lvl>
  </w:abstractNum>
  <w:abstractNum w:abstractNumId="16" w15:restartNumberingAfterBreak="0">
    <w:nsid w:val="43805424"/>
    <w:multiLevelType w:val="hybridMultilevel"/>
    <w:tmpl w:val="49440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F21EB9"/>
    <w:multiLevelType w:val="hybridMultilevel"/>
    <w:tmpl w:val="BB30C8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98D7661"/>
    <w:multiLevelType w:val="hybridMultilevel"/>
    <w:tmpl w:val="7376F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213B51"/>
    <w:multiLevelType w:val="hybridMultilevel"/>
    <w:tmpl w:val="AE768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0D2520"/>
    <w:multiLevelType w:val="hybridMultilevel"/>
    <w:tmpl w:val="0D084974"/>
    <w:lvl w:ilvl="0" w:tplc="7894492E">
      <w:start w:val="1"/>
      <w:numFmt w:val="decimal"/>
      <w:lvlText w:val="%1)"/>
      <w:lvlJc w:val="left"/>
      <w:pPr>
        <w:ind w:left="1020" w:hanging="360"/>
      </w:pPr>
    </w:lvl>
    <w:lvl w:ilvl="1" w:tplc="E3E2F536">
      <w:start w:val="1"/>
      <w:numFmt w:val="decimal"/>
      <w:lvlText w:val="%2)"/>
      <w:lvlJc w:val="left"/>
      <w:pPr>
        <w:ind w:left="1020" w:hanging="360"/>
      </w:pPr>
    </w:lvl>
    <w:lvl w:ilvl="2" w:tplc="9BE2CA84">
      <w:start w:val="1"/>
      <w:numFmt w:val="decimal"/>
      <w:lvlText w:val="%3)"/>
      <w:lvlJc w:val="left"/>
      <w:pPr>
        <w:ind w:left="1020" w:hanging="360"/>
      </w:pPr>
    </w:lvl>
    <w:lvl w:ilvl="3" w:tplc="DD5833F6">
      <w:start w:val="1"/>
      <w:numFmt w:val="decimal"/>
      <w:lvlText w:val="%4)"/>
      <w:lvlJc w:val="left"/>
      <w:pPr>
        <w:ind w:left="1020" w:hanging="360"/>
      </w:pPr>
    </w:lvl>
    <w:lvl w:ilvl="4" w:tplc="E43A09B2">
      <w:start w:val="1"/>
      <w:numFmt w:val="decimal"/>
      <w:lvlText w:val="%5)"/>
      <w:lvlJc w:val="left"/>
      <w:pPr>
        <w:ind w:left="1020" w:hanging="360"/>
      </w:pPr>
    </w:lvl>
    <w:lvl w:ilvl="5" w:tplc="4C2CC55E">
      <w:start w:val="1"/>
      <w:numFmt w:val="decimal"/>
      <w:lvlText w:val="%6)"/>
      <w:lvlJc w:val="left"/>
      <w:pPr>
        <w:ind w:left="1020" w:hanging="360"/>
      </w:pPr>
    </w:lvl>
    <w:lvl w:ilvl="6" w:tplc="23EC7A4C">
      <w:start w:val="1"/>
      <w:numFmt w:val="decimal"/>
      <w:lvlText w:val="%7)"/>
      <w:lvlJc w:val="left"/>
      <w:pPr>
        <w:ind w:left="1020" w:hanging="360"/>
      </w:pPr>
    </w:lvl>
    <w:lvl w:ilvl="7" w:tplc="5A4C7818">
      <w:start w:val="1"/>
      <w:numFmt w:val="decimal"/>
      <w:lvlText w:val="%8)"/>
      <w:lvlJc w:val="left"/>
      <w:pPr>
        <w:ind w:left="1020" w:hanging="360"/>
      </w:pPr>
    </w:lvl>
    <w:lvl w:ilvl="8" w:tplc="BF1874C4">
      <w:start w:val="1"/>
      <w:numFmt w:val="decimal"/>
      <w:lvlText w:val="%9)"/>
      <w:lvlJc w:val="left"/>
      <w:pPr>
        <w:ind w:left="1020" w:hanging="360"/>
      </w:pPr>
    </w:lvl>
  </w:abstractNum>
  <w:abstractNum w:abstractNumId="22" w15:restartNumberingAfterBreak="0">
    <w:nsid w:val="58E75769"/>
    <w:multiLevelType w:val="multilevel"/>
    <w:tmpl w:val="11A0ABAA"/>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9A036AD"/>
    <w:multiLevelType w:val="multilevel"/>
    <w:tmpl w:val="11A0ABAA"/>
    <w:styleLink w:val="CurrentList1"/>
    <w:lvl w:ilvl="0">
      <w:start w:val="1"/>
      <w:numFmt w:val="decimal"/>
      <w:lvlText w:val="%1."/>
      <w:lvlJc w:val="left"/>
      <w:pPr>
        <w:ind w:left="851" w:hanging="851"/>
      </w:pPr>
      <w:rPr>
        <w:rFonts w:hint="default"/>
        <w:b w:val="0"/>
        <w:bCs w:val="0"/>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E2A5CDC"/>
    <w:multiLevelType w:val="hybridMultilevel"/>
    <w:tmpl w:val="62C0B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07702151">
    <w:abstractNumId w:val="11"/>
  </w:num>
  <w:num w:numId="2" w16cid:durableId="188304771">
    <w:abstractNumId w:val="17"/>
  </w:num>
  <w:num w:numId="3" w16cid:durableId="1912428527">
    <w:abstractNumId w:val="12"/>
  </w:num>
  <w:num w:numId="4" w16cid:durableId="790561278">
    <w:abstractNumId w:val="22"/>
  </w:num>
  <w:num w:numId="5" w16cid:durableId="197552635">
    <w:abstractNumId w:val="2"/>
  </w:num>
  <w:num w:numId="6" w16cid:durableId="182060316">
    <w:abstractNumId w:val="6"/>
  </w:num>
  <w:num w:numId="7" w16cid:durableId="768621980">
    <w:abstractNumId w:val="1"/>
  </w:num>
  <w:num w:numId="8" w16cid:durableId="198326175">
    <w:abstractNumId w:val="3"/>
  </w:num>
  <w:num w:numId="9" w16cid:durableId="149369336">
    <w:abstractNumId w:val="5"/>
  </w:num>
  <w:num w:numId="10" w16cid:durableId="1585719516">
    <w:abstractNumId w:val="8"/>
  </w:num>
  <w:num w:numId="11" w16cid:durableId="1123228868">
    <w:abstractNumId w:val="23"/>
  </w:num>
  <w:num w:numId="12" w16cid:durableId="581138518">
    <w:abstractNumId w:val="14"/>
  </w:num>
  <w:num w:numId="13" w16cid:durableId="397939282">
    <w:abstractNumId w:val="22"/>
  </w:num>
  <w:num w:numId="14" w16cid:durableId="364908444">
    <w:abstractNumId w:val="22"/>
  </w:num>
  <w:num w:numId="15" w16cid:durableId="1734815839">
    <w:abstractNumId w:val="22"/>
  </w:num>
  <w:num w:numId="16" w16cid:durableId="526911150">
    <w:abstractNumId w:val="22"/>
  </w:num>
  <w:num w:numId="17" w16cid:durableId="705255886">
    <w:abstractNumId w:val="22"/>
  </w:num>
  <w:num w:numId="18" w16cid:durableId="1145927728">
    <w:abstractNumId w:val="22"/>
  </w:num>
  <w:num w:numId="19" w16cid:durableId="204415358">
    <w:abstractNumId w:val="22"/>
  </w:num>
  <w:num w:numId="20" w16cid:durableId="2108769297">
    <w:abstractNumId w:val="22"/>
  </w:num>
  <w:num w:numId="21" w16cid:durableId="263926438">
    <w:abstractNumId w:val="15"/>
  </w:num>
  <w:num w:numId="22" w16cid:durableId="2012021125">
    <w:abstractNumId w:val="4"/>
  </w:num>
  <w:num w:numId="23" w16cid:durableId="1702440801">
    <w:abstractNumId w:val="19"/>
  </w:num>
  <w:num w:numId="24" w16cid:durableId="1977756125">
    <w:abstractNumId w:val="22"/>
  </w:num>
  <w:num w:numId="25" w16cid:durableId="2092236807">
    <w:abstractNumId w:val="21"/>
  </w:num>
  <w:num w:numId="26" w16cid:durableId="1862015701">
    <w:abstractNumId w:val="9"/>
  </w:num>
  <w:num w:numId="27" w16cid:durableId="834879586">
    <w:abstractNumId w:val="10"/>
  </w:num>
  <w:num w:numId="28" w16cid:durableId="18796578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988207">
    <w:abstractNumId w:val="11"/>
  </w:num>
  <w:num w:numId="30" w16cid:durableId="848253247">
    <w:abstractNumId w:val="13"/>
  </w:num>
  <w:num w:numId="31" w16cid:durableId="456677997">
    <w:abstractNumId w:val="0"/>
  </w:num>
  <w:num w:numId="32" w16cid:durableId="1537965623">
    <w:abstractNumId w:val="7"/>
  </w:num>
  <w:num w:numId="33" w16cid:durableId="1432967428">
    <w:abstractNumId w:val="18"/>
  </w:num>
  <w:num w:numId="34" w16cid:durableId="1736976149">
    <w:abstractNumId w:val="11"/>
  </w:num>
  <w:num w:numId="35" w16cid:durableId="1765809278">
    <w:abstractNumId w:val="20"/>
  </w:num>
  <w:num w:numId="36" w16cid:durableId="1588996741">
    <w:abstractNumId w:val="11"/>
  </w:num>
  <w:num w:numId="37" w16cid:durableId="1006714004">
    <w:abstractNumId w:val="16"/>
  </w:num>
  <w:num w:numId="38" w16cid:durableId="1316912799">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416"/>
    <w:rsid w:val="00000346"/>
    <w:rsid w:val="00000494"/>
    <w:rsid w:val="00000786"/>
    <w:rsid w:val="00000795"/>
    <w:rsid w:val="00001351"/>
    <w:rsid w:val="0000140C"/>
    <w:rsid w:val="00001533"/>
    <w:rsid w:val="00002A9D"/>
    <w:rsid w:val="000030FB"/>
    <w:rsid w:val="00003145"/>
    <w:rsid w:val="00003421"/>
    <w:rsid w:val="000035AD"/>
    <w:rsid w:val="00004DDE"/>
    <w:rsid w:val="000052F0"/>
    <w:rsid w:val="000062B7"/>
    <w:rsid w:val="0000636D"/>
    <w:rsid w:val="00006567"/>
    <w:rsid w:val="00006733"/>
    <w:rsid w:val="00007335"/>
    <w:rsid w:val="000076D0"/>
    <w:rsid w:val="00007781"/>
    <w:rsid w:val="0000794D"/>
    <w:rsid w:val="00007ABC"/>
    <w:rsid w:val="0001115E"/>
    <w:rsid w:val="00012114"/>
    <w:rsid w:val="000122BB"/>
    <w:rsid w:val="0001381A"/>
    <w:rsid w:val="00013925"/>
    <w:rsid w:val="00013975"/>
    <w:rsid w:val="00014111"/>
    <w:rsid w:val="000158D8"/>
    <w:rsid w:val="000158EB"/>
    <w:rsid w:val="00015932"/>
    <w:rsid w:val="00015B46"/>
    <w:rsid w:val="0001603A"/>
    <w:rsid w:val="00016437"/>
    <w:rsid w:val="00016844"/>
    <w:rsid w:val="0001697E"/>
    <w:rsid w:val="000171AF"/>
    <w:rsid w:val="000171FE"/>
    <w:rsid w:val="00020079"/>
    <w:rsid w:val="00020540"/>
    <w:rsid w:val="0002089E"/>
    <w:rsid w:val="00020D98"/>
    <w:rsid w:val="00020E06"/>
    <w:rsid w:val="00020F2E"/>
    <w:rsid w:val="00021179"/>
    <w:rsid w:val="000211B9"/>
    <w:rsid w:val="000217EE"/>
    <w:rsid w:val="00022392"/>
    <w:rsid w:val="0002245A"/>
    <w:rsid w:val="0002263A"/>
    <w:rsid w:val="00022898"/>
    <w:rsid w:val="00022B70"/>
    <w:rsid w:val="00022C6D"/>
    <w:rsid w:val="00023322"/>
    <w:rsid w:val="000237CC"/>
    <w:rsid w:val="00023BB6"/>
    <w:rsid w:val="00023C18"/>
    <w:rsid w:val="00023C44"/>
    <w:rsid w:val="000240AF"/>
    <w:rsid w:val="0002455A"/>
    <w:rsid w:val="00024CA7"/>
    <w:rsid w:val="000252D5"/>
    <w:rsid w:val="000259B4"/>
    <w:rsid w:val="00025C00"/>
    <w:rsid w:val="00025D11"/>
    <w:rsid w:val="000262ED"/>
    <w:rsid w:val="00026512"/>
    <w:rsid w:val="00026787"/>
    <w:rsid w:val="00026908"/>
    <w:rsid w:val="000274CB"/>
    <w:rsid w:val="000300F1"/>
    <w:rsid w:val="00030815"/>
    <w:rsid w:val="0003087B"/>
    <w:rsid w:val="00030C07"/>
    <w:rsid w:val="00030CC1"/>
    <w:rsid w:val="000316BB"/>
    <w:rsid w:val="00031832"/>
    <w:rsid w:val="00031877"/>
    <w:rsid w:val="000319B3"/>
    <w:rsid w:val="00031D6B"/>
    <w:rsid w:val="00031F86"/>
    <w:rsid w:val="00032015"/>
    <w:rsid w:val="000321AB"/>
    <w:rsid w:val="0003226A"/>
    <w:rsid w:val="00032DDE"/>
    <w:rsid w:val="00032FEA"/>
    <w:rsid w:val="00034502"/>
    <w:rsid w:val="00035702"/>
    <w:rsid w:val="000363DF"/>
    <w:rsid w:val="00036550"/>
    <w:rsid w:val="000366F3"/>
    <w:rsid w:val="000367E9"/>
    <w:rsid w:val="0003731A"/>
    <w:rsid w:val="000376D8"/>
    <w:rsid w:val="00037FEC"/>
    <w:rsid w:val="00040981"/>
    <w:rsid w:val="000412D5"/>
    <w:rsid w:val="000419FA"/>
    <w:rsid w:val="00041B57"/>
    <w:rsid w:val="00041B9A"/>
    <w:rsid w:val="00043488"/>
    <w:rsid w:val="00043CBF"/>
    <w:rsid w:val="00044C3D"/>
    <w:rsid w:val="00044F13"/>
    <w:rsid w:val="000451DA"/>
    <w:rsid w:val="0004580D"/>
    <w:rsid w:val="000458B7"/>
    <w:rsid w:val="00046A7E"/>
    <w:rsid w:val="000471CA"/>
    <w:rsid w:val="0004727D"/>
    <w:rsid w:val="00047C13"/>
    <w:rsid w:val="0005043C"/>
    <w:rsid w:val="00050505"/>
    <w:rsid w:val="00050F2E"/>
    <w:rsid w:val="00051476"/>
    <w:rsid w:val="0005168F"/>
    <w:rsid w:val="00051ED7"/>
    <w:rsid w:val="000524FF"/>
    <w:rsid w:val="000528C0"/>
    <w:rsid w:val="00052BE7"/>
    <w:rsid w:val="0005339B"/>
    <w:rsid w:val="000533A1"/>
    <w:rsid w:val="000533DB"/>
    <w:rsid w:val="000539F2"/>
    <w:rsid w:val="00053E39"/>
    <w:rsid w:val="00054A30"/>
    <w:rsid w:val="00054DF9"/>
    <w:rsid w:val="000552CF"/>
    <w:rsid w:val="000555B3"/>
    <w:rsid w:val="00055600"/>
    <w:rsid w:val="0005651A"/>
    <w:rsid w:val="0005651B"/>
    <w:rsid w:val="00056CBA"/>
    <w:rsid w:val="000570EE"/>
    <w:rsid w:val="0005780F"/>
    <w:rsid w:val="000608B7"/>
    <w:rsid w:val="00060E43"/>
    <w:rsid w:val="00060F59"/>
    <w:rsid w:val="00061A2D"/>
    <w:rsid w:val="00061A66"/>
    <w:rsid w:val="00061EC8"/>
    <w:rsid w:val="0006286E"/>
    <w:rsid w:val="000628B3"/>
    <w:rsid w:val="00063150"/>
    <w:rsid w:val="00063D7A"/>
    <w:rsid w:val="00063E53"/>
    <w:rsid w:val="000649E3"/>
    <w:rsid w:val="00064AA4"/>
    <w:rsid w:val="000654E0"/>
    <w:rsid w:val="000656C1"/>
    <w:rsid w:val="00065D00"/>
    <w:rsid w:val="00065EAE"/>
    <w:rsid w:val="0006637B"/>
    <w:rsid w:val="00066C5E"/>
    <w:rsid w:val="00066D3C"/>
    <w:rsid w:val="00067FBF"/>
    <w:rsid w:val="000701FC"/>
    <w:rsid w:val="00070892"/>
    <w:rsid w:val="00070928"/>
    <w:rsid w:val="00071049"/>
    <w:rsid w:val="00071911"/>
    <w:rsid w:val="000727CB"/>
    <w:rsid w:val="00072F3C"/>
    <w:rsid w:val="00073F36"/>
    <w:rsid w:val="00074CE0"/>
    <w:rsid w:val="00075173"/>
    <w:rsid w:val="00075510"/>
    <w:rsid w:val="0007552F"/>
    <w:rsid w:val="00075D9A"/>
    <w:rsid w:val="00075E2C"/>
    <w:rsid w:val="000761A5"/>
    <w:rsid w:val="00076DFF"/>
    <w:rsid w:val="00076E2E"/>
    <w:rsid w:val="00076F86"/>
    <w:rsid w:val="00077381"/>
    <w:rsid w:val="000778BC"/>
    <w:rsid w:val="0008020B"/>
    <w:rsid w:val="00080212"/>
    <w:rsid w:val="0008035B"/>
    <w:rsid w:val="0008059D"/>
    <w:rsid w:val="00080693"/>
    <w:rsid w:val="00080B2A"/>
    <w:rsid w:val="000818B4"/>
    <w:rsid w:val="00081EBD"/>
    <w:rsid w:val="00082CFE"/>
    <w:rsid w:val="00082D35"/>
    <w:rsid w:val="0008376F"/>
    <w:rsid w:val="00083959"/>
    <w:rsid w:val="00083F69"/>
    <w:rsid w:val="0008496D"/>
    <w:rsid w:val="00085412"/>
    <w:rsid w:val="000854BD"/>
    <w:rsid w:val="00085538"/>
    <w:rsid w:val="000855F7"/>
    <w:rsid w:val="0008581F"/>
    <w:rsid w:val="000859D5"/>
    <w:rsid w:val="00085A3A"/>
    <w:rsid w:val="00085D59"/>
    <w:rsid w:val="00085D8F"/>
    <w:rsid w:val="00085F79"/>
    <w:rsid w:val="000871E3"/>
    <w:rsid w:val="00087C87"/>
    <w:rsid w:val="00087E56"/>
    <w:rsid w:val="00090E70"/>
    <w:rsid w:val="00091677"/>
    <w:rsid w:val="00091989"/>
    <w:rsid w:val="00091F38"/>
    <w:rsid w:val="00092059"/>
    <w:rsid w:val="00092916"/>
    <w:rsid w:val="00092967"/>
    <w:rsid w:val="000932AE"/>
    <w:rsid w:val="00093996"/>
    <w:rsid w:val="00093BE2"/>
    <w:rsid w:val="00094C78"/>
    <w:rsid w:val="00094D91"/>
    <w:rsid w:val="00095708"/>
    <w:rsid w:val="000957D1"/>
    <w:rsid w:val="00096048"/>
    <w:rsid w:val="00096330"/>
    <w:rsid w:val="0009697D"/>
    <w:rsid w:val="00097C67"/>
    <w:rsid w:val="000A08C3"/>
    <w:rsid w:val="000A0CB4"/>
    <w:rsid w:val="000A19EB"/>
    <w:rsid w:val="000A1CA0"/>
    <w:rsid w:val="000A1F53"/>
    <w:rsid w:val="000A201C"/>
    <w:rsid w:val="000A2260"/>
    <w:rsid w:val="000A2DB4"/>
    <w:rsid w:val="000A2E6A"/>
    <w:rsid w:val="000A318B"/>
    <w:rsid w:val="000A318C"/>
    <w:rsid w:val="000A378C"/>
    <w:rsid w:val="000A4810"/>
    <w:rsid w:val="000A4A64"/>
    <w:rsid w:val="000A4A90"/>
    <w:rsid w:val="000A57E2"/>
    <w:rsid w:val="000A590C"/>
    <w:rsid w:val="000A5C0A"/>
    <w:rsid w:val="000A601B"/>
    <w:rsid w:val="000A62C3"/>
    <w:rsid w:val="000A6896"/>
    <w:rsid w:val="000A7225"/>
    <w:rsid w:val="000A7D79"/>
    <w:rsid w:val="000A7EA4"/>
    <w:rsid w:val="000B0374"/>
    <w:rsid w:val="000B10D4"/>
    <w:rsid w:val="000B2FD2"/>
    <w:rsid w:val="000B4390"/>
    <w:rsid w:val="000B4D46"/>
    <w:rsid w:val="000B4D74"/>
    <w:rsid w:val="000B4DDC"/>
    <w:rsid w:val="000B59C0"/>
    <w:rsid w:val="000B5E20"/>
    <w:rsid w:val="000B6E70"/>
    <w:rsid w:val="000B7C78"/>
    <w:rsid w:val="000C0310"/>
    <w:rsid w:val="000C05AA"/>
    <w:rsid w:val="000C1522"/>
    <w:rsid w:val="000C16F0"/>
    <w:rsid w:val="000C1733"/>
    <w:rsid w:val="000C181F"/>
    <w:rsid w:val="000C1D57"/>
    <w:rsid w:val="000C289E"/>
    <w:rsid w:val="000C3812"/>
    <w:rsid w:val="000C399E"/>
    <w:rsid w:val="000C3F48"/>
    <w:rsid w:val="000C3F68"/>
    <w:rsid w:val="000C4343"/>
    <w:rsid w:val="000C45A5"/>
    <w:rsid w:val="000C4A40"/>
    <w:rsid w:val="000C518D"/>
    <w:rsid w:val="000C5DAC"/>
    <w:rsid w:val="000C606A"/>
    <w:rsid w:val="000C60F8"/>
    <w:rsid w:val="000C6AD8"/>
    <w:rsid w:val="000D06AF"/>
    <w:rsid w:val="000D0740"/>
    <w:rsid w:val="000D07F8"/>
    <w:rsid w:val="000D0A25"/>
    <w:rsid w:val="000D0EFA"/>
    <w:rsid w:val="000D1619"/>
    <w:rsid w:val="000D166E"/>
    <w:rsid w:val="000D1A32"/>
    <w:rsid w:val="000D1E38"/>
    <w:rsid w:val="000D2089"/>
    <w:rsid w:val="000D3E8D"/>
    <w:rsid w:val="000D3E90"/>
    <w:rsid w:val="000D3F18"/>
    <w:rsid w:val="000D3FC3"/>
    <w:rsid w:val="000D4490"/>
    <w:rsid w:val="000D4686"/>
    <w:rsid w:val="000D49D7"/>
    <w:rsid w:val="000D523B"/>
    <w:rsid w:val="000D66A4"/>
    <w:rsid w:val="000D71F3"/>
    <w:rsid w:val="000D7BE1"/>
    <w:rsid w:val="000D7E4F"/>
    <w:rsid w:val="000E0DE9"/>
    <w:rsid w:val="000E1098"/>
    <w:rsid w:val="000E1BF4"/>
    <w:rsid w:val="000E23E9"/>
    <w:rsid w:val="000E242E"/>
    <w:rsid w:val="000E2FF8"/>
    <w:rsid w:val="000E3306"/>
    <w:rsid w:val="000E338E"/>
    <w:rsid w:val="000E3420"/>
    <w:rsid w:val="000E43CA"/>
    <w:rsid w:val="000E4435"/>
    <w:rsid w:val="000E4BEA"/>
    <w:rsid w:val="000E57A6"/>
    <w:rsid w:val="000E5C59"/>
    <w:rsid w:val="000E682A"/>
    <w:rsid w:val="000E69A2"/>
    <w:rsid w:val="000E6B28"/>
    <w:rsid w:val="000E6EC1"/>
    <w:rsid w:val="000E77CB"/>
    <w:rsid w:val="000F13AB"/>
    <w:rsid w:val="000F18EB"/>
    <w:rsid w:val="000F1ABA"/>
    <w:rsid w:val="000F1F3B"/>
    <w:rsid w:val="000F2C1D"/>
    <w:rsid w:val="000F351B"/>
    <w:rsid w:val="000F35C2"/>
    <w:rsid w:val="000F385C"/>
    <w:rsid w:val="000F38D6"/>
    <w:rsid w:val="000F5244"/>
    <w:rsid w:val="000F5BF7"/>
    <w:rsid w:val="000F5DFA"/>
    <w:rsid w:val="000F5E6A"/>
    <w:rsid w:val="000F696C"/>
    <w:rsid w:val="000F699A"/>
    <w:rsid w:val="000F76BC"/>
    <w:rsid w:val="000F779E"/>
    <w:rsid w:val="000F7862"/>
    <w:rsid w:val="000F7CCA"/>
    <w:rsid w:val="000F7D36"/>
    <w:rsid w:val="000F7EEE"/>
    <w:rsid w:val="00100641"/>
    <w:rsid w:val="001006BD"/>
    <w:rsid w:val="001007F9"/>
    <w:rsid w:val="00101B17"/>
    <w:rsid w:val="00101E29"/>
    <w:rsid w:val="00102312"/>
    <w:rsid w:val="00102A22"/>
    <w:rsid w:val="00103172"/>
    <w:rsid w:val="00103335"/>
    <w:rsid w:val="001038AD"/>
    <w:rsid w:val="00103BF0"/>
    <w:rsid w:val="00103FBB"/>
    <w:rsid w:val="00104475"/>
    <w:rsid w:val="00104624"/>
    <w:rsid w:val="00104925"/>
    <w:rsid w:val="00104E59"/>
    <w:rsid w:val="001056C6"/>
    <w:rsid w:val="00105759"/>
    <w:rsid w:val="00105B03"/>
    <w:rsid w:val="00105D00"/>
    <w:rsid w:val="001061BC"/>
    <w:rsid w:val="001062A0"/>
    <w:rsid w:val="00106B14"/>
    <w:rsid w:val="0010732B"/>
    <w:rsid w:val="0010794C"/>
    <w:rsid w:val="00107D31"/>
    <w:rsid w:val="00107D61"/>
    <w:rsid w:val="00107F26"/>
    <w:rsid w:val="001103F8"/>
    <w:rsid w:val="00110FE5"/>
    <w:rsid w:val="001110D5"/>
    <w:rsid w:val="00111425"/>
    <w:rsid w:val="00111EE5"/>
    <w:rsid w:val="00112036"/>
    <w:rsid w:val="00112064"/>
    <w:rsid w:val="00112112"/>
    <w:rsid w:val="0011213D"/>
    <w:rsid w:val="001124AF"/>
    <w:rsid w:val="00112CBC"/>
    <w:rsid w:val="00112EDB"/>
    <w:rsid w:val="0011303B"/>
    <w:rsid w:val="00113D98"/>
    <w:rsid w:val="00113DA3"/>
    <w:rsid w:val="00114083"/>
    <w:rsid w:val="00114C1D"/>
    <w:rsid w:val="001154ED"/>
    <w:rsid w:val="001155AC"/>
    <w:rsid w:val="00117114"/>
    <w:rsid w:val="00117726"/>
    <w:rsid w:val="00117EDA"/>
    <w:rsid w:val="00120B3C"/>
    <w:rsid w:val="00120EFF"/>
    <w:rsid w:val="00120F34"/>
    <w:rsid w:val="001216C1"/>
    <w:rsid w:val="00121F0B"/>
    <w:rsid w:val="00122801"/>
    <w:rsid w:val="001229F1"/>
    <w:rsid w:val="00122BDF"/>
    <w:rsid w:val="00122F50"/>
    <w:rsid w:val="00123301"/>
    <w:rsid w:val="001236B4"/>
    <w:rsid w:val="00123D5B"/>
    <w:rsid w:val="001240F4"/>
    <w:rsid w:val="00125132"/>
    <w:rsid w:val="00125424"/>
    <w:rsid w:val="00125912"/>
    <w:rsid w:val="00126170"/>
    <w:rsid w:val="00126931"/>
    <w:rsid w:val="00126C67"/>
    <w:rsid w:val="00126EE5"/>
    <w:rsid w:val="00127CBF"/>
    <w:rsid w:val="00127FCE"/>
    <w:rsid w:val="00130DAD"/>
    <w:rsid w:val="001314D4"/>
    <w:rsid w:val="001316CA"/>
    <w:rsid w:val="00131980"/>
    <w:rsid w:val="00131B60"/>
    <w:rsid w:val="00132D55"/>
    <w:rsid w:val="001335D4"/>
    <w:rsid w:val="00134DC5"/>
    <w:rsid w:val="00135243"/>
    <w:rsid w:val="0013542B"/>
    <w:rsid w:val="001354E4"/>
    <w:rsid w:val="00135654"/>
    <w:rsid w:val="001356D3"/>
    <w:rsid w:val="00135833"/>
    <w:rsid w:val="001358BB"/>
    <w:rsid w:val="00136482"/>
    <w:rsid w:val="001369CD"/>
    <w:rsid w:val="00136DF0"/>
    <w:rsid w:val="001373E1"/>
    <w:rsid w:val="00140319"/>
    <w:rsid w:val="00140780"/>
    <w:rsid w:val="00140DFA"/>
    <w:rsid w:val="001421B4"/>
    <w:rsid w:val="00142CE9"/>
    <w:rsid w:val="00143130"/>
    <w:rsid w:val="00144136"/>
    <w:rsid w:val="00144693"/>
    <w:rsid w:val="00144D8F"/>
    <w:rsid w:val="00145705"/>
    <w:rsid w:val="00145711"/>
    <w:rsid w:val="0014584B"/>
    <w:rsid w:val="00145A05"/>
    <w:rsid w:val="00145B7B"/>
    <w:rsid w:val="001462BF"/>
    <w:rsid w:val="00146439"/>
    <w:rsid w:val="0014670B"/>
    <w:rsid w:val="0014695E"/>
    <w:rsid w:val="0014751C"/>
    <w:rsid w:val="00147CE8"/>
    <w:rsid w:val="00147E52"/>
    <w:rsid w:val="00147EC6"/>
    <w:rsid w:val="00147F96"/>
    <w:rsid w:val="00150799"/>
    <w:rsid w:val="00150CE2"/>
    <w:rsid w:val="00150F7B"/>
    <w:rsid w:val="001516FE"/>
    <w:rsid w:val="001518D4"/>
    <w:rsid w:val="001522F2"/>
    <w:rsid w:val="0015283F"/>
    <w:rsid w:val="0015339C"/>
    <w:rsid w:val="0015452E"/>
    <w:rsid w:val="00154B0A"/>
    <w:rsid w:val="00154BAE"/>
    <w:rsid w:val="00155126"/>
    <w:rsid w:val="00155320"/>
    <w:rsid w:val="00155A4D"/>
    <w:rsid w:val="00155D94"/>
    <w:rsid w:val="0015613D"/>
    <w:rsid w:val="001561E8"/>
    <w:rsid w:val="00156F52"/>
    <w:rsid w:val="00156FD7"/>
    <w:rsid w:val="00157623"/>
    <w:rsid w:val="001609C6"/>
    <w:rsid w:val="00161261"/>
    <w:rsid w:val="001618B0"/>
    <w:rsid w:val="001621A2"/>
    <w:rsid w:val="0016279E"/>
    <w:rsid w:val="0016313A"/>
    <w:rsid w:val="001632CA"/>
    <w:rsid w:val="00164A59"/>
    <w:rsid w:val="00164B2C"/>
    <w:rsid w:val="00164D59"/>
    <w:rsid w:val="0016587A"/>
    <w:rsid w:val="00165AAC"/>
    <w:rsid w:val="00166057"/>
    <w:rsid w:val="00166919"/>
    <w:rsid w:val="00167902"/>
    <w:rsid w:val="00167B2D"/>
    <w:rsid w:val="00170509"/>
    <w:rsid w:val="00171706"/>
    <w:rsid w:val="0017201D"/>
    <w:rsid w:val="0017234F"/>
    <w:rsid w:val="00173ECC"/>
    <w:rsid w:val="00174010"/>
    <w:rsid w:val="001746A2"/>
    <w:rsid w:val="00174A0D"/>
    <w:rsid w:val="00175134"/>
    <w:rsid w:val="0017525C"/>
    <w:rsid w:val="00176108"/>
    <w:rsid w:val="001761BF"/>
    <w:rsid w:val="001763C3"/>
    <w:rsid w:val="001768CC"/>
    <w:rsid w:val="00177377"/>
    <w:rsid w:val="001776C2"/>
    <w:rsid w:val="0017774E"/>
    <w:rsid w:val="001777B4"/>
    <w:rsid w:val="00177A30"/>
    <w:rsid w:val="00177A87"/>
    <w:rsid w:val="0018048C"/>
    <w:rsid w:val="0018058F"/>
    <w:rsid w:val="001808B2"/>
    <w:rsid w:val="00180973"/>
    <w:rsid w:val="00180A6E"/>
    <w:rsid w:val="001816EB"/>
    <w:rsid w:val="00181A02"/>
    <w:rsid w:val="001820B5"/>
    <w:rsid w:val="0018224A"/>
    <w:rsid w:val="0018227E"/>
    <w:rsid w:val="00182317"/>
    <w:rsid w:val="00182610"/>
    <w:rsid w:val="00182C93"/>
    <w:rsid w:val="00182EB5"/>
    <w:rsid w:val="001831CF"/>
    <w:rsid w:val="00183321"/>
    <w:rsid w:val="00183453"/>
    <w:rsid w:val="00183EE6"/>
    <w:rsid w:val="001846BC"/>
    <w:rsid w:val="00185E43"/>
    <w:rsid w:val="00185F19"/>
    <w:rsid w:val="001872A0"/>
    <w:rsid w:val="00187371"/>
    <w:rsid w:val="0018784E"/>
    <w:rsid w:val="00187A5A"/>
    <w:rsid w:val="00187E2E"/>
    <w:rsid w:val="001909CC"/>
    <w:rsid w:val="00190BA3"/>
    <w:rsid w:val="001913F6"/>
    <w:rsid w:val="00191EB1"/>
    <w:rsid w:val="00192153"/>
    <w:rsid w:val="001923BA"/>
    <w:rsid w:val="00192E20"/>
    <w:rsid w:val="0019345B"/>
    <w:rsid w:val="00193722"/>
    <w:rsid w:val="0019389D"/>
    <w:rsid w:val="00193A9F"/>
    <w:rsid w:val="00193BF3"/>
    <w:rsid w:val="001940B1"/>
    <w:rsid w:val="001954E9"/>
    <w:rsid w:val="00195FF3"/>
    <w:rsid w:val="00196382"/>
    <w:rsid w:val="00196602"/>
    <w:rsid w:val="00196639"/>
    <w:rsid w:val="001971B4"/>
    <w:rsid w:val="001975A7"/>
    <w:rsid w:val="001976F1"/>
    <w:rsid w:val="001977D0"/>
    <w:rsid w:val="0019795A"/>
    <w:rsid w:val="0019797B"/>
    <w:rsid w:val="001979E5"/>
    <w:rsid w:val="00197C71"/>
    <w:rsid w:val="00197FD7"/>
    <w:rsid w:val="001A026B"/>
    <w:rsid w:val="001A115C"/>
    <w:rsid w:val="001A1204"/>
    <w:rsid w:val="001A126D"/>
    <w:rsid w:val="001A18D0"/>
    <w:rsid w:val="001A1E89"/>
    <w:rsid w:val="001A29CF"/>
    <w:rsid w:val="001A2AB9"/>
    <w:rsid w:val="001A2F81"/>
    <w:rsid w:val="001A370C"/>
    <w:rsid w:val="001A3BC7"/>
    <w:rsid w:val="001A41F7"/>
    <w:rsid w:val="001A4EED"/>
    <w:rsid w:val="001A52B8"/>
    <w:rsid w:val="001A5F10"/>
    <w:rsid w:val="001A5F7C"/>
    <w:rsid w:val="001A7187"/>
    <w:rsid w:val="001A751B"/>
    <w:rsid w:val="001A7BA5"/>
    <w:rsid w:val="001A7D88"/>
    <w:rsid w:val="001B0287"/>
    <w:rsid w:val="001B0419"/>
    <w:rsid w:val="001B0426"/>
    <w:rsid w:val="001B0BEF"/>
    <w:rsid w:val="001B1254"/>
    <w:rsid w:val="001B139B"/>
    <w:rsid w:val="001B2139"/>
    <w:rsid w:val="001B2EAC"/>
    <w:rsid w:val="001B3785"/>
    <w:rsid w:val="001B39AD"/>
    <w:rsid w:val="001B4FA2"/>
    <w:rsid w:val="001B5145"/>
    <w:rsid w:val="001B51D4"/>
    <w:rsid w:val="001B52D5"/>
    <w:rsid w:val="001B53F2"/>
    <w:rsid w:val="001B5BC7"/>
    <w:rsid w:val="001B664C"/>
    <w:rsid w:val="001B68EF"/>
    <w:rsid w:val="001B7FE3"/>
    <w:rsid w:val="001C0180"/>
    <w:rsid w:val="001C0693"/>
    <w:rsid w:val="001C193A"/>
    <w:rsid w:val="001C1C22"/>
    <w:rsid w:val="001C1D28"/>
    <w:rsid w:val="001C24AF"/>
    <w:rsid w:val="001C2529"/>
    <w:rsid w:val="001C390D"/>
    <w:rsid w:val="001C3952"/>
    <w:rsid w:val="001C3980"/>
    <w:rsid w:val="001C4079"/>
    <w:rsid w:val="001C4129"/>
    <w:rsid w:val="001C448E"/>
    <w:rsid w:val="001C481C"/>
    <w:rsid w:val="001C4936"/>
    <w:rsid w:val="001C4B13"/>
    <w:rsid w:val="001C4C91"/>
    <w:rsid w:val="001C4C9F"/>
    <w:rsid w:val="001C52CB"/>
    <w:rsid w:val="001C5750"/>
    <w:rsid w:val="001C5AC9"/>
    <w:rsid w:val="001C684F"/>
    <w:rsid w:val="001C6A6C"/>
    <w:rsid w:val="001D1266"/>
    <w:rsid w:val="001D138D"/>
    <w:rsid w:val="001D24F7"/>
    <w:rsid w:val="001D2AC9"/>
    <w:rsid w:val="001D2B0D"/>
    <w:rsid w:val="001D2DD0"/>
    <w:rsid w:val="001D3062"/>
    <w:rsid w:val="001D3469"/>
    <w:rsid w:val="001D41B9"/>
    <w:rsid w:val="001D471E"/>
    <w:rsid w:val="001D5913"/>
    <w:rsid w:val="001D593D"/>
    <w:rsid w:val="001D61B7"/>
    <w:rsid w:val="001D75AA"/>
    <w:rsid w:val="001D77C2"/>
    <w:rsid w:val="001D781D"/>
    <w:rsid w:val="001D7FF7"/>
    <w:rsid w:val="001E0569"/>
    <w:rsid w:val="001E0BE9"/>
    <w:rsid w:val="001E0EEA"/>
    <w:rsid w:val="001E1171"/>
    <w:rsid w:val="001E136A"/>
    <w:rsid w:val="001E1D8C"/>
    <w:rsid w:val="001E2546"/>
    <w:rsid w:val="001E287F"/>
    <w:rsid w:val="001E4C11"/>
    <w:rsid w:val="001E4D3F"/>
    <w:rsid w:val="001E57DE"/>
    <w:rsid w:val="001E5EF8"/>
    <w:rsid w:val="001E6018"/>
    <w:rsid w:val="001E7FE8"/>
    <w:rsid w:val="001F0683"/>
    <w:rsid w:val="001F0FBF"/>
    <w:rsid w:val="001F1814"/>
    <w:rsid w:val="001F1D11"/>
    <w:rsid w:val="001F2784"/>
    <w:rsid w:val="001F27F7"/>
    <w:rsid w:val="001F4170"/>
    <w:rsid w:val="001F4279"/>
    <w:rsid w:val="001F4EEA"/>
    <w:rsid w:val="001F502D"/>
    <w:rsid w:val="001F50BF"/>
    <w:rsid w:val="001F6861"/>
    <w:rsid w:val="001F6BD5"/>
    <w:rsid w:val="001F6EC7"/>
    <w:rsid w:val="001F78B3"/>
    <w:rsid w:val="00200B73"/>
    <w:rsid w:val="00200BCC"/>
    <w:rsid w:val="00200CA2"/>
    <w:rsid w:val="002013A6"/>
    <w:rsid w:val="00201DFC"/>
    <w:rsid w:val="002029C1"/>
    <w:rsid w:val="00202B78"/>
    <w:rsid w:val="0020351F"/>
    <w:rsid w:val="002037FA"/>
    <w:rsid w:val="0020451E"/>
    <w:rsid w:val="0020470D"/>
    <w:rsid w:val="00204E64"/>
    <w:rsid w:val="00205197"/>
    <w:rsid w:val="0020531D"/>
    <w:rsid w:val="00206141"/>
    <w:rsid w:val="00206A21"/>
    <w:rsid w:val="00206F5F"/>
    <w:rsid w:val="00207807"/>
    <w:rsid w:val="00207B09"/>
    <w:rsid w:val="00207C2B"/>
    <w:rsid w:val="00210397"/>
    <w:rsid w:val="00210D9A"/>
    <w:rsid w:val="00210E7B"/>
    <w:rsid w:val="00210FA5"/>
    <w:rsid w:val="00211023"/>
    <w:rsid w:val="00211504"/>
    <w:rsid w:val="0021153C"/>
    <w:rsid w:val="002138CD"/>
    <w:rsid w:val="002139EC"/>
    <w:rsid w:val="00213B50"/>
    <w:rsid w:val="00213CD2"/>
    <w:rsid w:val="0021480E"/>
    <w:rsid w:val="00214F93"/>
    <w:rsid w:val="0021558B"/>
    <w:rsid w:val="00216998"/>
    <w:rsid w:val="00216C16"/>
    <w:rsid w:val="0021774A"/>
    <w:rsid w:val="00220C77"/>
    <w:rsid w:val="00220D09"/>
    <w:rsid w:val="00220D90"/>
    <w:rsid w:val="0022157E"/>
    <w:rsid w:val="00221C73"/>
    <w:rsid w:val="002228EE"/>
    <w:rsid w:val="0022336E"/>
    <w:rsid w:val="0022349E"/>
    <w:rsid w:val="00223EC1"/>
    <w:rsid w:val="0022426B"/>
    <w:rsid w:val="0022429B"/>
    <w:rsid w:val="002246F1"/>
    <w:rsid w:val="0022470F"/>
    <w:rsid w:val="00224888"/>
    <w:rsid w:val="00224BA1"/>
    <w:rsid w:val="00224BF4"/>
    <w:rsid w:val="0022554E"/>
    <w:rsid w:val="0022560F"/>
    <w:rsid w:val="0022585D"/>
    <w:rsid w:val="00225CB9"/>
    <w:rsid w:val="002260B4"/>
    <w:rsid w:val="00226255"/>
    <w:rsid w:val="00226445"/>
    <w:rsid w:val="00226560"/>
    <w:rsid w:val="00226890"/>
    <w:rsid w:val="00227952"/>
    <w:rsid w:val="00227EAA"/>
    <w:rsid w:val="002305BF"/>
    <w:rsid w:val="00230758"/>
    <w:rsid w:val="00230862"/>
    <w:rsid w:val="00230B0F"/>
    <w:rsid w:val="00231419"/>
    <w:rsid w:val="00232F83"/>
    <w:rsid w:val="0023319D"/>
    <w:rsid w:val="0023434B"/>
    <w:rsid w:val="002344E3"/>
    <w:rsid w:val="00234543"/>
    <w:rsid w:val="0023466A"/>
    <w:rsid w:val="002349A3"/>
    <w:rsid w:val="00235A9B"/>
    <w:rsid w:val="00235BF1"/>
    <w:rsid w:val="00235CC2"/>
    <w:rsid w:val="00235D7E"/>
    <w:rsid w:val="00235F76"/>
    <w:rsid w:val="00236769"/>
    <w:rsid w:val="002369CF"/>
    <w:rsid w:val="00236B66"/>
    <w:rsid w:val="002370BB"/>
    <w:rsid w:val="00237A58"/>
    <w:rsid w:val="002401A7"/>
    <w:rsid w:val="0024038C"/>
    <w:rsid w:val="0024053E"/>
    <w:rsid w:val="002411D2"/>
    <w:rsid w:val="002418C1"/>
    <w:rsid w:val="002419B5"/>
    <w:rsid w:val="002419EC"/>
    <w:rsid w:val="00241B99"/>
    <w:rsid w:val="00241BC0"/>
    <w:rsid w:val="002423B0"/>
    <w:rsid w:val="002431F7"/>
    <w:rsid w:val="00243F40"/>
    <w:rsid w:val="00244416"/>
    <w:rsid w:val="0024479C"/>
    <w:rsid w:val="0024486F"/>
    <w:rsid w:val="00244AAB"/>
    <w:rsid w:val="00244AB2"/>
    <w:rsid w:val="002450F6"/>
    <w:rsid w:val="00245D96"/>
    <w:rsid w:val="002462A9"/>
    <w:rsid w:val="0024643F"/>
    <w:rsid w:val="002465E7"/>
    <w:rsid w:val="00246D33"/>
    <w:rsid w:val="00246E69"/>
    <w:rsid w:val="0024701F"/>
    <w:rsid w:val="002478C2"/>
    <w:rsid w:val="00247AF7"/>
    <w:rsid w:val="00247CC4"/>
    <w:rsid w:val="002503FF"/>
    <w:rsid w:val="00250907"/>
    <w:rsid w:val="00250FF4"/>
    <w:rsid w:val="00251ADE"/>
    <w:rsid w:val="002520B7"/>
    <w:rsid w:val="0025216B"/>
    <w:rsid w:val="00252A4E"/>
    <w:rsid w:val="002532D7"/>
    <w:rsid w:val="00253ED7"/>
    <w:rsid w:val="00254A47"/>
    <w:rsid w:val="00254FD0"/>
    <w:rsid w:val="002550CA"/>
    <w:rsid w:val="002556C1"/>
    <w:rsid w:val="002558EA"/>
    <w:rsid w:val="00255EEA"/>
    <w:rsid w:val="00256299"/>
    <w:rsid w:val="002568B5"/>
    <w:rsid w:val="00256A9D"/>
    <w:rsid w:val="0025752F"/>
    <w:rsid w:val="002577F7"/>
    <w:rsid w:val="00257AF8"/>
    <w:rsid w:val="00260777"/>
    <w:rsid w:val="00260E26"/>
    <w:rsid w:val="0026124A"/>
    <w:rsid w:val="00261269"/>
    <w:rsid w:val="0026180A"/>
    <w:rsid w:val="00261985"/>
    <w:rsid w:val="00261AB8"/>
    <w:rsid w:val="00261D28"/>
    <w:rsid w:val="00262106"/>
    <w:rsid w:val="00262364"/>
    <w:rsid w:val="00262964"/>
    <w:rsid w:val="00262A00"/>
    <w:rsid w:val="00262D09"/>
    <w:rsid w:val="00262E51"/>
    <w:rsid w:val="002642A6"/>
    <w:rsid w:val="00265E5E"/>
    <w:rsid w:val="00265E9D"/>
    <w:rsid w:val="00266873"/>
    <w:rsid w:val="00266E39"/>
    <w:rsid w:val="00267048"/>
    <w:rsid w:val="002700C0"/>
    <w:rsid w:val="002701E1"/>
    <w:rsid w:val="0027044E"/>
    <w:rsid w:val="0027144A"/>
    <w:rsid w:val="002723C5"/>
    <w:rsid w:val="00272659"/>
    <w:rsid w:val="0027283B"/>
    <w:rsid w:val="00272B07"/>
    <w:rsid w:val="00272B67"/>
    <w:rsid w:val="00272F5C"/>
    <w:rsid w:val="00273646"/>
    <w:rsid w:val="0027371C"/>
    <w:rsid w:val="00273D32"/>
    <w:rsid w:val="002740E2"/>
    <w:rsid w:val="00274340"/>
    <w:rsid w:val="00274C33"/>
    <w:rsid w:val="0027542F"/>
    <w:rsid w:val="00275AE2"/>
    <w:rsid w:val="00275B53"/>
    <w:rsid w:val="00275D8E"/>
    <w:rsid w:val="00275FA3"/>
    <w:rsid w:val="0027691E"/>
    <w:rsid w:val="00276A76"/>
    <w:rsid w:val="00276CCD"/>
    <w:rsid w:val="00276D93"/>
    <w:rsid w:val="00277262"/>
    <w:rsid w:val="00277C50"/>
    <w:rsid w:val="00280464"/>
    <w:rsid w:val="00280B33"/>
    <w:rsid w:val="00280B87"/>
    <w:rsid w:val="00280EB2"/>
    <w:rsid w:val="0028124F"/>
    <w:rsid w:val="00281259"/>
    <w:rsid w:val="00281556"/>
    <w:rsid w:val="0028169A"/>
    <w:rsid w:val="00281766"/>
    <w:rsid w:val="0028211D"/>
    <w:rsid w:val="00282275"/>
    <w:rsid w:val="002827A9"/>
    <w:rsid w:val="00283055"/>
    <w:rsid w:val="00283B9A"/>
    <w:rsid w:val="00284976"/>
    <w:rsid w:val="00284D23"/>
    <w:rsid w:val="00284E80"/>
    <w:rsid w:val="00284FA1"/>
    <w:rsid w:val="002851A9"/>
    <w:rsid w:val="002853C1"/>
    <w:rsid w:val="00285D15"/>
    <w:rsid w:val="00286939"/>
    <w:rsid w:val="00286E99"/>
    <w:rsid w:val="00287A06"/>
    <w:rsid w:val="00290AAF"/>
    <w:rsid w:val="00290AB6"/>
    <w:rsid w:val="00290E91"/>
    <w:rsid w:val="0029194A"/>
    <w:rsid w:val="00291B94"/>
    <w:rsid w:val="00291F38"/>
    <w:rsid w:val="00292190"/>
    <w:rsid w:val="00292395"/>
    <w:rsid w:val="0029290F"/>
    <w:rsid w:val="00292A68"/>
    <w:rsid w:val="00293112"/>
    <w:rsid w:val="002931B1"/>
    <w:rsid w:val="00293432"/>
    <w:rsid w:val="0029344A"/>
    <w:rsid w:val="00293B7E"/>
    <w:rsid w:val="002940EC"/>
    <w:rsid w:val="002943A0"/>
    <w:rsid w:val="00294A88"/>
    <w:rsid w:val="00294B8C"/>
    <w:rsid w:val="00294F63"/>
    <w:rsid w:val="00296168"/>
    <w:rsid w:val="00296558"/>
    <w:rsid w:val="00296DA0"/>
    <w:rsid w:val="00296E15"/>
    <w:rsid w:val="00297246"/>
    <w:rsid w:val="0029754B"/>
    <w:rsid w:val="00297ABC"/>
    <w:rsid w:val="00297AC4"/>
    <w:rsid w:val="00297BDC"/>
    <w:rsid w:val="00297F9E"/>
    <w:rsid w:val="002A0049"/>
    <w:rsid w:val="002A0401"/>
    <w:rsid w:val="002A08CE"/>
    <w:rsid w:val="002A0B05"/>
    <w:rsid w:val="002A0C08"/>
    <w:rsid w:val="002A1259"/>
    <w:rsid w:val="002A1830"/>
    <w:rsid w:val="002A2647"/>
    <w:rsid w:val="002A2D33"/>
    <w:rsid w:val="002A3257"/>
    <w:rsid w:val="002A38BC"/>
    <w:rsid w:val="002A38C1"/>
    <w:rsid w:val="002A3A3F"/>
    <w:rsid w:val="002A4075"/>
    <w:rsid w:val="002A4729"/>
    <w:rsid w:val="002A4789"/>
    <w:rsid w:val="002A4F0B"/>
    <w:rsid w:val="002A5700"/>
    <w:rsid w:val="002A578C"/>
    <w:rsid w:val="002A59DB"/>
    <w:rsid w:val="002A61D6"/>
    <w:rsid w:val="002A633E"/>
    <w:rsid w:val="002A6CAF"/>
    <w:rsid w:val="002A6D81"/>
    <w:rsid w:val="002A75B4"/>
    <w:rsid w:val="002A77B9"/>
    <w:rsid w:val="002A783F"/>
    <w:rsid w:val="002B109F"/>
    <w:rsid w:val="002B110E"/>
    <w:rsid w:val="002B1EB7"/>
    <w:rsid w:val="002B2000"/>
    <w:rsid w:val="002B214F"/>
    <w:rsid w:val="002B2406"/>
    <w:rsid w:val="002B25E2"/>
    <w:rsid w:val="002B32AA"/>
    <w:rsid w:val="002B33DE"/>
    <w:rsid w:val="002B3978"/>
    <w:rsid w:val="002B42CE"/>
    <w:rsid w:val="002B4548"/>
    <w:rsid w:val="002B498B"/>
    <w:rsid w:val="002B5A5D"/>
    <w:rsid w:val="002B622F"/>
    <w:rsid w:val="002B704E"/>
    <w:rsid w:val="002B730E"/>
    <w:rsid w:val="002C095A"/>
    <w:rsid w:val="002C1164"/>
    <w:rsid w:val="002C1477"/>
    <w:rsid w:val="002C1723"/>
    <w:rsid w:val="002C1B4A"/>
    <w:rsid w:val="002C1F50"/>
    <w:rsid w:val="002C20D3"/>
    <w:rsid w:val="002C21C0"/>
    <w:rsid w:val="002C245C"/>
    <w:rsid w:val="002C270A"/>
    <w:rsid w:val="002C293F"/>
    <w:rsid w:val="002C3388"/>
    <w:rsid w:val="002C361E"/>
    <w:rsid w:val="002C36EF"/>
    <w:rsid w:val="002C4421"/>
    <w:rsid w:val="002C4433"/>
    <w:rsid w:val="002C4499"/>
    <w:rsid w:val="002C46F0"/>
    <w:rsid w:val="002C499A"/>
    <w:rsid w:val="002C4C22"/>
    <w:rsid w:val="002C54F2"/>
    <w:rsid w:val="002C5A45"/>
    <w:rsid w:val="002C5F3F"/>
    <w:rsid w:val="002C6189"/>
    <w:rsid w:val="002C64CE"/>
    <w:rsid w:val="002C6835"/>
    <w:rsid w:val="002C6F88"/>
    <w:rsid w:val="002C712F"/>
    <w:rsid w:val="002C7784"/>
    <w:rsid w:val="002C7A01"/>
    <w:rsid w:val="002D0089"/>
    <w:rsid w:val="002D034C"/>
    <w:rsid w:val="002D0472"/>
    <w:rsid w:val="002D0C6F"/>
    <w:rsid w:val="002D14E9"/>
    <w:rsid w:val="002D2333"/>
    <w:rsid w:val="002D2857"/>
    <w:rsid w:val="002D31FF"/>
    <w:rsid w:val="002D3292"/>
    <w:rsid w:val="002D3293"/>
    <w:rsid w:val="002D332A"/>
    <w:rsid w:val="002D365D"/>
    <w:rsid w:val="002D3766"/>
    <w:rsid w:val="002D3A1B"/>
    <w:rsid w:val="002D3A58"/>
    <w:rsid w:val="002D3B23"/>
    <w:rsid w:val="002D3B83"/>
    <w:rsid w:val="002D4063"/>
    <w:rsid w:val="002D42BF"/>
    <w:rsid w:val="002D4D63"/>
    <w:rsid w:val="002D4DCB"/>
    <w:rsid w:val="002D4EE8"/>
    <w:rsid w:val="002D50AC"/>
    <w:rsid w:val="002D59D4"/>
    <w:rsid w:val="002D5B86"/>
    <w:rsid w:val="002D621B"/>
    <w:rsid w:val="002D6CD5"/>
    <w:rsid w:val="002D7677"/>
    <w:rsid w:val="002D7E00"/>
    <w:rsid w:val="002D7F77"/>
    <w:rsid w:val="002E0359"/>
    <w:rsid w:val="002E05B8"/>
    <w:rsid w:val="002E072F"/>
    <w:rsid w:val="002E0904"/>
    <w:rsid w:val="002E0AB5"/>
    <w:rsid w:val="002E1071"/>
    <w:rsid w:val="002E17C7"/>
    <w:rsid w:val="002E1CE6"/>
    <w:rsid w:val="002E1D35"/>
    <w:rsid w:val="002E1EAF"/>
    <w:rsid w:val="002E282C"/>
    <w:rsid w:val="002E2E15"/>
    <w:rsid w:val="002E32FB"/>
    <w:rsid w:val="002E406A"/>
    <w:rsid w:val="002E414C"/>
    <w:rsid w:val="002E47EC"/>
    <w:rsid w:val="002E4B5F"/>
    <w:rsid w:val="002E4FBB"/>
    <w:rsid w:val="002E5086"/>
    <w:rsid w:val="002E59F4"/>
    <w:rsid w:val="002E6FA7"/>
    <w:rsid w:val="002E75BA"/>
    <w:rsid w:val="002E7DD0"/>
    <w:rsid w:val="002E7E72"/>
    <w:rsid w:val="002F0A59"/>
    <w:rsid w:val="002F15D8"/>
    <w:rsid w:val="002F1846"/>
    <w:rsid w:val="002F1D83"/>
    <w:rsid w:val="002F265D"/>
    <w:rsid w:val="002F2ED8"/>
    <w:rsid w:val="002F2F86"/>
    <w:rsid w:val="002F361D"/>
    <w:rsid w:val="002F3967"/>
    <w:rsid w:val="002F3BAC"/>
    <w:rsid w:val="002F3BDC"/>
    <w:rsid w:val="002F3FEA"/>
    <w:rsid w:val="002F4AEF"/>
    <w:rsid w:val="002F4FA7"/>
    <w:rsid w:val="002F6206"/>
    <w:rsid w:val="002F664F"/>
    <w:rsid w:val="002F6F95"/>
    <w:rsid w:val="002F7556"/>
    <w:rsid w:val="00300B2A"/>
    <w:rsid w:val="00300CCE"/>
    <w:rsid w:val="003021FF"/>
    <w:rsid w:val="0030281B"/>
    <w:rsid w:val="00302DDF"/>
    <w:rsid w:val="00303AA6"/>
    <w:rsid w:val="00303C9A"/>
    <w:rsid w:val="00304371"/>
    <w:rsid w:val="003046FB"/>
    <w:rsid w:val="00304CD2"/>
    <w:rsid w:val="00304D17"/>
    <w:rsid w:val="00305487"/>
    <w:rsid w:val="003054AD"/>
    <w:rsid w:val="00305951"/>
    <w:rsid w:val="00305A23"/>
    <w:rsid w:val="00305C6A"/>
    <w:rsid w:val="00306444"/>
    <w:rsid w:val="00306AFB"/>
    <w:rsid w:val="00306DFC"/>
    <w:rsid w:val="003070A1"/>
    <w:rsid w:val="003070BE"/>
    <w:rsid w:val="003074A9"/>
    <w:rsid w:val="003078E9"/>
    <w:rsid w:val="00307A5A"/>
    <w:rsid w:val="003102ED"/>
    <w:rsid w:val="003107C1"/>
    <w:rsid w:val="003107E0"/>
    <w:rsid w:val="00310F4C"/>
    <w:rsid w:val="00311336"/>
    <w:rsid w:val="003113F7"/>
    <w:rsid w:val="00312116"/>
    <w:rsid w:val="0031275F"/>
    <w:rsid w:val="00312B21"/>
    <w:rsid w:val="003139AF"/>
    <w:rsid w:val="0031456D"/>
    <w:rsid w:val="0031549D"/>
    <w:rsid w:val="003168F2"/>
    <w:rsid w:val="00317304"/>
    <w:rsid w:val="003175F1"/>
    <w:rsid w:val="003200F4"/>
    <w:rsid w:val="00320B8A"/>
    <w:rsid w:val="00321B09"/>
    <w:rsid w:val="0032206F"/>
    <w:rsid w:val="00322521"/>
    <w:rsid w:val="00322875"/>
    <w:rsid w:val="00322951"/>
    <w:rsid w:val="00323099"/>
    <w:rsid w:val="00323325"/>
    <w:rsid w:val="0032396D"/>
    <w:rsid w:val="00323ADC"/>
    <w:rsid w:val="00323B3C"/>
    <w:rsid w:val="00323D25"/>
    <w:rsid w:val="003242FF"/>
    <w:rsid w:val="00324894"/>
    <w:rsid w:val="003253FC"/>
    <w:rsid w:val="00325D61"/>
    <w:rsid w:val="0032674D"/>
    <w:rsid w:val="003273A3"/>
    <w:rsid w:val="00327884"/>
    <w:rsid w:val="00330510"/>
    <w:rsid w:val="0033099B"/>
    <w:rsid w:val="00331298"/>
    <w:rsid w:val="0033132E"/>
    <w:rsid w:val="00331845"/>
    <w:rsid w:val="00331ADF"/>
    <w:rsid w:val="00331BEF"/>
    <w:rsid w:val="00331C2F"/>
    <w:rsid w:val="003320BD"/>
    <w:rsid w:val="00332D6C"/>
    <w:rsid w:val="0033351F"/>
    <w:rsid w:val="00333B18"/>
    <w:rsid w:val="00333F26"/>
    <w:rsid w:val="003356C7"/>
    <w:rsid w:val="003357C7"/>
    <w:rsid w:val="00336493"/>
    <w:rsid w:val="00336748"/>
    <w:rsid w:val="003367C7"/>
    <w:rsid w:val="0033699A"/>
    <w:rsid w:val="00336B53"/>
    <w:rsid w:val="00336CC4"/>
    <w:rsid w:val="00337959"/>
    <w:rsid w:val="00337AB3"/>
    <w:rsid w:val="00337C1E"/>
    <w:rsid w:val="00337DA1"/>
    <w:rsid w:val="00340449"/>
    <w:rsid w:val="003407B0"/>
    <w:rsid w:val="003407C5"/>
    <w:rsid w:val="00340F87"/>
    <w:rsid w:val="00341CAC"/>
    <w:rsid w:val="00341D6D"/>
    <w:rsid w:val="00341E25"/>
    <w:rsid w:val="003424BA"/>
    <w:rsid w:val="00342B0F"/>
    <w:rsid w:val="0034319A"/>
    <w:rsid w:val="0034393B"/>
    <w:rsid w:val="00343984"/>
    <w:rsid w:val="00344C10"/>
    <w:rsid w:val="00344C5B"/>
    <w:rsid w:val="00344D77"/>
    <w:rsid w:val="0034524C"/>
    <w:rsid w:val="003456F7"/>
    <w:rsid w:val="003459A3"/>
    <w:rsid w:val="003461C3"/>
    <w:rsid w:val="00346738"/>
    <w:rsid w:val="00346B7D"/>
    <w:rsid w:val="00346BB9"/>
    <w:rsid w:val="00346E98"/>
    <w:rsid w:val="00346F51"/>
    <w:rsid w:val="003471AF"/>
    <w:rsid w:val="0034780E"/>
    <w:rsid w:val="003478E0"/>
    <w:rsid w:val="00347A5A"/>
    <w:rsid w:val="00350549"/>
    <w:rsid w:val="0035060A"/>
    <w:rsid w:val="003506CD"/>
    <w:rsid w:val="0035093C"/>
    <w:rsid w:val="00350DBB"/>
    <w:rsid w:val="00351195"/>
    <w:rsid w:val="003524C9"/>
    <w:rsid w:val="00352F7E"/>
    <w:rsid w:val="003534D4"/>
    <w:rsid w:val="00353A6A"/>
    <w:rsid w:val="00353C9B"/>
    <w:rsid w:val="0035458F"/>
    <w:rsid w:val="00354770"/>
    <w:rsid w:val="00354C00"/>
    <w:rsid w:val="00354F90"/>
    <w:rsid w:val="00355A7D"/>
    <w:rsid w:val="003561EF"/>
    <w:rsid w:val="00356228"/>
    <w:rsid w:val="003566FE"/>
    <w:rsid w:val="00356BA5"/>
    <w:rsid w:val="00357291"/>
    <w:rsid w:val="0035752E"/>
    <w:rsid w:val="00357ADA"/>
    <w:rsid w:val="00357EA6"/>
    <w:rsid w:val="00357FF0"/>
    <w:rsid w:val="0036026B"/>
    <w:rsid w:val="00360718"/>
    <w:rsid w:val="00361095"/>
    <w:rsid w:val="00361C4F"/>
    <w:rsid w:val="00361EB4"/>
    <w:rsid w:val="00362628"/>
    <w:rsid w:val="003627B1"/>
    <w:rsid w:val="00362E93"/>
    <w:rsid w:val="00363589"/>
    <w:rsid w:val="00363CC0"/>
    <w:rsid w:val="0036414C"/>
    <w:rsid w:val="00364232"/>
    <w:rsid w:val="00364450"/>
    <w:rsid w:val="003649F4"/>
    <w:rsid w:val="00364E04"/>
    <w:rsid w:val="00364FB2"/>
    <w:rsid w:val="0036517F"/>
    <w:rsid w:val="003651BC"/>
    <w:rsid w:val="003653D4"/>
    <w:rsid w:val="003654FE"/>
    <w:rsid w:val="00365579"/>
    <w:rsid w:val="00365863"/>
    <w:rsid w:val="0036641D"/>
    <w:rsid w:val="00366490"/>
    <w:rsid w:val="00366574"/>
    <w:rsid w:val="00367813"/>
    <w:rsid w:val="00371147"/>
    <w:rsid w:val="003719A8"/>
    <w:rsid w:val="00372217"/>
    <w:rsid w:val="00372C10"/>
    <w:rsid w:val="00372CDA"/>
    <w:rsid w:val="00372DA2"/>
    <w:rsid w:val="00373200"/>
    <w:rsid w:val="003745B1"/>
    <w:rsid w:val="00374B95"/>
    <w:rsid w:val="00374E33"/>
    <w:rsid w:val="003755EA"/>
    <w:rsid w:val="00375692"/>
    <w:rsid w:val="00375855"/>
    <w:rsid w:val="00375C89"/>
    <w:rsid w:val="00375EB4"/>
    <w:rsid w:val="00375F52"/>
    <w:rsid w:val="00376279"/>
    <w:rsid w:val="003773FB"/>
    <w:rsid w:val="003775D5"/>
    <w:rsid w:val="00380D67"/>
    <w:rsid w:val="00381258"/>
    <w:rsid w:val="003813D8"/>
    <w:rsid w:val="00381A8C"/>
    <w:rsid w:val="00381A91"/>
    <w:rsid w:val="00381FE9"/>
    <w:rsid w:val="00382711"/>
    <w:rsid w:val="00382A2B"/>
    <w:rsid w:val="003834D2"/>
    <w:rsid w:val="00384EF0"/>
    <w:rsid w:val="00384F20"/>
    <w:rsid w:val="00386352"/>
    <w:rsid w:val="00386DE8"/>
    <w:rsid w:val="00386F89"/>
    <w:rsid w:val="0038703F"/>
    <w:rsid w:val="00387181"/>
    <w:rsid w:val="0038783C"/>
    <w:rsid w:val="00387ABD"/>
    <w:rsid w:val="00387E86"/>
    <w:rsid w:val="0039081D"/>
    <w:rsid w:val="00390E46"/>
    <w:rsid w:val="003911AC"/>
    <w:rsid w:val="003912B9"/>
    <w:rsid w:val="003917FC"/>
    <w:rsid w:val="00391946"/>
    <w:rsid w:val="0039206E"/>
    <w:rsid w:val="00392622"/>
    <w:rsid w:val="00392D42"/>
    <w:rsid w:val="0039313F"/>
    <w:rsid w:val="0039337A"/>
    <w:rsid w:val="00393FA7"/>
    <w:rsid w:val="0039457C"/>
    <w:rsid w:val="0039496B"/>
    <w:rsid w:val="003949B5"/>
    <w:rsid w:val="00395718"/>
    <w:rsid w:val="00395A0B"/>
    <w:rsid w:val="00395F10"/>
    <w:rsid w:val="0039618B"/>
    <w:rsid w:val="00396235"/>
    <w:rsid w:val="0039731E"/>
    <w:rsid w:val="003974DE"/>
    <w:rsid w:val="003978EC"/>
    <w:rsid w:val="00397C2C"/>
    <w:rsid w:val="003A02D7"/>
    <w:rsid w:val="003A12CC"/>
    <w:rsid w:val="003A1B0A"/>
    <w:rsid w:val="003A1C5B"/>
    <w:rsid w:val="003A1F6E"/>
    <w:rsid w:val="003A29E1"/>
    <w:rsid w:val="003A2A15"/>
    <w:rsid w:val="003A2F00"/>
    <w:rsid w:val="003A3394"/>
    <w:rsid w:val="003A343A"/>
    <w:rsid w:val="003A3606"/>
    <w:rsid w:val="003A4145"/>
    <w:rsid w:val="003A4757"/>
    <w:rsid w:val="003A53E4"/>
    <w:rsid w:val="003A5620"/>
    <w:rsid w:val="003A5DE7"/>
    <w:rsid w:val="003A6391"/>
    <w:rsid w:val="003A6A9B"/>
    <w:rsid w:val="003A6F12"/>
    <w:rsid w:val="003A6FD6"/>
    <w:rsid w:val="003A7009"/>
    <w:rsid w:val="003A746E"/>
    <w:rsid w:val="003A74DB"/>
    <w:rsid w:val="003A794E"/>
    <w:rsid w:val="003B0198"/>
    <w:rsid w:val="003B0929"/>
    <w:rsid w:val="003B09D6"/>
    <w:rsid w:val="003B1755"/>
    <w:rsid w:val="003B1925"/>
    <w:rsid w:val="003B2419"/>
    <w:rsid w:val="003B278B"/>
    <w:rsid w:val="003B2BAE"/>
    <w:rsid w:val="003B3903"/>
    <w:rsid w:val="003B3F82"/>
    <w:rsid w:val="003B3FD2"/>
    <w:rsid w:val="003B4682"/>
    <w:rsid w:val="003B4891"/>
    <w:rsid w:val="003B4E5E"/>
    <w:rsid w:val="003B539C"/>
    <w:rsid w:val="003B542D"/>
    <w:rsid w:val="003B59B0"/>
    <w:rsid w:val="003B5A9D"/>
    <w:rsid w:val="003B5F1E"/>
    <w:rsid w:val="003B5FA6"/>
    <w:rsid w:val="003B6107"/>
    <w:rsid w:val="003B644E"/>
    <w:rsid w:val="003B66BB"/>
    <w:rsid w:val="003B6BC6"/>
    <w:rsid w:val="003B7008"/>
    <w:rsid w:val="003B7544"/>
    <w:rsid w:val="003B77C8"/>
    <w:rsid w:val="003B7A21"/>
    <w:rsid w:val="003B7EF9"/>
    <w:rsid w:val="003B7F4E"/>
    <w:rsid w:val="003C0193"/>
    <w:rsid w:val="003C06A3"/>
    <w:rsid w:val="003C07B9"/>
    <w:rsid w:val="003C0B4C"/>
    <w:rsid w:val="003C0BFB"/>
    <w:rsid w:val="003C0C79"/>
    <w:rsid w:val="003C0EE6"/>
    <w:rsid w:val="003C1147"/>
    <w:rsid w:val="003C1751"/>
    <w:rsid w:val="003C1779"/>
    <w:rsid w:val="003C2148"/>
    <w:rsid w:val="003C239E"/>
    <w:rsid w:val="003C2422"/>
    <w:rsid w:val="003C24D7"/>
    <w:rsid w:val="003C2545"/>
    <w:rsid w:val="003C3169"/>
    <w:rsid w:val="003C3874"/>
    <w:rsid w:val="003C4497"/>
    <w:rsid w:val="003C4E81"/>
    <w:rsid w:val="003C57C6"/>
    <w:rsid w:val="003C5939"/>
    <w:rsid w:val="003C5B5E"/>
    <w:rsid w:val="003C5D94"/>
    <w:rsid w:val="003C5DC0"/>
    <w:rsid w:val="003C5F2B"/>
    <w:rsid w:val="003C6937"/>
    <w:rsid w:val="003C7AF8"/>
    <w:rsid w:val="003C7C1B"/>
    <w:rsid w:val="003D05F0"/>
    <w:rsid w:val="003D1338"/>
    <w:rsid w:val="003D1365"/>
    <w:rsid w:val="003D183E"/>
    <w:rsid w:val="003D1937"/>
    <w:rsid w:val="003D1D64"/>
    <w:rsid w:val="003D2D84"/>
    <w:rsid w:val="003D2FF3"/>
    <w:rsid w:val="003D3DCE"/>
    <w:rsid w:val="003D4597"/>
    <w:rsid w:val="003D45E6"/>
    <w:rsid w:val="003D481A"/>
    <w:rsid w:val="003D4A8D"/>
    <w:rsid w:val="003D4ACE"/>
    <w:rsid w:val="003D4CFA"/>
    <w:rsid w:val="003D4E8B"/>
    <w:rsid w:val="003D543E"/>
    <w:rsid w:val="003D576F"/>
    <w:rsid w:val="003D5ABA"/>
    <w:rsid w:val="003D5CC4"/>
    <w:rsid w:val="003D5E1F"/>
    <w:rsid w:val="003D5F3B"/>
    <w:rsid w:val="003D6ACC"/>
    <w:rsid w:val="003D6CAB"/>
    <w:rsid w:val="003D6F1E"/>
    <w:rsid w:val="003D75C5"/>
    <w:rsid w:val="003D7CB7"/>
    <w:rsid w:val="003D7E19"/>
    <w:rsid w:val="003E07E2"/>
    <w:rsid w:val="003E0B44"/>
    <w:rsid w:val="003E0BC2"/>
    <w:rsid w:val="003E0EBF"/>
    <w:rsid w:val="003E164F"/>
    <w:rsid w:val="003E1FC4"/>
    <w:rsid w:val="003E21D8"/>
    <w:rsid w:val="003E2C44"/>
    <w:rsid w:val="003E2D8F"/>
    <w:rsid w:val="003E2F08"/>
    <w:rsid w:val="003E31BA"/>
    <w:rsid w:val="003E32E9"/>
    <w:rsid w:val="003E3824"/>
    <w:rsid w:val="003E390D"/>
    <w:rsid w:val="003E3CE1"/>
    <w:rsid w:val="003E3FF0"/>
    <w:rsid w:val="003E46B6"/>
    <w:rsid w:val="003E46B8"/>
    <w:rsid w:val="003E4AD8"/>
    <w:rsid w:val="003E5225"/>
    <w:rsid w:val="003E52DC"/>
    <w:rsid w:val="003E544A"/>
    <w:rsid w:val="003E62AE"/>
    <w:rsid w:val="003E6369"/>
    <w:rsid w:val="003E66E8"/>
    <w:rsid w:val="003E6AB3"/>
    <w:rsid w:val="003E6BB7"/>
    <w:rsid w:val="003E7879"/>
    <w:rsid w:val="003E78FD"/>
    <w:rsid w:val="003E7E4A"/>
    <w:rsid w:val="003F0248"/>
    <w:rsid w:val="003F11FD"/>
    <w:rsid w:val="003F132E"/>
    <w:rsid w:val="003F15B6"/>
    <w:rsid w:val="003F1CCE"/>
    <w:rsid w:val="003F1FCA"/>
    <w:rsid w:val="003F22CF"/>
    <w:rsid w:val="003F2654"/>
    <w:rsid w:val="003F27A4"/>
    <w:rsid w:val="003F2863"/>
    <w:rsid w:val="003F2E02"/>
    <w:rsid w:val="003F3190"/>
    <w:rsid w:val="003F32E1"/>
    <w:rsid w:val="003F3908"/>
    <w:rsid w:val="003F3B15"/>
    <w:rsid w:val="003F3D19"/>
    <w:rsid w:val="003F46B4"/>
    <w:rsid w:val="003F4EE5"/>
    <w:rsid w:val="003F51B6"/>
    <w:rsid w:val="003F54C9"/>
    <w:rsid w:val="003F5C8A"/>
    <w:rsid w:val="003F5D66"/>
    <w:rsid w:val="003F63B9"/>
    <w:rsid w:val="003F644A"/>
    <w:rsid w:val="003F6AB1"/>
    <w:rsid w:val="003F6CDC"/>
    <w:rsid w:val="003F7666"/>
    <w:rsid w:val="003F7CA9"/>
    <w:rsid w:val="0040009A"/>
    <w:rsid w:val="004000D8"/>
    <w:rsid w:val="0040050B"/>
    <w:rsid w:val="004012A6"/>
    <w:rsid w:val="004021D1"/>
    <w:rsid w:val="00402860"/>
    <w:rsid w:val="00402972"/>
    <w:rsid w:val="00402CAA"/>
    <w:rsid w:val="0040374F"/>
    <w:rsid w:val="00403910"/>
    <w:rsid w:val="00403ADE"/>
    <w:rsid w:val="00403D90"/>
    <w:rsid w:val="00403F7B"/>
    <w:rsid w:val="0040427F"/>
    <w:rsid w:val="00404670"/>
    <w:rsid w:val="004047AF"/>
    <w:rsid w:val="0040487C"/>
    <w:rsid w:val="00404B3A"/>
    <w:rsid w:val="00405004"/>
    <w:rsid w:val="00405300"/>
    <w:rsid w:val="00405360"/>
    <w:rsid w:val="00405487"/>
    <w:rsid w:val="004055AB"/>
    <w:rsid w:val="00405767"/>
    <w:rsid w:val="00405D9F"/>
    <w:rsid w:val="00405F78"/>
    <w:rsid w:val="00406563"/>
    <w:rsid w:val="00406681"/>
    <w:rsid w:val="004067EE"/>
    <w:rsid w:val="004070A9"/>
    <w:rsid w:val="0041006C"/>
    <w:rsid w:val="0041020B"/>
    <w:rsid w:val="00410A0C"/>
    <w:rsid w:val="00411584"/>
    <w:rsid w:val="004116BC"/>
    <w:rsid w:val="00411BBF"/>
    <w:rsid w:val="00412324"/>
    <w:rsid w:val="00413038"/>
    <w:rsid w:val="004132FB"/>
    <w:rsid w:val="00413CD5"/>
    <w:rsid w:val="004143E6"/>
    <w:rsid w:val="00414451"/>
    <w:rsid w:val="00414495"/>
    <w:rsid w:val="004144DB"/>
    <w:rsid w:val="004147EC"/>
    <w:rsid w:val="00414B52"/>
    <w:rsid w:val="00414FE3"/>
    <w:rsid w:val="0041505F"/>
    <w:rsid w:val="004150B3"/>
    <w:rsid w:val="004155BE"/>
    <w:rsid w:val="004166A7"/>
    <w:rsid w:val="004169D2"/>
    <w:rsid w:val="00416C73"/>
    <w:rsid w:val="00417005"/>
    <w:rsid w:val="00417295"/>
    <w:rsid w:val="00417468"/>
    <w:rsid w:val="00417A89"/>
    <w:rsid w:val="00420347"/>
    <w:rsid w:val="00420C2B"/>
    <w:rsid w:val="00420D93"/>
    <w:rsid w:val="004217FB"/>
    <w:rsid w:val="00421AB4"/>
    <w:rsid w:val="004221BF"/>
    <w:rsid w:val="00422C54"/>
    <w:rsid w:val="00422E38"/>
    <w:rsid w:val="0042312C"/>
    <w:rsid w:val="0042313E"/>
    <w:rsid w:val="004243F6"/>
    <w:rsid w:val="004245EB"/>
    <w:rsid w:val="00424C78"/>
    <w:rsid w:val="00425212"/>
    <w:rsid w:val="004254B1"/>
    <w:rsid w:val="004255E8"/>
    <w:rsid w:val="004268EE"/>
    <w:rsid w:val="00426C71"/>
    <w:rsid w:val="00430D3E"/>
    <w:rsid w:val="00430EF3"/>
    <w:rsid w:val="00430F1E"/>
    <w:rsid w:val="00431095"/>
    <w:rsid w:val="00431669"/>
    <w:rsid w:val="00431A71"/>
    <w:rsid w:val="00431B24"/>
    <w:rsid w:val="00431BE6"/>
    <w:rsid w:val="00431F75"/>
    <w:rsid w:val="00432B34"/>
    <w:rsid w:val="00432C4E"/>
    <w:rsid w:val="0043341A"/>
    <w:rsid w:val="004336C8"/>
    <w:rsid w:val="00433A7A"/>
    <w:rsid w:val="00433F86"/>
    <w:rsid w:val="00434728"/>
    <w:rsid w:val="0043500C"/>
    <w:rsid w:val="004359B3"/>
    <w:rsid w:val="00435B8E"/>
    <w:rsid w:val="00436036"/>
    <w:rsid w:val="00436936"/>
    <w:rsid w:val="00436D75"/>
    <w:rsid w:val="00436FCE"/>
    <w:rsid w:val="0043718A"/>
    <w:rsid w:val="00437E8A"/>
    <w:rsid w:val="00437F8E"/>
    <w:rsid w:val="00440C63"/>
    <w:rsid w:val="0044113D"/>
    <w:rsid w:val="004411E9"/>
    <w:rsid w:val="00441792"/>
    <w:rsid w:val="00441B19"/>
    <w:rsid w:val="0044228D"/>
    <w:rsid w:val="00442481"/>
    <w:rsid w:val="00442583"/>
    <w:rsid w:val="00442C4E"/>
    <w:rsid w:val="00442D4C"/>
    <w:rsid w:val="00444755"/>
    <w:rsid w:val="004449CE"/>
    <w:rsid w:val="00444DC6"/>
    <w:rsid w:val="0044587A"/>
    <w:rsid w:val="00445954"/>
    <w:rsid w:val="00446732"/>
    <w:rsid w:val="00446800"/>
    <w:rsid w:val="00447EF7"/>
    <w:rsid w:val="004500B8"/>
    <w:rsid w:val="0045048E"/>
    <w:rsid w:val="004505D6"/>
    <w:rsid w:val="00450760"/>
    <w:rsid w:val="00450EBD"/>
    <w:rsid w:val="0045114B"/>
    <w:rsid w:val="004513D3"/>
    <w:rsid w:val="00451A6D"/>
    <w:rsid w:val="004521CA"/>
    <w:rsid w:val="004525F1"/>
    <w:rsid w:val="00452790"/>
    <w:rsid w:val="004527D1"/>
    <w:rsid w:val="00452E82"/>
    <w:rsid w:val="00453044"/>
    <w:rsid w:val="0045410B"/>
    <w:rsid w:val="0045457D"/>
    <w:rsid w:val="00454593"/>
    <w:rsid w:val="00455183"/>
    <w:rsid w:val="004556D1"/>
    <w:rsid w:val="00457445"/>
    <w:rsid w:val="00457BE6"/>
    <w:rsid w:val="004609EB"/>
    <w:rsid w:val="0046156E"/>
    <w:rsid w:val="00461794"/>
    <w:rsid w:val="00462D64"/>
    <w:rsid w:val="00463CFF"/>
    <w:rsid w:val="00463E0E"/>
    <w:rsid w:val="00464309"/>
    <w:rsid w:val="00464486"/>
    <w:rsid w:val="00464816"/>
    <w:rsid w:val="00464DCE"/>
    <w:rsid w:val="00467010"/>
    <w:rsid w:val="004675E1"/>
    <w:rsid w:val="00467A74"/>
    <w:rsid w:val="00467C56"/>
    <w:rsid w:val="00467F2E"/>
    <w:rsid w:val="00470507"/>
    <w:rsid w:val="0047134D"/>
    <w:rsid w:val="00471D07"/>
    <w:rsid w:val="004723A2"/>
    <w:rsid w:val="00472A80"/>
    <w:rsid w:val="00472DD2"/>
    <w:rsid w:val="00473315"/>
    <w:rsid w:val="00473903"/>
    <w:rsid w:val="00473EE0"/>
    <w:rsid w:val="00473F7E"/>
    <w:rsid w:val="0047474B"/>
    <w:rsid w:val="00474993"/>
    <w:rsid w:val="00475616"/>
    <w:rsid w:val="0047579F"/>
    <w:rsid w:val="00475ABB"/>
    <w:rsid w:val="00475EA3"/>
    <w:rsid w:val="00476DE4"/>
    <w:rsid w:val="004801F1"/>
    <w:rsid w:val="00480213"/>
    <w:rsid w:val="0048027C"/>
    <w:rsid w:val="0048067A"/>
    <w:rsid w:val="0048128A"/>
    <w:rsid w:val="004812D9"/>
    <w:rsid w:val="0048144D"/>
    <w:rsid w:val="004819B5"/>
    <w:rsid w:val="00481D92"/>
    <w:rsid w:val="004820B7"/>
    <w:rsid w:val="004833A7"/>
    <w:rsid w:val="00483420"/>
    <w:rsid w:val="004839D3"/>
    <w:rsid w:val="00484317"/>
    <w:rsid w:val="0048439C"/>
    <w:rsid w:val="00484DF7"/>
    <w:rsid w:val="00484F2F"/>
    <w:rsid w:val="00485DA7"/>
    <w:rsid w:val="00486D6A"/>
    <w:rsid w:val="00486ECD"/>
    <w:rsid w:val="00486EE7"/>
    <w:rsid w:val="00486F8F"/>
    <w:rsid w:val="00487067"/>
    <w:rsid w:val="0048751F"/>
    <w:rsid w:val="00487E4B"/>
    <w:rsid w:val="004902E1"/>
    <w:rsid w:val="00490640"/>
    <w:rsid w:val="00490B36"/>
    <w:rsid w:val="00490D02"/>
    <w:rsid w:val="00491292"/>
    <w:rsid w:val="0049139D"/>
    <w:rsid w:val="00491C44"/>
    <w:rsid w:val="0049288E"/>
    <w:rsid w:val="00492AE8"/>
    <w:rsid w:val="0049313D"/>
    <w:rsid w:val="00493967"/>
    <w:rsid w:val="00493C9E"/>
    <w:rsid w:val="004941EB"/>
    <w:rsid w:val="004955AD"/>
    <w:rsid w:val="0049563F"/>
    <w:rsid w:val="0049578D"/>
    <w:rsid w:val="00495EC3"/>
    <w:rsid w:val="004960BE"/>
    <w:rsid w:val="00496771"/>
    <w:rsid w:val="00496FA6"/>
    <w:rsid w:val="004A00E3"/>
    <w:rsid w:val="004A052B"/>
    <w:rsid w:val="004A1497"/>
    <w:rsid w:val="004A17FC"/>
    <w:rsid w:val="004A18C5"/>
    <w:rsid w:val="004A1D40"/>
    <w:rsid w:val="004A1DE7"/>
    <w:rsid w:val="004A1E6E"/>
    <w:rsid w:val="004A2436"/>
    <w:rsid w:val="004A275A"/>
    <w:rsid w:val="004A2EBD"/>
    <w:rsid w:val="004A313B"/>
    <w:rsid w:val="004A37DB"/>
    <w:rsid w:val="004A4AD1"/>
    <w:rsid w:val="004A4C91"/>
    <w:rsid w:val="004A4E56"/>
    <w:rsid w:val="004A5ED5"/>
    <w:rsid w:val="004A6028"/>
    <w:rsid w:val="004A706B"/>
    <w:rsid w:val="004A71E8"/>
    <w:rsid w:val="004A7233"/>
    <w:rsid w:val="004B0500"/>
    <w:rsid w:val="004B05B1"/>
    <w:rsid w:val="004B0833"/>
    <w:rsid w:val="004B1033"/>
    <w:rsid w:val="004B1257"/>
    <w:rsid w:val="004B14C9"/>
    <w:rsid w:val="004B15B9"/>
    <w:rsid w:val="004B1F40"/>
    <w:rsid w:val="004B2060"/>
    <w:rsid w:val="004B2255"/>
    <w:rsid w:val="004B261B"/>
    <w:rsid w:val="004B2B59"/>
    <w:rsid w:val="004B2F79"/>
    <w:rsid w:val="004B372C"/>
    <w:rsid w:val="004B3B9E"/>
    <w:rsid w:val="004B4646"/>
    <w:rsid w:val="004B48EA"/>
    <w:rsid w:val="004B5396"/>
    <w:rsid w:val="004B543F"/>
    <w:rsid w:val="004B585D"/>
    <w:rsid w:val="004B58C7"/>
    <w:rsid w:val="004B5CE3"/>
    <w:rsid w:val="004B610D"/>
    <w:rsid w:val="004B62FC"/>
    <w:rsid w:val="004B6893"/>
    <w:rsid w:val="004B6C75"/>
    <w:rsid w:val="004B7290"/>
    <w:rsid w:val="004B7327"/>
    <w:rsid w:val="004B74CF"/>
    <w:rsid w:val="004B7609"/>
    <w:rsid w:val="004B7E46"/>
    <w:rsid w:val="004C0BE2"/>
    <w:rsid w:val="004C0D89"/>
    <w:rsid w:val="004C0E47"/>
    <w:rsid w:val="004C140A"/>
    <w:rsid w:val="004C164F"/>
    <w:rsid w:val="004C2061"/>
    <w:rsid w:val="004C262D"/>
    <w:rsid w:val="004C2896"/>
    <w:rsid w:val="004C289E"/>
    <w:rsid w:val="004C2E69"/>
    <w:rsid w:val="004C3654"/>
    <w:rsid w:val="004C37EB"/>
    <w:rsid w:val="004C3983"/>
    <w:rsid w:val="004C3A06"/>
    <w:rsid w:val="004C3DE4"/>
    <w:rsid w:val="004C3E2F"/>
    <w:rsid w:val="004C3F33"/>
    <w:rsid w:val="004C40A8"/>
    <w:rsid w:val="004C42AD"/>
    <w:rsid w:val="004C4B47"/>
    <w:rsid w:val="004C4F33"/>
    <w:rsid w:val="004C54F7"/>
    <w:rsid w:val="004C5788"/>
    <w:rsid w:val="004C5AF4"/>
    <w:rsid w:val="004C663A"/>
    <w:rsid w:val="004C66B6"/>
    <w:rsid w:val="004C6786"/>
    <w:rsid w:val="004C67EA"/>
    <w:rsid w:val="004C6F71"/>
    <w:rsid w:val="004C7CFC"/>
    <w:rsid w:val="004D03D4"/>
    <w:rsid w:val="004D03FD"/>
    <w:rsid w:val="004D067B"/>
    <w:rsid w:val="004D0E73"/>
    <w:rsid w:val="004D10AF"/>
    <w:rsid w:val="004D161D"/>
    <w:rsid w:val="004D2540"/>
    <w:rsid w:val="004D266E"/>
    <w:rsid w:val="004D26B5"/>
    <w:rsid w:val="004D2746"/>
    <w:rsid w:val="004D2951"/>
    <w:rsid w:val="004D2C29"/>
    <w:rsid w:val="004D30DF"/>
    <w:rsid w:val="004D3348"/>
    <w:rsid w:val="004D359D"/>
    <w:rsid w:val="004D371B"/>
    <w:rsid w:val="004D3FCB"/>
    <w:rsid w:val="004D3FE9"/>
    <w:rsid w:val="004D4654"/>
    <w:rsid w:val="004D47B3"/>
    <w:rsid w:val="004D4904"/>
    <w:rsid w:val="004D49C2"/>
    <w:rsid w:val="004D4F4F"/>
    <w:rsid w:val="004D4F76"/>
    <w:rsid w:val="004D5841"/>
    <w:rsid w:val="004D5AAA"/>
    <w:rsid w:val="004D5CC0"/>
    <w:rsid w:val="004D657D"/>
    <w:rsid w:val="004D6C1B"/>
    <w:rsid w:val="004D6F7E"/>
    <w:rsid w:val="004D712E"/>
    <w:rsid w:val="004D7244"/>
    <w:rsid w:val="004D74B8"/>
    <w:rsid w:val="004D7581"/>
    <w:rsid w:val="004D7A38"/>
    <w:rsid w:val="004D7B10"/>
    <w:rsid w:val="004D7BE0"/>
    <w:rsid w:val="004E010F"/>
    <w:rsid w:val="004E01A4"/>
    <w:rsid w:val="004E1037"/>
    <w:rsid w:val="004E1178"/>
    <w:rsid w:val="004E1644"/>
    <w:rsid w:val="004E1AAD"/>
    <w:rsid w:val="004E1E70"/>
    <w:rsid w:val="004E26C0"/>
    <w:rsid w:val="004E28D2"/>
    <w:rsid w:val="004E2AA7"/>
    <w:rsid w:val="004E373B"/>
    <w:rsid w:val="004E378D"/>
    <w:rsid w:val="004E395F"/>
    <w:rsid w:val="004E42C0"/>
    <w:rsid w:val="004E5B7A"/>
    <w:rsid w:val="004E5CF1"/>
    <w:rsid w:val="004E625A"/>
    <w:rsid w:val="004E679E"/>
    <w:rsid w:val="004E6E7A"/>
    <w:rsid w:val="004E72E3"/>
    <w:rsid w:val="004E7DDA"/>
    <w:rsid w:val="004F084C"/>
    <w:rsid w:val="004F09F4"/>
    <w:rsid w:val="004F165B"/>
    <w:rsid w:val="004F1FA2"/>
    <w:rsid w:val="004F2856"/>
    <w:rsid w:val="004F2E57"/>
    <w:rsid w:val="004F2F5D"/>
    <w:rsid w:val="004F3021"/>
    <w:rsid w:val="004F34F9"/>
    <w:rsid w:val="004F3877"/>
    <w:rsid w:val="004F3DE9"/>
    <w:rsid w:val="004F4C8B"/>
    <w:rsid w:val="004F56E2"/>
    <w:rsid w:val="004F576B"/>
    <w:rsid w:val="004F5A46"/>
    <w:rsid w:val="004F5A6A"/>
    <w:rsid w:val="004F5DBB"/>
    <w:rsid w:val="004F5E59"/>
    <w:rsid w:val="004F6969"/>
    <w:rsid w:val="004F6B24"/>
    <w:rsid w:val="004F6BDA"/>
    <w:rsid w:val="004F76E4"/>
    <w:rsid w:val="00500063"/>
    <w:rsid w:val="0050045A"/>
    <w:rsid w:val="00500EE6"/>
    <w:rsid w:val="0050109F"/>
    <w:rsid w:val="0050119E"/>
    <w:rsid w:val="00501771"/>
    <w:rsid w:val="00502223"/>
    <w:rsid w:val="00502A0B"/>
    <w:rsid w:val="00502FD8"/>
    <w:rsid w:val="0050316C"/>
    <w:rsid w:val="0050369A"/>
    <w:rsid w:val="00503F72"/>
    <w:rsid w:val="00504BC6"/>
    <w:rsid w:val="00504D5D"/>
    <w:rsid w:val="00504E57"/>
    <w:rsid w:val="00505C04"/>
    <w:rsid w:val="00505C0E"/>
    <w:rsid w:val="00505C7F"/>
    <w:rsid w:val="0050671B"/>
    <w:rsid w:val="0050681D"/>
    <w:rsid w:val="00506C2C"/>
    <w:rsid w:val="00506E93"/>
    <w:rsid w:val="0050733B"/>
    <w:rsid w:val="00507BBF"/>
    <w:rsid w:val="00507F49"/>
    <w:rsid w:val="00510657"/>
    <w:rsid w:val="00510A58"/>
    <w:rsid w:val="00510CCE"/>
    <w:rsid w:val="005111D6"/>
    <w:rsid w:val="005116C1"/>
    <w:rsid w:val="00511824"/>
    <w:rsid w:val="0051182D"/>
    <w:rsid w:val="00511860"/>
    <w:rsid w:val="0051212F"/>
    <w:rsid w:val="00514229"/>
    <w:rsid w:val="0051460E"/>
    <w:rsid w:val="0051479C"/>
    <w:rsid w:val="00514D4A"/>
    <w:rsid w:val="00516757"/>
    <w:rsid w:val="0051691E"/>
    <w:rsid w:val="00516C8E"/>
    <w:rsid w:val="00517ADD"/>
    <w:rsid w:val="005207EB"/>
    <w:rsid w:val="00520C19"/>
    <w:rsid w:val="00520EA5"/>
    <w:rsid w:val="00521DB5"/>
    <w:rsid w:val="005220FC"/>
    <w:rsid w:val="0052233F"/>
    <w:rsid w:val="005229E8"/>
    <w:rsid w:val="00523288"/>
    <w:rsid w:val="00524163"/>
    <w:rsid w:val="00524284"/>
    <w:rsid w:val="00524E0B"/>
    <w:rsid w:val="005252DC"/>
    <w:rsid w:val="00525567"/>
    <w:rsid w:val="005258A4"/>
    <w:rsid w:val="00525B0B"/>
    <w:rsid w:val="00525B31"/>
    <w:rsid w:val="00525FB0"/>
    <w:rsid w:val="005263D1"/>
    <w:rsid w:val="00527269"/>
    <w:rsid w:val="005272C2"/>
    <w:rsid w:val="00530035"/>
    <w:rsid w:val="00530208"/>
    <w:rsid w:val="005302A9"/>
    <w:rsid w:val="00530A3A"/>
    <w:rsid w:val="00530D6B"/>
    <w:rsid w:val="00530F9F"/>
    <w:rsid w:val="00531089"/>
    <w:rsid w:val="005312E2"/>
    <w:rsid w:val="00531D0F"/>
    <w:rsid w:val="005322BE"/>
    <w:rsid w:val="00533949"/>
    <w:rsid w:val="00534659"/>
    <w:rsid w:val="00534A60"/>
    <w:rsid w:val="00534E97"/>
    <w:rsid w:val="0053540E"/>
    <w:rsid w:val="00535915"/>
    <w:rsid w:val="00535AA8"/>
    <w:rsid w:val="0053690C"/>
    <w:rsid w:val="00536C5B"/>
    <w:rsid w:val="00537092"/>
    <w:rsid w:val="005371E5"/>
    <w:rsid w:val="005377FA"/>
    <w:rsid w:val="0053787A"/>
    <w:rsid w:val="00537958"/>
    <w:rsid w:val="00537FE0"/>
    <w:rsid w:val="00537FEB"/>
    <w:rsid w:val="00540792"/>
    <w:rsid w:val="00540E25"/>
    <w:rsid w:val="00541099"/>
    <w:rsid w:val="0054275E"/>
    <w:rsid w:val="00542A8C"/>
    <w:rsid w:val="00542D28"/>
    <w:rsid w:val="00542F9F"/>
    <w:rsid w:val="005436B2"/>
    <w:rsid w:val="00545046"/>
    <w:rsid w:val="005450C3"/>
    <w:rsid w:val="0054583C"/>
    <w:rsid w:val="0054690C"/>
    <w:rsid w:val="00546D6A"/>
    <w:rsid w:val="00546E6D"/>
    <w:rsid w:val="00547D84"/>
    <w:rsid w:val="00550045"/>
    <w:rsid w:val="005506D1"/>
    <w:rsid w:val="00550802"/>
    <w:rsid w:val="00550B27"/>
    <w:rsid w:val="005511D3"/>
    <w:rsid w:val="00551CD9"/>
    <w:rsid w:val="00552408"/>
    <w:rsid w:val="00552E17"/>
    <w:rsid w:val="00553FC7"/>
    <w:rsid w:val="005544C6"/>
    <w:rsid w:val="00554678"/>
    <w:rsid w:val="00555692"/>
    <w:rsid w:val="00555A0E"/>
    <w:rsid w:val="00555B7B"/>
    <w:rsid w:val="00555C2A"/>
    <w:rsid w:val="00556FCF"/>
    <w:rsid w:val="0055767E"/>
    <w:rsid w:val="0055797F"/>
    <w:rsid w:val="00557C6F"/>
    <w:rsid w:val="00561BF7"/>
    <w:rsid w:val="00562030"/>
    <w:rsid w:val="005625A0"/>
    <w:rsid w:val="00562A93"/>
    <w:rsid w:val="005631B6"/>
    <w:rsid w:val="0056484C"/>
    <w:rsid w:val="00564890"/>
    <w:rsid w:val="00564B1A"/>
    <w:rsid w:val="00564BB5"/>
    <w:rsid w:val="005650DB"/>
    <w:rsid w:val="0056548E"/>
    <w:rsid w:val="00566048"/>
    <w:rsid w:val="00566395"/>
    <w:rsid w:val="00566727"/>
    <w:rsid w:val="00567735"/>
    <w:rsid w:val="0056785C"/>
    <w:rsid w:val="00567E89"/>
    <w:rsid w:val="00570B20"/>
    <w:rsid w:val="005714B0"/>
    <w:rsid w:val="005714E8"/>
    <w:rsid w:val="0057201F"/>
    <w:rsid w:val="00572824"/>
    <w:rsid w:val="005734E7"/>
    <w:rsid w:val="0057439E"/>
    <w:rsid w:val="00574D92"/>
    <w:rsid w:val="0057660B"/>
    <w:rsid w:val="00576C87"/>
    <w:rsid w:val="0057774E"/>
    <w:rsid w:val="00577B6B"/>
    <w:rsid w:val="005800A1"/>
    <w:rsid w:val="0058107F"/>
    <w:rsid w:val="00582300"/>
    <w:rsid w:val="00582D17"/>
    <w:rsid w:val="00582F32"/>
    <w:rsid w:val="0058303A"/>
    <w:rsid w:val="005830FD"/>
    <w:rsid w:val="005832D8"/>
    <w:rsid w:val="005836EC"/>
    <w:rsid w:val="005842D0"/>
    <w:rsid w:val="005842F0"/>
    <w:rsid w:val="005844DC"/>
    <w:rsid w:val="00585A2C"/>
    <w:rsid w:val="0058610F"/>
    <w:rsid w:val="00586445"/>
    <w:rsid w:val="005873BA"/>
    <w:rsid w:val="00587D4A"/>
    <w:rsid w:val="00590115"/>
    <w:rsid w:val="00590423"/>
    <w:rsid w:val="005904CB"/>
    <w:rsid w:val="00590B6C"/>
    <w:rsid w:val="00590C70"/>
    <w:rsid w:val="00591053"/>
    <w:rsid w:val="00592390"/>
    <w:rsid w:val="00592D94"/>
    <w:rsid w:val="00592DF5"/>
    <w:rsid w:val="00592E58"/>
    <w:rsid w:val="00592F59"/>
    <w:rsid w:val="00593541"/>
    <w:rsid w:val="00593CB6"/>
    <w:rsid w:val="0059534A"/>
    <w:rsid w:val="00595485"/>
    <w:rsid w:val="005957DB"/>
    <w:rsid w:val="00595981"/>
    <w:rsid w:val="00595F1E"/>
    <w:rsid w:val="00596129"/>
    <w:rsid w:val="005962B9"/>
    <w:rsid w:val="005973CF"/>
    <w:rsid w:val="005978B5"/>
    <w:rsid w:val="005A02EF"/>
    <w:rsid w:val="005A0989"/>
    <w:rsid w:val="005A0A99"/>
    <w:rsid w:val="005A0E7D"/>
    <w:rsid w:val="005A0EDE"/>
    <w:rsid w:val="005A1074"/>
    <w:rsid w:val="005A23E5"/>
    <w:rsid w:val="005A250E"/>
    <w:rsid w:val="005A2904"/>
    <w:rsid w:val="005A2C3F"/>
    <w:rsid w:val="005A3141"/>
    <w:rsid w:val="005A37ED"/>
    <w:rsid w:val="005A3A46"/>
    <w:rsid w:val="005A3C26"/>
    <w:rsid w:val="005A43DF"/>
    <w:rsid w:val="005A48DF"/>
    <w:rsid w:val="005A4BF4"/>
    <w:rsid w:val="005A4D05"/>
    <w:rsid w:val="005A4FDE"/>
    <w:rsid w:val="005A5013"/>
    <w:rsid w:val="005A5077"/>
    <w:rsid w:val="005A5A6D"/>
    <w:rsid w:val="005A60B5"/>
    <w:rsid w:val="005A6197"/>
    <w:rsid w:val="005A71D7"/>
    <w:rsid w:val="005A770D"/>
    <w:rsid w:val="005A7959"/>
    <w:rsid w:val="005B013F"/>
    <w:rsid w:val="005B03F1"/>
    <w:rsid w:val="005B0DA4"/>
    <w:rsid w:val="005B3269"/>
    <w:rsid w:val="005B3E4A"/>
    <w:rsid w:val="005B47DD"/>
    <w:rsid w:val="005B53CB"/>
    <w:rsid w:val="005B56D0"/>
    <w:rsid w:val="005B60AC"/>
    <w:rsid w:val="005B64EA"/>
    <w:rsid w:val="005B7211"/>
    <w:rsid w:val="005B76E6"/>
    <w:rsid w:val="005B7751"/>
    <w:rsid w:val="005B7804"/>
    <w:rsid w:val="005B7C71"/>
    <w:rsid w:val="005C0D9D"/>
    <w:rsid w:val="005C0FDD"/>
    <w:rsid w:val="005C1119"/>
    <w:rsid w:val="005C1948"/>
    <w:rsid w:val="005C1DF7"/>
    <w:rsid w:val="005C2000"/>
    <w:rsid w:val="005C2713"/>
    <w:rsid w:val="005C30E8"/>
    <w:rsid w:val="005C3496"/>
    <w:rsid w:val="005C3630"/>
    <w:rsid w:val="005C37B2"/>
    <w:rsid w:val="005C3820"/>
    <w:rsid w:val="005C3D7F"/>
    <w:rsid w:val="005C3F3C"/>
    <w:rsid w:val="005C412B"/>
    <w:rsid w:val="005C433E"/>
    <w:rsid w:val="005C4C7A"/>
    <w:rsid w:val="005C4CB7"/>
    <w:rsid w:val="005C5301"/>
    <w:rsid w:val="005C59D7"/>
    <w:rsid w:val="005C69F2"/>
    <w:rsid w:val="005C6DF7"/>
    <w:rsid w:val="005C6E21"/>
    <w:rsid w:val="005C7912"/>
    <w:rsid w:val="005C7923"/>
    <w:rsid w:val="005D0E15"/>
    <w:rsid w:val="005D24CD"/>
    <w:rsid w:val="005D2C26"/>
    <w:rsid w:val="005D3406"/>
    <w:rsid w:val="005D3450"/>
    <w:rsid w:val="005D37B5"/>
    <w:rsid w:val="005D3912"/>
    <w:rsid w:val="005D3E30"/>
    <w:rsid w:val="005D47F1"/>
    <w:rsid w:val="005D4E71"/>
    <w:rsid w:val="005D6320"/>
    <w:rsid w:val="005D6834"/>
    <w:rsid w:val="005D6D0E"/>
    <w:rsid w:val="005D75A9"/>
    <w:rsid w:val="005D7E9A"/>
    <w:rsid w:val="005E2DBC"/>
    <w:rsid w:val="005E33A9"/>
    <w:rsid w:val="005E35CB"/>
    <w:rsid w:val="005E3CF9"/>
    <w:rsid w:val="005E3DE4"/>
    <w:rsid w:val="005E405E"/>
    <w:rsid w:val="005E4B81"/>
    <w:rsid w:val="005E4F5F"/>
    <w:rsid w:val="005E57C2"/>
    <w:rsid w:val="005E6397"/>
    <w:rsid w:val="005E6AA4"/>
    <w:rsid w:val="005E71C1"/>
    <w:rsid w:val="005E7880"/>
    <w:rsid w:val="005E7A46"/>
    <w:rsid w:val="005E7E8D"/>
    <w:rsid w:val="005F051B"/>
    <w:rsid w:val="005F0B9B"/>
    <w:rsid w:val="005F1AF8"/>
    <w:rsid w:val="005F1BA3"/>
    <w:rsid w:val="005F1E6F"/>
    <w:rsid w:val="005F1E89"/>
    <w:rsid w:val="005F23FF"/>
    <w:rsid w:val="005F2B1F"/>
    <w:rsid w:val="005F2F55"/>
    <w:rsid w:val="005F345B"/>
    <w:rsid w:val="005F3B62"/>
    <w:rsid w:val="005F3D5B"/>
    <w:rsid w:val="005F424C"/>
    <w:rsid w:val="005F48C6"/>
    <w:rsid w:val="005F4CAE"/>
    <w:rsid w:val="005F5075"/>
    <w:rsid w:val="005F53F0"/>
    <w:rsid w:val="005F55EF"/>
    <w:rsid w:val="005F5A1F"/>
    <w:rsid w:val="005F6265"/>
    <w:rsid w:val="005F62C3"/>
    <w:rsid w:val="005F6890"/>
    <w:rsid w:val="005F6D3F"/>
    <w:rsid w:val="005F7566"/>
    <w:rsid w:val="005F7619"/>
    <w:rsid w:val="005F79E0"/>
    <w:rsid w:val="005F7F77"/>
    <w:rsid w:val="00600230"/>
    <w:rsid w:val="00600364"/>
    <w:rsid w:val="006006E6"/>
    <w:rsid w:val="0060098F"/>
    <w:rsid w:val="00600ED3"/>
    <w:rsid w:val="00601514"/>
    <w:rsid w:val="0060203B"/>
    <w:rsid w:val="006025C5"/>
    <w:rsid w:val="00602C66"/>
    <w:rsid w:val="00604318"/>
    <w:rsid w:val="006055FE"/>
    <w:rsid w:val="006056EE"/>
    <w:rsid w:val="006057DC"/>
    <w:rsid w:val="00605BFB"/>
    <w:rsid w:val="0060609B"/>
    <w:rsid w:val="0060657F"/>
    <w:rsid w:val="0060698D"/>
    <w:rsid w:val="00607325"/>
    <w:rsid w:val="006100EE"/>
    <w:rsid w:val="006104A9"/>
    <w:rsid w:val="00611A8F"/>
    <w:rsid w:val="00611BEE"/>
    <w:rsid w:val="0061237D"/>
    <w:rsid w:val="006125F3"/>
    <w:rsid w:val="00612E1A"/>
    <w:rsid w:val="00612ECA"/>
    <w:rsid w:val="00613744"/>
    <w:rsid w:val="0061397B"/>
    <w:rsid w:val="00613D14"/>
    <w:rsid w:val="00613D1A"/>
    <w:rsid w:val="00613FB7"/>
    <w:rsid w:val="00614012"/>
    <w:rsid w:val="00614503"/>
    <w:rsid w:val="006146D3"/>
    <w:rsid w:val="00614B83"/>
    <w:rsid w:val="00614FFB"/>
    <w:rsid w:val="006154A0"/>
    <w:rsid w:val="00615B88"/>
    <w:rsid w:val="006168CA"/>
    <w:rsid w:val="00616BD9"/>
    <w:rsid w:val="00616E88"/>
    <w:rsid w:val="006170ED"/>
    <w:rsid w:val="00617174"/>
    <w:rsid w:val="006177B3"/>
    <w:rsid w:val="00617923"/>
    <w:rsid w:val="00617A89"/>
    <w:rsid w:val="00617B47"/>
    <w:rsid w:val="0062000E"/>
    <w:rsid w:val="006209B3"/>
    <w:rsid w:val="00620BDF"/>
    <w:rsid w:val="0062155E"/>
    <w:rsid w:val="00621764"/>
    <w:rsid w:val="006217C9"/>
    <w:rsid w:val="00621809"/>
    <w:rsid w:val="00621B62"/>
    <w:rsid w:val="0062244D"/>
    <w:rsid w:val="006224C7"/>
    <w:rsid w:val="00622569"/>
    <w:rsid w:val="0062339E"/>
    <w:rsid w:val="006249AF"/>
    <w:rsid w:val="00624C14"/>
    <w:rsid w:val="00624C5B"/>
    <w:rsid w:val="0062590E"/>
    <w:rsid w:val="006259F9"/>
    <w:rsid w:val="00625E4C"/>
    <w:rsid w:val="00625EA2"/>
    <w:rsid w:val="00626405"/>
    <w:rsid w:val="0062675A"/>
    <w:rsid w:val="0062697F"/>
    <w:rsid w:val="006270CE"/>
    <w:rsid w:val="006277A2"/>
    <w:rsid w:val="006278FF"/>
    <w:rsid w:val="0062799F"/>
    <w:rsid w:val="00627F2F"/>
    <w:rsid w:val="006303CB"/>
    <w:rsid w:val="00630585"/>
    <w:rsid w:val="006306BD"/>
    <w:rsid w:val="00630C1D"/>
    <w:rsid w:val="00631AD1"/>
    <w:rsid w:val="00631FBB"/>
    <w:rsid w:val="006328B6"/>
    <w:rsid w:val="006328E1"/>
    <w:rsid w:val="00632BF7"/>
    <w:rsid w:val="00632F13"/>
    <w:rsid w:val="00633761"/>
    <w:rsid w:val="006340C0"/>
    <w:rsid w:val="00634869"/>
    <w:rsid w:val="00634F86"/>
    <w:rsid w:val="00635224"/>
    <w:rsid w:val="006352BF"/>
    <w:rsid w:val="00635403"/>
    <w:rsid w:val="00637077"/>
    <w:rsid w:val="00637337"/>
    <w:rsid w:val="0063786C"/>
    <w:rsid w:val="00637EE5"/>
    <w:rsid w:val="00640070"/>
    <w:rsid w:val="006402E6"/>
    <w:rsid w:val="0064047B"/>
    <w:rsid w:val="006406E8"/>
    <w:rsid w:val="00640E32"/>
    <w:rsid w:val="006410E0"/>
    <w:rsid w:val="00641196"/>
    <w:rsid w:val="0064157E"/>
    <w:rsid w:val="006418C2"/>
    <w:rsid w:val="00641C5A"/>
    <w:rsid w:val="00641F51"/>
    <w:rsid w:val="00642ED7"/>
    <w:rsid w:val="00643461"/>
    <w:rsid w:val="00643923"/>
    <w:rsid w:val="00643AE5"/>
    <w:rsid w:val="00643FEF"/>
    <w:rsid w:val="006444FD"/>
    <w:rsid w:val="006446BF"/>
    <w:rsid w:val="0064497E"/>
    <w:rsid w:val="00644BA7"/>
    <w:rsid w:val="00644ECA"/>
    <w:rsid w:val="006456A8"/>
    <w:rsid w:val="00645C5D"/>
    <w:rsid w:val="00646516"/>
    <w:rsid w:val="00646D3C"/>
    <w:rsid w:val="00647B12"/>
    <w:rsid w:val="00647DFE"/>
    <w:rsid w:val="00650316"/>
    <w:rsid w:val="00650866"/>
    <w:rsid w:val="00650868"/>
    <w:rsid w:val="006515E1"/>
    <w:rsid w:val="00653C43"/>
    <w:rsid w:val="0065517A"/>
    <w:rsid w:val="0065574A"/>
    <w:rsid w:val="00655DB7"/>
    <w:rsid w:val="00656176"/>
    <w:rsid w:val="00656CE1"/>
    <w:rsid w:val="00656DBF"/>
    <w:rsid w:val="00656F30"/>
    <w:rsid w:val="006575A9"/>
    <w:rsid w:val="00657784"/>
    <w:rsid w:val="0065782D"/>
    <w:rsid w:val="00657BE6"/>
    <w:rsid w:val="00657CA2"/>
    <w:rsid w:val="00657F04"/>
    <w:rsid w:val="006605A0"/>
    <w:rsid w:val="006618B2"/>
    <w:rsid w:val="00662026"/>
    <w:rsid w:val="006621EF"/>
    <w:rsid w:val="006629C4"/>
    <w:rsid w:val="006635EC"/>
    <w:rsid w:val="00663F98"/>
    <w:rsid w:val="00664223"/>
    <w:rsid w:val="0066506F"/>
    <w:rsid w:val="00665582"/>
    <w:rsid w:val="006657ED"/>
    <w:rsid w:val="0066587D"/>
    <w:rsid w:val="00666177"/>
    <w:rsid w:val="006663D6"/>
    <w:rsid w:val="006663E6"/>
    <w:rsid w:val="00666622"/>
    <w:rsid w:val="00666858"/>
    <w:rsid w:val="00666A9A"/>
    <w:rsid w:val="00666C9D"/>
    <w:rsid w:val="00666DD7"/>
    <w:rsid w:val="00666E3C"/>
    <w:rsid w:val="006673BF"/>
    <w:rsid w:val="00667967"/>
    <w:rsid w:val="00667E01"/>
    <w:rsid w:val="00667E02"/>
    <w:rsid w:val="00670A92"/>
    <w:rsid w:val="00670EFB"/>
    <w:rsid w:val="00670F04"/>
    <w:rsid w:val="00671A28"/>
    <w:rsid w:val="00671A51"/>
    <w:rsid w:val="00671D19"/>
    <w:rsid w:val="006730A8"/>
    <w:rsid w:val="006731AA"/>
    <w:rsid w:val="00673274"/>
    <w:rsid w:val="00673C78"/>
    <w:rsid w:val="00673E2F"/>
    <w:rsid w:val="00674711"/>
    <w:rsid w:val="00674D39"/>
    <w:rsid w:val="00674DAF"/>
    <w:rsid w:val="00674ECB"/>
    <w:rsid w:val="0067510C"/>
    <w:rsid w:val="006754C0"/>
    <w:rsid w:val="006755FC"/>
    <w:rsid w:val="006757B9"/>
    <w:rsid w:val="00676123"/>
    <w:rsid w:val="0067631F"/>
    <w:rsid w:val="006763CF"/>
    <w:rsid w:val="00676A7D"/>
    <w:rsid w:val="006772C4"/>
    <w:rsid w:val="006772EA"/>
    <w:rsid w:val="00677560"/>
    <w:rsid w:val="00680233"/>
    <w:rsid w:val="00680516"/>
    <w:rsid w:val="006807F6"/>
    <w:rsid w:val="006808CF"/>
    <w:rsid w:val="00680EEA"/>
    <w:rsid w:val="0068252C"/>
    <w:rsid w:val="00682B36"/>
    <w:rsid w:val="0068322F"/>
    <w:rsid w:val="0068336F"/>
    <w:rsid w:val="00683510"/>
    <w:rsid w:val="00683F40"/>
    <w:rsid w:val="00684273"/>
    <w:rsid w:val="006844C8"/>
    <w:rsid w:val="00684762"/>
    <w:rsid w:val="00684767"/>
    <w:rsid w:val="006848A4"/>
    <w:rsid w:val="006848ED"/>
    <w:rsid w:val="00684AFE"/>
    <w:rsid w:val="006863B4"/>
    <w:rsid w:val="00686996"/>
    <w:rsid w:val="00686AB6"/>
    <w:rsid w:val="00686BF5"/>
    <w:rsid w:val="00686E47"/>
    <w:rsid w:val="00687233"/>
    <w:rsid w:val="00687268"/>
    <w:rsid w:val="006875FF"/>
    <w:rsid w:val="00690B7C"/>
    <w:rsid w:val="00691305"/>
    <w:rsid w:val="00691DEA"/>
    <w:rsid w:val="00692071"/>
    <w:rsid w:val="00692761"/>
    <w:rsid w:val="006929BF"/>
    <w:rsid w:val="00692F3C"/>
    <w:rsid w:val="006932A5"/>
    <w:rsid w:val="006932F9"/>
    <w:rsid w:val="006936CB"/>
    <w:rsid w:val="00693BFF"/>
    <w:rsid w:val="00693DA4"/>
    <w:rsid w:val="0069464D"/>
    <w:rsid w:val="00695DC0"/>
    <w:rsid w:val="00695E08"/>
    <w:rsid w:val="0069629C"/>
    <w:rsid w:val="00696349"/>
    <w:rsid w:val="006963B9"/>
    <w:rsid w:val="00697658"/>
    <w:rsid w:val="00697B79"/>
    <w:rsid w:val="00697DEC"/>
    <w:rsid w:val="006A0850"/>
    <w:rsid w:val="006A0E4A"/>
    <w:rsid w:val="006A129C"/>
    <w:rsid w:val="006A1804"/>
    <w:rsid w:val="006A1925"/>
    <w:rsid w:val="006A1C87"/>
    <w:rsid w:val="006A2015"/>
    <w:rsid w:val="006A26A6"/>
    <w:rsid w:val="006A27D4"/>
    <w:rsid w:val="006A2AE7"/>
    <w:rsid w:val="006A3099"/>
    <w:rsid w:val="006A34A9"/>
    <w:rsid w:val="006A409C"/>
    <w:rsid w:val="006A525B"/>
    <w:rsid w:val="006A56FC"/>
    <w:rsid w:val="006A656C"/>
    <w:rsid w:val="006A7495"/>
    <w:rsid w:val="006A78A4"/>
    <w:rsid w:val="006A79D1"/>
    <w:rsid w:val="006A7F12"/>
    <w:rsid w:val="006A7F2D"/>
    <w:rsid w:val="006B0222"/>
    <w:rsid w:val="006B06B0"/>
    <w:rsid w:val="006B1907"/>
    <w:rsid w:val="006B1A5B"/>
    <w:rsid w:val="006B1D08"/>
    <w:rsid w:val="006B25B9"/>
    <w:rsid w:val="006B2F50"/>
    <w:rsid w:val="006B334A"/>
    <w:rsid w:val="006B3CC4"/>
    <w:rsid w:val="006B40B7"/>
    <w:rsid w:val="006B4158"/>
    <w:rsid w:val="006B4203"/>
    <w:rsid w:val="006B43F0"/>
    <w:rsid w:val="006B4B18"/>
    <w:rsid w:val="006B4B77"/>
    <w:rsid w:val="006B5656"/>
    <w:rsid w:val="006B6098"/>
    <w:rsid w:val="006B7C31"/>
    <w:rsid w:val="006B7D41"/>
    <w:rsid w:val="006C042D"/>
    <w:rsid w:val="006C0786"/>
    <w:rsid w:val="006C0CCE"/>
    <w:rsid w:val="006C0D09"/>
    <w:rsid w:val="006C1D70"/>
    <w:rsid w:val="006C1E52"/>
    <w:rsid w:val="006C241A"/>
    <w:rsid w:val="006C273F"/>
    <w:rsid w:val="006C2877"/>
    <w:rsid w:val="006C2C47"/>
    <w:rsid w:val="006C2E76"/>
    <w:rsid w:val="006C2E86"/>
    <w:rsid w:val="006C3312"/>
    <w:rsid w:val="006C349B"/>
    <w:rsid w:val="006C3621"/>
    <w:rsid w:val="006C3B0D"/>
    <w:rsid w:val="006C41C3"/>
    <w:rsid w:val="006C435A"/>
    <w:rsid w:val="006C4A7D"/>
    <w:rsid w:val="006C57EA"/>
    <w:rsid w:val="006C5C66"/>
    <w:rsid w:val="006C5C77"/>
    <w:rsid w:val="006C6268"/>
    <w:rsid w:val="006C62A9"/>
    <w:rsid w:val="006C76E8"/>
    <w:rsid w:val="006C7E84"/>
    <w:rsid w:val="006D01F5"/>
    <w:rsid w:val="006D0BA4"/>
    <w:rsid w:val="006D0FF0"/>
    <w:rsid w:val="006D134D"/>
    <w:rsid w:val="006D20F2"/>
    <w:rsid w:val="006D26F7"/>
    <w:rsid w:val="006D30EB"/>
    <w:rsid w:val="006D3333"/>
    <w:rsid w:val="006D357D"/>
    <w:rsid w:val="006D4BF8"/>
    <w:rsid w:val="006D4D76"/>
    <w:rsid w:val="006D4F10"/>
    <w:rsid w:val="006D4F8D"/>
    <w:rsid w:val="006D555C"/>
    <w:rsid w:val="006D5D0D"/>
    <w:rsid w:val="006D625E"/>
    <w:rsid w:val="006D6F2F"/>
    <w:rsid w:val="006D6FE6"/>
    <w:rsid w:val="006D732D"/>
    <w:rsid w:val="006D7596"/>
    <w:rsid w:val="006D7B85"/>
    <w:rsid w:val="006E00F4"/>
    <w:rsid w:val="006E03B4"/>
    <w:rsid w:val="006E057E"/>
    <w:rsid w:val="006E07F2"/>
    <w:rsid w:val="006E11B5"/>
    <w:rsid w:val="006E153B"/>
    <w:rsid w:val="006E1709"/>
    <w:rsid w:val="006E173C"/>
    <w:rsid w:val="006E19F3"/>
    <w:rsid w:val="006E1A17"/>
    <w:rsid w:val="006E23C4"/>
    <w:rsid w:val="006E2559"/>
    <w:rsid w:val="006E2693"/>
    <w:rsid w:val="006E2B60"/>
    <w:rsid w:val="006E2BD7"/>
    <w:rsid w:val="006E33D4"/>
    <w:rsid w:val="006E373D"/>
    <w:rsid w:val="006E378F"/>
    <w:rsid w:val="006E3A00"/>
    <w:rsid w:val="006E42CA"/>
    <w:rsid w:val="006E4E8E"/>
    <w:rsid w:val="006E4F2C"/>
    <w:rsid w:val="006E524F"/>
    <w:rsid w:val="006E599A"/>
    <w:rsid w:val="006E5C42"/>
    <w:rsid w:val="006E689C"/>
    <w:rsid w:val="006E6DC9"/>
    <w:rsid w:val="006E6EEA"/>
    <w:rsid w:val="006E75CA"/>
    <w:rsid w:val="006E76D5"/>
    <w:rsid w:val="006F01A3"/>
    <w:rsid w:val="006F0331"/>
    <w:rsid w:val="006F0801"/>
    <w:rsid w:val="006F0B9D"/>
    <w:rsid w:val="006F0FDF"/>
    <w:rsid w:val="006F178E"/>
    <w:rsid w:val="006F1847"/>
    <w:rsid w:val="006F1BC3"/>
    <w:rsid w:val="006F2DE0"/>
    <w:rsid w:val="006F31FF"/>
    <w:rsid w:val="006F3712"/>
    <w:rsid w:val="006F3811"/>
    <w:rsid w:val="006F3ABB"/>
    <w:rsid w:val="006F3B4E"/>
    <w:rsid w:val="006F41F6"/>
    <w:rsid w:val="006F51DE"/>
    <w:rsid w:val="006F5423"/>
    <w:rsid w:val="006F5645"/>
    <w:rsid w:val="006F5AC3"/>
    <w:rsid w:val="006F61F0"/>
    <w:rsid w:val="006F70B2"/>
    <w:rsid w:val="006F7272"/>
    <w:rsid w:val="006F7428"/>
    <w:rsid w:val="006F7A81"/>
    <w:rsid w:val="006F7F3F"/>
    <w:rsid w:val="007002D4"/>
    <w:rsid w:val="00701128"/>
    <w:rsid w:val="00701820"/>
    <w:rsid w:val="00701D31"/>
    <w:rsid w:val="00701F67"/>
    <w:rsid w:val="00702590"/>
    <w:rsid w:val="00702F6D"/>
    <w:rsid w:val="0070441F"/>
    <w:rsid w:val="00704884"/>
    <w:rsid w:val="00704B5F"/>
    <w:rsid w:val="00705003"/>
    <w:rsid w:val="00705916"/>
    <w:rsid w:val="00706048"/>
    <w:rsid w:val="00706F61"/>
    <w:rsid w:val="0070729E"/>
    <w:rsid w:val="0070735D"/>
    <w:rsid w:val="00707D80"/>
    <w:rsid w:val="00707E71"/>
    <w:rsid w:val="00710401"/>
    <w:rsid w:val="00710A05"/>
    <w:rsid w:val="00710A31"/>
    <w:rsid w:val="0071106C"/>
    <w:rsid w:val="007112A5"/>
    <w:rsid w:val="007113FD"/>
    <w:rsid w:val="007120EC"/>
    <w:rsid w:val="0071292B"/>
    <w:rsid w:val="007129E8"/>
    <w:rsid w:val="00713962"/>
    <w:rsid w:val="00713C34"/>
    <w:rsid w:val="007147E4"/>
    <w:rsid w:val="00714E38"/>
    <w:rsid w:val="00715E5C"/>
    <w:rsid w:val="00716757"/>
    <w:rsid w:val="00716CD2"/>
    <w:rsid w:val="0071776E"/>
    <w:rsid w:val="00717C55"/>
    <w:rsid w:val="007200E8"/>
    <w:rsid w:val="00720483"/>
    <w:rsid w:val="007205DA"/>
    <w:rsid w:val="00720653"/>
    <w:rsid w:val="00720843"/>
    <w:rsid w:val="00720FAA"/>
    <w:rsid w:val="00721111"/>
    <w:rsid w:val="00721357"/>
    <w:rsid w:val="0072144B"/>
    <w:rsid w:val="00721489"/>
    <w:rsid w:val="00721914"/>
    <w:rsid w:val="00722CCF"/>
    <w:rsid w:val="00722CFE"/>
    <w:rsid w:val="00722F28"/>
    <w:rsid w:val="007232C7"/>
    <w:rsid w:val="00723923"/>
    <w:rsid w:val="00723DCA"/>
    <w:rsid w:val="00723EED"/>
    <w:rsid w:val="00723F8F"/>
    <w:rsid w:val="007242C6"/>
    <w:rsid w:val="0072432F"/>
    <w:rsid w:val="007249C1"/>
    <w:rsid w:val="00725177"/>
    <w:rsid w:val="0072599E"/>
    <w:rsid w:val="00725CE9"/>
    <w:rsid w:val="0072626F"/>
    <w:rsid w:val="00726294"/>
    <w:rsid w:val="007265E7"/>
    <w:rsid w:val="0072790D"/>
    <w:rsid w:val="00727A20"/>
    <w:rsid w:val="00730063"/>
    <w:rsid w:val="007301D5"/>
    <w:rsid w:val="00730469"/>
    <w:rsid w:val="00730563"/>
    <w:rsid w:val="00730580"/>
    <w:rsid w:val="00730771"/>
    <w:rsid w:val="00730845"/>
    <w:rsid w:val="00730976"/>
    <w:rsid w:val="00730A9A"/>
    <w:rsid w:val="00730D11"/>
    <w:rsid w:val="007311E5"/>
    <w:rsid w:val="007319F7"/>
    <w:rsid w:val="00731F28"/>
    <w:rsid w:val="0073253E"/>
    <w:rsid w:val="00732664"/>
    <w:rsid w:val="00732974"/>
    <w:rsid w:val="00732B86"/>
    <w:rsid w:val="00732D1D"/>
    <w:rsid w:val="00733703"/>
    <w:rsid w:val="00733905"/>
    <w:rsid w:val="00733AF8"/>
    <w:rsid w:val="00733F9D"/>
    <w:rsid w:val="00734210"/>
    <w:rsid w:val="007347BF"/>
    <w:rsid w:val="007347C9"/>
    <w:rsid w:val="00734C31"/>
    <w:rsid w:val="00734F2A"/>
    <w:rsid w:val="0073500A"/>
    <w:rsid w:val="0073596A"/>
    <w:rsid w:val="00736436"/>
    <w:rsid w:val="0073673E"/>
    <w:rsid w:val="00736985"/>
    <w:rsid w:val="00737CE9"/>
    <w:rsid w:val="00737F5C"/>
    <w:rsid w:val="007400CD"/>
    <w:rsid w:val="00740CAD"/>
    <w:rsid w:val="0074146B"/>
    <w:rsid w:val="007418C3"/>
    <w:rsid w:val="00741D57"/>
    <w:rsid w:val="00742635"/>
    <w:rsid w:val="00743375"/>
    <w:rsid w:val="0074348C"/>
    <w:rsid w:val="00743772"/>
    <w:rsid w:val="00743A46"/>
    <w:rsid w:val="00743D68"/>
    <w:rsid w:val="00743D8B"/>
    <w:rsid w:val="0074414F"/>
    <w:rsid w:val="00744C03"/>
    <w:rsid w:val="00744CB2"/>
    <w:rsid w:val="007454A1"/>
    <w:rsid w:val="0074584F"/>
    <w:rsid w:val="00745FB7"/>
    <w:rsid w:val="00746A5A"/>
    <w:rsid w:val="00746FA0"/>
    <w:rsid w:val="00747F49"/>
    <w:rsid w:val="0075040C"/>
    <w:rsid w:val="00750533"/>
    <w:rsid w:val="007505CE"/>
    <w:rsid w:val="007506D4"/>
    <w:rsid w:val="00750B07"/>
    <w:rsid w:val="007517E3"/>
    <w:rsid w:val="0075264B"/>
    <w:rsid w:val="00752B43"/>
    <w:rsid w:val="00752DAE"/>
    <w:rsid w:val="0075361A"/>
    <w:rsid w:val="00753B65"/>
    <w:rsid w:val="00753D0C"/>
    <w:rsid w:val="0075433C"/>
    <w:rsid w:val="00754538"/>
    <w:rsid w:val="00754E9C"/>
    <w:rsid w:val="00755294"/>
    <w:rsid w:val="007557EB"/>
    <w:rsid w:val="00756E09"/>
    <w:rsid w:val="00756F39"/>
    <w:rsid w:val="0075761F"/>
    <w:rsid w:val="00760067"/>
    <w:rsid w:val="00760ABB"/>
    <w:rsid w:val="00760B70"/>
    <w:rsid w:val="00760BC6"/>
    <w:rsid w:val="007610D7"/>
    <w:rsid w:val="00761D6F"/>
    <w:rsid w:val="00761F01"/>
    <w:rsid w:val="007624BD"/>
    <w:rsid w:val="00762625"/>
    <w:rsid w:val="00763F4A"/>
    <w:rsid w:val="0076413F"/>
    <w:rsid w:val="00764358"/>
    <w:rsid w:val="00764860"/>
    <w:rsid w:val="00764B37"/>
    <w:rsid w:val="00764D7F"/>
    <w:rsid w:val="007650B2"/>
    <w:rsid w:val="00765937"/>
    <w:rsid w:val="00765BE6"/>
    <w:rsid w:val="00765FE3"/>
    <w:rsid w:val="00767092"/>
    <w:rsid w:val="007676F9"/>
    <w:rsid w:val="00767CAA"/>
    <w:rsid w:val="00770752"/>
    <w:rsid w:val="00771674"/>
    <w:rsid w:val="007718E9"/>
    <w:rsid w:val="00771BB4"/>
    <w:rsid w:val="0077297F"/>
    <w:rsid w:val="0077299E"/>
    <w:rsid w:val="007735B9"/>
    <w:rsid w:val="007739C9"/>
    <w:rsid w:val="0077448E"/>
    <w:rsid w:val="00775059"/>
    <w:rsid w:val="007752BE"/>
    <w:rsid w:val="00775798"/>
    <w:rsid w:val="00775EBC"/>
    <w:rsid w:val="007760BD"/>
    <w:rsid w:val="00777403"/>
    <w:rsid w:val="00777EFE"/>
    <w:rsid w:val="00777F58"/>
    <w:rsid w:val="00780233"/>
    <w:rsid w:val="00780937"/>
    <w:rsid w:val="00781315"/>
    <w:rsid w:val="00781AF1"/>
    <w:rsid w:val="00782201"/>
    <w:rsid w:val="00782896"/>
    <w:rsid w:val="00782C2B"/>
    <w:rsid w:val="00782D53"/>
    <w:rsid w:val="007836FA"/>
    <w:rsid w:val="00783C46"/>
    <w:rsid w:val="00783FFD"/>
    <w:rsid w:val="00785890"/>
    <w:rsid w:val="00786330"/>
    <w:rsid w:val="00786BDB"/>
    <w:rsid w:val="007876EB"/>
    <w:rsid w:val="0078781E"/>
    <w:rsid w:val="0079002C"/>
    <w:rsid w:val="00790661"/>
    <w:rsid w:val="0079078C"/>
    <w:rsid w:val="0079135B"/>
    <w:rsid w:val="007914E2"/>
    <w:rsid w:val="007917D8"/>
    <w:rsid w:val="007917F3"/>
    <w:rsid w:val="00791A96"/>
    <w:rsid w:val="007927DA"/>
    <w:rsid w:val="00792A89"/>
    <w:rsid w:val="00793175"/>
    <w:rsid w:val="0079354E"/>
    <w:rsid w:val="00793BF5"/>
    <w:rsid w:val="0079429C"/>
    <w:rsid w:val="00794894"/>
    <w:rsid w:val="007949A6"/>
    <w:rsid w:val="00794B7A"/>
    <w:rsid w:val="00794D50"/>
    <w:rsid w:val="00794DFE"/>
    <w:rsid w:val="00794F14"/>
    <w:rsid w:val="00795785"/>
    <w:rsid w:val="00795A13"/>
    <w:rsid w:val="00796B31"/>
    <w:rsid w:val="00796B4F"/>
    <w:rsid w:val="00796C63"/>
    <w:rsid w:val="00797279"/>
    <w:rsid w:val="00797C30"/>
    <w:rsid w:val="00797C7C"/>
    <w:rsid w:val="00797F37"/>
    <w:rsid w:val="00797FE2"/>
    <w:rsid w:val="007A001A"/>
    <w:rsid w:val="007A049E"/>
    <w:rsid w:val="007A0E07"/>
    <w:rsid w:val="007A10AB"/>
    <w:rsid w:val="007A14B5"/>
    <w:rsid w:val="007A2037"/>
    <w:rsid w:val="007A255C"/>
    <w:rsid w:val="007A292C"/>
    <w:rsid w:val="007A29E4"/>
    <w:rsid w:val="007A2E44"/>
    <w:rsid w:val="007A40F4"/>
    <w:rsid w:val="007A45A1"/>
    <w:rsid w:val="007A4679"/>
    <w:rsid w:val="007A47D0"/>
    <w:rsid w:val="007A5018"/>
    <w:rsid w:val="007A5A87"/>
    <w:rsid w:val="007A6A0F"/>
    <w:rsid w:val="007A6BCF"/>
    <w:rsid w:val="007A7B63"/>
    <w:rsid w:val="007A7E4E"/>
    <w:rsid w:val="007B08B4"/>
    <w:rsid w:val="007B08F5"/>
    <w:rsid w:val="007B0A31"/>
    <w:rsid w:val="007B0A9B"/>
    <w:rsid w:val="007B0C64"/>
    <w:rsid w:val="007B0CFD"/>
    <w:rsid w:val="007B1154"/>
    <w:rsid w:val="007B1510"/>
    <w:rsid w:val="007B1AEA"/>
    <w:rsid w:val="007B213E"/>
    <w:rsid w:val="007B2B8D"/>
    <w:rsid w:val="007B30B4"/>
    <w:rsid w:val="007B30C5"/>
    <w:rsid w:val="007B32B8"/>
    <w:rsid w:val="007B3B8E"/>
    <w:rsid w:val="007B4897"/>
    <w:rsid w:val="007B4A06"/>
    <w:rsid w:val="007B4EBA"/>
    <w:rsid w:val="007B4F7D"/>
    <w:rsid w:val="007B50F2"/>
    <w:rsid w:val="007B59BE"/>
    <w:rsid w:val="007B6705"/>
    <w:rsid w:val="007B6A0E"/>
    <w:rsid w:val="007B6BF0"/>
    <w:rsid w:val="007B6C63"/>
    <w:rsid w:val="007B6D90"/>
    <w:rsid w:val="007B769F"/>
    <w:rsid w:val="007B7B5C"/>
    <w:rsid w:val="007B7D54"/>
    <w:rsid w:val="007C0CF3"/>
    <w:rsid w:val="007C0E88"/>
    <w:rsid w:val="007C1240"/>
    <w:rsid w:val="007C1EC4"/>
    <w:rsid w:val="007C2314"/>
    <w:rsid w:val="007C2427"/>
    <w:rsid w:val="007C2453"/>
    <w:rsid w:val="007C4C74"/>
    <w:rsid w:val="007C4CE6"/>
    <w:rsid w:val="007C513E"/>
    <w:rsid w:val="007C519E"/>
    <w:rsid w:val="007C528D"/>
    <w:rsid w:val="007C52F1"/>
    <w:rsid w:val="007C582F"/>
    <w:rsid w:val="007C5A93"/>
    <w:rsid w:val="007C5C0F"/>
    <w:rsid w:val="007C5D90"/>
    <w:rsid w:val="007C5F39"/>
    <w:rsid w:val="007C60E6"/>
    <w:rsid w:val="007C6F81"/>
    <w:rsid w:val="007C7125"/>
    <w:rsid w:val="007C76AE"/>
    <w:rsid w:val="007D08A9"/>
    <w:rsid w:val="007D18BA"/>
    <w:rsid w:val="007D1A03"/>
    <w:rsid w:val="007D1F2F"/>
    <w:rsid w:val="007D2541"/>
    <w:rsid w:val="007D2FB3"/>
    <w:rsid w:val="007D3879"/>
    <w:rsid w:val="007D38B8"/>
    <w:rsid w:val="007D3E2A"/>
    <w:rsid w:val="007D477C"/>
    <w:rsid w:val="007D4C33"/>
    <w:rsid w:val="007D50AD"/>
    <w:rsid w:val="007D519A"/>
    <w:rsid w:val="007D57D5"/>
    <w:rsid w:val="007D5965"/>
    <w:rsid w:val="007D59C1"/>
    <w:rsid w:val="007D5F5B"/>
    <w:rsid w:val="007D616F"/>
    <w:rsid w:val="007D62DE"/>
    <w:rsid w:val="007D6341"/>
    <w:rsid w:val="007D69BB"/>
    <w:rsid w:val="007D78A5"/>
    <w:rsid w:val="007D7A46"/>
    <w:rsid w:val="007D7A7E"/>
    <w:rsid w:val="007D7EDD"/>
    <w:rsid w:val="007E0787"/>
    <w:rsid w:val="007E0EE1"/>
    <w:rsid w:val="007E23D0"/>
    <w:rsid w:val="007E2E97"/>
    <w:rsid w:val="007E30B0"/>
    <w:rsid w:val="007E3B8D"/>
    <w:rsid w:val="007E47CB"/>
    <w:rsid w:val="007E4FD5"/>
    <w:rsid w:val="007E614D"/>
    <w:rsid w:val="007E6636"/>
    <w:rsid w:val="007E6931"/>
    <w:rsid w:val="007E6F8A"/>
    <w:rsid w:val="007E6FE8"/>
    <w:rsid w:val="007E73C6"/>
    <w:rsid w:val="007F0047"/>
    <w:rsid w:val="007F07F7"/>
    <w:rsid w:val="007F0D05"/>
    <w:rsid w:val="007F1293"/>
    <w:rsid w:val="007F25F6"/>
    <w:rsid w:val="007F26E6"/>
    <w:rsid w:val="007F2A96"/>
    <w:rsid w:val="007F2ACD"/>
    <w:rsid w:val="007F2C45"/>
    <w:rsid w:val="007F2F78"/>
    <w:rsid w:val="007F35E0"/>
    <w:rsid w:val="007F3A3A"/>
    <w:rsid w:val="007F4105"/>
    <w:rsid w:val="007F49D8"/>
    <w:rsid w:val="007F5298"/>
    <w:rsid w:val="007F5436"/>
    <w:rsid w:val="007F5AFE"/>
    <w:rsid w:val="007F654B"/>
    <w:rsid w:val="007F65ED"/>
    <w:rsid w:val="007F6C89"/>
    <w:rsid w:val="007F6E34"/>
    <w:rsid w:val="007F70FB"/>
    <w:rsid w:val="007F7135"/>
    <w:rsid w:val="007F750C"/>
    <w:rsid w:val="007F771E"/>
    <w:rsid w:val="007F7833"/>
    <w:rsid w:val="007F7954"/>
    <w:rsid w:val="00800A37"/>
    <w:rsid w:val="00800BD2"/>
    <w:rsid w:val="0080139E"/>
    <w:rsid w:val="00801B0D"/>
    <w:rsid w:val="008023A3"/>
    <w:rsid w:val="00802839"/>
    <w:rsid w:val="00802ABF"/>
    <w:rsid w:val="008032EA"/>
    <w:rsid w:val="00803E27"/>
    <w:rsid w:val="008040A7"/>
    <w:rsid w:val="008041E4"/>
    <w:rsid w:val="008049C9"/>
    <w:rsid w:val="00805222"/>
    <w:rsid w:val="00805631"/>
    <w:rsid w:val="008059BC"/>
    <w:rsid w:val="008060AA"/>
    <w:rsid w:val="00806161"/>
    <w:rsid w:val="00806344"/>
    <w:rsid w:val="00806460"/>
    <w:rsid w:val="0080669F"/>
    <w:rsid w:val="00806AF3"/>
    <w:rsid w:val="00806B9F"/>
    <w:rsid w:val="00806D7C"/>
    <w:rsid w:val="0080A668"/>
    <w:rsid w:val="00810E15"/>
    <w:rsid w:val="00811174"/>
    <w:rsid w:val="008115AE"/>
    <w:rsid w:val="00812636"/>
    <w:rsid w:val="00812E10"/>
    <w:rsid w:val="00813777"/>
    <w:rsid w:val="00813B15"/>
    <w:rsid w:val="00813D3B"/>
    <w:rsid w:val="00813D58"/>
    <w:rsid w:val="00815F0A"/>
    <w:rsid w:val="00816032"/>
    <w:rsid w:val="008166AC"/>
    <w:rsid w:val="00816978"/>
    <w:rsid w:val="00816DC8"/>
    <w:rsid w:val="00816FC6"/>
    <w:rsid w:val="0081789C"/>
    <w:rsid w:val="00817923"/>
    <w:rsid w:val="00817B28"/>
    <w:rsid w:val="00817D6D"/>
    <w:rsid w:val="0082014E"/>
    <w:rsid w:val="00820790"/>
    <w:rsid w:val="0082166D"/>
    <w:rsid w:val="008217CE"/>
    <w:rsid w:val="00821A83"/>
    <w:rsid w:val="00821B2C"/>
    <w:rsid w:val="00821E9A"/>
    <w:rsid w:val="008220BA"/>
    <w:rsid w:val="0082328A"/>
    <w:rsid w:val="00823447"/>
    <w:rsid w:val="00823564"/>
    <w:rsid w:val="00823740"/>
    <w:rsid w:val="00824DFD"/>
    <w:rsid w:val="0082524E"/>
    <w:rsid w:val="008259EE"/>
    <w:rsid w:val="00826217"/>
    <w:rsid w:val="00826BF7"/>
    <w:rsid w:val="0082736B"/>
    <w:rsid w:val="0082768D"/>
    <w:rsid w:val="008279CF"/>
    <w:rsid w:val="00830135"/>
    <w:rsid w:val="008306BA"/>
    <w:rsid w:val="008306E0"/>
    <w:rsid w:val="0083083E"/>
    <w:rsid w:val="008309F6"/>
    <w:rsid w:val="008312FD"/>
    <w:rsid w:val="00831E54"/>
    <w:rsid w:val="00832137"/>
    <w:rsid w:val="0083246D"/>
    <w:rsid w:val="00832DC8"/>
    <w:rsid w:val="00833195"/>
    <w:rsid w:val="00833687"/>
    <w:rsid w:val="00833C0B"/>
    <w:rsid w:val="00833C1B"/>
    <w:rsid w:val="00833F7C"/>
    <w:rsid w:val="008340DD"/>
    <w:rsid w:val="00834208"/>
    <w:rsid w:val="008345F3"/>
    <w:rsid w:val="008346DA"/>
    <w:rsid w:val="0083475B"/>
    <w:rsid w:val="00834DBA"/>
    <w:rsid w:val="008351BE"/>
    <w:rsid w:val="008358EB"/>
    <w:rsid w:val="0083611B"/>
    <w:rsid w:val="00836668"/>
    <w:rsid w:val="00837587"/>
    <w:rsid w:val="00837816"/>
    <w:rsid w:val="008401FC"/>
    <w:rsid w:val="00840820"/>
    <w:rsid w:val="00840E67"/>
    <w:rsid w:val="00841A7E"/>
    <w:rsid w:val="00841BE9"/>
    <w:rsid w:val="00841EF9"/>
    <w:rsid w:val="00842173"/>
    <w:rsid w:val="00842175"/>
    <w:rsid w:val="00843925"/>
    <w:rsid w:val="0084435F"/>
    <w:rsid w:val="00844371"/>
    <w:rsid w:val="0084464F"/>
    <w:rsid w:val="00844CD9"/>
    <w:rsid w:val="00845689"/>
    <w:rsid w:val="00845F21"/>
    <w:rsid w:val="008460B4"/>
    <w:rsid w:val="00846206"/>
    <w:rsid w:val="0084638A"/>
    <w:rsid w:val="0084669B"/>
    <w:rsid w:val="00846FBA"/>
    <w:rsid w:val="00846FE9"/>
    <w:rsid w:val="00847192"/>
    <w:rsid w:val="00847697"/>
    <w:rsid w:val="00850786"/>
    <w:rsid w:val="0085092C"/>
    <w:rsid w:val="00850C2E"/>
    <w:rsid w:val="00850D13"/>
    <w:rsid w:val="008516EB"/>
    <w:rsid w:val="008516FC"/>
    <w:rsid w:val="008519E5"/>
    <w:rsid w:val="008519F9"/>
    <w:rsid w:val="00851A00"/>
    <w:rsid w:val="00851C83"/>
    <w:rsid w:val="008521BB"/>
    <w:rsid w:val="008523BD"/>
    <w:rsid w:val="00852D75"/>
    <w:rsid w:val="008538A1"/>
    <w:rsid w:val="00854ECC"/>
    <w:rsid w:val="0085537F"/>
    <w:rsid w:val="008554DD"/>
    <w:rsid w:val="00855606"/>
    <w:rsid w:val="008557E6"/>
    <w:rsid w:val="008568CA"/>
    <w:rsid w:val="00856EEC"/>
    <w:rsid w:val="00857C75"/>
    <w:rsid w:val="00860A54"/>
    <w:rsid w:val="00860BBF"/>
    <w:rsid w:val="00860E55"/>
    <w:rsid w:val="00860E61"/>
    <w:rsid w:val="00861CE0"/>
    <w:rsid w:val="00861E2E"/>
    <w:rsid w:val="00861EB6"/>
    <w:rsid w:val="00862751"/>
    <w:rsid w:val="0086284C"/>
    <w:rsid w:val="00863C15"/>
    <w:rsid w:val="00863D0B"/>
    <w:rsid w:val="00864511"/>
    <w:rsid w:val="0086492B"/>
    <w:rsid w:val="00864E62"/>
    <w:rsid w:val="00865163"/>
    <w:rsid w:val="00865217"/>
    <w:rsid w:val="0086539F"/>
    <w:rsid w:val="008653AE"/>
    <w:rsid w:val="008654AD"/>
    <w:rsid w:val="008658FA"/>
    <w:rsid w:val="00865AAE"/>
    <w:rsid w:val="008663BD"/>
    <w:rsid w:val="00866756"/>
    <w:rsid w:val="008669AE"/>
    <w:rsid w:val="00866AAE"/>
    <w:rsid w:val="00867463"/>
    <w:rsid w:val="008676F8"/>
    <w:rsid w:val="008677DE"/>
    <w:rsid w:val="00867B0E"/>
    <w:rsid w:val="00867BDD"/>
    <w:rsid w:val="00867DDF"/>
    <w:rsid w:val="00867E13"/>
    <w:rsid w:val="0087010F"/>
    <w:rsid w:val="00870BA5"/>
    <w:rsid w:val="008719C7"/>
    <w:rsid w:val="00871D2D"/>
    <w:rsid w:val="0087218D"/>
    <w:rsid w:val="00872289"/>
    <w:rsid w:val="008726C2"/>
    <w:rsid w:val="0087374B"/>
    <w:rsid w:val="00873C22"/>
    <w:rsid w:val="00873D8C"/>
    <w:rsid w:val="00873E18"/>
    <w:rsid w:val="00874715"/>
    <w:rsid w:val="00874D19"/>
    <w:rsid w:val="008759BD"/>
    <w:rsid w:val="00876AE3"/>
    <w:rsid w:val="00877036"/>
    <w:rsid w:val="008772B5"/>
    <w:rsid w:val="00877B54"/>
    <w:rsid w:val="00877DC3"/>
    <w:rsid w:val="00877E9B"/>
    <w:rsid w:val="008809A7"/>
    <w:rsid w:val="008809F9"/>
    <w:rsid w:val="00880A7E"/>
    <w:rsid w:val="00881699"/>
    <w:rsid w:val="008816B7"/>
    <w:rsid w:val="0088199A"/>
    <w:rsid w:val="008826F3"/>
    <w:rsid w:val="00882ADC"/>
    <w:rsid w:val="00882D53"/>
    <w:rsid w:val="00883AFA"/>
    <w:rsid w:val="00884347"/>
    <w:rsid w:val="008843DB"/>
    <w:rsid w:val="00884674"/>
    <w:rsid w:val="00884692"/>
    <w:rsid w:val="008847B5"/>
    <w:rsid w:val="00884BD9"/>
    <w:rsid w:val="008851CB"/>
    <w:rsid w:val="008855B0"/>
    <w:rsid w:val="00885A7C"/>
    <w:rsid w:val="00885CCB"/>
    <w:rsid w:val="0088643C"/>
    <w:rsid w:val="00886737"/>
    <w:rsid w:val="0088676D"/>
    <w:rsid w:val="00886DEC"/>
    <w:rsid w:val="00887BB9"/>
    <w:rsid w:val="00887E26"/>
    <w:rsid w:val="008900CB"/>
    <w:rsid w:val="00890C7F"/>
    <w:rsid w:val="00890D75"/>
    <w:rsid w:val="00891514"/>
    <w:rsid w:val="0089245C"/>
    <w:rsid w:val="0089259F"/>
    <w:rsid w:val="0089276F"/>
    <w:rsid w:val="00893758"/>
    <w:rsid w:val="00894306"/>
    <w:rsid w:val="008944B1"/>
    <w:rsid w:val="0089493D"/>
    <w:rsid w:val="00894B8D"/>
    <w:rsid w:val="0089515D"/>
    <w:rsid w:val="008952FF"/>
    <w:rsid w:val="00896242"/>
    <w:rsid w:val="00897725"/>
    <w:rsid w:val="00897A31"/>
    <w:rsid w:val="008A06CC"/>
    <w:rsid w:val="008A0996"/>
    <w:rsid w:val="008A0C3B"/>
    <w:rsid w:val="008A1237"/>
    <w:rsid w:val="008A1532"/>
    <w:rsid w:val="008A3882"/>
    <w:rsid w:val="008A3FD8"/>
    <w:rsid w:val="008A4EE3"/>
    <w:rsid w:val="008A55D5"/>
    <w:rsid w:val="008A696C"/>
    <w:rsid w:val="008A6C7A"/>
    <w:rsid w:val="008A7114"/>
    <w:rsid w:val="008A722E"/>
    <w:rsid w:val="008A7470"/>
    <w:rsid w:val="008A7518"/>
    <w:rsid w:val="008A7F14"/>
    <w:rsid w:val="008A7FE5"/>
    <w:rsid w:val="008B02E8"/>
    <w:rsid w:val="008B036E"/>
    <w:rsid w:val="008B0B80"/>
    <w:rsid w:val="008B1389"/>
    <w:rsid w:val="008B1944"/>
    <w:rsid w:val="008B1E38"/>
    <w:rsid w:val="008B1FB7"/>
    <w:rsid w:val="008B2C0C"/>
    <w:rsid w:val="008B33F2"/>
    <w:rsid w:val="008B354F"/>
    <w:rsid w:val="008B37D7"/>
    <w:rsid w:val="008B3DDD"/>
    <w:rsid w:val="008B3F22"/>
    <w:rsid w:val="008B405E"/>
    <w:rsid w:val="008B409C"/>
    <w:rsid w:val="008B4FB7"/>
    <w:rsid w:val="008B5D05"/>
    <w:rsid w:val="008B6225"/>
    <w:rsid w:val="008B6F4E"/>
    <w:rsid w:val="008B701B"/>
    <w:rsid w:val="008B713A"/>
    <w:rsid w:val="008B73AE"/>
    <w:rsid w:val="008B7FB9"/>
    <w:rsid w:val="008C0170"/>
    <w:rsid w:val="008C0EA8"/>
    <w:rsid w:val="008C100B"/>
    <w:rsid w:val="008C1558"/>
    <w:rsid w:val="008C158B"/>
    <w:rsid w:val="008C1D88"/>
    <w:rsid w:val="008C211F"/>
    <w:rsid w:val="008C2282"/>
    <w:rsid w:val="008C269E"/>
    <w:rsid w:val="008C2EB8"/>
    <w:rsid w:val="008C37FB"/>
    <w:rsid w:val="008C3B99"/>
    <w:rsid w:val="008C4285"/>
    <w:rsid w:val="008C4B51"/>
    <w:rsid w:val="008C5017"/>
    <w:rsid w:val="008C545C"/>
    <w:rsid w:val="008C6380"/>
    <w:rsid w:val="008C6A9A"/>
    <w:rsid w:val="008C7606"/>
    <w:rsid w:val="008C79F6"/>
    <w:rsid w:val="008D0827"/>
    <w:rsid w:val="008D166C"/>
    <w:rsid w:val="008D2F81"/>
    <w:rsid w:val="008D3257"/>
    <w:rsid w:val="008D3B6A"/>
    <w:rsid w:val="008D3C41"/>
    <w:rsid w:val="008D3E0A"/>
    <w:rsid w:val="008D3FB3"/>
    <w:rsid w:val="008D4240"/>
    <w:rsid w:val="008D49B0"/>
    <w:rsid w:val="008D52AA"/>
    <w:rsid w:val="008D5708"/>
    <w:rsid w:val="008D5C78"/>
    <w:rsid w:val="008D6FB7"/>
    <w:rsid w:val="008D7C50"/>
    <w:rsid w:val="008E0023"/>
    <w:rsid w:val="008E0171"/>
    <w:rsid w:val="008E03E8"/>
    <w:rsid w:val="008E041B"/>
    <w:rsid w:val="008E0454"/>
    <w:rsid w:val="008E0B2A"/>
    <w:rsid w:val="008E0DC1"/>
    <w:rsid w:val="008E2049"/>
    <w:rsid w:val="008E23BE"/>
    <w:rsid w:val="008E26C1"/>
    <w:rsid w:val="008E2B69"/>
    <w:rsid w:val="008E2D07"/>
    <w:rsid w:val="008E3721"/>
    <w:rsid w:val="008E4791"/>
    <w:rsid w:val="008E4C4E"/>
    <w:rsid w:val="008E4FB4"/>
    <w:rsid w:val="008E5146"/>
    <w:rsid w:val="008E579A"/>
    <w:rsid w:val="008E5808"/>
    <w:rsid w:val="008E5C3E"/>
    <w:rsid w:val="008E6CF0"/>
    <w:rsid w:val="008E6F99"/>
    <w:rsid w:val="008E7164"/>
    <w:rsid w:val="008E728A"/>
    <w:rsid w:val="008E7B0D"/>
    <w:rsid w:val="008E7DC3"/>
    <w:rsid w:val="008E7EE3"/>
    <w:rsid w:val="008F011B"/>
    <w:rsid w:val="008F0473"/>
    <w:rsid w:val="008F04A2"/>
    <w:rsid w:val="008F05D4"/>
    <w:rsid w:val="008F0781"/>
    <w:rsid w:val="008F0BBE"/>
    <w:rsid w:val="008F191F"/>
    <w:rsid w:val="008F1F6A"/>
    <w:rsid w:val="008F25F0"/>
    <w:rsid w:val="008F2861"/>
    <w:rsid w:val="008F321E"/>
    <w:rsid w:val="008F37DC"/>
    <w:rsid w:val="008F3EDC"/>
    <w:rsid w:val="008F3F64"/>
    <w:rsid w:val="008F3FD3"/>
    <w:rsid w:val="008F414F"/>
    <w:rsid w:val="008F4682"/>
    <w:rsid w:val="008F47B6"/>
    <w:rsid w:val="008F482C"/>
    <w:rsid w:val="008F48E2"/>
    <w:rsid w:val="008F4CBB"/>
    <w:rsid w:val="008F4F26"/>
    <w:rsid w:val="008F4F41"/>
    <w:rsid w:val="008F6120"/>
    <w:rsid w:val="008F61E1"/>
    <w:rsid w:val="008F6C1D"/>
    <w:rsid w:val="008F6D5F"/>
    <w:rsid w:val="008F6F5F"/>
    <w:rsid w:val="008F7060"/>
    <w:rsid w:val="0090006F"/>
    <w:rsid w:val="009001EB"/>
    <w:rsid w:val="00901B06"/>
    <w:rsid w:val="00901BD4"/>
    <w:rsid w:val="009021C8"/>
    <w:rsid w:val="00902663"/>
    <w:rsid w:val="0090310E"/>
    <w:rsid w:val="00903145"/>
    <w:rsid w:val="0090331A"/>
    <w:rsid w:val="0090344C"/>
    <w:rsid w:val="0090376A"/>
    <w:rsid w:val="00903941"/>
    <w:rsid w:val="00903DC7"/>
    <w:rsid w:val="009043BF"/>
    <w:rsid w:val="00905071"/>
    <w:rsid w:val="00905532"/>
    <w:rsid w:val="009055DB"/>
    <w:rsid w:val="00905743"/>
    <w:rsid w:val="009062C5"/>
    <w:rsid w:val="00906DAF"/>
    <w:rsid w:val="00907027"/>
    <w:rsid w:val="0090719C"/>
    <w:rsid w:val="00910007"/>
    <w:rsid w:val="009106FC"/>
    <w:rsid w:val="00910822"/>
    <w:rsid w:val="0091099D"/>
    <w:rsid w:val="00910DA0"/>
    <w:rsid w:val="00911273"/>
    <w:rsid w:val="009117DD"/>
    <w:rsid w:val="00911CAA"/>
    <w:rsid w:val="0091275C"/>
    <w:rsid w:val="00912FB7"/>
    <w:rsid w:val="00915238"/>
    <w:rsid w:val="00915503"/>
    <w:rsid w:val="0091692D"/>
    <w:rsid w:val="00917202"/>
    <w:rsid w:val="00917958"/>
    <w:rsid w:val="00920085"/>
    <w:rsid w:val="0092024F"/>
    <w:rsid w:val="0092057A"/>
    <w:rsid w:val="009206B2"/>
    <w:rsid w:val="00920EC9"/>
    <w:rsid w:val="00921343"/>
    <w:rsid w:val="00922061"/>
    <w:rsid w:val="00922293"/>
    <w:rsid w:val="0092259A"/>
    <w:rsid w:val="009225ED"/>
    <w:rsid w:val="0092263D"/>
    <w:rsid w:val="00922ADF"/>
    <w:rsid w:val="0092326E"/>
    <w:rsid w:val="009236E3"/>
    <w:rsid w:val="00923B3E"/>
    <w:rsid w:val="00923C8F"/>
    <w:rsid w:val="0092410E"/>
    <w:rsid w:val="00924175"/>
    <w:rsid w:val="00924CB1"/>
    <w:rsid w:val="00925592"/>
    <w:rsid w:val="009267E2"/>
    <w:rsid w:val="00926992"/>
    <w:rsid w:val="00927BFB"/>
    <w:rsid w:val="00930913"/>
    <w:rsid w:val="00930C39"/>
    <w:rsid w:val="00930DED"/>
    <w:rsid w:val="00931835"/>
    <w:rsid w:val="00931D87"/>
    <w:rsid w:val="00932D88"/>
    <w:rsid w:val="00932DCF"/>
    <w:rsid w:val="00933040"/>
    <w:rsid w:val="0093402B"/>
    <w:rsid w:val="00934402"/>
    <w:rsid w:val="0093482E"/>
    <w:rsid w:val="00934BBA"/>
    <w:rsid w:val="00935149"/>
    <w:rsid w:val="009352D7"/>
    <w:rsid w:val="00935528"/>
    <w:rsid w:val="0093555C"/>
    <w:rsid w:val="0093569E"/>
    <w:rsid w:val="00936C78"/>
    <w:rsid w:val="009379EF"/>
    <w:rsid w:val="00937EA3"/>
    <w:rsid w:val="00940666"/>
    <w:rsid w:val="00940701"/>
    <w:rsid w:val="00940B88"/>
    <w:rsid w:val="00940F52"/>
    <w:rsid w:val="00942482"/>
    <w:rsid w:val="0094289B"/>
    <w:rsid w:val="00943884"/>
    <w:rsid w:val="00943CB8"/>
    <w:rsid w:val="00943E4E"/>
    <w:rsid w:val="00944052"/>
    <w:rsid w:val="00944D19"/>
    <w:rsid w:val="00945F9D"/>
    <w:rsid w:val="009461A4"/>
    <w:rsid w:val="00946277"/>
    <w:rsid w:val="009469CA"/>
    <w:rsid w:val="009473A7"/>
    <w:rsid w:val="0094772B"/>
    <w:rsid w:val="00947784"/>
    <w:rsid w:val="00947D8F"/>
    <w:rsid w:val="00950006"/>
    <w:rsid w:val="009510A2"/>
    <w:rsid w:val="009511F3"/>
    <w:rsid w:val="0095135B"/>
    <w:rsid w:val="009514A8"/>
    <w:rsid w:val="0095158D"/>
    <w:rsid w:val="00951FA1"/>
    <w:rsid w:val="00952C24"/>
    <w:rsid w:val="00953756"/>
    <w:rsid w:val="00953A59"/>
    <w:rsid w:val="00953A8C"/>
    <w:rsid w:val="0095474A"/>
    <w:rsid w:val="009548B1"/>
    <w:rsid w:val="00955628"/>
    <w:rsid w:val="009556EA"/>
    <w:rsid w:val="009556FE"/>
    <w:rsid w:val="0095575D"/>
    <w:rsid w:val="009564F3"/>
    <w:rsid w:val="00956AC9"/>
    <w:rsid w:val="00956AF2"/>
    <w:rsid w:val="00956BFF"/>
    <w:rsid w:val="0095703F"/>
    <w:rsid w:val="00957CCF"/>
    <w:rsid w:val="00957EA5"/>
    <w:rsid w:val="00960042"/>
    <w:rsid w:val="009604E4"/>
    <w:rsid w:val="009607E8"/>
    <w:rsid w:val="00961BF9"/>
    <w:rsid w:val="0096209C"/>
    <w:rsid w:val="00962CAB"/>
    <w:rsid w:val="00962F44"/>
    <w:rsid w:val="009641A7"/>
    <w:rsid w:val="00965507"/>
    <w:rsid w:val="00965B6C"/>
    <w:rsid w:val="00966778"/>
    <w:rsid w:val="00966883"/>
    <w:rsid w:val="00966AFE"/>
    <w:rsid w:val="00966CB9"/>
    <w:rsid w:val="00966DFF"/>
    <w:rsid w:val="0096764D"/>
    <w:rsid w:val="0096764E"/>
    <w:rsid w:val="009707A9"/>
    <w:rsid w:val="00970BE4"/>
    <w:rsid w:val="00970C6A"/>
    <w:rsid w:val="00971242"/>
    <w:rsid w:val="0097145F"/>
    <w:rsid w:val="00971566"/>
    <w:rsid w:val="00971A53"/>
    <w:rsid w:val="00971FC7"/>
    <w:rsid w:val="00972278"/>
    <w:rsid w:val="00972390"/>
    <w:rsid w:val="00972E87"/>
    <w:rsid w:val="009733A9"/>
    <w:rsid w:val="009750C9"/>
    <w:rsid w:val="0097531A"/>
    <w:rsid w:val="00975462"/>
    <w:rsid w:val="00975487"/>
    <w:rsid w:val="00976025"/>
    <w:rsid w:val="00976131"/>
    <w:rsid w:val="0097640D"/>
    <w:rsid w:val="009768C0"/>
    <w:rsid w:val="00976E29"/>
    <w:rsid w:val="00977441"/>
    <w:rsid w:val="00977B7B"/>
    <w:rsid w:val="00980043"/>
    <w:rsid w:val="009821D3"/>
    <w:rsid w:val="009822DD"/>
    <w:rsid w:val="00982819"/>
    <w:rsid w:val="009829E0"/>
    <w:rsid w:val="0098365E"/>
    <w:rsid w:val="00984337"/>
    <w:rsid w:val="00984990"/>
    <w:rsid w:val="00984A5D"/>
    <w:rsid w:val="00984CD2"/>
    <w:rsid w:val="00985277"/>
    <w:rsid w:val="009853E5"/>
    <w:rsid w:val="00986109"/>
    <w:rsid w:val="00986612"/>
    <w:rsid w:val="0098758C"/>
    <w:rsid w:val="00987B54"/>
    <w:rsid w:val="00987C16"/>
    <w:rsid w:val="00987C6D"/>
    <w:rsid w:val="00987FE4"/>
    <w:rsid w:val="0099018C"/>
    <w:rsid w:val="00990221"/>
    <w:rsid w:val="009909D5"/>
    <w:rsid w:val="00990AC8"/>
    <w:rsid w:val="00990C19"/>
    <w:rsid w:val="009917E4"/>
    <w:rsid w:val="00991DD7"/>
    <w:rsid w:val="00991DED"/>
    <w:rsid w:val="009928D9"/>
    <w:rsid w:val="00992970"/>
    <w:rsid w:val="00992C2E"/>
    <w:rsid w:val="00992E08"/>
    <w:rsid w:val="00992F77"/>
    <w:rsid w:val="009933C3"/>
    <w:rsid w:val="00993852"/>
    <w:rsid w:val="0099388E"/>
    <w:rsid w:val="00994108"/>
    <w:rsid w:val="00994463"/>
    <w:rsid w:val="009947D0"/>
    <w:rsid w:val="00995960"/>
    <w:rsid w:val="009959D5"/>
    <w:rsid w:val="00996359"/>
    <w:rsid w:val="0099671A"/>
    <w:rsid w:val="0099690E"/>
    <w:rsid w:val="00997187"/>
    <w:rsid w:val="009A0E6C"/>
    <w:rsid w:val="009A103E"/>
    <w:rsid w:val="009A1829"/>
    <w:rsid w:val="009A25EF"/>
    <w:rsid w:val="009A36C5"/>
    <w:rsid w:val="009A3AC2"/>
    <w:rsid w:val="009A3D05"/>
    <w:rsid w:val="009A4168"/>
    <w:rsid w:val="009A42F9"/>
    <w:rsid w:val="009A4502"/>
    <w:rsid w:val="009A460A"/>
    <w:rsid w:val="009A4B7F"/>
    <w:rsid w:val="009A52BE"/>
    <w:rsid w:val="009A592B"/>
    <w:rsid w:val="009A5EF8"/>
    <w:rsid w:val="009A5F84"/>
    <w:rsid w:val="009A601D"/>
    <w:rsid w:val="009A73BA"/>
    <w:rsid w:val="009A77EF"/>
    <w:rsid w:val="009B0567"/>
    <w:rsid w:val="009B11E9"/>
    <w:rsid w:val="009B2629"/>
    <w:rsid w:val="009B2826"/>
    <w:rsid w:val="009B3C97"/>
    <w:rsid w:val="009B4355"/>
    <w:rsid w:val="009B44CB"/>
    <w:rsid w:val="009B4575"/>
    <w:rsid w:val="009B5038"/>
    <w:rsid w:val="009B5707"/>
    <w:rsid w:val="009B5AAC"/>
    <w:rsid w:val="009B5CBC"/>
    <w:rsid w:val="009B5FFB"/>
    <w:rsid w:val="009B626D"/>
    <w:rsid w:val="009B6C33"/>
    <w:rsid w:val="009B6CBE"/>
    <w:rsid w:val="009B7114"/>
    <w:rsid w:val="009B7625"/>
    <w:rsid w:val="009B7F12"/>
    <w:rsid w:val="009B7F3F"/>
    <w:rsid w:val="009C0499"/>
    <w:rsid w:val="009C0785"/>
    <w:rsid w:val="009C07F0"/>
    <w:rsid w:val="009C147C"/>
    <w:rsid w:val="009C1E42"/>
    <w:rsid w:val="009C21FE"/>
    <w:rsid w:val="009C27F2"/>
    <w:rsid w:val="009C2A1D"/>
    <w:rsid w:val="009C2A4B"/>
    <w:rsid w:val="009C2E3B"/>
    <w:rsid w:val="009C3063"/>
    <w:rsid w:val="009C36C5"/>
    <w:rsid w:val="009C39F7"/>
    <w:rsid w:val="009C3C47"/>
    <w:rsid w:val="009C43AC"/>
    <w:rsid w:val="009C444A"/>
    <w:rsid w:val="009C4DFF"/>
    <w:rsid w:val="009C5893"/>
    <w:rsid w:val="009C58C0"/>
    <w:rsid w:val="009C5955"/>
    <w:rsid w:val="009C5FE4"/>
    <w:rsid w:val="009C6063"/>
    <w:rsid w:val="009C659C"/>
    <w:rsid w:val="009C6748"/>
    <w:rsid w:val="009C698E"/>
    <w:rsid w:val="009C6CCA"/>
    <w:rsid w:val="009C72F7"/>
    <w:rsid w:val="009C7BEE"/>
    <w:rsid w:val="009D0014"/>
    <w:rsid w:val="009D06AD"/>
    <w:rsid w:val="009D192F"/>
    <w:rsid w:val="009D1AC3"/>
    <w:rsid w:val="009D1B81"/>
    <w:rsid w:val="009D1BF4"/>
    <w:rsid w:val="009D1D61"/>
    <w:rsid w:val="009D1EC5"/>
    <w:rsid w:val="009D1EF3"/>
    <w:rsid w:val="009D2133"/>
    <w:rsid w:val="009D311C"/>
    <w:rsid w:val="009D370A"/>
    <w:rsid w:val="009D4158"/>
    <w:rsid w:val="009D48B4"/>
    <w:rsid w:val="009D51E3"/>
    <w:rsid w:val="009D5A93"/>
    <w:rsid w:val="009D5B3E"/>
    <w:rsid w:val="009D626D"/>
    <w:rsid w:val="009D6396"/>
    <w:rsid w:val="009D65DD"/>
    <w:rsid w:val="009D6773"/>
    <w:rsid w:val="009D6EA1"/>
    <w:rsid w:val="009D7BD3"/>
    <w:rsid w:val="009E0E51"/>
    <w:rsid w:val="009E0E59"/>
    <w:rsid w:val="009E1ADA"/>
    <w:rsid w:val="009E2C27"/>
    <w:rsid w:val="009E3774"/>
    <w:rsid w:val="009E48D9"/>
    <w:rsid w:val="009E4A94"/>
    <w:rsid w:val="009E53F0"/>
    <w:rsid w:val="009E557B"/>
    <w:rsid w:val="009E626B"/>
    <w:rsid w:val="009E7733"/>
    <w:rsid w:val="009E7D6B"/>
    <w:rsid w:val="009F0126"/>
    <w:rsid w:val="009F169F"/>
    <w:rsid w:val="009F2495"/>
    <w:rsid w:val="009F24F0"/>
    <w:rsid w:val="009F2707"/>
    <w:rsid w:val="009F293E"/>
    <w:rsid w:val="009F3126"/>
    <w:rsid w:val="009F3CD9"/>
    <w:rsid w:val="009F3DF7"/>
    <w:rsid w:val="009F4572"/>
    <w:rsid w:val="009F4A74"/>
    <w:rsid w:val="009F4C37"/>
    <w:rsid w:val="009F4E0B"/>
    <w:rsid w:val="009F51F8"/>
    <w:rsid w:val="009F520F"/>
    <w:rsid w:val="009F5385"/>
    <w:rsid w:val="009F54E3"/>
    <w:rsid w:val="009F586E"/>
    <w:rsid w:val="009F5FB2"/>
    <w:rsid w:val="009F6DE2"/>
    <w:rsid w:val="009F7753"/>
    <w:rsid w:val="009F7D13"/>
    <w:rsid w:val="009F7D16"/>
    <w:rsid w:val="009F7D1A"/>
    <w:rsid w:val="009F7E59"/>
    <w:rsid w:val="00A0021C"/>
    <w:rsid w:val="00A004AC"/>
    <w:rsid w:val="00A00AA1"/>
    <w:rsid w:val="00A01318"/>
    <w:rsid w:val="00A01394"/>
    <w:rsid w:val="00A01715"/>
    <w:rsid w:val="00A0171A"/>
    <w:rsid w:val="00A01EB0"/>
    <w:rsid w:val="00A02EF4"/>
    <w:rsid w:val="00A035E0"/>
    <w:rsid w:val="00A03A90"/>
    <w:rsid w:val="00A047BD"/>
    <w:rsid w:val="00A04935"/>
    <w:rsid w:val="00A049DE"/>
    <w:rsid w:val="00A04ADD"/>
    <w:rsid w:val="00A05385"/>
    <w:rsid w:val="00A0546D"/>
    <w:rsid w:val="00A05658"/>
    <w:rsid w:val="00A05A82"/>
    <w:rsid w:val="00A05CCA"/>
    <w:rsid w:val="00A06843"/>
    <w:rsid w:val="00A0713D"/>
    <w:rsid w:val="00A07180"/>
    <w:rsid w:val="00A078CD"/>
    <w:rsid w:val="00A07981"/>
    <w:rsid w:val="00A07DAD"/>
    <w:rsid w:val="00A10071"/>
    <w:rsid w:val="00A10192"/>
    <w:rsid w:val="00A10588"/>
    <w:rsid w:val="00A106D2"/>
    <w:rsid w:val="00A10762"/>
    <w:rsid w:val="00A112DE"/>
    <w:rsid w:val="00A1151D"/>
    <w:rsid w:val="00A11A84"/>
    <w:rsid w:val="00A125F6"/>
    <w:rsid w:val="00A127BD"/>
    <w:rsid w:val="00A13388"/>
    <w:rsid w:val="00A1489D"/>
    <w:rsid w:val="00A149A6"/>
    <w:rsid w:val="00A14A88"/>
    <w:rsid w:val="00A15218"/>
    <w:rsid w:val="00A158DA"/>
    <w:rsid w:val="00A159DA"/>
    <w:rsid w:val="00A15C81"/>
    <w:rsid w:val="00A15FF5"/>
    <w:rsid w:val="00A16076"/>
    <w:rsid w:val="00A16307"/>
    <w:rsid w:val="00A16D80"/>
    <w:rsid w:val="00A17420"/>
    <w:rsid w:val="00A2048B"/>
    <w:rsid w:val="00A20864"/>
    <w:rsid w:val="00A20C4D"/>
    <w:rsid w:val="00A218DD"/>
    <w:rsid w:val="00A21EBA"/>
    <w:rsid w:val="00A2294E"/>
    <w:rsid w:val="00A23377"/>
    <w:rsid w:val="00A2351E"/>
    <w:rsid w:val="00A238AD"/>
    <w:rsid w:val="00A2430B"/>
    <w:rsid w:val="00A2448C"/>
    <w:rsid w:val="00A24869"/>
    <w:rsid w:val="00A24B0B"/>
    <w:rsid w:val="00A25493"/>
    <w:rsid w:val="00A26210"/>
    <w:rsid w:val="00A26417"/>
    <w:rsid w:val="00A26494"/>
    <w:rsid w:val="00A267F8"/>
    <w:rsid w:val="00A2698F"/>
    <w:rsid w:val="00A27051"/>
    <w:rsid w:val="00A2726E"/>
    <w:rsid w:val="00A30457"/>
    <w:rsid w:val="00A30988"/>
    <w:rsid w:val="00A30C56"/>
    <w:rsid w:val="00A30F9D"/>
    <w:rsid w:val="00A312EB"/>
    <w:rsid w:val="00A3286D"/>
    <w:rsid w:val="00A32CF0"/>
    <w:rsid w:val="00A32E89"/>
    <w:rsid w:val="00A32EEF"/>
    <w:rsid w:val="00A33C02"/>
    <w:rsid w:val="00A3465C"/>
    <w:rsid w:val="00A347FE"/>
    <w:rsid w:val="00A34D9A"/>
    <w:rsid w:val="00A35397"/>
    <w:rsid w:val="00A3591D"/>
    <w:rsid w:val="00A35F90"/>
    <w:rsid w:val="00A36A1A"/>
    <w:rsid w:val="00A37031"/>
    <w:rsid w:val="00A37274"/>
    <w:rsid w:val="00A3768D"/>
    <w:rsid w:val="00A4009C"/>
    <w:rsid w:val="00A4106F"/>
    <w:rsid w:val="00A4162A"/>
    <w:rsid w:val="00A41630"/>
    <w:rsid w:val="00A418AE"/>
    <w:rsid w:val="00A41D0B"/>
    <w:rsid w:val="00A41EC7"/>
    <w:rsid w:val="00A42DF9"/>
    <w:rsid w:val="00A434E8"/>
    <w:rsid w:val="00A4391C"/>
    <w:rsid w:val="00A43C4C"/>
    <w:rsid w:val="00A4401C"/>
    <w:rsid w:val="00A447AD"/>
    <w:rsid w:val="00A44BCF"/>
    <w:rsid w:val="00A45087"/>
    <w:rsid w:val="00A450C5"/>
    <w:rsid w:val="00A460F0"/>
    <w:rsid w:val="00A473B2"/>
    <w:rsid w:val="00A47413"/>
    <w:rsid w:val="00A474A3"/>
    <w:rsid w:val="00A47AE3"/>
    <w:rsid w:val="00A47B15"/>
    <w:rsid w:val="00A47DE4"/>
    <w:rsid w:val="00A47FA4"/>
    <w:rsid w:val="00A500FE"/>
    <w:rsid w:val="00A501E0"/>
    <w:rsid w:val="00A50700"/>
    <w:rsid w:val="00A50750"/>
    <w:rsid w:val="00A50EE4"/>
    <w:rsid w:val="00A5166F"/>
    <w:rsid w:val="00A51858"/>
    <w:rsid w:val="00A52BCD"/>
    <w:rsid w:val="00A52D4B"/>
    <w:rsid w:val="00A5344A"/>
    <w:rsid w:val="00A5384A"/>
    <w:rsid w:val="00A539CB"/>
    <w:rsid w:val="00A53EDB"/>
    <w:rsid w:val="00A54249"/>
    <w:rsid w:val="00A54755"/>
    <w:rsid w:val="00A54A5B"/>
    <w:rsid w:val="00A54F4C"/>
    <w:rsid w:val="00A55D6D"/>
    <w:rsid w:val="00A56598"/>
    <w:rsid w:val="00A56ED5"/>
    <w:rsid w:val="00A570FD"/>
    <w:rsid w:val="00A5719C"/>
    <w:rsid w:val="00A574C4"/>
    <w:rsid w:val="00A5762F"/>
    <w:rsid w:val="00A57714"/>
    <w:rsid w:val="00A5777F"/>
    <w:rsid w:val="00A57FBC"/>
    <w:rsid w:val="00A60B48"/>
    <w:rsid w:val="00A61127"/>
    <w:rsid w:val="00A61176"/>
    <w:rsid w:val="00A61291"/>
    <w:rsid w:val="00A6144A"/>
    <w:rsid w:val="00A62780"/>
    <w:rsid w:val="00A635D1"/>
    <w:rsid w:val="00A63D6A"/>
    <w:rsid w:val="00A63FCC"/>
    <w:rsid w:val="00A6412E"/>
    <w:rsid w:val="00A644D9"/>
    <w:rsid w:val="00A64D14"/>
    <w:rsid w:val="00A65FBD"/>
    <w:rsid w:val="00A66622"/>
    <w:rsid w:val="00A66B82"/>
    <w:rsid w:val="00A700C0"/>
    <w:rsid w:val="00A70203"/>
    <w:rsid w:val="00A705D6"/>
    <w:rsid w:val="00A7086D"/>
    <w:rsid w:val="00A7096D"/>
    <w:rsid w:val="00A70CDC"/>
    <w:rsid w:val="00A718B0"/>
    <w:rsid w:val="00A71B1A"/>
    <w:rsid w:val="00A71B1C"/>
    <w:rsid w:val="00A72B94"/>
    <w:rsid w:val="00A72C58"/>
    <w:rsid w:val="00A72E58"/>
    <w:rsid w:val="00A7319A"/>
    <w:rsid w:val="00A739B7"/>
    <w:rsid w:val="00A73D2E"/>
    <w:rsid w:val="00A73EF8"/>
    <w:rsid w:val="00A74542"/>
    <w:rsid w:val="00A745A0"/>
    <w:rsid w:val="00A747DD"/>
    <w:rsid w:val="00A74B5A"/>
    <w:rsid w:val="00A758CE"/>
    <w:rsid w:val="00A75A1A"/>
    <w:rsid w:val="00A762BF"/>
    <w:rsid w:val="00A7659F"/>
    <w:rsid w:val="00A766B5"/>
    <w:rsid w:val="00A77D86"/>
    <w:rsid w:val="00A77E16"/>
    <w:rsid w:val="00A800DB"/>
    <w:rsid w:val="00A8034D"/>
    <w:rsid w:val="00A810BA"/>
    <w:rsid w:val="00A811E8"/>
    <w:rsid w:val="00A81DED"/>
    <w:rsid w:val="00A822E5"/>
    <w:rsid w:val="00A828C2"/>
    <w:rsid w:val="00A82F4A"/>
    <w:rsid w:val="00A83360"/>
    <w:rsid w:val="00A83D4D"/>
    <w:rsid w:val="00A840FD"/>
    <w:rsid w:val="00A8448B"/>
    <w:rsid w:val="00A84FB7"/>
    <w:rsid w:val="00A85121"/>
    <w:rsid w:val="00A85517"/>
    <w:rsid w:val="00A865A0"/>
    <w:rsid w:val="00A86E57"/>
    <w:rsid w:val="00A879CE"/>
    <w:rsid w:val="00A90212"/>
    <w:rsid w:val="00A902AB"/>
    <w:rsid w:val="00A922A0"/>
    <w:rsid w:val="00A924A8"/>
    <w:rsid w:val="00A92991"/>
    <w:rsid w:val="00A93175"/>
    <w:rsid w:val="00A9328C"/>
    <w:rsid w:val="00A938C7"/>
    <w:rsid w:val="00A93A55"/>
    <w:rsid w:val="00A93C4E"/>
    <w:rsid w:val="00A940FA"/>
    <w:rsid w:val="00A949CE"/>
    <w:rsid w:val="00A9533C"/>
    <w:rsid w:val="00A954F3"/>
    <w:rsid w:val="00A95887"/>
    <w:rsid w:val="00A96945"/>
    <w:rsid w:val="00A96C2F"/>
    <w:rsid w:val="00A9741F"/>
    <w:rsid w:val="00AA01A4"/>
    <w:rsid w:val="00AA05A1"/>
    <w:rsid w:val="00AA0A1D"/>
    <w:rsid w:val="00AA11C6"/>
    <w:rsid w:val="00AA1378"/>
    <w:rsid w:val="00AA1AFB"/>
    <w:rsid w:val="00AA1EF5"/>
    <w:rsid w:val="00AA29B0"/>
    <w:rsid w:val="00AA2AB5"/>
    <w:rsid w:val="00AA2FFE"/>
    <w:rsid w:val="00AA3296"/>
    <w:rsid w:val="00AA3515"/>
    <w:rsid w:val="00AA389B"/>
    <w:rsid w:val="00AA396B"/>
    <w:rsid w:val="00AA3ADF"/>
    <w:rsid w:val="00AA3CD1"/>
    <w:rsid w:val="00AA4ADF"/>
    <w:rsid w:val="00AA4CF6"/>
    <w:rsid w:val="00AA55CA"/>
    <w:rsid w:val="00AA5E33"/>
    <w:rsid w:val="00AA69D3"/>
    <w:rsid w:val="00AA735F"/>
    <w:rsid w:val="00AA73E1"/>
    <w:rsid w:val="00AA74B2"/>
    <w:rsid w:val="00AA757D"/>
    <w:rsid w:val="00AA75AC"/>
    <w:rsid w:val="00AA773C"/>
    <w:rsid w:val="00AA77B9"/>
    <w:rsid w:val="00AB0838"/>
    <w:rsid w:val="00AB0898"/>
    <w:rsid w:val="00AB12EB"/>
    <w:rsid w:val="00AB1774"/>
    <w:rsid w:val="00AB2468"/>
    <w:rsid w:val="00AB2B6E"/>
    <w:rsid w:val="00AB34F6"/>
    <w:rsid w:val="00AB357D"/>
    <w:rsid w:val="00AB3718"/>
    <w:rsid w:val="00AB3E45"/>
    <w:rsid w:val="00AB43AD"/>
    <w:rsid w:val="00AB4663"/>
    <w:rsid w:val="00AB49E2"/>
    <w:rsid w:val="00AB4E68"/>
    <w:rsid w:val="00AB4EA3"/>
    <w:rsid w:val="00AB55CC"/>
    <w:rsid w:val="00AB55EF"/>
    <w:rsid w:val="00AB586B"/>
    <w:rsid w:val="00AB5A25"/>
    <w:rsid w:val="00AB5F17"/>
    <w:rsid w:val="00AB617E"/>
    <w:rsid w:val="00AB625C"/>
    <w:rsid w:val="00AB7070"/>
    <w:rsid w:val="00AB725F"/>
    <w:rsid w:val="00AB741C"/>
    <w:rsid w:val="00AB7E2F"/>
    <w:rsid w:val="00AC02B2"/>
    <w:rsid w:val="00AC0938"/>
    <w:rsid w:val="00AC0AB4"/>
    <w:rsid w:val="00AC0B26"/>
    <w:rsid w:val="00AC131C"/>
    <w:rsid w:val="00AC135E"/>
    <w:rsid w:val="00AC13BB"/>
    <w:rsid w:val="00AC17FD"/>
    <w:rsid w:val="00AC18BD"/>
    <w:rsid w:val="00AC1959"/>
    <w:rsid w:val="00AC1D0D"/>
    <w:rsid w:val="00AC1F86"/>
    <w:rsid w:val="00AC38F2"/>
    <w:rsid w:val="00AC3A8F"/>
    <w:rsid w:val="00AC5671"/>
    <w:rsid w:val="00AC68DC"/>
    <w:rsid w:val="00AC77A0"/>
    <w:rsid w:val="00AD016F"/>
    <w:rsid w:val="00AD0662"/>
    <w:rsid w:val="00AD0774"/>
    <w:rsid w:val="00AD1D4A"/>
    <w:rsid w:val="00AD1D54"/>
    <w:rsid w:val="00AD1F30"/>
    <w:rsid w:val="00AD210F"/>
    <w:rsid w:val="00AD2ACB"/>
    <w:rsid w:val="00AD46FB"/>
    <w:rsid w:val="00AD4797"/>
    <w:rsid w:val="00AD4A66"/>
    <w:rsid w:val="00AD4C12"/>
    <w:rsid w:val="00AD5EF0"/>
    <w:rsid w:val="00AD5F79"/>
    <w:rsid w:val="00AD6931"/>
    <w:rsid w:val="00AD7352"/>
    <w:rsid w:val="00AD78BA"/>
    <w:rsid w:val="00AE02F9"/>
    <w:rsid w:val="00AE0304"/>
    <w:rsid w:val="00AE0644"/>
    <w:rsid w:val="00AE07DD"/>
    <w:rsid w:val="00AE07EB"/>
    <w:rsid w:val="00AE0B1B"/>
    <w:rsid w:val="00AE0B4C"/>
    <w:rsid w:val="00AE0B8A"/>
    <w:rsid w:val="00AE0E17"/>
    <w:rsid w:val="00AE1685"/>
    <w:rsid w:val="00AE1A58"/>
    <w:rsid w:val="00AE2610"/>
    <w:rsid w:val="00AE2CE7"/>
    <w:rsid w:val="00AE3874"/>
    <w:rsid w:val="00AE38E3"/>
    <w:rsid w:val="00AE3A90"/>
    <w:rsid w:val="00AE418E"/>
    <w:rsid w:val="00AE4F5D"/>
    <w:rsid w:val="00AE4FB7"/>
    <w:rsid w:val="00AE502E"/>
    <w:rsid w:val="00AE5179"/>
    <w:rsid w:val="00AE52A1"/>
    <w:rsid w:val="00AE54AC"/>
    <w:rsid w:val="00AE65FE"/>
    <w:rsid w:val="00AE696C"/>
    <w:rsid w:val="00AE7193"/>
    <w:rsid w:val="00AE7D71"/>
    <w:rsid w:val="00AE7E93"/>
    <w:rsid w:val="00AF032F"/>
    <w:rsid w:val="00AF0AA2"/>
    <w:rsid w:val="00AF0B50"/>
    <w:rsid w:val="00AF0EE0"/>
    <w:rsid w:val="00AF136A"/>
    <w:rsid w:val="00AF1E76"/>
    <w:rsid w:val="00AF2020"/>
    <w:rsid w:val="00AF21EC"/>
    <w:rsid w:val="00AF25DB"/>
    <w:rsid w:val="00AF272C"/>
    <w:rsid w:val="00AF3378"/>
    <w:rsid w:val="00AF33BC"/>
    <w:rsid w:val="00AF3731"/>
    <w:rsid w:val="00AF3D05"/>
    <w:rsid w:val="00AF3EC2"/>
    <w:rsid w:val="00AF4135"/>
    <w:rsid w:val="00AF450A"/>
    <w:rsid w:val="00AF5020"/>
    <w:rsid w:val="00AF5991"/>
    <w:rsid w:val="00AF5AA1"/>
    <w:rsid w:val="00AF6648"/>
    <w:rsid w:val="00AF6E03"/>
    <w:rsid w:val="00AF71F5"/>
    <w:rsid w:val="00AF755D"/>
    <w:rsid w:val="00AF77FA"/>
    <w:rsid w:val="00AF7AD0"/>
    <w:rsid w:val="00AF7DDE"/>
    <w:rsid w:val="00B000A7"/>
    <w:rsid w:val="00B00157"/>
    <w:rsid w:val="00B001BE"/>
    <w:rsid w:val="00B00233"/>
    <w:rsid w:val="00B0041C"/>
    <w:rsid w:val="00B00927"/>
    <w:rsid w:val="00B00F1E"/>
    <w:rsid w:val="00B02052"/>
    <w:rsid w:val="00B020B7"/>
    <w:rsid w:val="00B0217C"/>
    <w:rsid w:val="00B02C2F"/>
    <w:rsid w:val="00B02E75"/>
    <w:rsid w:val="00B03152"/>
    <w:rsid w:val="00B03634"/>
    <w:rsid w:val="00B036B8"/>
    <w:rsid w:val="00B04898"/>
    <w:rsid w:val="00B05195"/>
    <w:rsid w:val="00B05246"/>
    <w:rsid w:val="00B06367"/>
    <w:rsid w:val="00B06642"/>
    <w:rsid w:val="00B06769"/>
    <w:rsid w:val="00B068A5"/>
    <w:rsid w:val="00B06B4A"/>
    <w:rsid w:val="00B06EC3"/>
    <w:rsid w:val="00B07453"/>
    <w:rsid w:val="00B0779E"/>
    <w:rsid w:val="00B07BBB"/>
    <w:rsid w:val="00B07CA0"/>
    <w:rsid w:val="00B10700"/>
    <w:rsid w:val="00B10D34"/>
    <w:rsid w:val="00B11085"/>
    <w:rsid w:val="00B117D8"/>
    <w:rsid w:val="00B13FDD"/>
    <w:rsid w:val="00B14A42"/>
    <w:rsid w:val="00B14D27"/>
    <w:rsid w:val="00B14E89"/>
    <w:rsid w:val="00B15115"/>
    <w:rsid w:val="00B152E5"/>
    <w:rsid w:val="00B158E2"/>
    <w:rsid w:val="00B15B48"/>
    <w:rsid w:val="00B16087"/>
    <w:rsid w:val="00B1620C"/>
    <w:rsid w:val="00B16482"/>
    <w:rsid w:val="00B166F3"/>
    <w:rsid w:val="00B16B52"/>
    <w:rsid w:val="00B16F51"/>
    <w:rsid w:val="00B17945"/>
    <w:rsid w:val="00B17A4D"/>
    <w:rsid w:val="00B17EC3"/>
    <w:rsid w:val="00B2107A"/>
    <w:rsid w:val="00B215D5"/>
    <w:rsid w:val="00B216E0"/>
    <w:rsid w:val="00B21B9B"/>
    <w:rsid w:val="00B23987"/>
    <w:rsid w:val="00B23E1D"/>
    <w:rsid w:val="00B243CE"/>
    <w:rsid w:val="00B24DE3"/>
    <w:rsid w:val="00B256F3"/>
    <w:rsid w:val="00B25948"/>
    <w:rsid w:val="00B25AA8"/>
    <w:rsid w:val="00B2685F"/>
    <w:rsid w:val="00B272D2"/>
    <w:rsid w:val="00B301BB"/>
    <w:rsid w:val="00B307A5"/>
    <w:rsid w:val="00B32C6A"/>
    <w:rsid w:val="00B33014"/>
    <w:rsid w:val="00B33CAC"/>
    <w:rsid w:val="00B34D20"/>
    <w:rsid w:val="00B35371"/>
    <w:rsid w:val="00B35394"/>
    <w:rsid w:val="00B3559F"/>
    <w:rsid w:val="00B35A36"/>
    <w:rsid w:val="00B35B85"/>
    <w:rsid w:val="00B36256"/>
    <w:rsid w:val="00B3693C"/>
    <w:rsid w:val="00B37087"/>
    <w:rsid w:val="00B37259"/>
    <w:rsid w:val="00B376D0"/>
    <w:rsid w:val="00B37721"/>
    <w:rsid w:val="00B401ED"/>
    <w:rsid w:val="00B40629"/>
    <w:rsid w:val="00B40CAA"/>
    <w:rsid w:val="00B40E43"/>
    <w:rsid w:val="00B40E8D"/>
    <w:rsid w:val="00B411B9"/>
    <w:rsid w:val="00B41776"/>
    <w:rsid w:val="00B42815"/>
    <w:rsid w:val="00B428DD"/>
    <w:rsid w:val="00B42ACB"/>
    <w:rsid w:val="00B43080"/>
    <w:rsid w:val="00B4436E"/>
    <w:rsid w:val="00B4503B"/>
    <w:rsid w:val="00B45163"/>
    <w:rsid w:val="00B4588B"/>
    <w:rsid w:val="00B463DC"/>
    <w:rsid w:val="00B467AA"/>
    <w:rsid w:val="00B46C13"/>
    <w:rsid w:val="00B46D0D"/>
    <w:rsid w:val="00B471E8"/>
    <w:rsid w:val="00B47E29"/>
    <w:rsid w:val="00B502B5"/>
    <w:rsid w:val="00B504D4"/>
    <w:rsid w:val="00B50838"/>
    <w:rsid w:val="00B51705"/>
    <w:rsid w:val="00B51933"/>
    <w:rsid w:val="00B5273B"/>
    <w:rsid w:val="00B52CF4"/>
    <w:rsid w:val="00B5374C"/>
    <w:rsid w:val="00B538F7"/>
    <w:rsid w:val="00B545CB"/>
    <w:rsid w:val="00B54BDA"/>
    <w:rsid w:val="00B54D8B"/>
    <w:rsid w:val="00B55051"/>
    <w:rsid w:val="00B556DC"/>
    <w:rsid w:val="00B55A77"/>
    <w:rsid w:val="00B55F1F"/>
    <w:rsid w:val="00B5607C"/>
    <w:rsid w:val="00B5641F"/>
    <w:rsid w:val="00B577AE"/>
    <w:rsid w:val="00B60686"/>
    <w:rsid w:val="00B60827"/>
    <w:rsid w:val="00B60D8D"/>
    <w:rsid w:val="00B60DD8"/>
    <w:rsid w:val="00B61AF4"/>
    <w:rsid w:val="00B61BD1"/>
    <w:rsid w:val="00B61FFF"/>
    <w:rsid w:val="00B62758"/>
    <w:rsid w:val="00B628F2"/>
    <w:rsid w:val="00B62B1D"/>
    <w:rsid w:val="00B62DF8"/>
    <w:rsid w:val="00B6322F"/>
    <w:rsid w:val="00B635B5"/>
    <w:rsid w:val="00B63781"/>
    <w:rsid w:val="00B63FA3"/>
    <w:rsid w:val="00B64993"/>
    <w:rsid w:val="00B64B82"/>
    <w:rsid w:val="00B6685A"/>
    <w:rsid w:val="00B66D14"/>
    <w:rsid w:val="00B670C8"/>
    <w:rsid w:val="00B674F7"/>
    <w:rsid w:val="00B677B7"/>
    <w:rsid w:val="00B67B93"/>
    <w:rsid w:val="00B67F05"/>
    <w:rsid w:val="00B711EC"/>
    <w:rsid w:val="00B7159D"/>
    <w:rsid w:val="00B7166A"/>
    <w:rsid w:val="00B716CA"/>
    <w:rsid w:val="00B718C4"/>
    <w:rsid w:val="00B720AD"/>
    <w:rsid w:val="00B72773"/>
    <w:rsid w:val="00B72F05"/>
    <w:rsid w:val="00B732C9"/>
    <w:rsid w:val="00B73C7C"/>
    <w:rsid w:val="00B73F76"/>
    <w:rsid w:val="00B747CC"/>
    <w:rsid w:val="00B74959"/>
    <w:rsid w:val="00B7532C"/>
    <w:rsid w:val="00B75379"/>
    <w:rsid w:val="00B753F1"/>
    <w:rsid w:val="00B75726"/>
    <w:rsid w:val="00B7574D"/>
    <w:rsid w:val="00B75AAD"/>
    <w:rsid w:val="00B75AB4"/>
    <w:rsid w:val="00B75AEB"/>
    <w:rsid w:val="00B7773E"/>
    <w:rsid w:val="00B77962"/>
    <w:rsid w:val="00B80094"/>
    <w:rsid w:val="00B8035E"/>
    <w:rsid w:val="00B803A7"/>
    <w:rsid w:val="00B80EEB"/>
    <w:rsid w:val="00B8194D"/>
    <w:rsid w:val="00B819BC"/>
    <w:rsid w:val="00B8202D"/>
    <w:rsid w:val="00B83377"/>
    <w:rsid w:val="00B83AC9"/>
    <w:rsid w:val="00B83B3C"/>
    <w:rsid w:val="00B841D4"/>
    <w:rsid w:val="00B84C8A"/>
    <w:rsid w:val="00B85521"/>
    <w:rsid w:val="00B85D54"/>
    <w:rsid w:val="00B8620F"/>
    <w:rsid w:val="00B8624D"/>
    <w:rsid w:val="00B862CD"/>
    <w:rsid w:val="00B8688C"/>
    <w:rsid w:val="00B86965"/>
    <w:rsid w:val="00B87D4C"/>
    <w:rsid w:val="00B87DB1"/>
    <w:rsid w:val="00B903EC"/>
    <w:rsid w:val="00B90645"/>
    <w:rsid w:val="00B9211F"/>
    <w:rsid w:val="00B92388"/>
    <w:rsid w:val="00B924A3"/>
    <w:rsid w:val="00B928F5"/>
    <w:rsid w:val="00B92F11"/>
    <w:rsid w:val="00B930E9"/>
    <w:rsid w:val="00B9314B"/>
    <w:rsid w:val="00B935DA"/>
    <w:rsid w:val="00B9371C"/>
    <w:rsid w:val="00B93962"/>
    <w:rsid w:val="00B94023"/>
    <w:rsid w:val="00B94642"/>
    <w:rsid w:val="00B94908"/>
    <w:rsid w:val="00B95178"/>
    <w:rsid w:val="00B953F7"/>
    <w:rsid w:val="00B9551B"/>
    <w:rsid w:val="00B95CFE"/>
    <w:rsid w:val="00B963AC"/>
    <w:rsid w:val="00B96AA4"/>
    <w:rsid w:val="00B9705E"/>
    <w:rsid w:val="00B97CE4"/>
    <w:rsid w:val="00BA0113"/>
    <w:rsid w:val="00BA01D7"/>
    <w:rsid w:val="00BA0668"/>
    <w:rsid w:val="00BA07A7"/>
    <w:rsid w:val="00BA09C0"/>
    <w:rsid w:val="00BA0B1B"/>
    <w:rsid w:val="00BA0BA9"/>
    <w:rsid w:val="00BA0BEF"/>
    <w:rsid w:val="00BA1E3B"/>
    <w:rsid w:val="00BA2049"/>
    <w:rsid w:val="00BA20EE"/>
    <w:rsid w:val="00BA2E51"/>
    <w:rsid w:val="00BA396F"/>
    <w:rsid w:val="00BA3D9F"/>
    <w:rsid w:val="00BA40C3"/>
    <w:rsid w:val="00BA421D"/>
    <w:rsid w:val="00BA4954"/>
    <w:rsid w:val="00BA58AB"/>
    <w:rsid w:val="00BA69A9"/>
    <w:rsid w:val="00BA6B75"/>
    <w:rsid w:val="00BA6CD1"/>
    <w:rsid w:val="00BA71F3"/>
    <w:rsid w:val="00BA7390"/>
    <w:rsid w:val="00BA7B19"/>
    <w:rsid w:val="00BA7E31"/>
    <w:rsid w:val="00BA7EEC"/>
    <w:rsid w:val="00BB09FC"/>
    <w:rsid w:val="00BB1306"/>
    <w:rsid w:val="00BB166A"/>
    <w:rsid w:val="00BB1ECB"/>
    <w:rsid w:val="00BB23A6"/>
    <w:rsid w:val="00BB2F84"/>
    <w:rsid w:val="00BB3378"/>
    <w:rsid w:val="00BB3440"/>
    <w:rsid w:val="00BB40FE"/>
    <w:rsid w:val="00BB496B"/>
    <w:rsid w:val="00BB49DF"/>
    <w:rsid w:val="00BB4BDD"/>
    <w:rsid w:val="00BB5450"/>
    <w:rsid w:val="00BB5998"/>
    <w:rsid w:val="00BB5D9D"/>
    <w:rsid w:val="00BB6250"/>
    <w:rsid w:val="00BB6D80"/>
    <w:rsid w:val="00BB7D66"/>
    <w:rsid w:val="00BC068C"/>
    <w:rsid w:val="00BC0CF2"/>
    <w:rsid w:val="00BC0F00"/>
    <w:rsid w:val="00BC0F27"/>
    <w:rsid w:val="00BC121D"/>
    <w:rsid w:val="00BC1499"/>
    <w:rsid w:val="00BC1BF7"/>
    <w:rsid w:val="00BC1E91"/>
    <w:rsid w:val="00BC2AD3"/>
    <w:rsid w:val="00BC2F1C"/>
    <w:rsid w:val="00BC31DA"/>
    <w:rsid w:val="00BC339D"/>
    <w:rsid w:val="00BC36D8"/>
    <w:rsid w:val="00BC36E3"/>
    <w:rsid w:val="00BC4022"/>
    <w:rsid w:val="00BC457C"/>
    <w:rsid w:val="00BC4887"/>
    <w:rsid w:val="00BC48D8"/>
    <w:rsid w:val="00BC504F"/>
    <w:rsid w:val="00BC550D"/>
    <w:rsid w:val="00BC563C"/>
    <w:rsid w:val="00BC5C63"/>
    <w:rsid w:val="00BC6BFF"/>
    <w:rsid w:val="00BC7059"/>
    <w:rsid w:val="00BD048E"/>
    <w:rsid w:val="00BD1113"/>
    <w:rsid w:val="00BD1A6B"/>
    <w:rsid w:val="00BD2C82"/>
    <w:rsid w:val="00BD3161"/>
    <w:rsid w:val="00BD373A"/>
    <w:rsid w:val="00BD3A6C"/>
    <w:rsid w:val="00BD3D92"/>
    <w:rsid w:val="00BD4639"/>
    <w:rsid w:val="00BD4736"/>
    <w:rsid w:val="00BD4ADB"/>
    <w:rsid w:val="00BD4B18"/>
    <w:rsid w:val="00BD56B8"/>
    <w:rsid w:val="00BD5A1B"/>
    <w:rsid w:val="00BD5C1B"/>
    <w:rsid w:val="00BD645D"/>
    <w:rsid w:val="00BD67A5"/>
    <w:rsid w:val="00BD6F63"/>
    <w:rsid w:val="00BE045B"/>
    <w:rsid w:val="00BE0D25"/>
    <w:rsid w:val="00BE0E5E"/>
    <w:rsid w:val="00BE10C3"/>
    <w:rsid w:val="00BE1817"/>
    <w:rsid w:val="00BE18AA"/>
    <w:rsid w:val="00BE1BE1"/>
    <w:rsid w:val="00BE231F"/>
    <w:rsid w:val="00BE2F9F"/>
    <w:rsid w:val="00BE3636"/>
    <w:rsid w:val="00BE3B31"/>
    <w:rsid w:val="00BE4032"/>
    <w:rsid w:val="00BE45B6"/>
    <w:rsid w:val="00BE55EA"/>
    <w:rsid w:val="00BE588B"/>
    <w:rsid w:val="00BE5EEB"/>
    <w:rsid w:val="00BE673A"/>
    <w:rsid w:val="00BE7637"/>
    <w:rsid w:val="00BE7643"/>
    <w:rsid w:val="00BE76D0"/>
    <w:rsid w:val="00BE7B1D"/>
    <w:rsid w:val="00BF00A7"/>
    <w:rsid w:val="00BF1CC4"/>
    <w:rsid w:val="00BF26ED"/>
    <w:rsid w:val="00BF2AD8"/>
    <w:rsid w:val="00BF2EE2"/>
    <w:rsid w:val="00BF2F4E"/>
    <w:rsid w:val="00BF3CFA"/>
    <w:rsid w:val="00BF3E7D"/>
    <w:rsid w:val="00BF4028"/>
    <w:rsid w:val="00BF560A"/>
    <w:rsid w:val="00BF562D"/>
    <w:rsid w:val="00BF592C"/>
    <w:rsid w:val="00BF626A"/>
    <w:rsid w:val="00BF6A75"/>
    <w:rsid w:val="00BF738E"/>
    <w:rsid w:val="00BF772F"/>
    <w:rsid w:val="00BF7B9E"/>
    <w:rsid w:val="00BF7D23"/>
    <w:rsid w:val="00C00FFC"/>
    <w:rsid w:val="00C01195"/>
    <w:rsid w:val="00C0163B"/>
    <w:rsid w:val="00C01C0D"/>
    <w:rsid w:val="00C01D74"/>
    <w:rsid w:val="00C01EAE"/>
    <w:rsid w:val="00C028BA"/>
    <w:rsid w:val="00C02999"/>
    <w:rsid w:val="00C02BC9"/>
    <w:rsid w:val="00C031E8"/>
    <w:rsid w:val="00C04539"/>
    <w:rsid w:val="00C04DEE"/>
    <w:rsid w:val="00C0580B"/>
    <w:rsid w:val="00C059A8"/>
    <w:rsid w:val="00C062C8"/>
    <w:rsid w:val="00C0639F"/>
    <w:rsid w:val="00C065EF"/>
    <w:rsid w:val="00C06741"/>
    <w:rsid w:val="00C0684C"/>
    <w:rsid w:val="00C06A73"/>
    <w:rsid w:val="00C070ED"/>
    <w:rsid w:val="00C07388"/>
    <w:rsid w:val="00C073ED"/>
    <w:rsid w:val="00C07D92"/>
    <w:rsid w:val="00C07EC8"/>
    <w:rsid w:val="00C100E8"/>
    <w:rsid w:val="00C10273"/>
    <w:rsid w:val="00C111EE"/>
    <w:rsid w:val="00C11931"/>
    <w:rsid w:val="00C11EDF"/>
    <w:rsid w:val="00C12982"/>
    <w:rsid w:val="00C135F2"/>
    <w:rsid w:val="00C13D72"/>
    <w:rsid w:val="00C1419C"/>
    <w:rsid w:val="00C14535"/>
    <w:rsid w:val="00C156F3"/>
    <w:rsid w:val="00C15F4C"/>
    <w:rsid w:val="00C16C87"/>
    <w:rsid w:val="00C20323"/>
    <w:rsid w:val="00C20332"/>
    <w:rsid w:val="00C20A5C"/>
    <w:rsid w:val="00C20C57"/>
    <w:rsid w:val="00C20ED3"/>
    <w:rsid w:val="00C21A24"/>
    <w:rsid w:val="00C21FF3"/>
    <w:rsid w:val="00C22852"/>
    <w:rsid w:val="00C22BBE"/>
    <w:rsid w:val="00C2336E"/>
    <w:rsid w:val="00C2346F"/>
    <w:rsid w:val="00C239A6"/>
    <w:rsid w:val="00C239AD"/>
    <w:rsid w:val="00C2415A"/>
    <w:rsid w:val="00C24CF2"/>
    <w:rsid w:val="00C24F4C"/>
    <w:rsid w:val="00C25842"/>
    <w:rsid w:val="00C25893"/>
    <w:rsid w:val="00C267E5"/>
    <w:rsid w:val="00C26938"/>
    <w:rsid w:val="00C27110"/>
    <w:rsid w:val="00C27FFE"/>
    <w:rsid w:val="00C306F1"/>
    <w:rsid w:val="00C30D6C"/>
    <w:rsid w:val="00C31CEA"/>
    <w:rsid w:val="00C3212C"/>
    <w:rsid w:val="00C3262D"/>
    <w:rsid w:val="00C329A1"/>
    <w:rsid w:val="00C32FA4"/>
    <w:rsid w:val="00C3342D"/>
    <w:rsid w:val="00C336A5"/>
    <w:rsid w:val="00C33919"/>
    <w:rsid w:val="00C33A4D"/>
    <w:rsid w:val="00C33B35"/>
    <w:rsid w:val="00C33FFC"/>
    <w:rsid w:val="00C34CD8"/>
    <w:rsid w:val="00C35675"/>
    <w:rsid w:val="00C35794"/>
    <w:rsid w:val="00C35B77"/>
    <w:rsid w:val="00C35DD5"/>
    <w:rsid w:val="00C360C5"/>
    <w:rsid w:val="00C3627C"/>
    <w:rsid w:val="00C373D7"/>
    <w:rsid w:val="00C3789B"/>
    <w:rsid w:val="00C37C88"/>
    <w:rsid w:val="00C4020B"/>
    <w:rsid w:val="00C40374"/>
    <w:rsid w:val="00C4096A"/>
    <w:rsid w:val="00C40A7D"/>
    <w:rsid w:val="00C41A53"/>
    <w:rsid w:val="00C41C53"/>
    <w:rsid w:val="00C41E42"/>
    <w:rsid w:val="00C4239B"/>
    <w:rsid w:val="00C424FB"/>
    <w:rsid w:val="00C42522"/>
    <w:rsid w:val="00C4298F"/>
    <w:rsid w:val="00C42F0A"/>
    <w:rsid w:val="00C4303F"/>
    <w:rsid w:val="00C430F9"/>
    <w:rsid w:val="00C43241"/>
    <w:rsid w:val="00C432A9"/>
    <w:rsid w:val="00C43BF8"/>
    <w:rsid w:val="00C43C0B"/>
    <w:rsid w:val="00C4420F"/>
    <w:rsid w:val="00C4486F"/>
    <w:rsid w:val="00C453A0"/>
    <w:rsid w:val="00C456B5"/>
    <w:rsid w:val="00C4590A"/>
    <w:rsid w:val="00C4592C"/>
    <w:rsid w:val="00C4617F"/>
    <w:rsid w:val="00C4620F"/>
    <w:rsid w:val="00C46210"/>
    <w:rsid w:val="00C47443"/>
    <w:rsid w:val="00C47709"/>
    <w:rsid w:val="00C4777F"/>
    <w:rsid w:val="00C479E9"/>
    <w:rsid w:val="00C47AEF"/>
    <w:rsid w:val="00C47C7E"/>
    <w:rsid w:val="00C5009E"/>
    <w:rsid w:val="00C507B7"/>
    <w:rsid w:val="00C50948"/>
    <w:rsid w:val="00C51648"/>
    <w:rsid w:val="00C5192E"/>
    <w:rsid w:val="00C51E4D"/>
    <w:rsid w:val="00C52123"/>
    <w:rsid w:val="00C524A2"/>
    <w:rsid w:val="00C52FBD"/>
    <w:rsid w:val="00C537D5"/>
    <w:rsid w:val="00C54508"/>
    <w:rsid w:val="00C54813"/>
    <w:rsid w:val="00C54D85"/>
    <w:rsid w:val="00C552C7"/>
    <w:rsid w:val="00C556E5"/>
    <w:rsid w:val="00C563B8"/>
    <w:rsid w:val="00C56571"/>
    <w:rsid w:val="00C569B8"/>
    <w:rsid w:val="00C56DD0"/>
    <w:rsid w:val="00C57018"/>
    <w:rsid w:val="00C57086"/>
    <w:rsid w:val="00C57BA0"/>
    <w:rsid w:val="00C57F74"/>
    <w:rsid w:val="00C6055D"/>
    <w:rsid w:val="00C609A5"/>
    <w:rsid w:val="00C60F49"/>
    <w:rsid w:val="00C613B4"/>
    <w:rsid w:val="00C61807"/>
    <w:rsid w:val="00C61888"/>
    <w:rsid w:val="00C6198D"/>
    <w:rsid w:val="00C61F65"/>
    <w:rsid w:val="00C61FFD"/>
    <w:rsid w:val="00C6297A"/>
    <w:rsid w:val="00C6392C"/>
    <w:rsid w:val="00C63AB5"/>
    <w:rsid w:val="00C63C0F"/>
    <w:rsid w:val="00C640A0"/>
    <w:rsid w:val="00C647D4"/>
    <w:rsid w:val="00C64B0E"/>
    <w:rsid w:val="00C65801"/>
    <w:rsid w:val="00C65916"/>
    <w:rsid w:val="00C667CC"/>
    <w:rsid w:val="00C66E5D"/>
    <w:rsid w:val="00C6765F"/>
    <w:rsid w:val="00C676B4"/>
    <w:rsid w:val="00C6776F"/>
    <w:rsid w:val="00C6799B"/>
    <w:rsid w:val="00C679CB"/>
    <w:rsid w:val="00C67A46"/>
    <w:rsid w:val="00C67BC4"/>
    <w:rsid w:val="00C702A1"/>
    <w:rsid w:val="00C70C18"/>
    <w:rsid w:val="00C70E06"/>
    <w:rsid w:val="00C717B0"/>
    <w:rsid w:val="00C71818"/>
    <w:rsid w:val="00C71C54"/>
    <w:rsid w:val="00C71CF2"/>
    <w:rsid w:val="00C727AE"/>
    <w:rsid w:val="00C72FFA"/>
    <w:rsid w:val="00C73050"/>
    <w:rsid w:val="00C735A5"/>
    <w:rsid w:val="00C74298"/>
    <w:rsid w:val="00C7490F"/>
    <w:rsid w:val="00C74C73"/>
    <w:rsid w:val="00C75FD6"/>
    <w:rsid w:val="00C760AA"/>
    <w:rsid w:val="00C761B2"/>
    <w:rsid w:val="00C76FBC"/>
    <w:rsid w:val="00C77AF4"/>
    <w:rsid w:val="00C77BD5"/>
    <w:rsid w:val="00C8018A"/>
    <w:rsid w:val="00C80473"/>
    <w:rsid w:val="00C808D8"/>
    <w:rsid w:val="00C80BB7"/>
    <w:rsid w:val="00C80DEB"/>
    <w:rsid w:val="00C80E56"/>
    <w:rsid w:val="00C81328"/>
    <w:rsid w:val="00C81359"/>
    <w:rsid w:val="00C81626"/>
    <w:rsid w:val="00C81835"/>
    <w:rsid w:val="00C81CD9"/>
    <w:rsid w:val="00C82484"/>
    <w:rsid w:val="00C828FF"/>
    <w:rsid w:val="00C8295A"/>
    <w:rsid w:val="00C834DE"/>
    <w:rsid w:val="00C8362E"/>
    <w:rsid w:val="00C83677"/>
    <w:rsid w:val="00C83963"/>
    <w:rsid w:val="00C83B4D"/>
    <w:rsid w:val="00C84198"/>
    <w:rsid w:val="00C8474A"/>
    <w:rsid w:val="00C84FE2"/>
    <w:rsid w:val="00C85036"/>
    <w:rsid w:val="00C857A1"/>
    <w:rsid w:val="00C858B8"/>
    <w:rsid w:val="00C85EA5"/>
    <w:rsid w:val="00C86366"/>
    <w:rsid w:val="00C86CA9"/>
    <w:rsid w:val="00C86D98"/>
    <w:rsid w:val="00C87AE1"/>
    <w:rsid w:val="00C87F3D"/>
    <w:rsid w:val="00C9079F"/>
    <w:rsid w:val="00C90E4C"/>
    <w:rsid w:val="00C9134E"/>
    <w:rsid w:val="00C91420"/>
    <w:rsid w:val="00C931B6"/>
    <w:rsid w:val="00C93737"/>
    <w:rsid w:val="00C93CD6"/>
    <w:rsid w:val="00C9453F"/>
    <w:rsid w:val="00C945DC"/>
    <w:rsid w:val="00C94835"/>
    <w:rsid w:val="00C94BB2"/>
    <w:rsid w:val="00C94DE5"/>
    <w:rsid w:val="00C95622"/>
    <w:rsid w:val="00C95B8E"/>
    <w:rsid w:val="00C96186"/>
    <w:rsid w:val="00C968E7"/>
    <w:rsid w:val="00C96BC5"/>
    <w:rsid w:val="00C96E9B"/>
    <w:rsid w:val="00CA013E"/>
    <w:rsid w:val="00CA04A3"/>
    <w:rsid w:val="00CA053F"/>
    <w:rsid w:val="00CA05CD"/>
    <w:rsid w:val="00CA073E"/>
    <w:rsid w:val="00CA0BE6"/>
    <w:rsid w:val="00CA1351"/>
    <w:rsid w:val="00CA13F0"/>
    <w:rsid w:val="00CA1858"/>
    <w:rsid w:val="00CA1F11"/>
    <w:rsid w:val="00CA205E"/>
    <w:rsid w:val="00CA237A"/>
    <w:rsid w:val="00CA24B8"/>
    <w:rsid w:val="00CA2958"/>
    <w:rsid w:val="00CA2E8E"/>
    <w:rsid w:val="00CA3A40"/>
    <w:rsid w:val="00CA3EA3"/>
    <w:rsid w:val="00CA4115"/>
    <w:rsid w:val="00CA4308"/>
    <w:rsid w:val="00CA4DF8"/>
    <w:rsid w:val="00CA5494"/>
    <w:rsid w:val="00CA5AA2"/>
    <w:rsid w:val="00CA5FEE"/>
    <w:rsid w:val="00CA68F6"/>
    <w:rsid w:val="00CA6B48"/>
    <w:rsid w:val="00CA6E04"/>
    <w:rsid w:val="00CA76EA"/>
    <w:rsid w:val="00CA7768"/>
    <w:rsid w:val="00CA78A7"/>
    <w:rsid w:val="00CB040B"/>
    <w:rsid w:val="00CB04FB"/>
    <w:rsid w:val="00CB09F9"/>
    <w:rsid w:val="00CB0A42"/>
    <w:rsid w:val="00CB161C"/>
    <w:rsid w:val="00CB18A8"/>
    <w:rsid w:val="00CB228B"/>
    <w:rsid w:val="00CB2B66"/>
    <w:rsid w:val="00CB2D37"/>
    <w:rsid w:val="00CB356C"/>
    <w:rsid w:val="00CB39B4"/>
    <w:rsid w:val="00CB3CA5"/>
    <w:rsid w:val="00CB4C31"/>
    <w:rsid w:val="00CB576B"/>
    <w:rsid w:val="00CB57AF"/>
    <w:rsid w:val="00CB598D"/>
    <w:rsid w:val="00CB5B03"/>
    <w:rsid w:val="00CB62C0"/>
    <w:rsid w:val="00CB7213"/>
    <w:rsid w:val="00CB73C3"/>
    <w:rsid w:val="00CB7449"/>
    <w:rsid w:val="00CC010A"/>
    <w:rsid w:val="00CC0219"/>
    <w:rsid w:val="00CC0827"/>
    <w:rsid w:val="00CC17A2"/>
    <w:rsid w:val="00CC1829"/>
    <w:rsid w:val="00CC1A6B"/>
    <w:rsid w:val="00CC1E82"/>
    <w:rsid w:val="00CC2068"/>
    <w:rsid w:val="00CC216E"/>
    <w:rsid w:val="00CC22CC"/>
    <w:rsid w:val="00CC265B"/>
    <w:rsid w:val="00CC296F"/>
    <w:rsid w:val="00CC3030"/>
    <w:rsid w:val="00CC3125"/>
    <w:rsid w:val="00CC3F4F"/>
    <w:rsid w:val="00CC46FD"/>
    <w:rsid w:val="00CC492D"/>
    <w:rsid w:val="00CC4B02"/>
    <w:rsid w:val="00CC4BB5"/>
    <w:rsid w:val="00CC4D1E"/>
    <w:rsid w:val="00CC4D5C"/>
    <w:rsid w:val="00CC4D64"/>
    <w:rsid w:val="00CC548A"/>
    <w:rsid w:val="00CC57ED"/>
    <w:rsid w:val="00CC6256"/>
    <w:rsid w:val="00CC65C5"/>
    <w:rsid w:val="00CC7FB4"/>
    <w:rsid w:val="00CD1211"/>
    <w:rsid w:val="00CD1884"/>
    <w:rsid w:val="00CD1BAF"/>
    <w:rsid w:val="00CD1DA3"/>
    <w:rsid w:val="00CD26DC"/>
    <w:rsid w:val="00CD2A7C"/>
    <w:rsid w:val="00CD2E2A"/>
    <w:rsid w:val="00CD310D"/>
    <w:rsid w:val="00CD33FB"/>
    <w:rsid w:val="00CD3614"/>
    <w:rsid w:val="00CD419B"/>
    <w:rsid w:val="00CD41E8"/>
    <w:rsid w:val="00CD4514"/>
    <w:rsid w:val="00CD4C19"/>
    <w:rsid w:val="00CD4EB2"/>
    <w:rsid w:val="00CD51D6"/>
    <w:rsid w:val="00CD59D0"/>
    <w:rsid w:val="00CD5F10"/>
    <w:rsid w:val="00CD6139"/>
    <w:rsid w:val="00CD6833"/>
    <w:rsid w:val="00CD6945"/>
    <w:rsid w:val="00CD695F"/>
    <w:rsid w:val="00CD7060"/>
    <w:rsid w:val="00CD75A2"/>
    <w:rsid w:val="00CD75A6"/>
    <w:rsid w:val="00CD7604"/>
    <w:rsid w:val="00CD7E0E"/>
    <w:rsid w:val="00CD7E2B"/>
    <w:rsid w:val="00CE0E23"/>
    <w:rsid w:val="00CE0ED0"/>
    <w:rsid w:val="00CE125E"/>
    <w:rsid w:val="00CE136E"/>
    <w:rsid w:val="00CE1DBF"/>
    <w:rsid w:val="00CE1F7B"/>
    <w:rsid w:val="00CE236A"/>
    <w:rsid w:val="00CE28CC"/>
    <w:rsid w:val="00CE2C77"/>
    <w:rsid w:val="00CE2F7B"/>
    <w:rsid w:val="00CE39C5"/>
    <w:rsid w:val="00CE3E16"/>
    <w:rsid w:val="00CE4D9E"/>
    <w:rsid w:val="00CE571F"/>
    <w:rsid w:val="00CE5AD7"/>
    <w:rsid w:val="00CE64E4"/>
    <w:rsid w:val="00CE674C"/>
    <w:rsid w:val="00CE6994"/>
    <w:rsid w:val="00CE6B09"/>
    <w:rsid w:val="00CE6D4A"/>
    <w:rsid w:val="00CE79B1"/>
    <w:rsid w:val="00CE7C99"/>
    <w:rsid w:val="00CE7E90"/>
    <w:rsid w:val="00CF12E9"/>
    <w:rsid w:val="00CF1613"/>
    <w:rsid w:val="00CF19B3"/>
    <w:rsid w:val="00CF1DB7"/>
    <w:rsid w:val="00CF1FFB"/>
    <w:rsid w:val="00CF2B6E"/>
    <w:rsid w:val="00CF3434"/>
    <w:rsid w:val="00CF35F0"/>
    <w:rsid w:val="00CF384F"/>
    <w:rsid w:val="00CF3FB4"/>
    <w:rsid w:val="00CF406E"/>
    <w:rsid w:val="00CF40A0"/>
    <w:rsid w:val="00CF4FEC"/>
    <w:rsid w:val="00CF514A"/>
    <w:rsid w:val="00CF55A4"/>
    <w:rsid w:val="00CF564F"/>
    <w:rsid w:val="00CF5798"/>
    <w:rsid w:val="00CF5CC7"/>
    <w:rsid w:val="00CF663E"/>
    <w:rsid w:val="00CF6C43"/>
    <w:rsid w:val="00CF6E7B"/>
    <w:rsid w:val="00CF7394"/>
    <w:rsid w:val="00CF7754"/>
    <w:rsid w:val="00CF7F61"/>
    <w:rsid w:val="00D003B8"/>
    <w:rsid w:val="00D01165"/>
    <w:rsid w:val="00D01628"/>
    <w:rsid w:val="00D01DD8"/>
    <w:rsid w:val="00D02395"/>
    <w:rsid w:val="00D02BE7"/>
    <w:rsid w:val="00D02EC5"/>
    <w:rsid w:val="00D03087"/>
    <w:rsid w:val="00D03696"/>
    <w:rsid w:val="00D03DC9"/>
    <w:rsid w:val="00D03F67"/>
    <w:rsid w:val="00D047B6"/>
    <w:rsid w:val="00D0589C"/>
    <w:rsid w:val="00D0595A"/>
    <w:rsid w:val="00D05C62"/>
    <w:rsid w:val="00D069DD"/>
    <w:rsid w:val="00D06B53"/>
    <w:rsid w:val="00D0702C"/>
    <w:rsid w:val="00D071FE"/>
    <w:rsid w:val="00D07AF1"/>
    <w:rsid w:val="00D07CA2"/>
    <w:rsid w:val="00D107F1"/>
    <w:rsid w:val="00D10E1B"/>
    <w:rsid w:val="00D10EDE"/>
    <w:rsid w:val="00D1124F"/>
    <w:rsid w:val="00D11421"/>
    <w:rsid w:val="00D11993"/>
    <w:rsid w:val="00D11999"/>
    <w:rsid w:val="00D11E59"/>
    <w:rsid w:val="00D12387"/>
    <w:rsid w:val="00D12522"/>
    <w:rsid w:val="00D12725"/>
    <w:rsid w:val="00D129FF"/>
    <w:rsid w:val="00D13114"/>
    <w:rsid w:val="00D13271"/>
    <w:rsid w:val="00D13B1F"/>
    <w:rsid w:val="00D13EAA"/>
    <w:rsid w:val="00D141B4"/>
    <w:rsid w:val="00D14948"/>
    <w:rsid w:val="00D149CB"/>
    <w:rsid w:val="00D14D9B"/>
    <w:rsid w:val="00D155D2"/>
    <w:rsid w:val="00D1562F"/>
    <w:rsid w:val="00D162FF"/>
    <w:rsid w:val="00D167B3"/>
    <w:rsid w:val="00D16C6B"/>
    <w:rsid w:val="00D174D1"/>
    <w:rsid w:val="00D177A2"/>
    <w:rsid w:val="00D178EA"/>
    <w:rsid w:val="00D17B77"/>
    <w:rsid w:val="00D20868"/>
    <w:rsid w:val="00D209B1"/>
    <w:rsid w:val="00D20F28"/>
    <w:rsid w:val="00D21342"/>
    <w:rsid w:val="00D2173F"/>
    <w:rsid w:val="00D217B4"/>
    <w:rsid w:val="00D21C19"/>
    <w:rsid w:val="00D21FEF"/>
    <w:rsid w:val="00D22746"/>
    <w:rsid w:val="00D22E33"/>
    <w:rsid w:val="00D237A0"/>
    <w:rsid w:val="00D23D1E"/>
    <w:rsid w:val="00D23FA3"/>
    <w:rsid w:val="00D24E95"/>
    <w:rsid w:val="00D2690F"/>
    <w:rsid w:val="00D27069"/>
    <w:rsid w:val="00D2723E"/>
    <w:rsid w:val="00D276C3"/>
    <w:rsid w:val="00D278A5"/>
    <w:rsid w:val="00D27B57"/>
    <w:rsid w:val="00D30DD4"/>
    <w:rsid w:val="00D31DC6"/>
    <w:rsid w:val="00D325D4"/>
    <w:rsid w:val="00D32F8E"/>
    <w:rsid w:val="00D33061"/>
    <w:rsid w:val="00D33EED"/>
    <w:rsid w:val="00D3446B"/>
    <w:rsid w:val="00D34C0D"/>
    <w:rsid w:val="00D35144"/>
    <w:rsid w:val="00D351B7"/>
    <w:rsid w:val="00D35B6D"/>
    <w:rsid w:val="00D36500"/>
    <w:rsid w:val="00D3663C"/>
    <w:rsid w:val="00D3665F"/>
    <w:rsid w:val="00D36723"/>
    <w:rsid w:val="00D36EA5"/>
    <w:rsid w:val="00D36EFD"/>
    <w:rsid w:val="00D3755E"/>
    <w:rsid w:val="00D3767C"/>
    <w:rsid w:val="00D3767E"/>
    <w:rsid w:val="00D37DDB"/>
    <w:rsid w:val="00D402CA"/>
    <w:rsid w:val="00D40C50"/>
    <w:rsid w:val="00D421E4"/>
    <w:rsid w:val="00D42DB3"/>
    <w:rsid w:val="00D42F86"/>
    <w:rsid w:val="00D43016"/>
    <w:rsid w:val="00D43397"/>
    <w:rsid w:val="00D43BBA"/>
    <w:rsid w:val="00D43C47"/>
    <w:rsid w:val="00D44622"/>
    <w:rsid w:val="00D4578A"/>
    <w:rsid w:val="00D46070"/>
    <w:rsid w:val="00D463F1"/>
    <w:rsid w:val="00D46E8B"/>
    <w:rsid w:val="00D47807"/>
    <w:rsid w:val="00D500C9"/>
    <w:rsid w:val="00D50A85"/>
    <w:rsid w:val="00D50B69"/>
    <w:rsid w:val="00D50C84"/>
    <w:rsid w:val="00D512AD"/>
    <w:rsid w:val="00D51406"/>
    <w:rsid w:val="00D5184E"/>
    <w:rsid w:val="00D526B4"/>
    <w:rsid w:val="00D52C5D"/>
    <w:rsid w:val="00D52D4A"/>
    <w:rsid w:val="00D536D6"/>
    <w:rsid w:val="00D546F9"/>
    <w:rsid w:val="00D5509B"/>
    <w:rsid w:val="00D55428"/>
    <w:rsid w:val="00D5549E"/>
    <w:rsid w:val="00D56211"/>
    <w:rsid w:val="00D568D7"/>
    <w:rsid w:val="00D579A9"/>
    <w:rsid w:val="00D60404"/>
    <w:rsid w:val="00D60AA7"/>
    <w:rsid w:val="00D6148D"/>
    <w:rsid w:val="00D619E9"/>
    <w:rsid w:val="00D61F17"/>
    <w:rsid w:val="00D61F66"/>
    <w:rsid w:val="00D620C7"/>
    <w:rsid w:val="00D623AD"/>
    <w:rsid w:val="00D626B8"/>
    <w:rsid w:val="00D6359D"/>
    <w:rsid w:val="00D64553"/>
    <w:rsid w:val="00D646E9"/>
    <w:rsid w:val="00D649AB"/>
    <w:rsid w:val="00D64A13"/>
    <w:rsid w:val="00D65360"/>
    <w:rsid w:val="00D65475"/>
    <w:rsid w:val="00D65B40"/>
    <w:rsid w:val="00D664C7"/>
    <w:rsid w:val="00D674A0"/>
    <w:rsid w:val="00D71078"/>
    <w:rsid w:val="00D72230"/>
    <w:rsid w:val="00D72341"/>
    <w:rsid w:val="00D72363"/>
    <w:rsid w:val="00D728BF"/>
    <w:rsid w:val="00D72CCC"/>
    <w:rsid w:val="00D7312E"/>
    <w:rsid w:val="00D73929"/>
    <w:rsid w:val="00D73C45"/>
    <w:rsid w:val="00D746B7"/>
    <w:rsid w:val="00D746D8"/>
    <w:rsid w:val="00D74CBE"/>
    <w:rsid w:val="00D74D0C"/>
    <w:rsid w:val="00D74F0B"/>
    <w:rsid w:val="00D74F16"/>
    <w:rsid w:val="00D75432"/>
    <w:rsid w:val="00D754B6"/>
    <w:rsid w:val="00D75AA0"/>
    <w:rsid w:val="00D75F13"/>
    <w:rsid w:val="00D75F34"/>
    <w:rsid w:val="00D77025"/>
    <w:rsid w:val="00D771F5"/>
    <w:rsid w:val="00D80500"/>
    <w:rsid w:val="00D811AD"/>
    <w:rsid w:val="00D82171"/>
    <w:rsid w:val="00D822E6"/>
    <w:rsid w:val="00D830F2"/>
    <w:rsid w:val="00D8321A"/>
    <w:rsid w:val="00D83860"/>
    <w:rsid w:val="00D8484D"/>
    <w:rsid w:val="00D84CFA"/>
    <w:rsid w:val="00D84F43"/>
    <w:rsid w:val="00D85044"/>
    <w:rsid w:val="00D855F5"/>
    <w:rsid w:val="00D85778"/>
    <w:rsid w:val="00D861B9"/>
    <w:rsid w:val="00D86FD7"/>
    <w:rsid w:val="00D9015D"/>
    <w:rsid w:val="00D901CD"/>
    <w:rsid w:val="00D9035E"/>
    <w:rsid w:val="00D90707"/>
    <w:rsid w:val="00D9239C"/>
    <w:rsid w:val="00D932C8"/>
    <w:rsid w:val="00D9354B"/>
    <w:rsid w:val="00D94CCE"/>
    <w:rsid w:val="00D95654"/>
    <w:rsid w:val="00D957A1"/>
    <w:rsid w:val="00D96513"/>
    <w:rsid w:val="00D96637"/>
    <w:rsid w:val="00D96D42"/>
    <w:rsid w:val="00D976C3"/>
    <w:rsid w:val="00D97AEF"/>
    <w:rsid w:val="00D97B94"/>
    <w:rsid w:val="00DA0203"/>
    <w:rsid w:val="00DA0346"/>
    <w:rsid w:val="00DA0C24"/>
    <w:rsid w:val="00DA1000"/>
    <w:rsid w:val="00DA1E39"/>
    <w:rsid w:val="00DA22E6"/>
    <w:rsid w:val="00DA2478"/>
    <w:rsid w:val="00DA270A"/>
    <w:rsid w:val="00DA2C02"/>
    <w:rsid w:val="00DA30B2"/>
    <w:rsid w:val="00DA32A3"/>
    <w:rsid w:val="00DA371E"/>
    <w:rsid w:val="00DA38BE"/>
    <w:rsid w:val="00DA38F2"/>
    <w:rsid w:val="00DA3B66"/>
    <w:rsid w:val="00DA4636"/>
    <w:rsid w:val="00DA47FC"/>
    <w:rsid w:val="00DA5868"/>
    <w:rsid w:val="00DA67DE"/>
    <w:rsid w:val="00DA6967"/>
    <w:rsid w:val="00DA6ABF"/>
    <w:rsid w:val="00DA6ACE"/>
    <w:rsid w:val="00DA6BB3"/>
    <w:rsid w:val="00DA7310"/>
    <w:rsid w:val="00DA73D4"/>
    <w:rsid w:val="00DB030F"/>
    <w:rsid w:val="00DB0C8E"/>
    <w:rsid w:val="00DB0ECE"/>
    <w:rsid w:val="00DB1320"/>
    <w:rsid w:val="00DB1C0F"/>
    <w:rsid w:val="00DB2AA0"/>
    <w:rsid w:val="00DB3B6D"/>
    <w:rsid w:val="00DB4B61"/>
    <w:rsid w:val="00DB4C8C"/>
    <w:rsid w:val="00DB5117"/>
    <w:rsid w:val="00DB608C"/>
    <w:rsid w:val="00DB631E"/>
    <w:rsid w:val="00DB651B"/>
    <w:rsid w:val="00DB6DA8"/>
    <w:rsid w:val="00DB71C0"/>
    <w:rsid w:val="00DB79F5"/>
    <w:rsid w:val="00DB7C05"/>
    <w:rsid w:val="00DB7C31"/>
    <w:rsid w:val="00DC005A"/>
    <w:rsid w:val="00DC025C"/>
    <w:rsid w:val="00DC05EA"/>
    <w:rsid w:val="00DC0EDC"/>
    <w:rsid w:val="00DC1796"/>
    <w:rsid w:val="00DC1947"/>
    <w:rsid w:val="00DC1DF7"/>
    <w:rsid w:val="00DC1FC7"/>
    <w:rsid w:val="00DC22D8"/>
    <w:rsid w:val="00DC2F55"/>
    <w:rsid w:val="00DC3343"/>
    <w:rsid w:val="00DC34C6"/>
    <w:rsid w:val="00DC3B05"/>
    <w:rsid w:val="00DC3F5A"/>
    <w:rsid w:val="00DC42E7"/>
    <w:rsid w:val="00DC4537"/>
    <w:rsid w:val="00DC49BD"/>
    <w:rsid w:val="00DC4A0B"/>
    <w:rsid w:val="00DC4C19"/>
    <w:rsid w:val="00DC4E83"/>
    <w:rsid w:val="00DC50CE"/>
    <w:rsid w:val="00DC5856"/>
    <w:rsid w:val="00DC5C08"/>
    <w:rsid w:val="00DC674C"/>
    <w:rsid w:val="00DC6E9F"/>
    <w:rsid w:val="00DC7673"/>
    <w:rsid w:val="00DC7D3D"/>
    <w:rsid w:val="00DD0BE4"/>
    <w:rsid w:val="00DD0D45"/>
    <w:rsid w:val="00DD149E"/>
    <w:rsid w:val="00DD1F63"/>
    <w:rsid w:val="00DD2292"/>
    <w:rsid w:val="00DD3258"/>
    <w:rsid w:val="00DD340B"/>
    <w:rsid w:val="00DD3AC7"/>
    <w:rsid w:val="00DD3EF5"/>
    <w:rsid w:val="00DD4383"/>
    <w:rsid w:val="00DD48AA"/>
    <w:rsid w:val="00DD4B7F"/>
    <w:rsid w:val="00DD4FA0"/>
    <w:rsid w:val="00DD5330"/>
    <w:rsid w:val="00DD602A"/>
    <w:rsid w:val="00DD67F4"/>
    <w:rsid w:val="00DD6BCB"/>
    <w:rsid w:val="00DD760D"/>
    <w:rsid w:val="00DD7C20"/>
    <w:rsid w:val="00DE0043"/>
    <w:rsid w:val="00DE014A"/>
    <w:rsid w:val="00DE0206"/>
    <w:rsid w:val="00DE022B"/>
    <w:rsid w:val="00DE0EDF"/>
    <w:rsid w:val="00DE0F85"/>
    <w:rsid w:val="00DE14CF"/>
    <w:rsid w:val="00DE1E82"/>
    <w:rsid w:val="00DE206C"/>
    <w:rsid w:val="00DE21D9"/>
    <w:rsid w:val="00DE24C5"/>
    <w:rsid w:val="00DE24FD"/>
    <w:rsid w:val="00DE335C"/>
    <w:rsid w:val="00DE3864"/>
    <w:rsid w:val="00DE3DCD"/>
    <w:rsid w:val="00DE416A"/>
    <w:rsid w:val="00DE4A3E"/>
    <w:rsid w:val="00DE52AB"/>
    <w:rsid w:val="00DE54C6"/>
    <w:rsid w:val="00DE57D6"/>
    <w:rsid w:val="00DE5B91"/>
    <w:rsid w:val="00DE6B85"/>
    <w:rsid w:val="00DE6EBB"/>
    <w:rsid w:val="00DE6F0F"/>
    <w:rsid w:val="00DE7652"/>
    <w:rsid w:val="00DE7C97"/>
    <w:rsid w:val="00DF0904"/>
    <w:rsid w:val="00DF0984"/>
    <w:rsid w:val="00DF0BED"/>
    <w:rsid w:val="00DF124A"/>
    <w:rsid w:val="00DF1434"/>
    <w:rsid w:val="00DF1BC0"/>
    <w:rsid w:val="00DF2462"/>
    <w:rsid w:val="00DF268C"/>
    <w:rsid w:val="00DF27D9"/>
    <w:rsid w:val="00DF2E04"/>
    <w:rsid w:val="00DF33BB"/>
    <w:rsid w:val="00DF349E"/>
    <w:rsid w:val="00DF3688"/>
    <w:rsid w:val="00DF3883"/>
    <w:rsid w:val="00DF458D"/>
    <w:rsid w:val="00DF4F84"/>
    <w:rsid w:val="00DF4F9C"/>
    <w:rsid w:val="00DF5527"/>
    <w:rsid w:val="00DF57B7"/>
    <w:rsid w:val="00DF5816"/>
    <w:rsid w:val="00DF5D54"/>
    <w:rsid w:val="00DF5E85"/>
    <w:rsid w:val="00DF730A"/>
    <w:rsid w:val="00DF7E3C"/>
    <w:rsid w:val="00E00788"/>
    <w:rsid w:val="00E00DD2"/>
    <w:rsid w:val="00E00F48"/>
    <w:rsid w:val="00E011E6"/>
    <w:rsid w:val="00E01841"/>
    <w:rsid w:val="00E0199F"/>
    <w:rsid w:val="00E01C4C"/>
    <w:rsid w:val="00E01F24"/>
    <w:rsid w:val="00E01F35"/>
    <w:rsid w:val="00E02200"/>
    <w:rsid w:val="00E023BC"/>
    <w:rsid w:val="00E03683"/>
    <w:rsid w:val="00E03778"/>
    <w:rsid w:val="00E03905"/>
    <w:rsid w:val="00E03DCF"/>
    <w:rsid w:val="00E042EE"/>
    <w:rsid w:val="00E045C6"/>
    <w:rsid w:val="00E04A2B"/>
    <w:rsid w:val="00E04B67"/>
    <w:rsid w:val="00E04C58"/>
    <w:rsid w:val="00E05DF7"/>
    <w:rsid w:val="00E067BA"/>
    <w:rsid w:val="00E06CAD"/>
    <w:rsid w:val="00E07A7C"/>
    <w:rsid w:val="00E07B2D"/>
    <w:rsid w:val="00E07DB6"/>
    <w:rsid w:val="00E07EFF"/>
    <w:rsid w:val="00E1006E"/>
    <w:rsid w:val="00E10C58"/>
    <w:rsid w:val="00E11120"/>
    <w:rsid w:val="00E1118C"/>
    <w:rsid w:val="00E115CC"/>
    <w:rsid w:val="00E11D41"/>
    <w:rsid w:val="00E1216A"/>
    <w:rsid w:val="00E12A76"/>
    <w:rsid w:val="00E12E12"/>
    <w:rsid w:val="00E13088"/>
    <w:rsid w:val="00E131F3"/>
    <w:rsid w:val="00E137DA"/>
    <w:rsid w:val="00E13EC8"/>
    <w:rsid w:val="00E13F3E"/>
    <w:rsid w:val="00E14442"/>
    <w:rsid w:val="00E149AF"/>
    <w:rsid w:val="00E14DA7"/>
    <w:rsid w:val="00E15147"/>
    <w:rsid w:val="00E154F8"/>
    <w:rsid w:val="00E15C2A"/>
    <w:rsid w:val="00E16239"/>
    <w:rsid w:val="00E1654F"/>
    <w:rsid w:val="00E167B7"/>
    <w:rsid w:val="00E16835"/>
    <w:rsid w:val="00E16894"/>
    <w:rsid w:val="00E168D8"/>
    <w:rsid w:val="00E1754D"/>
    <w:rsid w:val="00E175F7"/>
    <w:rsid w:val="00E17C11"/>
    <w:rsid w:val="00E17C8A"/>
    <w:rsid w:val="00E17E16"/>
    <w:rsid w:val="00E207DB"/>
    <w:rsid w:val="00E215A5"/>
    <w:rsid w:val="00E225A8"/>
    <w:rsid w:val="00E22985"/>
    <w:rsid w:val="00E2314A"/>
    <w:rsid w:val="00E23A11"/>
    <w:rsid w:val="00E23E76"/>
    <w:rsid w:val="00E242E2"/>
    <w:rsid w:val="00E24459"/>
    <w:rsid w:val="00E24C5C"/>
    <w:rsid w:val="00E251E3"/>
    <w:rsid w:val="00E25616"/>
    <w:rsid w:val="00E25D3B"/>
    <w:rsid w:val="00E26148"/>
    <w:rsid w:val="00E2650D"/>
    <w:rsid w:val="00E26F9A"/>
    <w:rsid w:val="00E27E57"/>
    <w:rsid w:val="00E304B6"/>
    <w:rsid w:val="00E307EC"/>
    <w:rsid w:val="00E3080D"/>
    <w:rsid w:val="00E30882"/>
    <w:rsid w:val="00E30DB7"/>
    <w:rsid w:val="00E31090"/>
    <w:rsid w:val="00E31993"/>
    <w:rsid w:val="00E31A96"/>
    <w:rsid w:val="00E31E00"/>
    <w:rsid w:val="00E32F07"/>
    <w:rsid w:val="00E33779"/>
    <w:rsid w:val="00E3441F"/>
    <w:rsid w:val="00E34680"/>
    <w:rsid w:val="00E34979"/>
    <w:rsid w:val="00E34D04"/>
    <w:rsid w:val="00E354E2"/>
    <w:rsid w:val="00E36223"/>
    <w:rsid w:val="00E36C06"/>
    <w:rsid w:val="00E37470"/>
    <w:rsid w:val="00E377DD"/>
    <w:rsid w:val="00E378DC"/>
    <w:rsid w:val="00E37A2E"/>
    <w:rsid w:val="00E40052"/>
    <w:rsid w:val="00E40818"/>
    <w:rsid w:val="00E40AFE"/>
    <w:rsid w:val="00E41A3D"/>
    <w:rsid w:val="00E4281E"/>
    <w:rsid w:val="00E42937"/>
    <w:rsid w:val="00E429E6"/>
    <w:rsid w:val="00E43052"/>
    <w:rsid w:val="00E430B9"/>
    <w:rsid w:val="00E43A8A"/>
    <w:rsid w:val="00E4532C"/>
    <w:rsid w:val="00E45892"/>
    <w:rsid w:val="00E45C4F"/>
    <w:rsid w:val="00E46CFE"/>
    <w:rsid w:val="00E46E2E"/>
    <w:rsid w:val="00E47CC9"/>
    <w:rsid w:val="00E507F8"/>
    <w:rsid w:val="00E5099D"/>
    <w:rsid w:val="00E50A18"/>
    <w:rsid w:val="00E50B41"/>
    <w:rsid w:val="00E50B57"/>
    <w:rsid w:val="00E511D1"/>
    <w:rsid w:val="00E51B9E"/>
    <w:rsid w:val="00E5231A"/>
    <w:rsid w:val="00E52883"/>
    <w:rsid w:val="00E52CB6"/>
    <w:rsid w:val="00E530D3"/>
    <w:rsid w:val="00E53726"/>
    <w:rsid w:val="00E537E8"/>
    <w:rsid w:val="00E53D12"/>
    <w:rsid w:val="00E53D5E"/>
    <w:rsid w:val="00E5444F"/>
    <w:rsid w:val="00E54963"/>
    <w:rsid w:val="00E54D2C"/>
    <w:rsid w:val="00E550FB"/>
    <w:rsid w:val="00E558C1"/>
    <w:rsid w:val="00E55AE7"/>
    <w:rsid w:val="00E55B47"/>
    <w:rsid w:val="00E55E0D"/>
    <w:rsid w:val="00E564C0"/>
    <w:rsid w:val="00E56627"/>
    <w:rsid w:val="00E56844"/>
    <w:rsid w:val="00E569DC"/>
    <w:rsid w:val="00E56A77"/>
    <w:rsid w:val="00E57359"/>
    <w:rsid w:val="00E57C79"/>
    <w:rsid w:val="00E57F4D"/>
    <w:rsid w:val="00E6020C"/>
    <w:rsid w:val="00E60789"/>
    <w:rsid w:val="00E60847"/>
    <w:rsid w:val="00E608F7"/>
    <w:rsid w:val="00E609DB"/>
    <w:rsid w:val="00E611DD"/>
    <w:rsid w:val="00E61E43"/>
    <w:rsid w:val="00E6219B"/>
    <w:rsid w:val="00E624EC"/>
    <w:rsid w:val="00E62D45"/>
    <w:rsid w:val="00E6385C"/>
    <w:rsid w:val="00E63D08"/>
    <w:rsid w:val="00E64D3E"/>
    <w:rsid w:val="00E65AB8"/>
    <w:rsid w:val="00E65FB0"/>
    <w:rsid w:val="00E666DC"/>
    <w:rsid w:val="00E66802"/>
    <w:rsid w:val="00E67048"/>
    <w:rsid w:val="00E674FF"/>
    <w:rsid w:val="00E6750D"/>
    <w:rsid w:val="00E67527"/>
    <w:rsid w:val="00E678DA"/>
    <w:rsid w:val="00E701B6"/>
    <w:rsid w:val="00E702FB"/>
    <w:rsid w:val="00E705E5"/>
    <w:rsid w:val="00E70980"/>
    <w:rsid w:val="00E71004"/>
    <w:rsid w:val="00E72017"/>
    <w:rsid w:val="00E72D41"/>
    <w:rsid w:val="00E72DD4"/>
    <w:rsid w:val="00E734B9"/>
    <w:rsid w:val="00E739AD"/>
    <w:rsid w:val="00E74596"/>
    <w:rsid w:val="00E74876"/>
    <w:rsid w:val="00E75176"/>
    <w:rsid w:val="00E75C3D"/>
    <w:rsid w:val="00E76398"/>
    <w:rsid w:val="00E76B37"/>
    <w:rsid w:val="00E76FA5"/>
    <w:rsid w:val="00E77347"/>
    <w:rsid w:val="00E80016"/>
    <w:rsid w:val="00E80377"/>
    <w:rsid w:val="00E804E5"/>
    <w:rsid w:val="00E804EC"/>
    <w:rsid w:val="00E80808"/>
    <w:rsid w:val="00E81F72"/>
    <w:rsid w:val="00E82AF0"/>
    <w:rsid w:val="00E83117"/>
    <w:rsid w:val="00E84717"/>
    <w:rsid w:val="00E848A6"/>
    <w:rsid w:val="00E84953"/>
    <w:rsid w:val="00E84A04"/>
    <w:rsid w:val="00E84E2E"/>
    <w:rsid w:val="00E857AB"/>
    <w:rsid w:val="00E85AC2"/>
    <w:rsid w:val="00E86051"/>
    <w:rsid w:val="00E86073"/>
    <w:rsid w:val="00E864DE"/>
    <w:rsid w:val="00E867B2"/>
    <w:rsid w:val="00E86AB9"/>
    <w:rsid w:val="00E86BBF"/>
    <w:rsid w:val="00E86D57"/>
    <w:rsid w:val="00E87343"/>
    <w:rsid w:val="00E900D6"/>
    <w:rsid w:val="00E90B05"/>
    <w:rsid w:val="00E910F4"/>
    <w:rsid w:val="00E91446"/>
    <w:rsid w:val="00E917D1"/>
    <w:rsid w:val="00E91D45"/>
    <w:rsid w:val="00E91D4B"/>
    <w:rsid w:val="00E91F88"/>
    <w:rsid w:val="00E92012"/>
    <w:rsid w:val="00E92B0F"/>
    <w:rsid w:val="00E92CFF"/>
    <w:rsid w:val="00E92E38"/>
    <w:rsid w:val="00E92F0C"/>
    <w:rsid w:val="00E9344D"/>
    <w:rsid w:val="00E9381A"/>
    <w:rsid w:val="00E93D71"/>
    <w:rsid w:val="00E94A5D"/>
    <w:rsid w:val="00E9556D"/>
    <w:rsid w:val="00E961DE"/>
    <w:rsid w:val="00E96552"/>
    <w:rsid w:val="00E966D3"/>
    <w:rsid w:val="00E96895"/>
    <w:rsid w:val="00EA013A"/>
    <w:rsid w:val="00EA0764"/>
    <w:rsid w:val="00EA10BD"/>
    <w:rsid w:val="00EA12D0"/>
    <w:rsid w:val="00EA14E1"/>
    <w:rsid w:val="00EA276C"/>
    <w:rsid w:val="00EA3280"/>
    <w:rsid w:val="00EA43C2"/>
    <w:rsid w:val="00EA4402"/>
    <w:rsid w:val="00EA4472"/>
    <w:rsid w:val="00EA4504"/>
    <w:rsid w:val="00EA5AC0"/>
    <w:rsid w:val="00EA5D5D"/>
    <w:rsid w:val="00EA6068"/>
    <w:rsid w:val="00EA62A6"/>
    <w:rsid w:val="00EA6733"/>
    <w:rsid w:val="00EA67B7"/>
    <w:rsid w:val="00EA67DB"/>
    <w:rsid w:val="00EA6A05"/>
    <w:rsid w:val="00EA7BB5"/>
    <w:rsid w:val="00EA7EE2"/>
    <w:rsid w:val="00EB0002"/>
    <w:rsid w:val="00EB03E2"/>
    <w:rsid w:val="00EB097C"/>
    <w:rsid w:val="00EB1237"/>
    <w:rsid w:val="00EB16A0"/>
    <w:rsid w:val="00EB180C"/>
    <w:rsid w:val="00EB1819"/>
    <w:rsid w:val="00EB1D8C"/>
    <w:rsid w:val="00EB2A53"/>
    <w:rsid w:val="00EB2A8E"/>
    <w:rsid w:val="00EB32D4"/>
    <w:rsid w:val="00EB3858"/>
    <w:rsid w:val="00EB3C72"/>
    <w:rsid w:val="00EB404E"/>
    <w:rsid w:val="00EB4815"/>
    <w:rsid w:val="00EB498A"/>
    <w:rsid w:val="00EB4FD6"/>
    <w:rsid w:val="00EB50A7"/>
    <w:rsid w:val="00EB5CD9"/>
    <w:rsid w:val="00EB6510"/>
    <w:rsid w:val="00EB69CC"/>
    <w:rsid w:val="00EB6F6B"/>
    <w:rsid w:val="00EB73E4"/>
    <w:rsid w:val="00EB7B6F"/>
    <w:rsid w:val="00EB7E64"/>
    <w:rsid w:val="00EC08C6"/>
    <w:rsid w:val="00EC0AE2"/>
    <w:rsid w:val="00EC12F0"/>
    <w:rsid w:val="00EC1D27"/>
    <w:rsid w:val="00EC3F6C"/>
    <w:rsid w:val="00EC4037"/>
    <w:rsid w:val="00EC485D"/>
    <w:rsid w:val="00EC565F"/>
    <w:rsid w:val="00EC6F1A"/>
    <w:rsid w:val="00EC6F6A"/>
    <w:rsid w:val="00EC7BBE"/>
    <w:rsid w:val="00EC7E90"/>
    <w:rsid w:val="00ED0515"/>
    <w:rsid w:val="00ED141E"/>
    <w:rsid w:val="00ED15F5"/>
    <w:rsid w:val="00ED17E6"/>
    <w:rsid w:val="00ED1830"/>
    <w:rsid w:val="00ED198F"/>
    <w:rsid w:val="00ED201A"/>
    <w:rsid w:val="00ED2285"/>
    <w:rsid w:val="00ED24E2"/>
    <w:rsid w:val="00ED274F"/>
    <w:rsid w:val="00ED2FBC"/>
    <w:rsid w:val="00ED44ED"/>
    <w:rsid w:val="00ED4750"/>
    <w:rsid w:val="00ED4827"/>
    <w:rsid w:val="00ED4D80"/>
    <w:rsid w:val="00ED54DB"/>
    <w:rsid w:val="00ED628B"/>
    <w:rsid w:val="00ED628D"/>
    <w:rsid w:val="00ED6FDA"/>
    <w:rsid w:val="00EE0F3E"/>
    <w:rsid w:val="00EE10E1"/>
    <w:rsid w:val="00EE1B5A"/>
    <w:rsid w:val="00EE2A9E"/>
    <w:rsid w:val="00EE30A3"/>
    <w:rsid w:val="00EE375F"/>
    <w:rsid w:val="00EE3887"/>
    <w:rsid w:val="00EE483D"/>
    <w:rsid w:val="00EE488F"/>
    <w:rsid w:val="00EE4BC2"/>
    <w:rsid w:val="00EE4CBF"/>
    <w:rsid w:val="00EE4CDF"/>
    <w:rsid w:val="00EE5026"/>
    <w:rsid w:val="00EE69CF"/>
    <w:rsid w:val="00EE6D9F"/>
    <w:rsid w:val="00EE78AF"/>
    <w:rsid w:val="00EF1DC6"/>
    <w:rsid w:val="00EF26B7"/>
    <w:rsid w:val="00EF3AD2"/>
    <w:rsid w:val="00EF3B28"/>
    <w:rsid w:val="00EF5484"/>
    <w:rsid w:val="00EF561D"/>
    <w:rsid w:val="00EF567A"/>
    <w:rsid w:val="00EF56E6"/>
    <w:rsid w:val="00EF6479"/>
    <w:rsid w:val="00EF6A6D"/>
    <w:rsid w:val="00EF6BDC"/>
    <w:rsid w:val="00EF78CD"/>
    <w:rsid w:val="00EF78FD"/>
    <w:rsid w:val="00EF7B51"/>
    <w:rsid w:val="00F01251"/>
    <w:rsid w:val="00F01BEF"/>
    <w:rsid w:val="00F01F91"/>
    <w:rsid w:val="00F02D5A"/>
    <w:rsid w:val="00F0308B"/>
    <w:rsid w:val="00F0350C"/>
    <w:rsid w:val="00F03663"/>
    <w:rsid w:val="00F04048"/>
    <w:rsid w:val="00F04DCD"/>
    <w:rsid w:val="00F04FFB"/>
    <w:rsid w:val="00F0544F"/>
    <w:rsid w:val="00F058A0"/>
    <w:rsid w:val="00F063C9"/>
    <w:rsid w:val="00F06581"/>
    <w:rsid w:val="00F067DC"/>
    <w:rsid w:val="00F067FB"/>
    <w:rsid w:val="00F0707B"/>
    <w:rsid w:val="00F0738C"/>
    <w:rsid w:val="00F076F9"/>
    <w:rsid w:val="00F079D3"/>
    <w:rsid w:val="00F07FDA"/>
    <w:rsid w:val="00F10E03"/>
    <w:rsid w:val="00F10E26"/>
    <w:rsid w:val="00F10E93"/>
    <w:rsid w:val="00F1104F"/>
    <w:rsid w:val="00F11085"/>
    <w:rsid w:val="00F114ED"/>
    <w:rsid w:val="00F1197D"/>
    <w:rsid w:val="00F11998"/>
    <w:rsid w:val="00F11A54"/>
    <w:rsid w:val="00F1233F"/>
    <w:rsid w:val="00F1238C"/>
    <w:rsid w:val="00F129C4"/>
    <w:rsid w:val="00F12B9C"/>
    <w:rsid w:val="00F13B10"/>
    <w:rsid w:val="00F14197"/>
    <w:rsid w:val="00F1466D"/>
    <w:rsid w:val="00F14B48"/>
    <w:rsid w:val="00F14F94"/>
    <w:rsid w:val="00F15227"/>
    <w:rsid w:val="00F161FD"/>
    <w:rsid w:val="00F1681F"/>
    <w:rsid w:val="00F16B25"/>
    <w:rsid w:val="00F174F1"/>
    <w:rsid w:val="00F1759F"/>
    <w:rsid w:val="00F17916"/>
    <w:rsid w:val="00F17A12"/>
    <w:rsid w:val="00F20313"/>
    <w:rsid w:val="00F20B46"/>
    <w:rsid w:val="00F20F8D"/>
    <w:rsid w:val="00F2100D"/>
    <w:rsid w:val="00F216E6"/>
    <w:rsid w:val="00F21B4C"/>
    <w:rsid w:val="00F21F8B"/>
    <w:rsid w:val="00F2230D"/>
    <w:rsid w:val="00F224AA"/>
    <w:rsid w:val="00F22ACC"/>
    <w:rsid w:val="00F22BF8"/>
    <w:rsid w:val="00F239FC"/>
    <w:rsid w:val="00F24166"/>
    <w:rsid w:val="00F241B1"/>
    <w:rsid w:val="00F24BAA"/>
    <w:rsid w:val="00F24CBF"/>
    <w:rsid w:val="00F25729"/>
    <w:rsid w:val="00F258C8"/>
    <w:rsid w:val="00F259A0"/>
    <w:rsid w:val="00F25D46"/>
    <w:rsid w:val="00F26203"/>
    <w:rsid w:val="00F2667E"/>
    <w:rsid w:val="00F26EFF"/>
    <w:rsid w:val="00F27DB1"/>
    <w:rsid w:val="00F27F0A"/>
    <w:rsid w:val="00F30B76"/>
    <w:rsid w:val="00F3113B"/>
    <w:rsid w:val="00F31170"/>
    <w:rsid w:val="00F311DF"/>
    <w:rsid w:val="00F31576"/>
    <w:rsid w:val="00F316F4"/>
    <w:rsid w:val="00F31940"/>
    <w:rsid w:val="00F31C6A"/>
    <w:rsid w:val="00F328D8"/>
    <w:rsid w:val="00F32A7A"/>
    <w:rsid w:val="00F32FDD"/>
    <w:rsid w:val="00F33354"/>
    <w:rsid w:val="00F3368B"/>
    <w:rsid w:val="00F33750"/>
    <w:rsid w:val="00F3381E"/>
    <w:rsid w:val="00F33EF9"/>
    <w:rsid w:val="00F33FC3"/>
    <w:rsid w:val="00F3417C"/>
    <w:rsid w:val="00F359A1"/>
    <w:rsid w:val="00F35ABF"/>
    <w:rsid w:val="00F360A1"/>
    <w:rsid w:val="00F3677B"/>
    <w:rsid w:val="00F36D62"/>
    <w:rsid w:val="00F410BA"/>
    <w:rsid w:val="00F437A2"/>
    <w:rsid w:val="00F43E07"/>
    <w:rsid w:val="00F44A65"/>
    <w:rsid w:val="00F44D5B"/>
    <w:rsid w:val="00F45812"/>
    <w:rsid w:val="00F45EF7"/>
    <w:rsid w:val="00F462E3"/>
    <w:rsid w:val="00F47175"/>
    <w:rsid w:val="00F473EB"/>
    <w:rsid w:val="00F47BC3"/>
    <w:rsid w:val="00F50B29"/>
    <w:rsid w:val="00F50DF3"/>
    <w:rsid w:val="00F51265"/>
    <w:rsid w:val="00F51349"/>
    <w:rsid w:val="00F5135D"/>
    <w:rsid w:val="00F51492"/>
    <w:rsid w:val="00F5157F"/>
    <w:rsid w:val="00F51D6D"/>
    <w:rsid w:val="00F5274C"/>
    <w:rsid w:val="00F52AD4"/>
    <w:rsid w:val="00F53324"/>
    <w:rsid w:val="00F534C5"/>
    <w:rsid w:val="00F5434E"/>
    <w:rsid w:val="00F55171"/>
    <w:rsid w:val="00F558F1"/>
    <w:rsid w:val="00F55D19"/>
    <w:rsid w:val="00F55DD8"/>
    <w:rsid w:val="00F56BAC"/>
    <w:rsid w:val="00F56DE1"/>
    <w:rsid w:val="00F57051"/>
    <w:rsid w:val="00F57289"/>
    <w:rsid w:val="00F5728B"/>
    <w:rsid w:val="00F57421"/>
    <w:rsid w:val="00F5797D"/>
    <w:rsid w:val="00F57BD4"/>
    <w:rsid w:val="00F60BF6"/>
    <w:rsid w:val="00F617E4"/>
    <w:rsid w:val="00F61F25"/>
    <w:rsid w:val="00F61F2B"/>
    <w:rsid w:val="00F61F5C"/>
    <w:rsid w:val="00F62370"/>
    <w:rsid w:val="00F6286D"/>
    <w:rsid w:val="00F6292C"/>
    <w:rsid w:val="00F63D8A"/>
    <w:rsid w:val="00F63E81"/>
    <w:rsid w:val="00F640B6"/>
    <w:rsid w:val="00F64371"/>
    <w:rsid w:val="00F64FFD"/>
    <w:rsid w:val="00F65BCA"/>
    <w:rsid w:val="00F65C4C"/>
    <w:rsid w:val="00F6688C"/>
    <w:rsid w:val="00F66C54"/>
    <w:rsid w:val="00F67041"/>
    <w:rsid w:val="00F67C2A"/>
    <w:rsid w:val="00F70C2E"/>
    <w:rsid w:val="00F71651"/>
    <w:rsid w:val="00F71703"/>
    <w:rsid w:val="00F71B43"/>
    <w:rsid w:val="00F72172"/>
    <w:rsid w:val="00F72278"/>
    <w:rsid w:val="00F72D06"/>
    <w:rsid w:val="00F72EDA"/>
    <w:rsid w:val="00F73020"/>
    <w:rsid w:val="00F73024"/>
    <w:rsid w:val="00F73138"/>
    <w:rsid w:val="00F7350C"/>
    <w:rsid w:val="00F736FB"/>
    <w:rsid w:val="00F738A8"/>
    <w:rsid w:val="00F7394D"/>
    <w:rsid w:val="00F73BC2"/>
    <w:rsid w:val="00F740A2"/>
    <w:rsid w:val="00F7530B"/>
    <w:rsid w:val="00F7579F"/>
    <w:rsid w:val="00F75A19"/>
    <w:rsid w:val="00F75C88"/>
    <w:rsid w:val="00F77749"/>
    <w:rsid w:val="00F779D9"/>
    <w:rsid w:val="00F77A67"/>
    <w:rsid w:val="00F77B13"/>
    <w:rsid w:val="00F77ED1"/>
    <w:rsid w:val="00F806F8"/>
    <w:rsid w:val="00F80F3B"/>
    <w:rsid w:val="00F80F48"/>
    <w:rsid w:val="00F81258"/>
    <w:rsid w:val="00F8185C"/>
    <w:rsid w:val="00F81CB6"/>
    <w:rsid w:val="00F81E45"/>
    <w:rsid w:val="00F8207A"/>
    <w:rsid w:val="00F82762"/>
    <w:rsid w:val="00F8335F"/>
    <w:rsid w:val="00F8378F"/>
    <w:rsid w:val="00F83A93"/>
    <w:rsid w:val="00F83DF5"/>
    <w:rsid w:val="00F84763"/>
    <w:rsid w:val="00F84C7A"/>
    <w:rsid w:val="00F84CB4"/>
    <w:rsid w:val="00F84DF9"/>
    <w:rsid w:val="00F84EAB"/>
    <w:rsid w:val="00F851AB"/>
    <w:rsid w:val="00F85C00"/>
    <w:rsid w:val="00F85CF6"/>
    <w:rsid w:val="00F85DBF"/>
    <w:rsid w:val="00F8634E"/>
    <w:rsid w:val="00F86CDD"/>
    <w:rsid w:val="00F874AA"/>
    <w:rsid w:val="00F87C73"/>
    <w:rsid w:val="00F87D04"/>
    <w:rsid w:val="00F87E7C"/>
    <w:rsid w:val="00F87EBD"/>
    <w:rsid w:val="00F90219"/>
    <w:rsid w:val="00F90429"/>
    <w:rsid w:val="00F90456"/>
    <w:rsid w:val="00F90DB2"/>
    <w:rsid w:val="00F911EC"/>
    <w:rsid w:val="00F91A59"/>
    <w:rsid w:val="00F91C18"/>
    <w:rsid w:val="00F921BB"/>
    <w:rsid w:val="00F923EE"/>
    <w:rsid w:val="00F92687"/>
    <w:rsid w:val="00F92792"/>
    <w:rsid w:val="00F93217"/>
    <w:rsid w:val="00F939C2"/>
    <w:rsid w:val="00F93EF5"/>
    <w:rsid w:val="00F9517F"/>
    <w:rsid w:val="00F954DA"/>
    <w:rsid w:val="00F95522"/>
    <w:rsid w:val="00F95572"/>
    <w:rsid w:val="00F95A57"/>
    <w:rsid w:val="00F95AC1"/>
    <w:rsid w:val="00F95B8F"/>
    <w:rsid w:val="00F96FD3"/>
    <w:rsid w:val="00F978B9"/>
    <w:rsid w:val="00F97E00"/>
    <w:rsid w:val="00F97F80"/>
    <w:rsid w:val="00FA0808"/>
    <w:rsid w:val="00FA13EC"/>
    <w:rsid w:val="00FA1713"/>
    <w:rsid w:val="00FA1833"/>
    <w:rsid w:val="00FA2320"/>
    <w:rsid w:val="00FA2643"/>
    <w:rsid w:val="00FA45B5"/>
    <w:rsid w:val="00FA49C8"/>
    <w:rsid w:val="00FA5657"/>
    <w:rsid w:val="00FA56FE"/>
    <w:rsid w:val="00FA5AE9"/>
    <w:rsid w:val="00FA6025"/>
    <w:rsid w:val="00FA626F"/>
    <w:rsid w:val="00FA6999"/>
    <w:rsid w:val="00FA6C24"/>
    <w:rsid w:val="00FA741B"/>
    <w:rsid w:val="00FA7464"/>
    <w:rsid w:val="00FB0CCC"/>
    <w:rsid w:val="00FB1714"/>
    <w:rsid w:val="00FB17D1"/>
    <w:rsid w:val="00FB1EE6"/>
    <w:rsid w:val="00FB20FD"/>
    <w:rsid w:val="00FB2469"/>
    <w:rsid w:val="00FB2EEF"/>
    <w:rsid w:val="00FB3049"/>
    <w:rsid w:val="00FB35ED"/>
    <w:rsid w:val="00FB3873"/>
    <w:rsid w:val="00FB38DC"/>
    <w:rsid w:val="00FB3DA7"/>
    <w:rsid w:val="00FB48BA"/>
    <w:rsid w:val="00FB5564"/>
    <w:rsid w:val="00FB5959"/>
    <w:rsid w:val="00FB626D"/>
    <w:rsid w:val="00FB6780"/>
    <w:rsid w:val="00FB68E5"/>
    <w:rsid w:val="00FB690A"/>
    <w:rsid w:val="00FB7637"/>
    <w:rsid w:val="00FB7B02"/>
    <w:rsid w:val="00FB7F2A"/>
    <w:rsid w:val="00FC01AC"/>
    <w:rsid w:val="00FC035C"/>
    <w:rsid w:val="00FC06FF"/>
    <w:rsid w:val="00FC094C"/>
    <w:rsid w:val="00FC0F5E"/>
    <w:rsid w:val="00FC1A52"/>
    <w:rsid w:val="00FC2092"/>
    <w:rsid w:val="00FC2D02"/>
    <w:rsid w:val="00FC2D69"/>
    <w:rsid w:val="00FC31B7"/>
    <w:rsid w:val="00FC3625"/>
    <w:rsid w:val="00FC366D"/>
    <w:rsid w:val="00FC394D"/>
    <w:rsid w:val="00FC3B87"/>
    <w:rsid w:val="00FC3DC9"/>
    <w:rsid w:val="00FC4347"/>
    <w:rsid w:val="00FC43EC"/>
    <w:rsid w:val="00FC4A60"/>
    <w:rsid w:val="00FC4F9C"/>
    <w:rsid w:val="00FC5A8A"/>
    <w:rsid w:val="00FC5E1B"/>
    <w:rsid w:val="00FC6875"/>
    <w:rsid w:val="00FC7A39"/>
    <w:rsid w:val="00FD0626"/>
    <w:rsid w:val="00FD0BAC"/>
    <w:rsid w:val="00FD1846"/>
    <w:rsid w:val="00FD2B4A"/>
    <w:rsid w:val="00FD2B99"/>
    <w:rsid w:val="00FD3EC3"/>
    <w:rsid w:val="00FD4276"/>
    <w:rsid w:val="00FD4413"/>
    <w:rsid w:val="00FD4C63"/>
    <w:rsid w:val="00FD4FC9"/>
    <w:rsid w:val="00FD6132"/>
    <w:rsid w:val="00FD616F"/>
    <w:rsid w:val="00FD6645"/>
    <w:rsid w:val="00FD667B"/>
    <w:rsid w:val="00FD67D2"/>
    <w:rsid w:val="00FD6AB7"/>
    <w:rsid w:val="00FD6C41"/>
    <w:rsid w:val="00FD6D38"/>
    <w:rsid w:val="00FD7000"/>
    <w:rsid w:val="00FD7133"/>
    <w:rsid w:val="00FD72C9"/>
    <w:rsid w:val="00FD755C"/>
    <w:rsid w:val="00FD78AA"/>
    <w:rsid w:val="00FD7A8E"/>
    <w:rsid w:val="00FD7BD8"/>
    <w:rsid w:val="00FD7DF2"/>
    <w:rsid w:val="00FE024B"/>
    <w:rsid w:val="00FE105D"/>
    <w:rsid w:val="00FE1238"/>
    <w:rsid w:val="00FE1710"/>
    <w:rsid w:val="00FE2320"/>
    <w:rsid w:val="00FE2FCA"/>
    <w:rsid w:val="00FE316E"/>
    <w:rsid w:val="00FE3438"/>
    <w:rsid w:val="00FE449D"/>
    <w:rsid w:val="00FE49CF"/>
    <w:rsid w:val="00FE5283"/>
    <w:rsid w:val="00FE5A4C"/>
    <w:rsid w:val="00FE5C32"/>
    <w:rsid w:val="00FE6DF9"/>
    <w:rsid w:val="00FE75CE"/>
    <w:rsid w:val="00FE7F3B"/>
    <w:rsid w:val="00FF050E"/>
    <w:rsid w:val="00FF0B3B"/>
    <w:rsid w:val="00FF12EF"/>
    <w:rsid w:val="00FF1475"/>
    <w:rsid w:val="00FF1EEF"/>
    <w:rsid w:val="00FF23C7"/>
    <w:rsid w:val="00FF267C"/>
    <w:rsid w:val="00FF2854"/>
    <w:rsid w:val="00FF296C"/>
    <w:rsid w:val="00FF318E"/>
    <w:rsid w:val="00FF338A"/>
    <w:rsid w:val="00FF342A"/>
    <w:rsid w:val="00FF3463"/>
    <w:rsid w:val="00FF3668"/>
    <w:rsid w:val="00FF3797"/>
    <w:rsid w:val="00FF3954"/>
    <w:rsid w:val="00FF3C16"/>
    <w:rsid w:val="00FF44AB"/>
    <w:rsid w:val="00FF45C0"/>
    <w:rsid w:val="00FF48A8"/>
    <w:rsid w:val="00FF5F84"/>
    <w:rsid w:val="00FF63BA"/>
    <w:rsid w:val="00FF7566"/>
    <w:rsid w:val="02C88B97"/>
    <w:rsid w:val="031CDCA4"/>
    <w:rsid w:val="05464F29"/>
    <w:rsid w:val="07FCDCC1"/>
    <w:rsid w:val="0CC85CB7"/>
    <w:rsid w:val="0D7605F2"/>
    <w:rsid w:val="0D7B2CCB"/>
    <w:rsid w:val="0E3B258B"/>
    <w:rsid w:val="107B6050"/>
    <w:rsid w:val="11814466"/>
    <w:rsid w:val="120D157E"/>
    <w:rsid w:val="133F165F"/>
    <w:rsid w:val="135C4A6E"/>
    <w:rsid w:val="13B4C2B4"/>
    <w:rsid w:val="1775212D"/>
    <w:rsid w:val="177EBB76"/>
    <w:rsid w:val="1887F87B"/>
    <w:rsid w:val="1B3847A7"/>
    <w:rsid w:val="1BBC8FDE"/>
    <w:rsid w:val="1C08715E"/>
    <w:rsid w:val="1DABE732"/>
    <w:rsid w:val="1FD5A6E7"/>
    <w:rsid w:val="20260B9C"/>
    <w:rsid w:val="232A12AE"/>
    <w:rsid w:val="23988AB0"/>
    <w:rsid w:val="24580545"/>
    <w:rsid w:val="253DAA90"/>
    <w:rsid w:val="291ED306"/>
    <w:rsid w:val="2A6B1995"/>
    <w:rsid w:val="2A78F09E"/>
    <w:rsid w:val="2B3FED54"/>
    <w:rsid w:val="2CA8AE92"/>
    <w:rsid w:val="2D0E4735"/>
    <w:rsid w:val="2DFFC567"/>
    <w:rsid w:val="2EB5F48C"/>
    <w:rsid w:val="2EBFE99A"/>
    <w:rsid w:val="312293A1"/>
    <w:rsid w:val="32769C71"/>
    <w:rsid w:val="32C2E16D"/>
    <w:rsid w:val="33B403C1"/>
    <w:rsid w:val="34C91938"/>
    <w:rsid w:val="367FEB42"/>
    <w:rsid w:val="3698D9F5"/>
    <w:rsid w:val="38977189"/>
    <w:rsid w:val="3A85FCEA"/>
    <w:rsid w:val="3AF07B63"/>
    <w:rsid w:val="3C124F25"/>
    <w:rsid w:val="3C75A95F"/>
    <w:rsid w:val="3E234EFE"/>
    <w:rsid w:val="3EE5F094"/>
    <w:rsid w:val="42093897"/>
    <w:rsid w:val="42616E94"/>
    <w:rsid w:val="42E338F7"/>
    <w:rsid w:val="4319CD91"/>
    <w:rsid w:val="4371AD80"/>
    <w:rsid w:val="448DA1FA"/>
    <w:rsid w:val="4511B55F"/>
    <w:rsid w:val="46BB50A0"/>
    <w:rsid w:val="477937D3"/>
    <w:rsid w:val="483157AD"/>
    <w:rsid w:val="49438035"/>
    <w:rsid w:val="4948B1C5"/>
    <w:rsid w:val="4A089048"/>
    <w:rsid w:val="4A98C602"/>
    <w:rsid w:val="4AA9D8A8"/>
    <w:rsid w:val="50401937"/>
    <w:rsid w:val="508CCC86"/>
    <w:rsid w:val="5185F21F"/>
    <w:rsid w:val="51D7C49D"/>
    <w:rsid w:val="52464A51"/>
    <w:rsid w:val="54A1AAEC"/>
    <w:rsid w:val="555C0E00"/>
    <w:rsid w:val="5562AE5E"/>
    <w:rsid w:val="55EAD81D"/>
    <w:rsid w:val="55F3417D"/>
    <w:rsid w:val="5901288C"/>
    <w:rsid w:val="5AFD7E93"/>
    <w:rsid w:val="5B8A47BB"/>
    <w:rsid w:val="5BB7629A"/>
    <w:rsid w:val="5C2375CE"/>
    <w:rsid w:val="5DC69F14"/>
    <w:rsid w:val="5DE58904"/>
    <w:rsid w:val="5E48A4FF"/>
    <w:rsid w:val="5EAA588F"/>
    <w:rsid w:val="5F8A63DB"/>
    <w:rsid w:val="601168F8"/>
    <w:rsid w:val="606EFDDF"/>
    <w:rsid w:val="61CF11EB"/>
    <w:rsid w:val="626369CD"/>
    <w:rsid w:val="62C821E4"/>
    <w:rsid w:val="6307EEA5"/>
    <w:rsid w:val="636C2F76"/>
    <w:rsid w:val="666D7C8B"/>
    <w:rsid w:val="6A3F1F02"/>
    <w:rsid w:val="6BA4349F"/>
    <w:rsid w:val="6C2A9AAD"/>
    <w:rsid w:val="6EB8A812"/>
    <w:rsid w:val="70379BD4"/>
    <w:rsid w:val="7053E4D8"/>
    <w:rsid w:val="7178AF06"/>
    <w:rsid w:val="720DD346"/>
    <w:rsid w:val="74F849D5"/>
    <w:rsid w:val="79D31554"/>
    <w:rsid w:val="7BDB8691"/>
    <w:rsid w:val="7E460CBB"/>
    <w:rsid w:val="7EF292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7B273"/>
  <w15:chartTrackingRefBased/>
  <w15:docId w15:val="{7F900A4F-5C88-4CCA-A35D-E7A869BC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50549"/>
    <w:pPr>
      <w:spacing w:before="0" w:after="0"/>
    </w:pPr>
    <w:rPr>
      <w:rFonts w:ascii="Arial" w:hAnsi="Arial"/>
      <w:sz w:val="20"/>
    </w:rPr>
  </w:style>
  <w:style w:type="paragraph" w:styleId="Heading1">
    <w:name w:val="heading 1"/>
    <w:basedOn w:val="Normal"/>
    <w:next w:val="Body"/>
    <w:link w:val="Heading1Char"/>
    <w:uiPriority w:val="3"/>
    <w:qFormat/>
    <w:rsid w:val="007836FA"/>
    <w:pPr>
      <w:pageBreakBefore/>
      <w:numPr>
        <w:numId w:val="4"/>
      </w:numPr>
      <w:spacing w:after="240"/>
      <w:outlineLvl w:val="0"/>
    </w:pPr>
    <w:rPr>
      <w:color w:val="5D6C16" w:themeColor="accent1" w:themeShade="80"/>
      <w:sz w:val="40"/>
      <w:szCs w:val="40"/>
    </w:rPr>
  </w:style>
  <w:style w:type="paragraph" w:styleId="Heading2">
    <w:name w:val="heading 2"/>
    <w:basedOn w:val="Normal"/>
    <w:next w:val="Body"/>
    <w:link w:val="Heading2Char"/>
    <w:uiPriority w:val="3"/>
    <w:qFormat/>
    <w:rsid w:val="00112064"/>
    <w:pPr>
      <w:keepNext/>
      <w:keepLines/>
      <w:numPr>
        <w:ilvl w:val="1"/>
        <w:numId w:val="4"/>
      </w:numPr>
      <w:spacing w:before="240" w:after="120"/>
      <w:outlineLvl w:val="1"/>
    </w:pPr>
    <w:rPr>
      <w:rFonts w:eastAsiaTheme="majorEastAsia" w:cs="Arial"/>
      <w:color w:val="8AA122" w:themeColor="accent1" w:themeShade="BF"/>
      <w:sz w:val="32"/>
      <w:szCs w:val="32"/>
    </w:rPr>
  </w:style>
  <w:style w:type="paragraph" w:styleId="Heading3">
    <w:name w:val="heading 3"/>
    <w:basedOn w:val="Normal"/>
    <w:next w:val="Body"/>
    <w:link w:val="Heading3Char"/>
    <w:uiPriority w:val="3"/>
    <w:qFormat/>
    <w:rsid w:val="007F70FB"/>
    <w:pPr>
      <w:keepNext/>
      <w:keepLines/>
      <w:numPr>
        <w:ilvl w:val="2"/>
        <w:numId w:val="4"/>
      </w:numPr>
      <w:spacing w:before="240" w:after="120"/>
      <w:outlineLvl w:val="2"/>
    </w:pPr>
    <w:rPr>
      <w:rFonts w:eastAsiaTheme="majorEastAsia" w:cs="Arial"/>
      <w:color w:val="8AA122" w:themeColor="accent1" w:themeShade="BF"/>
      <w:sz w:val="28"/>
      <w:szCs w:val="28"/>
    </w:rPr>
  </w:style>
  <w:style w:type="paragraph" w:styleId="Heading4">
    <w:name w:val="heading 4"/>
    <w:basedOn w:val="Normal"/>
    <w:next w:val="Body"/>
    <w:link w:val="Heading4Char"/>
    <w:autoRedefine/>
    <w:uiPriority w:val="3"/>
    <w:qFormat/>
    <w:rsid w:val="00BC457C"/>
    <w:pPr>
      <w:keepNext/>
      <w:spacing w:before="240" w:after="120"/>
      <w:outlineLvl w:val="3"/>
    </w:pPr>
    <w:rPr>
      <w:color w:val="000000" w:themeColor="text1"/>
      <w:sz w:val="24"/>
      <w:szCs w:val="21"/>
    </w:rPr>
  </w:style>
  <w:style w:type="paragraph" w:styleId="Heading5">
    <w:name w:val="heading 5"/>
    <w:basedOn w:val="Normal"/>
    <w:next w:val="Body"/>
    <w:link w:val="Heading5Char"/>
    <w:uiPriority w:val="3"/>
    <w:qFormat/>
    <w:rsid w:val="006731AA"/>
    <w:pPr>
      <w:keepNext/>
      <w:spacing w:before="240" w:after="120"/>
      <w:outlineLvl w:val="4"/>
    </w:pPr>
    <w:rPr>
      <w:color w:val="8AA122" w:themeColor="accent1" w:themeShade="BF"/>
      <w:szCs w:val="20"/>
    </w:rPr>
  </w:style>
  <w:style w:type="paragraph" w:styleId="Heading6">
    <w:name w:val="heading 6"/>
    <w:basedOn w:val="Normal"/>
    <w:next w:val="Normal"/>
    <w:link w:val="Heading6Char"/>
    <w:uiPriority w:val="9"/>
    <w:unhideWhenUsed/>
    <w:rsid w:val="00350549"/>
    <w:pPr>
      <w:keepNext/>
      <w:keepLines/>
      <w:spacing w:before="40"/>
      <w:outlineLvl w:val="5"/>
    </w:pPr>
    <w:rPr>
      <w:rFonts w:asciiTheme="majorHAnsi" w:eastAsiaTheme="majorEastAsia" w:hAnsiTheme="majorHAnsi" w:cstheme="majorBidi"/>
      <w:i/>
      <w:iCs/>
      <w:caps/>
      <w:color w:val="5D6C16" w:themeColor="accent1" w:themeShade="80"/>
    </w:rPr>
  </w:style>
  <w:style w:type="paragraph" w:styleId="Heading7">
    <w:name w:val="heading 7"/>
    <w:basedOn w:val="Normal"/>
    <w:next w:val="Normal"/>
    <w:link w:val="Heading7Char"/>
    <w:uiPriority w:val="9"/>
    <w:unhideWhenUsed/>
    <w:rsid w:val="00350549"/>
    <w:pPr>
      <w:keepNext/>
      <w:keepLines/>
      <w:spacing w:before="40"/>
      <w:outlineLvl w:val="6"/>
    </w:pPr>
    <w:rPr>
      <w:rFonts w:asciiTheme="majorHAnsi" w:eastAsiaTheme="majorEastAsia" w:hAnsiTheme="majorHAnsi" w:cstheme="majorBidi"/>
      <w:b/>
      <w:bCs/>
      <w:color w:val="5D6C16" w:themeColor="accent1" w:themeShade="80"/>
    </w:rPr>
  </w:style>
  <w:style w:type="paragraph" w:styleId="Heading8">
    <w:name w:val="heading 8"/>
    <w:basedOn w:val="Normal"/>
    <w:next w:val="Normal"/>
    <w:link w:val="Heading8Char"/>
    <w:uiPriority w:val="9"/>
    <w:semiHidden/>
    <w:unhideWhenUsed/>
    <w:rsid w:val="00350549"/>
    <w:pPr>
      <w:keepNext/>
      <w:keepLines/>
      <w:spacing w:before="40"/>
      <w:outlineLvl w:val="7"/>
    </w:pPr>
    <w:rPr>
      <w:rFonts w:asciiTheme="majorHAnsi" w:eastAsiaTheme="majorEastAsia" w:hAnsiTheme="majorHAnsi" w:cstheme="majorBidi"/>
      <w:b/>
      <w:bCs/>
      <w:i/>
      <w:iCs/>
      <w:color w:val="5D6C16" w:themeColor="accent1" w:themeShade="80"/>
    </w:rPr>
  </w:style>
  <w:style w:type="paragraph" w:styleId="Heading9">
    <w:name w:val="heading 9"/>
    <w:basedOn w:val="Normal"/>
    <w:next w:val="Normal"/>
    <w:link w:val="Heading9Char"/>
    <w:uiPriority w:val="9"/>
    <w:semiHidden/>
    <w:unhideWhenUsed/>
    <w:qFormat/>
    <w:rsid w:val="00350549"/>
    <w:pPr>
      <w:keepNext/>
      <w:keepLines/>
      <w:spacing w:before="40"/>
      <w:outlineLvl w:val="8"/>
    </w:pPr>
    <w:rPr>
      <w:rFonts w:asciiTheme="majorHAnsi" w:eastAsiaTheme="majorEastAsia" w:hAnsiTheme="majorHAnsi" w:cstheme="majorBidi"/>
      <w:i/>
      <w:iCs/>
      <w:color w:val="5D6C1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350549"/>
    <w:pPr>
      <w:ind w:left="851"/>
    </w:pPr>
  </w:style>
  <w:style w:type="paragraph" w:styleId="BodyText">
    <w:name w:val="Body Text"/>
    <w:basedOn w:val="Normal"/>
    <w:link w:val="BodyTextChar"/>
    <w:rsid w:val="007D08A9"/>
    <w:pPr>
      <w:spacing w:before="140" w:after="140" w:line="276" w:lineRule="auto"/>
    </w:pPr>
  </w:style>
  <w:style w:type="paragraph" w:styleId="Title">
    <w:name w:val="Title"/>
    <w:basedOn w:val="Body"/>
    <w:next w:val="Body"/>
    <w:link w:val="TitleChar"/>
    <w:uiPriority w:val="9"/>
    <w:qFormat/>
    <w:rsid w:val="00350549"/>
    <w:pPr>
      <w:spacing w:before="0" w:after="0" w:line="240" w:lineRule="auto"/>
      <w:ind w:left="397"/>
    </w:pPr>
    <w:rPr>
      <w:color w:val="B7D432" w:themeColor="accent1"/>
      <w:sz w:val="76"/>
      <w:szCs w:val="76"/>
    </w:rPr>
  </w:style>
  <w:style w:type="character" w:customStyle="1" w:styleId="TitleChar">
    <w:name w:val="Title Char"/>
    <w:basedOn w:val="DefaultParagraphFont"/>
    <w:link w:val="Title"/>
    <w:uiPriority w:val="9"/>
    <w:rsid w:val="00350549"/>
    <w:rPr>
      <w:rFonts w:ascii="Arial" w:eastAsia="Times New Roman" w:hAnsi="Arial" w:cs="Times New Roman"/>
      <w:color w:val="B7D432" w:themeColor="accent1"/>
      <w:sz w:val="76"/>
      <w:szCs w:val="76"/>
    </w:rPr>
  </w:style>
  <w:style w:type="paragraph" w:customStyle="1" w:styleId="MajorHeading">
    <w:name w:val="Major Heading"/>
    <w:basedOn w:val="Normal"/>
    <w:next w:val="Normal"/>
    <w:link w:val="MajorHeadingChar"/>
    <w:uiPriority w:val="3"/>
    <w:qFormat/>
    <w:rsid w:val="0001697E"/>
    <w:pPr>
      <w:pageBreakBefore/>
      <w:spacing w:after="240"/>
      <w:outlineLvl w:val="0"/>
    </w:pPr>
    <w:rPr>
      <w:color w:val="5D6C16" w:themeColor="accent1" w:themeShade="80"/>
      <w:sz w:val="40"/>
      <w:szCs w:val="40"/>
    </w:rPr>
  </w:style>
  <w:style w:type="character" w:customStyle="1" w:styleId="MajorHeadingChar">
    <w:name w:val="Major Heading Char"/>
    <w:basedOn w:val="DefaultParagraphFont"/>
    <w:link w:val="MajorHeading"/>
    <w:uiPriority w:val="3"/>
    <w:rsid w:val="0001697E"/>
    <w:rPr>
      <w:rFonts w:ascii="Arial" w:hAnsi="Arial"/>
      <w:color w:val="5D6C16" w:themeColor="accent1" w:themeShade="80"/>
      <w:sz w:val="40"/>
      <w:szCs w:val="40"/>
    </w:rPr>
  </w:style>
  <w:style w:type="paragraph" w:styleId="NoSpacing">
    <w:name w:val="No Spacing"/>
    <w:uiPriority w:val="4"/>
    <w:rsid w:val="00350549"/>
    <w:pPr>
      <w:spacing w:before="0" w:after="0"/>
    </w:pPr>
    <w:rPr>
      <w:rFonts w:ascii="Arial" w:hAnsi="Arial"/>
      <w:sz w:val="20"/>
    </w:rPr>
  </w:style>
  <w:style w:type="paragraph" w:styleId="Header">
    <w:name w:val="header"/>
    <w:basedOn w:val="Normal"/>
    <w:link w:val="HeaderChar"/>
    <w:uiPriority w:val="99"/>
    <w:unhideWhenUsed/>
    <w:rsid w:val="00350549"/>
    <w:pPr>
      <w:tabs>
        <w:tab w:val="center" w:pos="4513"/>
        <w:tab w:val="right" w:pos="9026"/>
      </w:tabs>
    </w:pPr>
  </w:style>
  <w:style w:type="character" w:customStyle="1" w:styleId="HeaderChar">
    <w:name w:val="Header Char"/>
    <w:basedOn w:val="DefaultParagraphFont"/>
    <w:link w:val="Header"/>
    <w:uiPriority w:val="99"/>
    <w:rsid w:val="00350549"/>
    <w:rPr>
      <w:rFonts w:ascii="Arial" w:hAnsi="Arial"/>
      <w:sz w:val="20"/>
    </w:rPr>
  </w:style>
  <w:style w:type="paragraph" w:styleId="Footer">
    <w:name w:val="footer"/>
    <w:basedOn w:val="Normal"/>
    <w:link w:val="FooterChar"/>
    <w:uiPriority w:val="99"/>
    <w:unhideWhenUsed/>
    <w:rsid w:val="00350549"/>
    <w:pPr>
      <w:tabs>
        <w:tab w:val="center" w:pos="4513"/>
        <w:tab w:val="right" w:pos="9026"/>
      </w:tabs>
    </w:pPr>
  </w:style>
  <w:style w:type="character" w:customStyle="1" w:styleId="FooterChar">
    <w:name w:val="Footer Char"/>
    <w:basedOn w:val="DefaultParagraphFont"/>
    <w:link w:val="Footer"/>
    <w:uiPriority w:val="99"/>
    <w:rsid w:val="00350549"/>
    <w:rPr>
      <w:rFonts w:ascii="Arial" w:hAnsi="Arial"/>
      <w:sz w:val="20"/>
    </w:rPr>
  </w:style>
  <w:style w:type="paragraph" w:customStyle="1" w:styleId="SubHeading1">
    <w:name w:val="Sub Heading 1"/>
    <w:basedOn w:val="Normal"/>
    <w:next w:val="Body"/>
    <w:link w:val="SubHeading1Char"/>
    <w:uiPriority w:val="3"/>
    <w:qFormat/>
    <w:rsid w:val="00525567"/>
    <w:pPr>
      <w:keepNext/>
      <w:spacing w:before="120" w:after="120"/>
    </w:pPr>
    <w:rPr>
      <w:bCs/>
      <w:color w:val="8AA122" w:themeColor="accent1" w:themeShade="BF"/>
      <w:sz w:val="32"/>
      <w:szCs w:val="32"/>
    </w:rPr>
  </w:style>
  <w:style w:type="character" w:customStyle="1" w:styleId="SubHeading1Char">
    <w:name w:val="Sub Heading 1 Char"/>
    <w:basedOn w:val="DefaultParagraphFont"/>
    <w:link w:val="SubHeading1"/>
    <w:uiPriority w:val="3"/>
    <w:rsid w:val="00525567"/>
    <w:rPr>
      <w:rFonts w:ascii="Arial" w:hAnsi="Arial"/>
      <w:bCs/>
      <w:color w:val="8AA122" w:themeColor="accent1" w:themeShade="BF"/>
      <w:sz w:val="32"/>
      <w:szCs w:val="32"/>
    </w:rPr>
  </w:style>
  <w:style w:type="paragraph" w:styleId="TOC1">
    <w:name w:val="toc 1"/>
    <w:basedOn w:val="Normal"/>
    <w:next w:val="Normal"/>
    <w:autoRedefine/>
    <w:uiPriority w:val="39"/>
    <w:unhideWhenUsed/>
    <w:qFormat/>
    <w:rsid w:val="00350549"/>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350549"/>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350549"/>
    <w:rPr>
      <w:rFonts w:ascii="Arial" w:eastAsia="Times New Roman" w:hAnsi="Arial" w:cs="Times New Roman"/>
      <w:noProof/>
      <w:sz w:val="20"/>
      <w:szCs w:val="20"/>
    </w:rPr>
  </w:style>
  <w:style w:type="paragraph" w:styleId="TOC3">
    <w:name w:val="toc 3"/>
    <w:basedOn w:val="Normal"/>
    <w:next w:val="Normal"/>
    <w:uiPriority w:val="39"/>
    <w:unhideWhenUsed/>
    <w:qFormat/>
    <w:rsid w:val="00350549"/>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350549"/>
    <w:rPr>
      <w:color w:val="000000" w:themeColor="text1"/>
      <w:u w:val="single"/>
    </w:rPr>
  </w:style>
  <w:style w:type="paragraph" w:styleId="TableofFigures">
    <w:name w:val="table of figures"/>
    <w:basedOn w:val="Normal"/>
    <w:next w:val="Normal"/>
    <w:uiPriority w:val="99"/>
    <w:unhideWhenUsed/>
    <w:rsid w:val="00350549"/>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350549"/>
    <w:rPr>
      <w:sz w:val="24"/>
      <w:szCs w:val="24"/>
    </w:rPr>
  </w:style>
  <w:style w:type="character" w:customStyle="1" w:styleId="Subheading2Char">
    <w:name w:val="Sub heading 2 Char"/>
    <w:basedOn w:val="SubHeading1Char"/>
    <w:link w:val="Subheading2"/>
    <w:uiPriority w:val="3"/>
    <w:rsid w:val="00350549"/>
    <w:rPr>
      <w:rFonts w:ascii="Arial" w:hAnsi="Arial"/>
      <w:bCs/>
      <w:color w:val="B7D432" w:themeColor="accent1"/>
      <w:sz w:val="24"/>
      <w:szCs w:val="24"/>
    </w:rPr>
  </w:style>
  <w:style w:type="paragraph" w:styleId="Subtitle">
    <w:name w:val="Subtitle"/>
    <w:basedOn w:val="Body"/>
    <w:next w:val="Body"/>
    <w:link w:val="SubtitleChar"/>
    <w:uiPriority w:val="10"/>
    <w:qFormat/>
    <w:rsid w:val="00350549"/>
    <w:pPr>
      <w:spacing w:before="0" w:after="0" w:line="240" w:lineRule="auto"/>
      <w:ind w:left="397"/>
    </w:pPr>
    <w:rPr>
      <w:color w:val="B7D432" w:themeColor="accent1"/>
      <w:sz w:val="36"/>
      <w:szCs w:val="36"/>
    </w:rPr>
  </w:style>
  <w:style w:type="character" w:customStyle="1" w:styleId="SubtitleChar">
    <w:name w:val="Subtitle Char"/>
    <w:basedOn w:val="DefaultParagraphFont"/>
    <w:link w:val="Subtitle"/>
    <w:uiPriority w:val="10"/>
    <w:rsid w:val="00350549"/>
    <w:rPr>
      <w:rFonts w:ascii="Arial" w:eastAsia="Times New Roman" w:hAnsi="Arial" w:cs="Times New Roman"/>
      <w:color w:val="B7D432" w:themeColor="accent1"/>
      <w:sz w:val="36"/>
      <w:szCs w:val="36"/>
    </w:rPr>
  </w:style>
  <w:style w:type="paragraph" w:customStyle="1" w:styleId="BaseFigureNotes">
    <w:name w:val="Base Figure Notes"/>
    <w:basedOn w:val="Normal"/>
    <w:next w:val="Normal"/>
    <w:uiPriority w:val="2"/>
    <w:qFormat/>
    <w:rsid w:val="00350549"/>
    <w:pPr>
      <w:spacing w:before="60"/>
    </w:pPr>
    <w:rPr>
      <w:sz w:val="18"/>
    </w:rPr>
  </w:style>
  <w:style w:type="character" w:customStyle="1" w:styleId="Heading1Char">
    <w:name w:val="Heading 1 Char"/>
    <w:basedOn w:val="DefaultParagraphFont"/>
    <w:link w:val="Heading1"/>
    <w:uiPriority w:val="3"/>
    <w:rsid w:val="007836FA"/>
    <w:rPr>
      <w:rFonts w:ascii="Arial" w:hAnsi="Arial"/>
      <w:color w:val="5D6C16" w:themeColor="accent1" w:themeShade="80"/>
      <w:sz w:val="40"/>
      <w:szCs w:val="40"/>
    </w:rPr>
  </w:style>
  <w:style w:type="character" w:customStyle="1" w:styleId="Heading2Char">
    <w:name w:val="Heading 2 Char"/>
    <w:basedOn w:val="DefaultParagraphFont"/>
    <w:link w:val="Heading2"/>
    <w:uiPriority w:val="3"/>
    <w:rsid w:val="00112064"/>
    <w:rPr>
      <w:rFonts w:ascii="Arial" w:eastAsiaTheme="majorEastAsia" w:hAnsi="Arial" w:cs="Arial"/>
      <w:color w:val="8AA122" w:themeColor="accent1" w:themeShade="BF"/>
      <w:sz w:val="32"/>
      <w:szCs w:val="32"/>
    </w:rPr>
  </w:style>
  <w:style w:type="character" w:customStyle="1" w:styleId="Heading3Char">
    <w:name w:val="Heading 3 Char"/>
    <w:basedOn w:val="DefaultParagraphFont"/>
    <w:link w:val="Heading3"/>
    <w:uiPriority w:val="3"/>
    <w:rsid w:val="007F70FB"/>
    <w:rPr>
      <w:rFonts w:ascii="Arial" w:eastAsiaTheme="majorEastAsia" w:hAnsi="Arial" w:cs="Arial"/>
      <w:color w:val="8AA122" w:themeColor="accent1" w:themeShade="BF"/>
      <w:sz w:val="28"/>
      <w:szCs w:val="28"/>
    </w:rPr>
  </w:style>
  <w:style w:type="paragraph" w:styleId="Caption">
    <w:name w:val="caption"/>
    <w:basedOn w:val="Quote2"/>
    <w:next w:val="Body"/>
    <w:link w:val="CaptionChar"/>
    <w:uiPriority w:val="8"/>
    <w:qFormat/>
    <w:rsid w:val="00EE2A9E"/>
    <w:pPr>
      <w:tabs>
        <w:tab w:val="left" w:pos="1134"/>
      </w:tabs>
      <w:spacing w:after="120"/>
      <w:ind w:right="0" w:hanging="1134"/>
      <w:jc w:val="left"/>
    </w:pPr>
    <w:rPr>
      <w:rFonts w:ascii="Arial" w:hAnsi="Arial" w:cs="Arial"/>
      <w:b/>
      <w:color w:val="005A5D" w:themeColor="text2" w:themeShade="BF"/>
      <w:szCs w:val="21"/>
    </w:rPr>
  </w:style>
  <w:style w:type="table" w:styleId="GridTable2-Accent1">
    <w:name w:val="Grid Table 2 Accent 1"/>
    <w:basedOn w:val="TableNormal"/>
    <w:uiPriority w:val="47"/>
    <w:locked/>
    <w:rsid w:val="00350549"/>
    <w:pPr>
      <w:spacing w:before="0" w:after="0"/>
    </w:pPr>
    <w:rPr>
      <w:rFonts w:ascii="Arial" w:hAnsi="Arial"/>
      <w:sz w:val="22"/>
      <w:szCs w:val="22"/>
    </w:rPr>
    <w:tblPr>
      <w:tblStyleRowBandSize w:val="1"/>
      <w:tblStyleColBandSize w:val="1"/>
      <w:tblBorders>
        <w:top w:val="single" w:sz="2" w:space="0" w:color="D3E583" w:themeColor="accent1" w:themeTint="99"/>
        <w:bottom w:val="single" w:sz="2" w:space="0" w:color="D3E583" w:themeColor="accent1" w:themeTint="99"/>
        <w:insideH w:val="single" w:sz="2" w:space="0" w:color="D3E583" w:themeColor="accent1" w:themeTint="99"/>
        <w:insideV w:val="single" w:sz="2" w:space="0" w:color="D3E583" w:themeColor="accent1" w:themeTint="99"/>
      </w:tblBorders>
    </w:tblPr>
    <w:tblStylePr w:type="firstRow">
      <w:pPr>
        <w:jc w:val="left"/>
      </w:pPr>
      <w:rPr>
        <w:b/>
        <w:bCs/>
      </w:rPr>
      <w:tblPr/>
      <w:tcPr>
        <w:tcBorders>
          <w:top w:val="nil"/>
          <w:bottom w:val="single" w:sz="12" w:space="0" w:color="D3E583" w:themeColor="accent1" w:themeTint="99"/>
          <w:insideH w:val="nil"/>
          <w:insideV w:val="nil"/>
        </w:tcBorders>
        <w:shd w:val="clear" w:color="auto" w:fill="FFFFFF" w:themeFill="background1"/>
        <w:vAlign w:val="bottom"/>
      </w:tcPr>
    </w:tblStylePr>
    <w:tblStylePr w:type="lastRow">
      <w:rPr>
        <w:b/>
        <w:bCs/>
      </w:rPr>
      <w:tblPr/>
      <w:tcPr>
        <w:tcBorders>
          <w:top w:val="double" w:sz="2" w:space="0" w:color="D3E5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paragraph" w:styleId="FootnoteText">
    <w:name w:val="footnote text"/>
    <w:aliases w:val="Char, Char"/>
    <w:basedOn w:val="Normal"/>
    <w:link w:val="FootnoteTextChar"/>
    <w:uiPriority w:val="99"/>
    <w:rsid w:val="007D08A9"/>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7D08A9"/>
    <w:rPr>
      <w:rFonts w:ascii="Arial" w:eastAsia="Times New Roman" w:hAnsi="Arial" w:cs="Times New Roman"/>
      <w:sz w:val="16"/>
      <w:szCs w:val="20"/>
      <w:lang w:val="en-US"/>
    </w:rPr>
  </w:style>
  <w:style w:type="character" w:styleId="FootnoteReference">
    <w:name w:val="footnote reference"/>
    <w:uiPriority w:val="99"/>
    <w:rsid w:val="007D08A9"/>
    <w:rPr>
      <w:rFonts w:ascii="Arial" w:hAnsi="Arial"/>
      <w:sz w:val="16"/>
      <w:vertAlign w:val="superscript"/>
    </w:rPr>
  </w:style>
  <w:style w:type="table" w:styleId="GridTable2-Accent2">
    <w:name w:val="Grid Table 2 Accent 2"/>
    <w:basedOn w:val="TableNormal"/>
    <w:uiPriority w:val="47"/>
    <w:locked/>
    <w:rsid w:val="00350549"/>
    <w:pPr>
      <w:spacing w:before="0" w:after="0"/>
    </w:pPr>
    <w:rPr>
      <w:rFonts w:ascii="Arial" w:hAnsi="Arial"/>
      <w:szCs w:val="22"/>
    </w:rPr>
    <w:tblPr>
      <w:tblStyleRowBandSize w:val="1"/>
      <w:tblStyleColBandSize w:val="1"/>
      <w:tblBorders>
        <w:top w:val="single" w:sz="2" w:space="0" w:color="95D8D7" w:themeColor="accent2" w:themeTint="99"/>
        <w:bottom w:val="single" w:sz="2" w:space="0" w:color="95D8D7" w:themeColor="accent2" w:themeTint="99"/>
        <w:insideH w:val="single" w:sz="2" w:space="0" w:color="95D8D7" w:themeColor="accent2" w:themeTint="99"/>
        <w:insideV w:val="single" w:sz="2" w:space="0" w:color="95D8D7" w:themeColor="accent2" w:themeTint="99"/>
      </w:tblBorders>
    </w:tblPr>
    <w:tblStylePr w:type="firstRow">
      <w:pPr>
        <w:jc w:val="left"/>
      </w:pPr>
      <w:rPr>
        <w:b/>
        <w:bCs/>
      </w:rPr>
      <w:tblPr/>
      <w:tcPr>
        <w:tcBorders>
          <w:top w:val="nil"/>
          <w:bottom w:val="single" w:sz="12" w:space="0" w:color="95D8D7" w:themeColor="accent2" w:themeTint="99"/>
          <w:insideH w:val="nil"/>
          <w:insideV w:val="nil"/>
        </w:tcBorders>
        <w:shd w:val="clear" w:color="auto" w:fill="FFFFFF" w:themeFill="background1"/>
        <w:vAlign w:val="bottom"/>
      </w:tcPr>
    </w:tblStylePr>
    <w:tblStylePr w:type="lastRow">
      <w:rPr>
        <w:b/>
        <w:bCs/>
      </w:rPr>
      <w:tblPr/>
      <w:tcPr>
        <w:tcBorders>
          <w:top w:val="double" w:sz="2" w:space="0" w:color="95D8D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character" w:customStyle="1" w:styleId="CaptionChar">
    <w:name w:val="Caption Char"/>
    <w:basedOn w:val="DefaultParagraphFont"/>
    <w:link w:val="Caption"/>
    <w:uiPriority w:val="8"/>
    <w:rsid w:val="00EE2A9E"/>
    <w:rPr>
      <w:rFonts w:ascii="Arial" w:eastAsia="Times New Roman" w:hAnsi="Arial" w:cs="Arial"/>
      <w:b/>
      <w:bCs/>
      <w:color w:val="005A5D" w:themeColor="text2" w:themeShade="BF"/>
      <w:sz w:val="20"/>
      <w:szCs w:val="21"/>
      <w:lang w:eastAsia="en-AU"/>
    </w:rPr>
  </w:style>
  <w:style w:type="table" w:styleId="GridTable2-Accent3">
    <w:name w:val="Grid Table 2 Accent 3"/>
    <w:basedOn w:val="TableNormal"/>
    <w:uiPriority w:val="47"/>
    <w:locked/>
    <w:rsid w:val="00350549"/>
    <w:pPr>
      <w:spacing w:before="0" w:after="0"/>
    </w:pPr>
    <w:rPr>
      <w:rFonts w:ascii="Arial" w:hAnsi="Arial"/>
      <w:szCs w:val="22"/>
    </w:rPr>
    <w:tblPr>
      <w:tblStyleRowBandSize w:val="1"/>
      <w:tblStyleColBandSize w:val="1"/>
      <w:tblBorders>
        <w:top w:val="single" w:sz="2" w:space="0" w:color="F7AD80" w:themeColor="accent3" w:themeTint="99"/>
        <w:bottom w:val="single" w:sz="2" w:space="0" w:color="F7AD80" w:themeColor="accent3" w:themeTint="99"/>
        <w:insideH w:val="single" w:sz="2" w:space="0" w:color="F7AD80" w:themeColor="accent3" w:themeTint="99"/>
        <w:insideV w:val="single" w:sz="2" w:space="0" w:color="F7AD80" w:themeColor="accent3" w:themeTint="99"/>
      </w:tblBorders>
    </w:tblPr>
    <w:tblStylePr w:type="firstRow">
      <w:pPr>
        <w:jc w:val="left"/>
      </w:pPr>
      <w:rPr>
        <w:b/>
        <w:bCs/>
      </w:rPr>
      <w:tblPr/>
      <w:tcPr>
        <w:tcBorders>
          <w:top w:val="nil"/>
          <w:bottom w:val="single" w:sz="12" w:space="0" w:color="F7AD80" w:themeColor="accent3" w:themeTint="99"/>
          <w:insideH w:val="nil"/>
          <w:insideV w:val="nil"/>
        </w:tcBorders>
        <w:shd w:val="clear" w:color="auto" w:fill="FFFFFF" w:themeFill="background1"/>
        <w:vAlign w:val="bottom"/>
      </w:tcPr>
    </w:tblStylePr>
    <w:tblStylePr w:type="lastRow">
      <w:rPr>
        <w:b/>
        <w:bCs/>
      </w:rPr>
      <w:tblPr/>
      <w:tcPr>
        <w:tcBorders>
          <w:top w:val="double" w:sz="2" w:space="0" w:color="F7AD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character" w:customStyle="1" w:styleId="Heading4Char">
    <w:name w:val="Heading 4 Char"/>
    <w:basedOn w:val="DefaultParagraphFont"/>
    <w:link w:val="Heading4"/>
    <w:uiPriority w:val="3"/>
    <w:rsid w:val="00BC457C"/>
    <w:rPr>
      <w:rFonts w:ascii="Arial" w:hAnsi="Arial"/>
      <w:color w:val="000000" w:themeColor="text1"/>
      <w:sz w:val="24"/>
      <w:szCs w:val="21"/>
    </w:rPr>
  </w:style>
  <w:style w:type="character" w:customStyle="1" w:styleId="Heading5Char">
    <w:name w:val="Heading 5 Char"/>
    <w:basedOn w:val="DefaultParagraphFont"/>
    <w:link w:val="Heading5"/>
    <w:uiPriority w:val="3"/>
    <w:rsid w:val="006731AA"/>
    <w:rPr>
      <w:rFonts w:ascii="Arial" w:hAnsi="Arial"/>
      <w:color w:val="8AA122" w:themeColor="accent1" w:themeShade="BF"/>
      <w:sz w:val="20"/>
      <w:szCs w:val="20"/>
    </w:rPr>
  </w:style>
  <w:style w:type="table" w:styleId="GridTable3-Accent1">
    <w:name w:val="Grid Table 3 Accent 1"/>
    <w:basedOn w:val="TableNormal"/>
    <w:uiPriority w:val="48"/>
    <w:locked/>
    <w:rsid w:val="00350549"/>
    <w:pPr>
      <w:spacing w:before="0" w:after="0"/>
    </w:pPr>
    <w:rPr>
      <w:rFonts w:ascii="Arial" w:hAnsi="Arial"/>
      <w:szCs w:val="22"/>
    </w:rPr>
    <w:tblPr>
      <w:tblStyleRowBandSize w:val="1"/>
      <w:tblStyleColBandSize w:val="1"/>
      <w:tblBorders>
        <w:top w:val="single" w:sz="4" w:space="0" w:color="D3E583" w:themeColor="accent1" w:themeTint="99"/>
        <w:left w:val="single" w:sz="4" w:space="0" w:color="D3E583" w:themeColor="accent1" w:themeTint="99"/>
        <w:bottom w:val="single" w:sz="4" w:space="0" w:color="D3E583" w:themeColor="accent1" w:themeTint="99"/>
        <w:right w:val="single" w:sz="4" w:space="0" w:color="D3E583" w:themeColor="accent1" w:themeTint="99"/>
        <w:insideH w:val="single" w:sz="4" w:space="0" w:color="D3E583" w:themeColor="accent1" w:themeTint="99"/>
        <w:insideV w:val="single" w:sz="4" w:space="0" w:color="D3E583"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1" w:themeFillTint="33"/>
      </w:tcPr>
    </w:tblStylePr>
    <w:tblStylePr w:type="band1Horz">
      <w:tblPr/>
      <w:tcPr>
        <w:shd w:val="clear" w:color="auto" w:fill="F0F6D5" w:themeFill="accent1" w:themeFillTint="33"/>
      </w:tcPr>
    </w:tblStylePr>
    <w:tblStylePr w:type="neCell">
      <w:tblPr/>
      <w:tcPr>
        <w:tcBorders>
          <w:bottom w:val="single" w:sz="4" w:space="0" w:color="D3E583" w:themeColor="accent1" w:themeTint="99"/>
        </w:tcBorders>
      </w:tcPr>
    </w:tblStylePr>
    <w:tblStylePr w:type="nwCell">
      <w:tblPr/>
      <w:tcPr>
        <w:tcBorders>
          <w:bottom w:val="single" w:sz="4" w:space="0" w:color="D3E583" w:themeColor="accent1" w:themeTint="99"/>
        </w:tcBorders>
      </w:tcPr>
    </w:tblStylePr>
    <w:tblStylePr w:type="seCell">
      <w:tblPr/>
      <w:tcPr>
        <w:tcBorders>
          <w:top w:val="single" w:sz="4" w:space="0" w:color="D3E583" w:themeColor="accent1" w:themeTint="99"/>
        </w:tcBorders>
      </w:tcPr>
    </w:tblStylePr>
    <w:tblStylePr w:type="swCell">
      <w:tblPr/>
      <w:tcPr>
        <w:tcBorders>
          <w:top w:val="single" w:sz="4" w:space="0" w:color="D3E583" w:themeColor="accent1" w:themeTint="99"/>
        </w:tcBorders>
      </w:tcPr>
    </w:tblStylePr>
  </w:style>
  <w:style w:type="table" w:styleId="GridTable3-Accent2">
    <w:name w:val="Grid Table 3 Accent 2"/>
    <w:basedOn w:val="TableNormal"/>
    <w:uiPriority w:val="48"/>
    <w:locked/>
    <w:rsid w:val="00350549"/>
    <w:pPr>
      <w:spacing w:before="0" w:after="0"/>
    </w:pPr>
    <w:rPr>
      <w:rFonts w:ascii="Arial" w:hAnsi="Arial"/>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2" w:themeFillTint="33"/>
      </w:tcPr>
    </w:tblStylePr>
    <w:tblStylePr w:type="band1Horz">
      <w:tblPr/>
      <w:tcPr>
        <w:shd w:val="clear" w:color="auto" w:fill="DBF2F2" w:themeFill="accent2" w:themeFillTint="33"/>
      </w:tcPr>
    </w:tblStylePr>
    <w:tblStylePr w:type="neCell">
      <w:tblPr/>
      <w:tcPr>
        <w:tcBorders>
          <w:bottom w:val="single" w:sz="4" w:space="0" w:color="95D8D7" w:themeColor="accent2" w:themeTint="99"/>
        </w:tcBorders>
      </w:tcPr>
    </w:tblStylePr>
    <w:tblStylePr w:type="nwCell">
      <w:tblPr/>
      <w:tcPr>
        <w:tcBorders>
          <w:bottom w:val="single" w:sz="4" w:space="0" w:color="95D8D7" w:themeColor="accent2" w:themeTint="99"/>
        </w:tcBorders>
      </w:tcPr>
    </w:tblStylePr>
    <w:tblStylePr w:type="seCell">
      <w:tblPr/>
      <w:tcPr>
        <w:tcBorders>
          <w:top w:val="single" w:sz="4" w:space="0" w:color="95D8D7" w:themeColor="accent2" w:themeTint="99"/>
        </w:tcBorders>
      </w:tcPr>
    </w:tblStylePr>
    <w:tblStylePr w:type="swCell">
      <w:tblPr/>
      <w:tcPr>
        <w:tcBorders>
          <w:top w:val="single" w:sz="4" w:space="0" w:color="95D8D7" w:themeColor="accent2" w:themeTint="99"/>
        </w:tcBorders>
      </w:tcPr>
    </w:tblStylePr>
  </w:style>
  <w:style w:type="table" w:styleId="GridTable3-Accent6">
    <w:name w:val="Grid Table 3 Accent 6"/>
    <w:basedOn w:val="TableNormal"/>
    <w:uiPriority w:val="48"/>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character" w:styleId="BookTitle">
    <w:name w:val="Book Title"/>
    <w:basedOn w:val="DefaultParagraphFont"/>
    <w:uiPriority w:val="33"/>
    <w:qFormat/>
    <w:rsid w:val="00350549"/>
    <w:rPr>
      <w:rFonts w:ascii="Arial" w:hAnsi="Arial"/>
      <w:iCs/>
      <w:color w:val="auto"/>
      <w:spacing w:val="5"/>
      <w:sz w:val="20"/>
      <w:szCs w:val="20"/>
    </w:rPr>
  </w:style>
  <w:style w:type="paragraph" w:styleId="ListBullet">
    <w:name w:val="List Bullet"/>
    <w:basedOn w:val="Normal"/>
    <w:uiPriority w:val="99"/>
    <w:qFormat/>
    <w:rsid w:val="00350549"/>
    <w:pPr>
      <w:numPr>
        <w:numId w:val="5"/>
      </w:numPr>
      <w:spacing w:before="60" w:after="60" w:line="300" w:lineRule="auto"/>
    </w:pPr>
  </w:style>
  <w:style w:type="paragraph" w:styleId="ListBullet2">
    <w:name w:val="List Bullet 2"/>
    <w:basedOn w:val="Normal"/>
    <w:uiPriority w:val="1"/>
    <w:qFormat/>
    <w:rsid w:val="00350549"/>
    <w:pPr>
      <w:numPr>
        <w:numId w:val="6"/>
      </w:numPr>
      <w:spacing w:before="60" w:after="60" w:line="300" w:lineRule="auto"/>
    </w:pPr>
  </w:style>
  <w:style w:type="table" w:styleId="GridTable4">
    <w:name w:val="Grid Table 4"/>
    <w:basedOn w:val="TableNormal"/>
    <w:uiPriority w:val="49"/>
    <w:rsid w:val="00350549"/>
    <w:pPr>
      <w:spacing w:before="0" w:after="0"/>
    </w:pPr>
    <w:rPr>
      <w:rFonts w:ascii="Arial" w:hAnsi="Arial"/>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350549"/>
    <w:pPr>
      <w:numPr>
        <w:numId w:val="7"/>
      </w:numPr>
      <w:spacing w:before="60" w:after="60" w:line="300" w:lineRule="auto"/>
    </w:pPr>
  </w:style>
  <w:style w:type="table" w:styleId="GridTable4-Accent1">
    <w:name w:val="Grid Table 4 Accent 1"/>
    <w:basedOn w:val="TableNormal"/>
    <w:uiPriority w:val="49"/>
    <w:locked/>
    <w:rsid w:val="00350549"/>
    <w:pPr>
      <w:spacing w:before="0" w:after="0"/>
    </w:pPr>
    <w:rPr>
      <w:rFonts w:ascii="Arial" w:hAnsi="Arial"/>
      <w:szCs w:val="22"/>
    </w:rPr>
    <w:tblPr>
      <w:tblStyleRowBandSize w:val="1"/>
      <w:tblStyleColBandSize w:val="1"/>
      <w:tblBorders>
        <w:top w:val="single" w:sz="4" w:space="0" w:color="E2EDAC" w:themeColor="accent1" w:themeTint="66"/>
        <w:left w:val="single" w:sz="4" w:space="0" w:color="E2EDAC" w:themeColor="accent1" w:themeTint="66"/>
        <w:bottom w:val="single" w:sz="4" w:space="0" w:color="E2EDAC" w:themeColor="accent1" w:themeTint="66"/>
        <w:right w:val="single" w:sz="4" w:space="0" w:color="E2EDAC" w:themeColor="accent1" w:themeTint="66"/>
        <w:insideH w:val="single" w:sz="4" w:space="0" w:color="E2EDAC" w:themeColor="accent1" w:themeTint="66"/>
        <w:insideV w:val="single" w:sz="4" w:space="0" w:color="E2EDAC" w:themeColor="accent1" w:themeTint="66"/>
      </w:tblBorders>
    </w:tblPr>
    <w:tcPr>
      <w:vAlign w:val="bottom"/>
    </w:tcPr>
    <w:tblStylePr w:type="firstRow">
      <w:pPr>
        <w:jc w:val="left"/>
      </w:pPr>
      <w:rPr>
        <w:b/>
        <w:bCs/>
        <w:color w:val="FFFFFF" w:themeColor="background1"/>
      </w:rPr>
      <w:tblPr/>
      <w:tcPr>
        <w:shd w:val="clear" w:color="auto" w:fill="B7D432" w:themeFill="accent1"/>
      </w:tcPr>
    </w:tblStylePr>
    <w:tblStylePr w:type="lastRow">
      <w:rPr>
        <w:b/>
        <w:bCs/>
      </w:rPr>
      <w:tblPr/>
      <w:tcPr>
        <w:tcBorders>
          <w:top w:val="double" w:sz="4" w:space="0" w:color="B7D432" w:themeColor="accent1"/>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GridTable4-Accent2">
    <w:name w:val="Grid Table 4 Accent 2"/>
    <w:basedOn w:val="TableNormal"/>
    <w:uiPriority w:val="49"/>
    <w:locked/>
    <w:rsid w:val="00350549"/>
    <w:pPr>
      <w:spacing w:before="0" w:after="0"/>
    </w:pPr>
    <w:rPr>
      <w:rFonts w:ascii="Arial" w:hAnsi="Arial"/>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color w:val="FFFFFF" w:themeColor="background1"/>
      </w:rPr>
      <w:tblPr/>
      <w:tcPr>
        <w:tcBorders>
          <w:top w:val="single" w:sz="4" w:space="0" w:color="4FBFBE" w:themeColor="accent2"/>
          <w:left w:val="single" w:sz="4" w:space="0" w:color="4FBFBE" w:themeColor="accent2"/>
          <w:bottom w:val="single" w:sz="4" w:space="0" w:color="4FBFBE" w:themeColor="accent2"/>
          <w:right w:val="single" w:sz="4" w:space="0" w:color="4FBFBE" w:themeColor="accent2"/>
          <w:insideH w:val="nil"/>
          <w:insideV w:val="nil"/>
        </w:tcBorders>
        <w:shd w:val="clear" w:color="auto" w:fill="4FBFBE" w:themeFill="accent2"/>
        <w:vAlign w:val="bottom"/>
      </w:tcPr>
    </w:tblStylePr>
    <w:tblStylePr w:type="lastRow">
      <w:rPr>
        <w:b/>
        <w:bCs/>
      </w:rPr>
      <w:tblPr/>
      <w:tcPr>
        <w:tcBorders>
          <w:top w:val="double" w:sz="4" w:space="0" w:color="4FBFBE" w:themeColor="accent2"/>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GridTable4-Accent3">
    <w:name w:val="Grid Table 4 Accent 3"/>
    <w:basedOn w:val="TableNormal"/>
    <w:uiPriority w:val="49"/>
    <w:locked/>
    <w:rsid w:val="00350549"/>
    <w:pPr>
      <w:spacing w:before="0" w:after="0"/>
    </w:pPr>
    <w:rPr>
      <w:rFonts w:ascii="Arial" w:hAnsi="Arial"/>
      <w:szCs w:val="22"/>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insideV w:val="nil"/>
        </w:tcBorders>
        <w:shd w:val="clear" w:color="auto" w:fill="F3772C" w:themeFill="accent3"/>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4-Accent4">
    <w:name w:val="Grid Table 4 Accent 4"/>
    <w:basedOn w:val="TableNormal"/>
    <w:uiPriority w:val="49"/>
    <w:locked/>
    <w:rsid w:val="00350549"/>
    <w:pPr>
      <w:spacing w:before="0" w:after="0"/>
    </w:pPr>
    <w:rPr>
      <w:rFonts w:ascii="Arial" w:hAnsi="Arial"/>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insideV w:val="nil"/>
        </w:tcBorders>
        <w:shd w:val="clear" w:color="auto" w:fill="EE3B6F" w:themeFill="accent4"/>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4-Accent5">
    <w:name w:val="Grid Table 4 Accent 5"/>
    <w:basedOn w:val="TableNormal"/>
    <w:uiPriority w:val="49"/>
    <w:rsid w:val="00350549"/>
    <w:pPr>
      <w:spacing w:before="0" w:after="0"/>
    </w:pPr>
    <w:rPr>
      <w:rFonts w:ascii="Arial" w:hAnsi="Arial"/>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insideV w:val="nil"/>
        </w:tcBorders>
        <w:shd w:val="clear" w:color="auto" w:fill="FCB942" w:themeFill="accent5"/>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4-Accent6">
    <w:name w:val="Grid Table 4 Accent 6"/>
    <w:basedOn w:val="TableNormal"/>
    <w:uiPriority w:val="49"/>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insideV w:val="nil"/>
        </w:tcBorders>
        <w:shd w:val="clear" w:color="auto" w:fill="C3AA95" w:themeFill="accent6"/>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styleId="NormalWeb">
    <w:name w:val="Normal (Web)"/>
    <w:basedOn w:val="Normal"/>
    <w:uiPriority w:val="99"/>
    <w:semiHidden/>
    <w:unhideWhenUsed/>
    <w:rsid w:val="007D08A9"/>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7D08A9"/>
    <w:rPr>
      <w:sz w:val="16"/>
      <w:szCs w:val="16"/>
    </w:rPr>
  </w:style>
  <w:style w:type="paragraph" w:styleId="CommentText">
    <w:name w:val="annotation text"/>
    <w:basedOn w:val="Normal"/>
    <w:link w:val="CommentTextChar"/>
    <w:uiPriority w:val="99"/>
    <w:unhideWhenUsed/>
    <w:rsid w:val="007D08A9"/>
    <w:rPr>
      <w:szCs w:val="20"/>
    </w:rPr>
  </w:style>
  <w:style w:type="character" w:customStyle="1" w:styleId="CommentTextChar">
    <w:name w:val="Comment Text Char"/>
    <w:basedOn w:val="DefaultParagraphFont"/>
    <w:link w:val="CommentText"/>
    <w:uiPriority w:val="99"/>
    <w:rsid w:val="007D08A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08A9"/>
    <w:rPr>
      <w:b/>
      <w:bCs/>
    </w:rPr>
  </w:style>
  <w:style w:type="character" w:customStyle="1" w:styleId="CommentSubjectChar">
    <w:name w:val="Comment Subject Char"/>
    <w:basedOn w:val="CommentTextChar"/>
    <w:link w:val="CommentSubject"/>
    <w:uiPriority w:val="99"/>
    <w:semiHidden/>
    <w:rsid w:val="007D08A9"/>
    <w:rPr>
      <w:rFonts w:ascii="Arial" w:hAnsi="Arial"/>
      <w:b/>
      <w:bCs/>
      <w:sz w:val="20"/>
      <w:szCs w:val="20"/>
    </w:rPr>
  </w:style>
  <w:style w:type="table" w:styleId="GridTable5Dark-Accent2">
    <w:name w:val="Grid Table 5 Dark Accent 2"/>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F2"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BFB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BFB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BFB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BFBE"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772C"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7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77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772C"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7D08A9"/>
    <w:rPr>
      <w:color w:val="808080"/>
    </w:rPr>
  </w:style>
  <w:style w:type="paragraph" w:styleId="ListParagraph">
    <w:name w:val="List Paragraph"/>
    <w:aliases w:val="0Bullet,Bullet point,Indented bullet,L,List Paragraph1,List Paragraph11,List Paragraph2,Recommendation,bullet point list"/>
    <w:basedOn w:val="Normal"/>
    <w:uiPriority w:val="34"/>
    <w:rsid w:val="007D08A9"/>
    <w:pPr>
      <w:ind w:left="720"/>
      <w:contextualSpacing/>
    </w:pPr>
  </w:style>
  <w:style w:type="paragraph" w:styleId="Quote">
    <w:name w:val="Quote"/>
    <w:aliases w:val="Quote 1"/>
    <w:basedOn w:val="Normal"/>
    <w:next w:val="Body"/>
    <w:link w:val="QuoteChar"/>
    <w:uiPriority w:val="7"/>
    <w:qFormat/>
    <w:rsid w:val="00350549"/>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350549"/>
    <w:rPr>
      <w:rFonts w:cstheme="minorHAnsi"/>
      <w:sz w:val="22"/>
      <w:szCs w:val="22"/>
    </w:rPr>
  </w:style>
  <w:style w:type="table" w:styleId="GridTable5Dark-Accent4">
    <w:name w:val="Grid Table 5 Dark Accent 4"/>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E2"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3B6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3B6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3B6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3B6F"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8"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9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9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DE9"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AA95"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AA9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AA9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AA95" w:themeFill="accent6"/>
      </w:tcPr>
    </w:tblStylePr>
    <w:tblStylePr w:type="band1Vert">
      <w:tblPr/>
      <w:tcPr>
        <w:shd w:val="clear" w:color="auto" w:fill="E7DCD4"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50549"/>
    <w:pPr>
      <w:spacing w:before="0" w:after="0"/>
    </w:pPr>
    <w:rPr>
      <w:rFonts w:ascii="Arial" w:hAnsi="Arial"/>
      <w:color w:val="8AA122" w:themeColor="accent1" w:themeShade="BF"/>
      <w:szCs w:val="22"/>
    </w:rPr>
    <w:tblPr>
      <w:tblStyleRowBandSize w:val="1"/>
      <w:tblStyleColBandSize w:val="1"/>
      <w:tblBorders>
        <w:top w:val="single" w:sz="4" w:space="0" w:color="D3E583" w:themeColor="accent1" w:themeTint="99"/>
        <w:left w:val="single" w:sz="4" w:space="0" w:color="D3E583" w:themeColor="accent1" w:themeTint="99"/>
        <w:bottom w:val="single" w:sz="4" w:space="0" w:color="D3E583" w:themeColor="accent1" w:themeTint="99"/>
        <w:right w:val="single" w:sz="4" w:space="0" w:color="D3E583" w:themeColor="accent1" w:themeTint="99"/>
        <w:insideH w:val="single" w:sz="4" w:space="0" w:color="D3E583" w:themeColor="accent1" w:themeTint="99"/>
        <w:insideV w:val="single" w:sz="4" w:space="0" w:color="D3E583" w:themeColor="accent1" w:themeTint="99"/>
      </w:tblBorders>
    </w:tblPr>
    <w:tblStylePr w:type="firstRow">
      <w:pPr>
        <w:jc w:val="left"/>
      </w:pPr>
      <w:rPr>
        <w:b/>
        <w:bCs/>
      </w:rPr>
      <w:tblPr/>
      <w:tcPr>
        <w:tcBorders>
          <w:bottom w:val="single" w:sz="12" w:space="0" w:color="D3E583" w:themeColor="accent1" w:themeTint="99"/>
        </w:tcBorders>
        <w:vAlign w:val="bottom"/>
      </w:tcPr>
    </w:tblStylePr>
    <w:tblStylePr w:type="lastRow">
      <w:rPr>
        <w:b/>
        <w:bCs/>
      </w:rPr>
      <w:tblPr/>
      <w:tcPr>
        <w:tcBorders>
          <w:top w:val="double" w:sz="4" w:space="0" w:color="D3E583" w:themeColor="accent1" w:themeTint="99"/>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GridTable6Colorful-Accent2">
    <w:name w:val="Grid Table 6 Colorful Accent 2"/>
    <w:basedOn w:val="TableNormal"/>
    <w:uiPriority w:val="51"/>
    <w:locked/>
    <w:rsid w:val="00350549"/>
    <w:pPr>
      <w:spacing w:before="0" w:after="0"/>
    </w:pPr>
    <w:rPr>
      <w:rFonts w:ascii="Arial" w:hAnsi="Arial"/>
      <w:color w:val="369492" w:themeColor="accent2" w:themeShade="BF"/>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rPr>
      <w:tblPr/>
      <w:tcPr>
        <w:tcBorders>
          <w:bottom w:val="single" w:sz="12" w:space="0" w:color="95D8D7" w:themeColor="accent2" w:themeTint="99"/>
        </w:tcBorders>
        <w:vAlign w:val="bottom"/>
      </w:tcPr>
    </w:tblStylePr>
    <w:tblStylePr w:type="lastRow">
      <w:rPr>
        <w:b/>
        <w:bCs/>
      </w:rPr>
      <w:tblPr/>
      <w:tcPr>
        <w:tcBorders>
          <w:top w:val="double" w:sz="4" w:space="0" w:color="95D8D7" w:themeColor="accent2" w:themeTint="99"/>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GridTable6Colorful-Accent3">
    <w:name w:val="Grid Table 6 Colorful Accent 3"/>
    <w:basedOn w:val="TableNormal"/>
    <w:uiPriority w:val="51"/>
    <w:locked/>
    <w:rsid w:val="00350549"/>
    <w:pPr>
      <w:spacing w:before="0" w:after="0"/>
    </w:pPr>
    <w:rPr>
      <w:rFonts w:ascii="Arial" w:hAnsi="Arial"/>
      <w:color w:val="CB530B" w:themeColor="accent3" w:themeShade="BF"/>
      <w:szCs w:val="22"/>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6Colorful-Accent4">
    <w:name w:val="Grid Table 6 Colorful Accent 4"/>
    <w:basedOn w:val="TableNormal"/>
    <w:uiPriority w:val="51"/>
    <w:locked/>
    <w:rsid w:val="00350549"/>
    <w:pPr>
      <w:spacing w:before="0" w:after="0"/>
    </w:pPr>
    <w:rPr>
      <w:rFonts w:ascii="Arial" w:hAnsi="Arial"/>
      <w:color w:val="CC1148" w:themeColor="accent4" w:themeShade="BF"/>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6Colorful-Accent5">
    <w:name w:val="Grid Table 6 Colorful Accent 5"/>
    <w:basedOn w:val="TableNormal"/>
    <w:uiPriority w:val="51"/>
    <w:rsid w:val="00350549"/>
    <w:pPr>
      <w:spacing w:before="0" w:after="0"/>
    </w:pPr>
    <w:rPr>
      <w:rFonts w:ascii="Arial" w:hAnsi="Arial"/>
      <w:color w:val="EA9703" w:themeColor="accent5" w:themeShade="BF"/>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6Colorful-Accent6">
    <w:name w:val="Grid Table 6 Colorful Accent 6"/>
    <w:basedOn w:val="TableNormal"/>
    <w:uiPriority w:val="51"/>
    <w:locked/>
    <w:rsid w:val="00350549"/>
    <w:pPr>
      <w:spacing w:before="0" w:after="0"/>
    </w:pPr>
    <w:rPr>
      <w:color w:val="A37D5D" w:themeColor="accent6" w:themeShade="BF"/>
      <w:sz w:val="22"/>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7Colorful">
    <w:name w:val="Grid Table 7 Colorful"/>
    <w:basedOn w:val="TableNormal"/>
    <w:uiPriority w:val="52"/>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50549"/>
    <w:pPr>
      <w:spacing w:before="0" w:after="0"/>
    </w:pPr>
    <w:rPr>
      <w:color w:val="8AA122" w:themeColor="accent1" w:themeShade="BF"/>
      <w:sz w:val="22"/>
      <w:szCs w:val="22"/>
    </w:rPr>
    <w:tblPr>
      <w:tblStyleRowBandSize w:val="1"/>
      <w:tblStyleColBandSize w:val="1"/>
      <w:tblBorders>
        <w:top w:val="single" w:sz="4" w:space="0" w:color="D3E583" w:themeColor="accent1" w:themeTint="99"/>
        <w:left w:val="single" w:sz="4" w:space="0" w:color="D3E583" w:themeColor="accent1" w:themeTint="99"/>
        <w:bottom w:val="single" w:sz="4" w:space="0" w:color="D3E583" w:themeColor="accent1" w:themeTint="99"/>
        <w:right w:val="single" w:sz="4" w:space="0" w:color="D3E583" w:themeColor="accent1" w:themeTint="99"/>
        <w:insideH w:val="single" w:sz="4" w:space="0" w:color="D3E583" w:themeColor="accent1" w:themeTint="99"/>
        <w:insideV w:val="single" w:sz="4" w:space="0" w:color="D3E583"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1" w:themeFillTint="33"/>
      </w:tcPr>
    </w:tblStylePr>
    <w:tblStylePr w:type="band1Horz">
      <w:tblPr/>
      <w:tcPr>
        <w:shd w:val="clear" w:color="auto" w:fill="F0F6D5" w:themeFill="accent1" w:themeFillTint="33"/>
      </w:tcPr>
    </w:tblStylePr>
    <w:tblStylePr w:type="neCell">
      <w:tblPr/>
      <w:tcPr>
        <w:tcBorders>
          <w:bottom w:val="single" w:sz="4" w:space="0" w:color="D3E583" w:themeColor="accent1" w:themeTint="99"/>
        </w:tcBorders>
      </w:tcPr>
    </w:tblStylePr>
    <w:tblStylePr w:type="nwCell">
      <w:tblPr/>
      <w:tcPr>
        <w:tcBorders>
          <w:bottom w:val="single" w:sz="4" w:space="0" w:color="D3E583" w:themeColor="accent1" w:themeTint="99"/>
        </w:tcBorders>
      </w:tcPr>
    </w:tblStylePr>
    <w:tblStylePr w:type="seCell">
      <w:tblPr/>
      <w:tcPr>
        <w:tcBorders>
          <w:top w:val="single" w:sz="4" w:space="0" w:color="D3E583" w:themeColor="accent1" w:themeTint="99"/>
        </w:tcBorders>
      </w:tcPr>
    </w:tblStylePr>
    <w:tblStylePr w:type="swCell">
      <w:tblPr/>
      <w:tcPr>
        <w:tcBorders>
          <w:top w:val="single" w:sz="4" w:space="0" w:color="D3E583" w:themeColor="accent1" w:themeTint="99"/>
        </w:tcBorders>
      </w:tcPr>
    </w:tblStylePr>
  </w:style>
  <w:style w:type="table" w:styleId="GridTable7Colorful-Accent2">
    <w:name w:val="Grid Table 7 Colorful Accent 2"/>
    <w:basedOn w:val="TableNormal"/>
    <w:uiPriority w:val="52"/>
    <w:locked/>
    <w:rsid w:val="00350549"/>
    <w:pPr>
      <w:spacing w:before="0" w:after="0"/>
    </w:pPr>
    <w:rPr>
      <w:color w:val="369492" w:themeColor="accent2" w:themeShade="BF"/>
      <w:sz w:val="22"/>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2" w:themeFillTint="33"/>
      </w:tcPr>
    </w:tblStylePr>
    <w:tblStylePr w:type="band1Horz">
      <w:tblPr/>
      <w:tcPr>
        <w:shd w:val="clear" w:color="auto" w:fill="DBF2F2" w:themeFill="accent2" w:themeFillTint="33"/>
      </w:tcPr>
    </w:tblStylePr>
    <w:tblStylePr w:type="neCell">
      <w:tblPr/>
      <w:tcPr>
        <w:tcBorders>
          <w:bottom w:val="single" w:sz="4" w:space="0" w:color="95D8D7" w:themeColor="accent2" w:themeTint="99"/>
        </w:tcBorders>
      </w:tcPr>
    </w:tblStylePr>
    <w:tblStylePr w:type="nwCell">
      <w:tblPr/>
      <w:tcPr>
        <w:tcBorders>
          <w:bottom w:val="single" w:sz="4" w:space="0" w:color="95D8D7" w:themeColor="accent2" w:themeTint="99"/>
        </w:tcBorders>
      </w:tcPr>
    </w:tblStylePr>
    <w:tblStylePr w:type="seCell">
      <w:tblPr/>
      <w:tcPr>
        <w:tcBorders>
          <w:top w:val="single" w:sz="4" w:space="0" w:color="95D8D7" w:themeColor="accent2" w:themeTint="99"/>
        </w:tcBorders>
      </w:tcPr>
    </w:tblStylePr>
    <w:tblStylePr w:type="swCell">
      <w:tblPr/>
      <w:tcPr>
        <w:tcBorders>
          <w:top w:val="single" w:sz="4" w:space="0" w:color="95D8D7" w:themeColor="accent2" w:themeTint="99"/>
        </w:tcBorders>
      </w:tcPr>
    </w:tblStylePr>
  </w:style>
  <w:style w:type="table" w:styleId="GridTable7Colorful-Accent3">
    <w:name w:val="Grid Table 7 Colorful Accent 3"/>
    <w:basedOn w:val="TableNormal"/>
    <w:uiPriority w:val="52"/>
    <w:locked/>
    <w:rsid w:val="00350549"/>
    <w:pPr>
      <w:spacing w:before="0" w:after="0"/>
    </w:pPr>
    <w:rPr>
      <w:color w:val="CB530B" w:themeColor="accent3" w:themeShade="BF"/>
      <w:sz w:val="22"/>
      <w:szCs w:val="22"/>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7Colorful-Accent4">
    <w:name w:val="Grid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7Colorful-Accent5">
    <w:name w:val="Grid Table 7 Colorful Accent 5"/>
    <w:basedOn w:val="TableNormal"/>
    <w:uiPriority w:val="52"/>
    <w:rsid w:val="00350549"/>
    <w:pPr>
      <w:spacing w:before="0" w:after="0"/>
    </w:pPr>
    <w:rPr>
      <w:color w:val="EA9703" w:themeColor="accent5" w:themeShade="BF"/>
      <w:sz w:val="22"/>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ListTable4-Accent1">
    <w:name w:val="List Table 4 Accent 1"/>
    <w:basedOn w:val="TableNormal"/>
    <w:uiPriority w:val="49"/>
    <w:locked/>
    <w:rsid w:val="00350549"/>
    <w:pPr>
      <w:spacing w:before="0" w:after="0"/>
    </w:pPr>
    <w:rPr>
      <w:rFonts w:ascii="Arial" w:hAnsi="Arial"/>
      <w:szCs w:val="22"/>
    </w:rPr>
    <w:tblPr>
      <w:tblStyleRowBandSize w:val="1"/>
      <w:tblStyleColBandSize w:val="1"/>
      <w:tblBorders>
        <w:bottom w:val="single" w:sz="4" w:space="0" w:color="D3E583" w:themeColor="accent1" w:themeTint="99"/>
      </w:tblBorders>
    </w:tblPr>
    <w:tblStylePr w:type="firstRow">
      <w:pPr>
        <w:jc w:val="left"/>
      </w:pPr>
      <w:rPr>
        <w:b/>
        <w:bCs/>
        <w:color w:val="FFFFFF" w:themeColor="background1"/>
      </w:rPr>
      <w:tblPr/>
      <w:tcPr>
        <w:shd w:val="clear" w:color="auto" w:fill="B7D432" w:themeFill="accent1"/>
        <w:vAlign w:val="bottom"/>
      </w:tcPr>
    </w:tblStylePr>
    <w:tblStylePr w:type="lastRow">
      <w:rPr>
        <w:b/>
        <w:bCs/>
      </w:rPr>
      <w:tblPr/>
      <w:tcPr>
        <w:tcBorders>
          <w:top w:val="double" w:sz="4" w:space="0" w:color="D3E583" w:themeColor="accent1" w:themeTint="99"/>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4-Accent2">
    <w:name w:val="List Table 4 Accent 2"/>
    <w:basedOn w:val="TableNormal"/>
    <w:uiPriority w:val="49"/>
    <w:locked/>
    <w:rsid w:val="00350549"/>
    <w:pPr>
      <w:spacing w:before="0" w:after="0"/>
    </w:pPr>
    <w:rPr>
      <w:rFonts w:ascii="Arial" w:hAnsi="Arial"/>
      <w:szCs w:val="22"/>
    </w:rPr>
    <w:tblPr>
      <w:tblStyleRowBandSize w:val="1"/>
      <w:tblStyleColBandSize w:val="1"/>
      <w:tblBorders>
        <w:bottom w:val="single" w:sz="4" w:space="0" w:color="95D8D7" w:themeColor="accent2" w:themeTint="99"/>
      </w:tblBorders>
    </w:tblPr>
    <w:tblStylePr w:type="firstRow">
      <w:pPr>
        <w:jc w:val="left"/>
      </w:pPr>
      <w:rPr>
        <w:b/>
        <w:bCs/>
        <w:color w:val="FFFFFF" w:themeColor="background1"/>
      </w:rPr>
      <w:tblPr/>
      <w:tcPr>
        <w:tcBorders>
          <w:top w:val="single" w:sz="4" w:space="0" w:color="4FBFBE" w:themeColor="accent2"/>
          <w:left w:val="single" w:sz="4" w:space="0" w:color="4FBFBE" w:themeColor="accent2"/>
          <w:bottom w:val="single" w:sz="4" w:space="0" w:color="4FBFBE" w:themeColor="accent2"/>
          <w:right w:val="single" w:sz="4" w:space="0" w:color="4FBFBE" w:themeColor="accent2"/>
          <w:insideH w:val="nil"/>
        </w:tcBorders>
        <w:shd w:val="clear" w:color="auto" w:fill="4FBFBE" w:themeFill="accent2"/>
        <w:vAlign w:val="bottom"/>
      </w:tcPr>
    </w:tblStylePr>
    <w:tblStylePr w:type="lastRow">
      <w:rPr>
        <w:b/>
        <w:bCs/>
      </w:rPr>
      <w:tblPr/>
      <w:tcPr>
        <w:tcBorders>
          <w:top w:val="double" w:sz="4" w:space="0" w:color="95D8D7" w:themeColor="accent2" w:themeTint="99"/>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4-Accent5">
    <w:name w:val="List Table 4 Accent 5"/>
    <w:basedOn w:val="TableNormal"/>
    <w:uiPriority w:val="49"/>
    <w:rsid w:val="00350549"/>
    <w:pPr>
      <w:spacing w:before="0" w:after="0"/>
    </w:pPr>
    <w:rPr>
      <w:rFonts w:ascii="Arial" w:hAnsi="Arial"/>
      <w:szCs w:val="22"/>
    </w:rPr>
    <w:tblPr>
      <w:tblStyleRowBandSize w:val="1"/>
      <w:tblStyleColBandSize w:val="1"/>
      <w:tblBorders>
        <w:bottom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tcBorders>
        <w:shd w:val="clear" w:color="auto" w:fill="FCB942" w:themeFill="accent5"/>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7Colorful-Accent3">
    <w:name w:val="List Table 7 Colorful Accent 3"/>
    <w:basedOn w:val="TableNormal"/>
    <w:uiPriority w:val="52"/>
    <w:locked/>
    <w:rsid w:val="00350549"/>
    <w:pPr>
      <w:spacing w:before="0" w:after="0"/>
    </w:pPr>
    <w:rPr>
      <w:color w:val="CB530B" w:themeColor="accent3"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3772C"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377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7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72C" w:themeColor="accent3"/>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EE3B6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EE3B6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3B6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3B6F" w:themeColor="accent4"/>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50549"/>
    <w:pPr>
      <w:spacing w:before="0" w:after="0"/>
    </w:pPr>
    <w:rPr>
      <w:color w:val="EA9703" w:themeColor="accent5"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CB9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CB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942" w:themeColor="accent5"/>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50549"/>
    <w:pPr>
      <w:spacing w:before="0" w:after="0"/>
    </w:pPr>
    <w:rPr>
      <w:color w:val="A37D5D" w:themeColor="accent6"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C3AA95"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3AA9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AA9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AA95" w:themeColor="accent6"/>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50549"/>
    <w:pPr>
      <w:spacing w:before="0" w:after="0"/>
    </w:pPr>
    <w:rPr>
      <w:rFonts w:ascii="Arial" w:hAnsi="Arial" w:cs="Times New Roman"/>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50549"/>
    <w:pPr>
      <w:spacing w:before="0" w:after="0"/>
    </w:pPr>
    <w:rPr>
      <w:rFonts w:ascii="Arial" w:hAnsi="Arial" w:cs="Times New Roman"/>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50549"/>
    <w:pPr>
      <w:spacing w:before="0" w:after="0"/>
    </w:pPr>
    <w:rPr>
      <w:rFonts w:ascii="Arial" w:hAnsi="Arial" w:cs="Times New Roman"/>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50549"/>
    <w:pPr>
      <w:spacing w:before="0" w:after="0"/>
    </w:pPr>
    <w:rPr>
      <w:rFonts w:ascii="Arial" w:hAnsi="Arial" w:cs="Times New Roman"/>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50549"/>
    <w:pPr>
      <w:spacing w:before="0" w:after="0"/>
    </w:pPr>
    <w:rPr>
      <w:rFonts w:ascii="Arial" w:hAnsi="Arial"/>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350549"/>
    <w:pPr>
      <w:spacing w:before="0" w:after="0"/>
    </w:pPr>
    <w:rPr>
      <w:rFonts w:ascii="Arial" w:hAnsi="Arial"/>
      <w:color w:val="0D0D0D" w:themeColor="text1" w:themeTint="F2"/>
      <w:szCs w:val="22"/>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350549"/>
    <w:pPr>
      <w:spacing w:after="0"/>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6D5" w:themeFill="accent1" w:themeFillTint="33"/>
    </w:tcPr>
    <w:tblStylePr w:type="firstRow">
      <w:pPr>
        <w:jc w:val="left"/>
      </w:pPr>
      <w:rPr>
        <w:b/>
        <w:bCs/>
        <w:color w:val="FFFFFF" w:themeColor="background1"/>
      </w:rPr>
      <w:tblPr/>
      <w:tcPr>
        <w:shd w:val="clear" w:color="auto" w:fill="B7D432"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D432" w:themeFill="accent1"/>
      </w:tcPr>
    </w:tblStylePr>
    <w:tblStylePr w:type="firstCol">
      <w:rPr>
        <w:b/>
        <w:bCs/>
        <w:color w:val="FFFFFF" w:themeColor="background1"/>
      </w:rPr>
      <w:tblPr/>
      <w:tcPr>
        <w:shd w:val="clear" w:color="auto" w:fill="B7D432"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F0F6D5" w:themeFill="accent1" w:themeFillTint="33"/>
      </w:tcPr>
    </w:tblStylePr>
    <w:tblStylePr w:type="band2Vert">
      <w:tblPr/>
      <w:tcPr>
        <w:shd w:val="clear" w:color="auto" w:fill="FFFFFF" w:themeFill="background1"/>
      </w:tcPr>
    </w:tblStylePr>
    <w:tblStylePr w:type="band1Horz">
      <w:tblPr/>
      <w:tcPr>
        <w:shd w:val="clear" w:color="auto" w:fill="F0F6D5"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35054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50549"/>
    <w:pPr>
      <w:spacing w:after="0"/>
    </w:pPr>
    <w:rPr>
      <w:rFonts w:ascii="Arial" w:hAnsi="Arial"/>
    </w:rPr>
    <w:tblPr>
      <w:tblStyleRowBandSize w:val="1"/>
      <w:tblStyleColBandSize w:val="1"/>
      <w:tblBorders>
        <w:top w:val="single" w:sz="4" w:space="0" w:color="B7D432" w:themeColor="accent1"/>
        <w:left w:val="single" w:sz="4" w:space="0" w:color="B7D432" w:themeColor="accent1"/>
        <w:bottom w:val="single" w:sz="4" w:space="0" w:color="B7D432" w:themeColor="accent1"/>
        <w:right w:val="single" w:sz="4" w:space="0" w:color="B7D432" w:themeColor="accent1"/>
      </w:tblBorders>
    </w:tblPr>
    <w:tcPr>
      <w:vAlign w:val="bottom"/>
    </w:tcPr>
    <w:tblStylePr w:type="firstRow">
      <w:pPr>
        <w:jc w:val="left"/>
      </w:pPr>
      <w:rPr>
        <w:b/>
        <w:bCs/>
        <w:color w:val="FFFFFF" w:themeColor="background1"/>
      </w:rPr>
      <w:tblPr/>
      <w:tcPr>
        <w:shd w:val="clear" w:color="auto" w:fill="B7D432" w:themeFill="accent1"/>
      </w:tcPr>
    </w:tblStylePr>
    <w:tblStylePr w:type="lastRow">
      <w:rPr>
        <w:b/>
        <w:bCs/>
      </w:rPr>
      <w:tblPr/>
      <w:tcPr>
        <w:tcBorders>
          <w:top w:val="double" w:sz="4" w:space="0" w:color="B7D43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1"/>
          <w:right w:val="single" w:sz="4" w:space="0" w:color="B7D432" w:themeColor="accent1"/>
        </w:tcBorders>
      </w:tcPr>
    </w:tblStylePr>
    <w:tblStylePr w:type="band1Horz">
      <w:tblPr/>
      <w:tcPr>
        <w:tcBorders>
          <w:top w:val="single" w:sz="4" w:space="0" w:color="B7D432" w:themeColor="accent1"/>
          <w:bottom w:val="single" w:sz="4" w:space="0" w:color="B7D43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1"/>
          <w:left w:val="nil"/>
        </w:tcBorders>
      </w:tcPr>
    </w:tblStylePr>
    <w:tblStylePr w:type="swCell">
      <w:tblPr/>
      <w:tcPr>
        <w:tcBorders>
          <w:top w:val="double" w:sz="4" w:space="0" w:color="B7D432" w:themeColor="accent1"/>
          <w:right w:val="nil"/>
        </w:tcBorders>
      </w:tcPr>
    </w:tblStylePr>
  </w:style>
  <w:style w:type="table" w:styleId="ListTable3-Accent2">
    <w:name w:val="List Table 3 Accent 2"/>
    <w:basedOn w:val="TableNormal"/>
    <w:uiPriority w:val="48"/>
    <w:locked/>
    <w:rsid w:val="00350549"/>
    <w:pPr>
      <w:spacing w:after="0"/>
    </w:pPr>
    <w:tblPr>
      <w:tblStyleRowBandSize w:val="1"/>
      <w:tblStyleColBandSize w:val="1"/>
      <w:tblBorders>
        <w:top w:val="single" w:sz="4" w:space="0" w:color="4FBFBE" w:themeColor="accent2"/>
        <w:left w:val="single" w:sz="4" w:space="0" w:color="4FBFBE" w:themeColor="accent2"/>
        <w:bottom w:val="single" w:sz="4" w:space="0" w:color="4FBFBE" w:themeColor="accent2"/>
        <w:right w:val="single" w:sz="4" w:space="0" w:color="4FBFBE" w:themeColor="accent2"/>
      </w:tblBorders>
    </w:tblPr>
    <w:tblStylePr w:type="firstRow">
      <w:pPr>
        <w:jc w:val="left"/>
      </w:pPr>
      <w:rPr>
        <w:b/>
        <w:bCs/>
        <w:color w:val="FFFFFF" w:themeColor="background1"/>
      </w:rPr>
      <w:tblPr/>
      <w:tcPr>
        <w:shd w:val="clear" w:color="auto" w:fill="4FBFBE" w:themeFill="accent2"/>
        <w:vAlign w:val="bottom"/>
      </w:tcPr>
    </w:tblStylePr>
    <w:tblStylePr w:type="lastRow">
      <w:rPr>
        <w:b/>
        <w:bCs/>
      </w:rPr>
      <w:tblPr/>
      <w:tcPr>
        <w:tcBorders>
          <w:top w:val="double" w:sz="4" w:space="0" w:color="4FBFB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BFBE" w:themeColor="accent2"/>
          <w:right w:val="single" w:sz="4" w:space="0" w:color="4FBFBE" w:themeColor="accent2"/>
        </w:tcBorders>
      </w:tcPr>
    </w:tblStylePr>
    <w:tblStylePr w:type="band1Horz">
      <w:tblPr/>
      <w:tcPr>
        <w:tcBorders>
          <w:top w:val="single" w:sz="4" w:space="0" w:color="4FBFBE" w:themeColor="accent2"/>
          <w:bottom w:val="single" w:sz="4" w:space="0" w:color="4FBFB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BFBE" w:themeColor="accent2"/>
          <w:left w:val="nil"/>
        </w:tcBorders>
      </w:tcPr>
    </w:tblStylePr>
    <w:tblStylePr w:type="swCell">
      <w:tblPr/>
      <w:tcPr>
        <w:tcBorders>
          <w:top w:val="double" w:sz="4" w:space="0" w:color="4FBFBE" w:themeColor="accent2"/>
          <w:right w:val="nil"/>
        </w:tcBorders>
      </w:tcPr>
    </w:tblStylePr>
  </w:style>
  <w:style w:type="table" w:styleId="ListTable3-Accent3">
    <w:name w:val="List Table 3 Accent 3"/>
    <w:basedOn w:val="TableNormal"/>
    <w:uiPriority w:val="48"/>
    <w:locked/>
    <w:rsid w:val="00350549"/>
    <w:pPr>
      <w:spacing w:after="0"/>
    </w:pPr>
    <w:tblPr>
      <w:tblStyleRowBandSize w:val="1"/>
      <w:tblStyleColBandSize w:val="1"/>
      <w:tblBorders>
        <w:top w:val="single" w:sz="4" w:space="0" w:color="F3772C" w:themeColor="accent3"/>
        <w:left w:val="single" w:sz="4" w:space="0" w:color="F3772C" w:themeColor="accent3"/>
        <w:bottom w:val="single" w:sz="4" w:space="0" w:color="F3772C" w:themeColor="accent3"/>
        <w:right w:val="single" w:sz="4" w:space="0" w:color="F3772C" w:themeColor="accent3"/>
      </w:tblBorders>
    </w:tblPr>
    <w:tblStylePr w:type="firstRow">
      <w:pPr>
        <w:jc w:val="left"/>
      </w:pPr>
      <w:rPr>
        <w:b/>
        <w:bCs/>
        <w:color w:val="FFFFFF" w:themeColor="background1"/>
      </w:rPr>
      <w:tblPr/>
      <w:tcPr>
        <w:shd w:val="clear" w:color="auto" w:fill="F3772C" w:themeFill="accent3"/>
        <w:vAlign w:val="bottom"/>
      </w:tcPr>
    </w:tblStylePr>
    <w:tblStylePr w:type="lastRow">
      <w:rPr>
        <w:b/>
        <w:bCs/>
      </w:rPr>
      <w:tblPr/>
      <w:tcPr>
        <w:tcBorders>
          <w:top w:val="double" w:sz="4" w:space="0" w:color="F377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72C" w:themeColor="accent3"/>
          <w:right w:val="single" w:sz="4" w:space="0" w:color="F3772C" w:themeColor="accent3"/>
        </w:tcBorders>
      </w:tcPr>
    </w:tblStylePr>
    <w:tblStylePr w:type="band1Horz">
      <w:tblPr/>
      <w:tcPr>
        <w:tcBorders>
          <w:top w:val="single" w:sz="4" w:space="0" w:color="F3772C" w:themeColor="accent3"/>
          <w:bottom w:val="single" w:sz="4" w:space="0" w:color="F377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72C" w:themeColor="accent3"/>
          <w:left w:val="nil"/>
        </w:tcBorders>
      </w:tcPr>
    </w:tblStylePr>
    <w:tblStylePr w:type="swCell">
      <w:tblPr/>
      <w:tcPr>
        <w:tcBorders>
          <w:top w:val="double" w:sz="4" w:space="0" w:color="F3772C" w:themeColor="accent3"/>
          <w:right w:val="nil"/>
        </w:tcBorders>
      </w:tcPr>
    </w:tblStylePr>
  </w:style>
  <w:style w:type="table" w:styleId="ListTable3-Accent4">
    <w:name w:val="List Table 3 Accent 4"/>
    <w:basedOn w:val="TableNormal"/>
    <w:uiPriority w:val="48"/>
    <w:locked/>
    <w:rsid w:val="00350549"/>
    <w:pPr>
      <w:spacing w:after="0"/>
    </w:pPr>
    <w:tblPr>
      <w:tblStyleRowBandSize w:val="1"/>
      <w:tblStyleColBandSize w:val="1"/>
      <w:tblBorders>
        <w:top w:val="single" w:sz="4" w:space="0" w:color="EE3B6F" w:themeColor="accent4"/>
        <w:left w:val="single" w:sz="4" w:space="0" w:color="EE3B6F" w:themeColor="accent4"/>
        <w:bottom w:val="single" w:sz="4" w:space="0" w:color="EE3B6F" w:themeColor="accent4"/>
        <w:right w:val="single" w:sz="4" w:space="0" w:color="EE3B6F" w:themeColor="accent4"/>
      </w:tblBorders>
    </w:tblPr>
    <w:tblStylePr w:type="firstRow">
      <w:pPr>
        <w:jc w:val="left"/>
      </w:pPr>
      <w:rPr>
        <w:b/>
        <w:bCs/>
        <w:color w:val="FFFFFF" w:themeColor="background1"/>
      </w:rPr>
      <w:tblPr/>
      <w:tcPr>
        <w:shd w:val="clear" w:color="auto" w:fill="EE3B6F" w:themeFill="accent4"/>
        <w:vAlign w:val="bottom"/>
      </w:tcPr>
    </w:tblStylePr>
    <w:tblStylePr w:type="lastRow">
      <w:rPr>
        <w:b/>
        <w:bCs/>
      </w:rPr>
      <w:tblPr/>
      <w:tcPr>
        <w:tcBorders>
          <w:top w:val="double" w:sz="4" w:space="0" w:color="EE3B6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3B6F" w:themeColor="accent4"/>
          <w:right w:val="single" w:sz="4" w:space="0" w:color="EE3B6F" w:themeColor="accent4"/>
        </w:tcBorders>
      </w:tcPr>
    </w:tblStylePr>
    <w:tblStylePr w:type="band1Horz">
      <w:tblPr/>
      <w:tcPr>
        <w:tcBorders>
          <w:top w:val="single" w:sz="4" w:space="0" w:color="EE3B6F" w:themeColor="accent4"/>
          <w:bottom w:val="single" w:sz="4" w:space="0" w:color="EE3B6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3B6F" w:themeColor="accent4"/>
          <w:left w:val="nil"/>
        </w:tcBorders>
      </w:tcPr>
    </w:tblStylePr>
    <w:tblStylePr w:type="swCell">
      <w:tblPr/>
      <w:tcPr>
        <w:tcBorders>
          <w:top w:val="double" w:sz="4" w:space="0" w:color="EE3B6F" w:themeColor="accent4"/>
          <w:right w:val="nil"/>
        </w:tcBorders>
      </w:tcPr>
    </w:tblStylePr>
  </w:style>
  <w:style w:type="table" w:styleId="ListTable3-Accent5">
    <w:name w:val="List Table 3 Accent 5"/>
    <w:basedOn w:val="TableNormal"/>
    <w:uiPriority w:val="48"/>
    <w:rsid w:val="00350549"/>
    <w:pPr>
      <w:spacing w:after="0"/>
    </w:pPr>
    <w:tblPr>
      <w:tblStyleRowBandSize w:val="1"/>
      <w:tblStyleColBandSize w:val="1"/>
      <w:tblBorders>
        <w:top w:val="single" w:sz="4" w:space="0" w:color="FCB942" w:themeColor="accent5"/>
        <w:left w:val="single" w:sz="4" w:space="0" w:color="FCB942" w:themeColor="accent5"/>
        <w:bottom w:val="single" w:sz="4" w:space="0" w:color="FCB942" w:themeColor="accent5"/>
        <w:right w:val="single" w:sz="4" w:space="0" w:color="FCB942" w:themeColor="accent5"/>
      </w:tblBorders>
    </w:tblPr>
    <w:tblStylePr w:type="firstRow">
      <w:pPr>
        <w:jc w:val="left"/>
      </w:pPr>
      <w:rPr>
        <w:b/>
        <w:bCs/>
        <w:color w:val="FFFFFF" w:themeColor="background1"/>
      </w:rPr>
      <w:tblPr/>
      <w:tcPr>
        <w:shd w:val="clear" w:color="auto" w:fill="FCB942" w:themeFill="accent5"/>
        <w:vAlign w:val="bottom"/>
      </w:tcPr>
    </w:tblStylePr>
    <w:tblStylePr w:type="lastRow">
      <w:rPr>
        <w:b/>
        <w:bCs/>
      </w:rPr>
      <w:tblPr/>
      <w:tcPr>
        <w:tcBorders>
          <w:top w:val="double" w:sz="4" w:space="0" w:color="FCB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942" w:themeColor="accent5"/>
          <w:right w:val="single" w:sz="4" w:space="0" w:color="FCB942" w:themeColor="accent5"/>
        </w:tcBorders>
      </w:tcPr>
    </w:tblStylePr>
    <w:tblStylePr w:type="band1Horz">
      <w:tblPr/>
      <w:tcPr>
        <w:tcBorders>
          <w:top w:val="single" w:sz="4" w:space="0" w:color="FCB942" w:themeColor="accent5"/>
          <w:bottom w:val="single" w:sz="4" w:space="0" w:color="FCB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942" w:themeColor="accent5"/>
          <w:left w:val="nil"/>
        </w:tcBorders>
      </w:tcPr>
    </w:tblStylePr>
    <w:tblStylePr w:type="swCell">
      <w:tblPr/>
      <w:tcPr>
        <w:tcBorders>
          <w:top w:val="double" w:sz="4" w:space="0" w:color="FCB942" w:themeColor="accent5"/>
          <w:right w:val="nil"/>
        </w:tcBorders>
      </w:tcPr>
    </w:tblStylePr>
  </w:style>
  <w:style w:type="table" w:styleId="ListTable3-Accent6">
    <w:name w:val="List Table 3 Accent 6"/>
    <w:basedOn w:val="TableNormal"/>
    <w:uiPriority w:val="48"/>
    <w:locked/>
    <w:rsid w:val="00350549"/>
    <w:pPr>
      <w:spacing w:after="0"/>
    </w:pPr>
    <w:tblPr>
      <w:tblStyleRowBandSize w:val="1"/>
      <w:tblStyleColBandSize w:val="1"/>
      <w:tblBorders>
        <w:top w:val="single" w:sz="4" w:space="0" w:color="C3AA95" w:themeColor="accent6"/>
        <w:left w:val="single" w:sz="4" w:space="0" w:color="C3AA95" w:themeColor="accent6"/>
        <w:bottom w:val="single" w:sz="4" w:space="0" w:color="C3AA95" w:themeColor="accent6"/>
        <w:right w:val="single" w:sz="4" w:space="0" w:color="C3AA95" w:themeColor="accent6"/>
      </w:tblBorders>
    </w:tblPr>
    <w:tblStylePr w:type="firstRow">
      <w:pPr>
        <w:jc w:val="left"/>
      </w:pPr>
      <w:rPr>
        <w:b/>
        <w:bCs/>
        <w:color w:val="FFFFFF" w:themeColor="background1"/>
      </w:rPr>
      <w:tblPr/>
      <w:tcPr>
        <w:shd w:val="clear" w:color="auto" w:fill="C3AA95" w:themeFill="accent6"/>
        <w:vAlign w:val="bottom"/>
      </w:tcPr>
    </w:tblStylePr>
    <w:tblStylePr w:type="lastRow">
      <w:rPr>
        <w:b/>
        <w:bCs/>
      </w:rPr>
      <w:tblPr/>
      <w:tcPr>
        <w:tcBorders>
          <w:top w:val="double" w:sz="4" w:space="0" w:color="C3AA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AA95" w:themeColor="accent6"/>
          <w:right w:val="single" w:sz="4" w:space="0" w:color="C3AA95" w:themeColor="accent6"/>
        </w:tcBorders>
      </w:tcPr>
    </w:tblStylePr>
    <w:tblStylePr w:type="band1Horz">
      <w:tblPr/>
      <w:tcPr>
        <w:tcBorders>
          <w:top w:val="single" w:sz="4" w:space="0" w:color="C3AA95" w:themeColor="accent6"/>
          <w:bottom w:val="single" w:sz="4" w:space="0" w:color="C3AA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AA95" w:themeColor="accent6"/>
          <w:left w:val="nil"/>
        </w:tcBorders>
      </w:tcPr>
    </w:tblStylePr>
    <w:tblStylePr w:type="swCell">
      <w:tblPr/>
      <w:tcPr>
        <w:tcBorders>
          <w:top w:val="double" w:sz="4" w:space="0" w:color="C3AA95" w:themeColor="accent6"/>
          <w:right w:val="nil"/>
        </w:tcBorders>
      </w:tcPr>
    </w:tblStylePr>
  </w:style>
  <w:style w:type="table" w:styleId="ListTable4">
    <w:name w:val="List Table 4"/>
    <w:basedOn w:val="TableNormal"/>
    <w:uiPriority w:val="49"/>
    <w:rsid w:val="00350549"/>
    <w:pPr>
      <w:spacing w:after="0"/>
    </w:pPr>
    <w:rPr>
      <w:rFonts w:ascii="Arial" w:hAnsi="Arial"/>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350549"/>
    <w:pPr>
      <w:spacing w:after="0"/>
    </w:pPr>
    <w:rPr>
      <w:rFonts w:ascii="Arial" w:hAnsi="Arial"/>
    </w:rPr>
    <w:tblPr>
      <w:tblStyleRowBandSize w:val="1"/>
      <w:tblStyleColBandSize w:val="1"/>
      <w:tblBorders>
        <w:bottom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tcBorders>
        <w:shd w:val="clear" w:color="auto" w:fill="F3772C" w:themeFill="accent3"/>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4-Accent4">
    <w:name w:val="List Table 4 Accent 4"/>
    <w:basedOn w:val="TableNormal"/>
    <w:uiPriority w:val="49"/>
    <w:locked/>
    <w:rsid w:val="00350549"/>
    <w:pPr>
      <w:spacing w:after="0"/>
    </w:pPr>
    <w:rPr>
      <w:rFonts w:ascii="Arial" w:hAnsi="Arial"/>
    </w:rPr>
    <w:tblPr>
      <w:tblStyleRowBandSize w:val="1"/>
      <w:tblStyleColBandSize w:val="1"/>
      <w:tblBorders>
        <w:bottom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tcBorders>
        <w:shd w:val="clear" w:color="auto" w:fill="EE3B6F" w:themeFill="accent4"/>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4-Accent6">
    <w:name w:val="List Table 4 Accent 6"/>
    <w:basedOn w:val="TableNormal"/>
    <w:uiPriority w:val="49"/>
    <w:locked/>
    <w:rsid w:val="00350549"/>
    <w:pPr>
      <w:spacing w:after="0"/>
    </w:pPr>
    <w:rPr>
      <w:rFonts w:ascii="Arial" w:hAnsi="Arial"/>
    </w:rPr>
    <w:tblPr>
      <w:tblStyleRowBandSize w:val="1"/>
      <w:tblStyleColBandSize w:val="1"/>
      <w:tblBorders>
        <w:bottom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tcBorders>
        <w:shd w:val="clear" w:color="auto" w:fill="C3AA95" w:themeFill="accent6"/>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5Dark">
    <w:name w:val="List Table 5 Dark"/>
    <w:basedOn w:val="TableNormal"/>
    <w:uiPriority w:val="50"/>
    <w:rsid w:val="00350549"/>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50549"/>
    <w:pPr>
      <w:spacing w:after="0"/>
    </w:pPr>
    <w:rPr>
      <w:color w:val="FFFFFF" w:themeColor="background1"/>
    </w:rPr>
    <w:tblPr>
      <w:tblStyleRowBandSize w:val="1"/>
      <w:tblStyleColBandSize w:val="1"/>
      <w:tblBorders>
        <w:top w:val="single" w:sz="24" w:space="0" w:color="B7D432" w:themeColor="accent1"/>
        <w:left w:val="single" w:sz="24" w:space="0" w:color="B7D432" w:themeColor="accent1"/>
        <w:bottom w:val="single" w:sz="24" w:space="0" w:color="B7D432" w:themeColor="accent1"/>
        <w:right w:val="single" w:sz="24" w:space="0" w:color="B7D432" w:themeColor="accent1"/>
      </w:tblBorders>
    </w:tblPr>
    <w:tcPr>
      <w:shd w:val="clear" w:color="auto" w:fill="B7D432"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50549"/>
    <w:pPr>
      <w:spacing w:after="0"/>
    </w:pPr>
    <w:rPr>
      <w:color w:val="FFFFFF" w:themeColor="background1"/>
    </w:rPr>
    <w:tblPr>
      <w:tblStyleRowBandSize w:val="1"/>
      <w:tblStyleColBandSize w:val="1"/>
      <w:tblBorders>
        <w:top w:val="single" w:sz="24" w:space="0" w:color="4FBFBE" w:themeColor="accent2"/>
        <w:left w:val="single" w:sz="24" w:space="0" w:color="4FBFBE" w:themeColor="accent2"/>
        <w:bottom w:val="single" w:sz="24" w:space="0" w:color="4FBFBE" w:themeColor="accent2"/>
        <w:right w:val="single" w:sz="24" w:space="0" w:color="4FBFBE" w:themeColor="accent2"/>
      </w:tblBorders>
    </w:tblPr>
    <w:tcPr>
      <w:shd w:val="clear" w:color="auto" w:fill="4FBFBE"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50549"/>
    <w:pPr>
      <w:spacing w:after="0"/>
    </w:pPr>
    <w:rPr>
      <w:color w:val="FFFFFF" w:themeColor="background1"/>
    </w:rPr>
    <w:tblPr>
      <w:tblStyleRowBandSize w:val="1"/>
      <w:tblStyleColBandSize w:val="1"/>
      <w:tblBorders>
        <w:top w:val="single" w:sz="24" w:space="0" w:color="F3772C" w:themeColor="accent3"/>
        <w:left w:val="single" w:sz="24" w:space="0" w:color="F3772C" w:themeColor="accent3"/>
        <w:bottom w:val="single" w:sz="24" w:space="0" w:color="F3772C" w:themeColor="accent3"/>
        <w:right w:val="single" w:sz="24" w:space="0" w:color="F3772C" w:themeColor="accent3"/>
      </w:tblBorders>
    </w:tblPr>
    <w:tcPr>
      <w:shd w:val="clear" w:color="auto" w:fill="F3772C"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50549"/>
    <w:pPr>
      <w:spacing w:after="0"/>
    </w:pPr>
    <w:rPr>
      <w:color w:val="FFFFFF" w:themeColor="background1"/>
    </w:rPr>
    <w:tblPr>
      <w:tblStyleRowBandSize w:val="1"/>
      <w:tblStyleColBandSize w:val="1"/>
      <w:tblBorders>
        <w:top w:val="single" w:sz="24" w:space="0" w:color="EE3B6F" w:themeColor="accent4"/>
        <w:left w:val="single" w:sz="24" w:space="0" w:color="EE3B6F" w:themeColor="accent4"/>
        <w:bottom w:val="single" w:sz="24" w:space="0" w:color="EE3B6F" w:themeColor="accent4"/>
        <w:right w:val="single" w:sz="24" w:space="0" w:color="EE3B6F" w:themeColor="accent4"/>
      </w:tblBorders>
    </w:tblPr>
    <w:tcPr>
      <w:shd w:val="clear" w:color="auto" w:fill="EE3B6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50549"/>
    <w:pPr>
      <w:spacing w:after="0"/>
    </w:pPr>
    <w:rPr>
      <w:color w:val="FFFFFF" w:themeColor="background1"/>
    </w:rPr>
    <w:tblPr>
      <w:tblStyleRowBandSize w:val="1"/>
      <w:tblStyleColBandSize w:val="1"/>
      <w:tblBorders>
        <w:top w:val="single" w:sz="24" w:space="0" w:color="FCB942" w:themeColor="accent5"/>
        <w:left w:val="single" w:sz="24" w:space="0" w:color="FCB942" w:themeColor="accent5"/>
        <w:bottom w:val="single" w:sz="24" w:space="0" w:color="FCB942" w:themeColor="accent5"/>
        <w:right w:val="single" w:sz="24" w:space="0" w:color="FCB942" w:themeColor="accent5"/>
      </w:tblBorders>
    </w:tblPr>
    <w:tcPr>
      <w:shd w:val="clear" w:color="auto" w:fill="FCB9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50549"/>
    <w:pPr>
      <w:spacing w:after="0"/>
    </w:pPr>
    <w:rPr>
      <w:color w:val="FFFFFF" w:themeColor="background1"/>
    </w:rPr>
    <w:tblPr>
      <w:tblStyleRowBandSize w:val="1"/>
      <w:tblStyleColBandSize w:val="1"/>
      <w:tblBorders>
        <w:top w:val="single" w:sz="24" w:space="0" w:color="C3AA95" w:themeColor="accent6"/>
        <w:left w:val="single" w:sz="24" w:space="0" w:color="C3AA95" w:themeColor="accent6"/>
        <w:bottom w:val="single" w:sz="24" w:space="0" w:color="C3AA95" w:themeColor="accent6"/>
        <w:right w:val="single" w:sz="24" w:space="0" w:color="C3AA95" w:themeColor="accent6"/>
      </w:tblBorders>
    </w:tblPr>
    <w:tcPr>
      <w:shd w:val="clear" w:color="auto" w:fill="C3AA95"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50549"/>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50549"/>
    <w:pPr>
      <w:spacing w:after="0"/>
    </w:pPr>
    <w:rPr>
      <w:color w:val="8AA122" w:themeColor="accent1" w:themeShade="BF"/>
    </w:rPr>
    <w:tblPr>
      <w:tblStyleRowBandSize w:val="1"/>
      <w:tblStyleColBandSize w:val="1"/>
      <w:tblBorders>
        <w:top w:val="single" w:sz="4" w:space="0" w:color="B7D432" w:themeColor="accent1"/>
        <w:bottom w:val="single" w:sz="4" w:space="0" w:color="B7D432" w:themeColor="accent1"/>
      </w:tblBorders>
    </w:tblPr>
    <w:tblStylePr w:type="firstRow">
      <w:pPr>
        <w:jc w:val="left"/>
      </w:pPr>
      <w:rPr>
        <w:b/>
        <w:bCs/>
      </w:rPr>
      <w:tblPr/>
      <w:tcPr>
        <w:tcBorders>
          <w:bottom w:val="single" w:sz="4" w:space="0" w:color="B7D432" w:themeColor="accent1"/>
        </w:tcBorders>
        <w:vAlign w:val="bottom"/>
      </w:tcPr>
    </w:tblStylePr>
    <w:tblStylePr w:type="lastRow">
      <w:rPr>
        <w:b/>
        <w:bCs/>
      </w:rPr>
      <w:tblPr/>
      <w:tcPr>
        <w:tcBorders>
          <w:top w:val="double" w:sz="4" w:space="0" w:color="B7D432" w:themeColor="accent1"/>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6Colorful-Accent2">
    <w:name w:val="List Table 6 Colorful Accent 2"/>
    <w:basedOn w:val="TableNormal"/>
    <w:uiPriority w:val="51"/>
    <w:locked/>
    <w:rsid w:val="00350549"/>
    <w:pPr>
      <w:spacing w:after="0"/>
    </w:pPr>
    <w:rPr>
      <w:color w:val="369492" w:themeColor="accent2" w:themeShade="BF"/>
    </w:rPr>
    <w:tblPr>
      <w:tblStyleRowBandSize w:val="1"/>
      <w:tblStyleColBandSize w:val="1"/>
      <w:tblBorders>
        <w:top w:val="single" w:sz="4" w:space="0" w:color="4FBFBE" w:themeColor="accent2"/>
        <w:bottom w:val="single" w:sz="4" w:space="0" w:color="4FBFBE" w:themeColor="accent2"/>
      </w:tblBorders>
    </w:tblPr>
    <w:tblStylePr w:type="firstRow">
      <w:pPr>
        <w:jc w:val="left"/>
      </w:pPr>
      <w:rPr>
        <w:b/>
        <w:bCs/>
      </w:rPr>
      <w:tblPr/>
      <w:tcPr>
        <w:tcBorders>
          <w:bottom w:val="single" w:sz="4" w:space="0" w:color="4FBFBE" w:themeColor="accent2"/>
        </w:tcBorders>
        <w:vAlign w:val="bottom"/>
      </w:tcPr>
    </w:tblStylePr>
    <w:tblStylePr w:type="lastRow">
      <w:rPr>
        <w:b/>
        <w:bCs/>
      </w:rPr>
      <w:tblPr/>
      <w:tcPr>
        <w:tcBorders>
          <w:top w:val="double" w:sz="4" w:space="0" w:color="4FBFBE" w:themeColor="accent2"/>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6Colorful-Accent3">
    <w:name w:val="List Table 6 Colorful Accent 3"/>
    <w:basedOn w:val="TableNormal"/>
    <w:uiPriority w:val="51"/>
    <w:locked/>
    <w:rsid w:val="00350549"/>
    <w:pPr>
      <w:spacing w:after="0"/>
    </w:pPr>
    <w:rPr>
      <w:color w:val="CB530B" w:themeColor="accent3" w:themeShade="BF"/>
    </w:rPr>
    <w:tblPr>
      <w:tblStyleRowBandSize w:val="1"/>
      <w:tblStyleColBandSize w:val="1"/>
      <w:tblBorders>
        <w:top w:val="single" w:sz="4" w:space="0" w:color="F3772C" w:themeColor="accent3"/>
        <w:bottom w:val="single" w:sz="4" w:space="0" w:color="F3772C" w:themeColor="accent3"/>
      </w:tblBorders>
    </w:tblPr>
    <w:tblStylePr w:type="firstRow">
      <w:pPr>
        <w:jc w:val="left"/>
      </w:pPr>
      <w:rPr>
        <w:b/>
        <w:bCs/>
      </w:rPr>
      <w:tblPr/>
      <w:tcPr>
        <w:tcBorders>
          <w:bottom w:val="single" w:sz="4" w:space="0" w:color="F3772C" w:themeColor="accent3"/>
        </w:tcBorders>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6Colorful-Accent4">
    <w:name w:val="List Table 6 Colorful Accent 4"/>
    <w:basedOn w:val="TableNormal"/>
    <w:uiPriority w:val="51"/>
    <w:locked/>
    <w:rsid w:val="00350549"/>
    <w:pPr>
      <w:spacing w:after="0"/>
    </w:pPr>
    <w:rPr>
      <w:color w:val="CC1148" w:themeColor="accent4" w:themeShade="BF"/>
    </w:rPr>
    <w:tblPr>
      <w:tblStyleRowBandSize w:val="1"/>
      <w:tblStyleColBandSize w:val="1"/>
      <w:tblBorders>
        <w:top w:val="single" w:sz="4" w:space="0" w:color="EE3B6F" w:themeColor="accent4"/>
        <w:bottom w:val="single" w:sz="4" w:space="0" w:color="EE3B6F" w:themeColor="accent4"/>
      </w:tblBorders>
    </w:tblPr>
    <w:tblStylePr w:type="firstRow">
      <w:pPr>
        <w:jc w:val="left"/>
      </w:pPr>
      <w:rPr>
        <w:b/>
        <w:bCs/>
      </w:rPr>
      <w:tblPr/>
      <w:tcPr>
        <w:tcBorders>
          <w:bottom w:val="single" w:sz="4" w:space="0" w:color="EE3B6F" w:themeColor="accent4"/>
        </w:tcBorders>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6Colorful-Accent5">
    <w:name w:val="List Table 6 Colorful Accent 5"/>
    <w:basedOn w:val="TableNormal"/>
    <w:uiPriority w:val="51"/>
    <w:rsid w:val="00350549"/>
    <w:pPr>
      <w:spacing w:after="0"/>
    </w:pPr>
    <w:rPr>
      <w:color w:val="EA9703" w:themeColor="accent5" w:themeShade="BF"/>
    </w:rPr>
    <w:tblPr>
      <w:tblStyleRowBandSize w:val="1"/>
      <w:tblStyleColBandSize w:val="1"/>
      <w:tblBorders>
        <w:top w:val="single" w:sz="4" w:space="0" w:color="FCB942" w:themeColor="accent5"/>
        <w:bottom w:val="single" w:sz="4" w:space="0" w:color="FCB942" w:themeColor="accent5"/>
      </w:tblBorders>
    </w:tblPr>
    <w:tblStylePr w:type="firstRow">
      <w:pPr>
        <w:jc w:val="left"/>
      </w:pPr>
      <w:rPr>
        <w:b/>
        <w:bCs/>
      </w:rPr>
      <w:tblPr/>
      <w:tcPr>
        <w:tcBorders>
          <w:bottom w:val="single" w:sz="4" w:space="0" w:color="FCB942" w:themeColor="accent5"/>
        </w:tcBorders>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6Colorful-Accent6">
    <w:name w:val="List Table 6 Colorful Accent 6"/>
    <w:basedOn w:val="TableNormal"/>
    <w:uiPriority w:val="51"/>
    <w:locked/>
    <w:rsid w:val="00350549"/>
    <w:pPr>
      <w:spacing w:after="0"/>
    </w:pPr>
    <w:rPr>
      <w:color w:val="A37D5D" w:themeColor="accent6" w:themeShade="BF"/>
    </w:rPr>
    <w:tblPr>
      <w:tblStyleRowBandSize w:val="1"/>
      <w:tblStyleColBandSize w:val="1"/>
      <w:tblBorders>
        <w:top w:val="single" w:sz="4" w:space="0" w:color="C3AA95" w:themeColor="accent6"/>
        <w:bottom w:val="single" w:sz="4" w:space="0" w:color="C3AA95" w:themeColor="accent6"/>
      </w:tblBorders>
    </w:tblPr>
    <w:tblStylePr w:type="firstRow">
      <w:pPr>
        <w:jc w:val="left"/>
      </w:pPr>
      <w:rPr>
        <w:b/>
        <w:bCs/>
      </w:rPr>
      <w:tblPr/>
      <w:tcPr>
        <w:tcBorders>
          <w:bottom w:val="single" w:sz="4" w:space="0" w:color="C3AA95" w:themeColor="accent6"/>
        </w:tcBorders>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7Colorful">
    <w:name w:val="List Table 7 Colorful"/>
    <w:basedOn w:val="TableNormal"/>
    <w:uiPriority w:val="52"/>
    <w:rsid w:val="00350549"/>
    <w:pPr>
      <w:spacing w:after="0"/>
    </w:pPr>
    <w:rPr>
      <w:color w:val="000000" w:themeColor="text1"/>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50549"/>
    <w:pPr>
      <w:spacing w:after="0"/>
    </w:pPr>
    <w:rPr>
      <w:color w:val="8AA122" w:themeColor="accent1"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B7D432"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7D43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D43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7D432" w:themeColor="accent1"/>
        </w:tcBorders>
        <w:shd w:val="clear" w:color="auto" w:fill="FFFFFF" w:themeFill="background1"/>
      </w:tcPr>
    </w:tblStylePr>
    <w:tblStylePr w:type="band1Vert">
      <w:tblPr/>
      <w:tcPr>
        <w:shd w:val="clear" w:color="auto" w:fill="F0F6D5" w:themeFill="accent1" w:themeFillTint="33"/>
      </w:tcPr>
    </w:tblStylePr>
    <w:tblStylePr w:type="band1Horz">
      <w:tblPr/>
      <w:tcPr>
        <w:shd w:val="clear" w:color="auto" w:fill="F0F6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50549"/>
    <w:pPr>
      <w:spacing w:after="0"/>
    </w:pPr>
    <w:rPr>
      <w:color w:val="369492" w:themeColor="accent2"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FBFBE"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FBFB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BFB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BFBE" w:themeColor="accent2"/>
        </w:tcBorders>
        <w:shd w:val="clear" w:color="auto" w:fill="FFFFFF" w:themeFill="background1"/>
      </w:tcPr>
    </w:tblStylePr>
    <w:tblStylePr w:type="band1Vert">
      <w:tblPr/>
      <w:tcPr>
        <w:shd w:val="clear" w:color="auto" w:fill="DBF2F2" w:themeFill="accent2" w:themeFillTint="33"/>
      </w:tcPr>
    </w:tblStylePr>
    <w:tblStylePr w:type="band1Horz">
      <w:tblPr/>
      <w:tcPr>
        <w:shd w:val="clear" w:color="auto" w:fill="DBF2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50549"/>
    <w:pPr>
      <w:spacing w:after="0"/>
    </w:pPr>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50549"/>
    <w:pPr>
      <w:spacing w:after="0"/>
    </w:pPr>
    <w:rPr>
      <w:rFonts w:ascii="Arial" w:hAnsi="Arial"/>
    </w:rPr>
    <w:tblPr>
      <w:tblStyleRowBandSize w:val="1"/>
      <w:tblStyleColBandSize w:val="1"/>
      <w:tblBorders>
        <w:top w:val="single" w:sz="4" w:space="0" w:color="65FAFF" w:themeColor="text2" w:themeTint="66"/>
        <w:left w:val="single" w:sz="4" w:space="0" w:color="65FAFF" w:themeColor="text2" w:themeTint="66"/>
        <w:bottom w:val="single" w:sz="4" w:space="0" w:color="65FAFF" w:themeColor="text2" w:themeTint="66"/>
        <w:right w:val="single" w:sz="4" w:space="0" w:color="65FAFF" w:themeColor="text2" w:themeTint="66"/>
        <w:insideH w:val="single" w:sz="4" w:space="0" w:color="65FAFF" w:themeColor="text2" w:themeTint="66"/>
        <w:insideV w:val="single" w:sz="4" w:space="0" w:color="65FAFF" w:themeColor="text2" w:themeTint="66"/>
      </w:tblBorders>
    </w:tblPr>
    <w:tblStylePr w:type="firstRow">
      <w:pPr>
        <w:jc w:val="left"/>
      </w:pPr>
      <w:rPr>
        <w:b/>
        <w:bCs/>
      </w:rPr>
      <w:tblPr/>
      <w:tcPr>
        <w:tcBorders>
          <w:bottom w:val="single" w:sz="12" w:space="0" w:color="B7D432" w:themeColor="accent1"/>
        </w:tcBorders>
      </w:tcPr>
    </w:tblStylePr>
    <w:tblStylePr w:type="lastRow">
      <w:rPr>
        <w:b/>
        <w:bCs/>
      </w:rPr>
      <w:tblPr/>
      <w:tcPr>
        <w:tcBorders>
          <w:top w:val="double" w:sz="2" w:space="0" w:color="18F8FF" w:themeColor="text2" w:themeTint="99"/>
        </w:tcBorders>
      </w:tcPr>
    </w:tblStylePr>
    <w:tblStylePr w:type="firstCol">
      <w:rPr>
        <w:b/>
        <w:bCs/>
      </w:rPr>
    </w:tblStylePr>
    <w:tblStylePr w:type="lastCol">
      <w:rPr>
        <w:b/>
        <w:bCs/>
      </w:rPr>
    </w:tblStylePr>
    <w:tblStylePr w:type="band1Horz">
      <w:tblPr/>
      <w:tcPr>
        <w:tcBorders>
          <w:top w:val="single" w:sz="2" w:space="0" w:color="18F8FF" w:themeColor="text2" w:themeTint="99"/>
          <w:left w:val="single" w:sz="2" w:space="0" w:color="18F8FF" w:themeColor="text2" w:themeTint="99"/>
          <w:bottom w:val="single" w:sz="2" w:space="0" w:color="18F8FF" w:themeColor="text2" w:themeTint="99"/>
          <w:right w:val="single" w:sz="2" w:space="0" w:color="18F8FF" w:themeColor="text2" w:themeTint="99"/>
          <w:insideH w:val="single" w:sz="2" w:space="0" w:color="18F8FF" w:themeColor="text2" w:themeTint="99"/>
          <w:insideV w:val="single" w:sz="2" w:space="0" w:color="18F8FF" w:themeColor="text2" w:themeTint="99"/>
          <w:tl2br w:val="nil"/>
          <w:tr2bl w:val="nil"/>
        </w:tcBorders>
      </w:tcPr>
    </w:tblStylePr>
    <w:tblStylePr w:type="band2Horz">
      <w:tblPr/>
      <w:tcPr>
        <w:tcBorders>
          <w:top w:val="single" w:sz="4" w:space="0" w:color="18F8FF" w:themeColor="text2" w:themeTint="99"/>
          <w:left w:val="single" w:sz="4" w:space="0" w:color="18F8FF" w:themeColor="text2" w:themeTint="99"/>
          <w:bottom w:val="single" w:sz="4" w:space="0" w:color="18F8FF" w:themeColor="text2" w:themeTint="99"/>
          <w:right w:val="single" w:sz="4" w:space="0" w:color="18F8FF" w:themeColor="text2" w:themeTint="99"/>
          <w:insideH w:val="single" w:sz="4" w:space="0" w:color="18F8FF" w:themeColor="text2" w:themeTint="99"/>
          <w:insideV w:val="single" w:sz="4" w:space="0" w:color="18F8FF" w:themeColor="text2" w:themeTint="99"/>
          <w:tl2br w:val="nil"/>
          <w:tr2bl w:val="nil"/>
        </w:tcBorders>
      </w:tcPr>
    </w:tblStylePr>
  </w:style>
  <w:style w:type="table" w:styleId="GridTable1Light-Accent2">
    <w:name w:val="Grid Table 1 Light Accent 2"/>
    <w:basedOn w:val="TableNormal"/>
    <w:uiPriority w:val="46"/>
    <w:locked/>
    <w:rsid w:val="00350549"/>
    <w:pPr>
      <w:spacing w:after="0"/>
    </w:pPr>
    <w:rPr>
      <w:rFonts w:ascii="Arial" w:hAnsi="Arial"/>
    </w:rPr>
    <w:tblPr>
      <w:tblStyleRowBandSize w:val="1"/>
      <w:tblStyleColBandSize w:val="1"/>
      <w:tblBorders>
        <w:top w:val="single" w:sz="4" w:space="0" w:color="B8E5E4" w:themeColor="accent2" w:themeTint="66"/>
        <w:left w:val="single" w:sz="4" w:space="0" w:color="B8E5E4" w:themeColor="accent2" w:themeTint="66"/>
        <w:bottom w:val="single" w:sz="4" w:space="0" w:color="B8E5E4" w:themeColor="accent2" w:themeTint="66"/>
        <w:right w:val="single" w:sz="4" w:space="0" w:color="B8E5E4" w:themeColor="accent2" w:themeTint="66"/>
        <w:insideH w:val="single" w:sz="4" w:space="0" w:color="B8E5E4" w:themeColor="accent2" w:themeTint="66"/>
        <w:insideV w:val="single" w:sz="4" w:space="0" w:color="B8E5E4" w:themeColor="accent2" w:themeTint="66"/>
      </w:tblBorders>
    </w:tblPr>
    <w:tblStylePr w:type="firstRow">
      <w:pPr>
        <w:jc w:val="left"/>
      </w:pPr>
      <w:rPr>
        <w:b/>
        <w:bCs/>
      </w:rPr>
      <w:tblPr/>
      <w:tcPr>
        <w:tcBorders>
          <w:bottom w:val="single" w:sz="12" w:space="0" w:color="95D8D7" w:themeColor="accent2" w:themeTint="99"/>
        </w:tcBorders>
        <w:vAlign w:val="bottom"/>
      </w:tcPr>
    </w:tblStylePr>
    <w:tblStylePr w:type="lastRow">
      <w:rPr>
        <w:b/>
        <w:bCs/>
      </w:rPr>
      <w:tblPr/>
      <w:tcPr>
        <w:tcBorders>
          <w:top w:val="double" w:sz="2" w:space="0" w:color="95D8D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50549"/>
    <w:pPr>
      <w:spacing w:after="0"/>
    </w:pPr>
    <w:rPr>
      <w:rFonts w:ascii="Arial" w:hAnsi="Arial"/>
    </w:rPr>
    <w:tblPr>
      <w:tblStyleRowBandSize w:val="1"/>
      <w:tblStyleColBandSize w:val="1"/>
      <w:tblBorders>
        <w:top w:val="single" w:sz="4" w:space="0" w:color="FAC8AA" w:themeColor="accent3" w:themeTint="66"/>
        <w:left w:val="single" w:sz="4" w:space="0" w:color="FAC8AA" w:themeColor="accent3" w:themeTint="66"/>
        <w:bottom w:val="single" w:sz="4" w:space="0" w:color="FAC8AA" w:themeColor="accent3" w:themeTint="66"/>
        <w:right w:val="single" w:sz="4" w:space="0" w:color="FAC8AA" w:themeColor="accent3" w:themeTint="66"/>
        <w:insideH w:val="single" w:sz="4" w:space="0" w:color="FAC8AA" w:themeColor="accent3" w:themeTint="66"/>
        <w:insideV w:val="single" w:sz="4" w:space="0" w:color="FAC8AA" w:themeColor="accent3" w:themeTint="66"/>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2" w:space="0" w:color="F7AD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50549"/>
    <w:pPr>
      <w:spacing w:after="0"/>
    </w:pPr>
    <w:rPr>
      <w:rFonts w:ascii="Arial" w:hAnsi="Arial"/>
    </w:rPr>
    <w:tblPr>
      <w:tblStyleRowBandSize w:val="1"/>
      <w:tblStyleColBandSize w:val="1"/>
      <w:tblBorders>
        <w:top w:val="single" w:sz="4" w:space="0" w:color="F8B0C5" w:themeColor="accent4" w:themeTint="66"/>
        <w:left w:val="single" w:sz="4" w:space="0" w:color="F8B0C5" w:themeColor="accent4" w:themeTint="66"/>
        <w:bottom w:val="single" w:sz="4" w:space="0" w:color="F8B0C5" w:themeColor="accent4" w:themeTint="66"/>
        <w:right w:val="single" w:sz="4" w:space="0" w:color="F8B0C5" w:themeColor="accent4" w:themeTint="66"/>
        <w:insideH w:val="single" w:sz="4" w:space="0" w:color="F8B0C5" w:themeColor="accent4" w:themeTint="66"/>
        <w:insideV w:val="single" w:sz="4" w:space="0" w:color="F8B0C5" w:themeColor="accent4" w:themeTint="66"/>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2" w:space="0" w:color="F489A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50549"/>
    <w:pPr>
      <w:spacing w:after="0"/>
    </w:pPr>
    <w:rPr>
      <w:rFonts w:ascii="Arial" w:hAnsi="Arial"/>
    </w:rPr>
    <w:tblPr>
      <w:tblStyleRowBandSize w:val="1"/>
      <w:tblStyleColBandSize w:val="1"/>
      <w:tblBorders>
        <w:top w:val="single" w:sz="4" w:space="0" w:color="FDE2B3" w:themeColor="accent5" w:themeTint="66"/>
        <w:left w:val="single" w:sz="4" w:space="0" w:color="FDE2B3" w:themeColor="accent5" w:themeTint="66"/>
        <w:bottom w:val="single" w:sz="4" w:space="0" w:color="FDE2B3" w:themeColor="accent5" w:themeTint="66"/>
        <w:right w:val="single" w:sz="4" w:space="0" w:color="FDE2B3" w:themeColor="accent5" w:themeTint="66"/>
        <w:insideH w:val="single" w:sz="4" w:space="0" w:color="FDE2B3" w:themeColor="accent5" w:themeTint="66"/>
        <w:insideV w:val="single" w:sz="4" w:space="0" w:color="FDE2B3" w:themeColor="accent5" w:themeTint="66"/>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2" w:space="0" w:color="FDD4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50549"/>
    <w:pPr>
      <w:spacing w:after="0"/>
    </w:pPr>
    <w:rPr>
      <w:rFonts w:ascii="Arial" w:hAnsi="Arial"/>
    </w:rPr>
    <w:tblPr>
      <w:tblStyleRowBandSize w:val="1"/>
      <w:tblStyleColBandSize w:val="1"/>
      <w:tblBorders>
        <w:top w:val="single" w:sz="4" w:space="0" w:color="E7DCD4" w:themeColor="accent6" w:themeTint="66"/>
        <w:left w:val="single" w:sz="4" w:space="0" w:color="E7DCD4" w:themeColor="accent6" w:themeTint="66"/>
        <w:bottom w:val="single" w:sz="4" w:space="0" w:color="E7DCD4" w:themeColor="accent6" w:themeTint="66"/>
        <w:right w:val="single" w:sz="4" w:space="0" w:color="E7DCD4" w:themeColor="accent6" w:themeTint="66"/>
        <w:insideH w:val="single" w:sz="4" w:space="0" w:color="E7DCD4" w:themeColor="accent6" w:themeTint="66"/>
        <w:insideV w:val="single" w:sz="4" w:space="0" w:color="E7DCD4" w:themeColor="accent6" w:themeTint="66"/>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2" w:space="0" w:color="DBCBB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350549"/>
    <w:pPr>
      <w:spacing w:after="0"/>
    </w:pPr>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350549"/>
    <w:pPr>
      <w:spacing w:after="0"/>
    </w:pPr>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350549"/>
    <w:pPr>
      <w:spacing w:after="0"/>
    </w:pPr>
    <w:rPr>
      <w:rFonts w:ascii="Arial" w:hAnsi="Arial"/>
    </w:rPr>
    <w:tblPr>
      <w:tblStyleRowBandSize w:val="1"/>
      <w:tblStyleColBandSize w:val="1"/>
      <w:tblBorders>
        <w:top w:val="single" w:sz="2" w:space="0" w:color="F489A8" w:themeColor="accent4" w:themeTint="99"/>
        <w:bottom w:val="single" w:sz="2" w:space="0" w:color="F489A8" w:themeColor="accent4" w:themeTint="99"/>
        <w:insideH w:val="single" w:sz="2" w:space="0" w:color="F489A8" w:themeColor="accent4" w:themeTint="99"/>
        <w:insideV w:val="single" w:sz="2" w:space="0" w:color="F489A8" w:themeColor="accent4" w:themeTint="99"/>
      </w:tblBorders>
    </w:tblPr>
    <w:tblStylePr w:type="firstRow">
      <w:pPr>
        <w:jc w:val="left"/>
      </w:pPr>
      <w:rPr>
        <w:b/>
        <w:bCs/>
      </w:rPr>
      <w:tblPr/>
      <w:tcPr>
        <w:tcBorders>
          <w:top w:val="nil"/>
          <w:bottom w:val="single" w:sz="12" w:space="0" w:color="F489A8" w:themeColor="accent4" w:themeTint="99"/>
          <w:insideH w:val="nil"/>
          <w:insideV w:val="nil"/>
        </w:tcBorders>
        <w:shd w:val="clear" w:color="auto" w:fill="FFFFFF" w:themeFill="background1"/>
        <w:vAlign w:val="bottom"/>
      </w:tcPr>
    </w:tblStylePr>
    <w:tblStylePr w:type="lastRow">
      <w:rPr>
        <w:b/>
        <w:bCs/>
      </w:rPr>
      <w:tblPr/>
      <w:tcPr>
        <w:tcBorders>
          <w:top w:val="double" w:sz="2" w:space="0" w:color="F489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2-Accent5">
    <w:name w:val="Grid Table 2 Accent 5"/>
    <w:basedOn w:val="TableNormal"/>
    <w:uiPriority w:val="47"/>
    <w:rsid w:val="00350549"/>
    <w:pPr>
      <w:spacing w:after="0"/>
    </w:pPr>
    <w:rPr>
      <w:rFonts w:ascii="Arial" w:hAnsi="Arial"/>
    </w:rPr>
    <w:tblPr>
      <w:tblStyleRowBandSize w:val="1"/>
      <w:tblStyleColBandSize w:val="1"/>
      <w:tblBorders>
        <w:top w:val="single" w:sz="2" w:space="0" w:color="FDD48D" w:themeColor="accent5" w:themeTint="99"/>
        <w:bottom w:val="single" w:sz="2" w:space="0" w:color="FDD48D" w:themeColor="accent5" w:themeTint="99"/>
        <w:insideH w:val="single" w:sz="2" w:space="0" w:color="FDD48D" w:themeColor="accent5" w:themeTint="99"/>
        <w:insideV w:val="single" w:sz="2" w:space="0" w:color="FDD48D" w:themeColor="accent5" w:themeTint="99"/>
      </w:tblBorders>
    </w:tblPr>
    <w:tblStylePr w:type="firstRow">
      <w:pPr>
        <w:jc w:val="left"/>
      </w:pPr>
      <w:rPr>
        <w:b/>
        <w:bCs/>
      </w:rPr>
      <w:tblPr/>
      <w:tcPr>
        <w:tcBorders>
          <w:top w:val="nil"/>
          <w:bottom w:val="single" w:sz="12" w:space="0" w:color="FDD48D" w:themeColor="accent5" w:themeTint="99"/>
          <w:insideH w:val="nil"/>
          <w:insideV w:val="nil"/>
        </w:tcBorders>
        <w:shd w:val="clear" w:color="auto" w:fill="FFFFFF" w:themeFill="background1"/>
        <w:vAlign w:val="bottom"/>
      </w:tcPr>
    </w:tblStylePr>
    <w:tblStylePr w:type="lastRow">
      <w:rPr>
        <w:b/>
        <w:bCs/>
      </w:rPr>
      <w:tblPr/>
      <w:tcPr>
        <w:tcBorders>
          <w:top w:val="double" w:sz="2" w:space="0" w:color="FDD4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2-Accent6">
    <w:name w:val="Grid Table 2 Accent 6"/>
    <w:basedOn w:val="TableNormal"/>
    <w:uiPriority w:val="47"/>
    <w:locked/>
    <w:rsid w:val="00350549"/>
    <w:pPr>
      <w:spacing w:after="0"/>
    </w:pPr>
    <w:rPr>
      <w:rFonts w:ascii="Arial" w:hAnsi="Arial"/>
    </w:rPr>
    <w:tblPr>
      <w:tblStyleRowBandSize w:val="1"/>
      <w:tblStyleColBandSize w:val="1"/>
      <w:tblBorders>
        <w:top w:val="single" w:sz="2" w:space="0" w:color="DBCBBF" w:themeColor="accent6" w:themeTint="99"/>
        <w:bottom w:val="single" w:sz="2" w:space="0" w:color="DBCBBF" w:themeColor="accent6" w:themeTint="99"/>
        <w:insideH w:val="single" w:sz="2" w:space="0" w:color="DBCBBF" w:themeColor="accent6" w:themeTint="99"/>
        <w:insideV w:val="single" w:sz="2" w:space="0" w:color="DBCBBF" w:themeColor="accent6" w:themeTint="99"/>
      </w:tblBorders>
    </w:tblPr>
    <w:tblStylePr w:type="firstRow">
      <w:pPr>
        <w:jc w:val="left"/>
      </w:pPr>
      <w:rPr>
        <w:b/>
        <w:bCs/>
      </w:rPr>
      <w:tblPr/>
      <w:tcPr>
        <w:tcBorders>
          <w:top w:val="nil"/>
          <w:bottom w:val="single" w:sz="12" w:space="0" w:color="DBCBBF" w:themeColor="accent6" w:themeTint="99"/>
          <w:insideH w:val="nil"/>
          <w:insideV w:val="nil"/>
        </w:tcBorders>
        <w:shd w:val="clear" w:color="auto" w:fill="FFFFFF" w:themeFill="background1"/>
        <w:vAlign w:val="bottom"/>
      </w:tcPr>
    </w:tblStylePr>
    <w:tblStylePr w:type="lastRow">
      <w:rPr>
        <w:b/>
        <w:bCs/>
      </w:rPr>
      <w:tblPr/>
      <w:tcPr>
        <w:tcBorders>
          <w:top w:val="double" w:sz="2" w:space="0" w:color="DBCB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3-Accent3">
    <w:name w:val="Grid Table 3 Accent 3"/>
    <w:basedOn w:val="TableNormal"/>
    <w:uiPriority w:val="48"/>
    <w:locked/>
    <w:rsid w:val="00350549"/>
    <w:pPr>
      <w:spacing w:after="0"/>
    </w:pPr>
    <w:rPr>
      <w:rFonts w:ascii="Arial" w:hAnsi="Arial"/>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3-Accent4">
    <w:name w:val="Grid Table 3 Accent 4"/>
    <w:basedOn w:val="TableNormal"/>
    <w:uiPriority w:val="48"/>
    <w:locked/>
    <w:rsid w:val="00350549"/>
    <w:pPr>
      <w:spacing w:after="0"/>
    </w:pPr>
    <w:rPr>
      <w:rFonts w:ascii="Arial" w:hAnsi="Arial"/>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3-Accent5">
    <w:name w:val="Grid Table 3 Accent 5"/>
    <w:basedOn w:val="TableNormal"/>
    <w:uiPriority w:val="48"/>
    <w:rsid w:val="00350549"/>
    <w:pPr>
      <w:spacing w:after="0"/>
    </w:pPr>
    <w:rPr>
      <w:rFonts w:ascii="Arial" w:hAnsi="Arial"/>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PlainTable5">
    <w:name w:val="Plain Table 5"/>
    <w:basedOn w:val="TableNormal"/>
    <w:uiPriority w:val="45"/>
    <w:rsid w:val="00350549"/>
    <w:pPr>
      <w:spacing w:after="0"/>
    </w:pPr>
    <w:rPr>
      <w:rFonts w:ascii="Arial" w:hAnsi="Arial"/>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3E583" w:themeColor="accent1" w:themeTint="99"/>
        </w:tcBorders>
        <w:vAlign w:val="bottom"/>
      </w:tcPr>
    </w:tblStylePr>
    <w:tblStylePr w:type="lastRow">
      <w:rPr>
        <w:b/>
        <w:bCs/>
      </w:rPr>
      <w:tblPr/>
      <w:tcPr>
        <w:tcBorders>
          <w:top w:val="single" w:sz="4" w:space="0" w:color="D3E583" w:themeColor="accent1" w:themeTint="99"/>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1Light-Accent2">
    <w:name w:val="List Table 1 Light Accent 2"/>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95D8D7" w:themeColor="accent2" w:themeTint="99"/>
        </w:tcBorders>
        <w:vAlign w:val="bottom"/>
      </w:tcPr>
    </w:tblStylePr>
    <w:tblStylePr w:type="lastRow">
      <w:rPr>
        <w:b/>
        <w:bCs/>
      </w:rPr>
      <w:tblPr/>
      <w:tcPr>
        <w:tcBorders>
          <w:top w:val="single" w:sz="4" w:space="0" w:color="95D8D7" w:themeColor="accent2" w:themeTint="99"/>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1Light-Accent3">
    <w:name w:val="List Table 1 Light Accent 3"/>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7AD80" w:themeColor="accent3" w:themeTint="99"/>
        </w:tcBorders>
        <w:vAlign w:val="bottom"/>
      </w:tcPr>
    </w:tblStylePr>
    <w:tblStylePr w:type="lastRow">
      <w:rPr>
        <w:b/>
        <w:bCs/>
      </w:rPr>
      <w:tblPr/>
      <w:tcPr>
        <w:tcBorders>
          <w:top w:val="sing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1Light-Accent4">
    <w:name w:val="List Table 1 Light Accent 4"/>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489A8" w:themeColor="accent4" w:themeTint="99"/>
        </w:tcBorders>
        <w:vAlign w:val="bottom"/>
      </w:tcPr>
    </w:tblStylePr>
    <w:tblStylePr w:type="lastRow">
      <w:rPr>
        <w:b/>
        <w:bCs/>
      </w:rPr>
      <w:tblPr/>
      <w:tcPr>
        <w:tcBorders>
          <w:top w:val="sing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1Light-Accent5">
    <w:name w:val="List Table 1 Light Accent 5"/>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FDD48D" w:themeColor="accent5" w:themeTint="99"/>
        </w:tcBorders>
        <w:vAlign w:val="bottom"/>
      </w:tcPr>
    </w:tblStylePr>
    <w:tblStylePr w:type="lastRow">
      <w:rPr>
        <w:b/>
        <w:bCs/>
      </w:rPr>
      <w:tblPr/>
      <w:tcPr>
        <w:tcBorders>
          <w:top w:val="sing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1Light-Accent6">
    <w:name w:val="List Table 1 Light Accent 6"/>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BCBBF" w:themeColor="accent6" w:themeTint="99"/>
        </w:tcBorders>
        <w:vAlign w:val="bottom"/>
      </w:tcPr>
    </w:tblStylePr>
    <w:tblStylePr w:type="lastRow">
      <w:rPr>
        <w:b/>
        <w:bCs/>
      </w:rPr>
      <w:tblPr/>
      <w:tcPr>
        <w:tcBorders>
          <w:top w:val="sing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2">
    <w:name w:val="List Table 2"/>
    <w:basedOn w:val="TableNormal"/>
    <w:uiPriority w:val="47"/>
    <w:rsid w:val="00350549"/>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50549"/>
    <w:pPr>
      <w:spacing w:after="0"/>
    </w:pPr>
    <w:tblPr>
      <w:tblStyleRowBandSize w:val="1"/>
      <w:tblStyleColBandSize w:val="1"/>
      <w:tblBorders>
        <w:top w:val="single" w:sz="4" w:space="0" w:color="D3E583" w:themeColor="accent1" w:themeTint="99"/>
        <w:bottom w:val="single" w:sz="4" w:space="0" w:color="D3E583" w:themeColor="accent1" w:themeTint="99"/>
        <w:insideH w:val="single" w:sz="4" w:space="0" w:color="D3E583"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2-Accent2">
    <w:name w:val="List Table 2 Accent 2"/>
    <w:basedOn w:val="TableNormal"/>
    <w:uiPriority w:val="47"/>
    <w:locked/>
    <w:rsid w:val="00350549"/>
    <w:pPr>
      <w:spacing w:after="0"/>
    </w:pPr>
    <w:tblPr>
      <w:tblStyleRowBandSize w:val="1"/>
      <w:tblStyleColBandSize w:val="1"/>
      <w:tblBorders>
        <w:top w:val="single" w:sz="4" w:space="0" w:color="95D8D7" w:themeColor="accent2" w:themeTint="99"/>
        <w:bottom w:val="single" w:sz="4" w:space="0" w:color="95D8D7" w:themeColor="accent2" w:themeTint="99"/>
        <w:insideH w:val="single" w:sz="4" w:space="0" w:color="95D8D7"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2-Accent3">
    <w:name w:val="List Table 2 Accent 3"/>
    <w:basedOn w:val="TableNormal"/>
    <w:uiPriority w:val="47"/>
    <w:locked/>
    <w:rsid w:val="00350549"/>
    <w:pPr>
      <w:spacing w:after="0"/>
    </w:pPr>
    <w:tblPr>
      <w:tblStyleRowBandSize w:val="1"/>
      <w:tblStyleColBandSize w:val="1"/>
      <w:tblBorders>
        <w:top w:val="single" w:sz="4" w:space="0" w:color="F7AD80" w:themeColor="accent3" w:themeTint="99"/>
        <w:bottom w:val="single" w:sz="4" w:space="0" w:color="F7AD80" w:themeColor="accent3" w:themeTint="99"/>
        <w:insideH w:val="single" w:sz="4" w:space="0" w:color="F7AD80"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2-Accent4">
    <w:name w:val="List Table 2 Accent 4"/>
    <w:basedOn w:val="TableNormal"/>
    <w:uiPriority w:val="47"/>
    <w:locked/>
    <w:rsid w:val="00350549"/>
    <w:pPr>
      <w:spacing w:after="0"/>
    </w:pPr>
    <w:tblPr>
      <w:tblStyleRowBandSize w:val="1"/>
      <w:tblStyleColBandSize w:val="1"/>
      <w:tblBorders>
        <w:top w:val="single" w:sz="4" w:space="0" w:color="F489A8" w:themeColor="accent4" w:themeTint="99"/>
        <w:bottom w:val="single" w:sz="4" w:space="0" w:color="F489A8" w:themeColor="accent4" w:themeTint="99"/>
        <w:insideH w:val="single" w:sz="4" w:space="0" w:color="F489A8"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2-Accent5">
    <w:name w:val="List Table 2 Accent 5"/>
    <w:basedOn w:val="TableNormal"/>
    <w:uiPriority w:val="47"/>
    <w:rsid w:val="00350549"/>
    <w:pPr>
      <w:spacing w:after="0"/>
    </w:pPr>
    <w:tblPr>
      <w:tblStyleRowBandSize w:val="1"/>
      <w:tblStyleColBandSize w:val="1"/>
      <w:tblBorders>
        <w:top w:val="single" w:sz="4" w:space="0" w:color="FDD48D" w:themeColor="accent5" w:themeTint="99"/>
        <w:bottom w:val="single" w:sz="4" w:space="0" w:color="FDD48D" w:themeColor="accent5" w:themeTint="99"/>
        <w:insideH w:val="single" w:sz="4" w:space="0" w:color="FDD48D"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character" w:customStyle="1" w:styleId="BodyTextChar">
    <w:name w:val="Body Text Char"/>
    <w:basedOn w:val="DefaultParagraphFont"/>
    <w:link w:val="BodyText"/>
    <w:rsid w:val="007D08A9"/>
    <w:rPr>
      <w:rFonts w:ascii="Arial" w:hAnsi="Arial"/>
      <w:sz w:val="20"/>
    </w:rPr>
  </w:style>
  <w:style w:type="paragraph" w:customStyle="1" w:styleId="Quote2">
    <w:name w:val="Quote 2"/>
    <w:basedOn w:val="Subtitle"/>
    <w:next w:val="Normal"/>
    <w:link w:val="Quote2Char"/>
    <w:uiPriority w:val="7"/>
    <w:qFormat/>
    <w:rsid w:val="00350549"/>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350549"/>
    <w:rPr>
      <w:rFonts w:ascii="Calibri" w:eastAsia="Times New Roman" w:hAnsi="Calibri" w:cs="Times New Roman"/>
      <w:bCs/>
      <w:color w:val="B7D432" w:themeColor="accent1"/>
      <w:sz w:val="20"/>
      <w:szCs w:val="20"/>
      <w:lang w:eastAsia="en-AU"/>
    </w:rPr>
  </w:style>
  <w:style w:type="paragraph" w:customStyle="1" w:styleId="Bullets1">
    <w:name w:val="Bullets 1"/>
    <w:basedOn w:val="Normal"/>
    <w:qFormat/>
    <w:rsid w:val="00350549"/>
    <w:pPr>
      <w:numPr>
        <w:numId w:val="3"/>
      </w:numPr>
      <w:spacing w:before="60" w:after="60" w:line="300" w:lineRule="auto"/>
    </w:pPr>
    <w:rPr>
      <w:rFonts w:eastAsia="Times New Roman" w:cs="Times New Roman"/>
      <w:szCs w:val="20"/>
    </w:rPr>
  </w:style>
  <w:style w:type="paragraph" w:customStyle="1" w:styleId="TableFormat">
    <w:name w:val="Table Format"/>
    <w:basedOn w:val="Body"/>
    <w:next w:val="Body"/>
    <w:uiPriority w:val="8"/>
    <w:qFormat/>
    <w:rsid w:val="00350549"/>
    <w:pPr>
      <w:spacing w:before="60" w:after="60" w:line="240" w:lineRule="auto"/>
      <w:jc w:val="right"/>
    </w:pPr>
    <w:rPr>
      <w:sz w:val="18"/>
    </w:rPr>
  </w:style>
  <w:style w:type="paragraph" w:styleId="Revision">
    <w:name w:val="Revision"/>
    <w:hidden/>
    <w:uiPriority w:val="99"/>
    <w:semiHidden/>
    <w:rsid w:val="00AD2ACB"/>
    <w:pPr>
      <w:spacing w:before="0" w:after="0"/>
    </w:pPr>
    <w:rPr>
      <w:rFonts w:ascii="Arial" w:hAnsi="Arial"/>
      <w:sz w:val="20"/>
    </w:rPr>
  </w:style>
  <w:style w:type="paragraph" w:customStyle="1" w:styleId="Body">
    <w:name w:val="Body"/>
    <w:basedOn w:val="Normal"/>
    <w:link w:val="BodyChar"/>
    <w:qFormat/>
    <w:rsid w:val="00350549"/>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350549"/>
    <w:rPr>
      <w:rFonts w:ascii="Arial" w:eastAsia="Times New Roman" w:hAnsi="Arial" w:cs="Times New Roman"/>
      <w:sz w:val="20"/>
      <w:szCs w:val="20"/>
    </w:rPr>
  </w:style>
  <w:style w:type="paragraph" w:customStyle="1" w:styleId="Bullets2">
    <w:name w:val="Bullets 2"/>
    <w:basedOn w:val="Normal"/>
    <w:qFormat/>
    <w:rsid w:val="00350549"/>
    <w:pPr>
      <w:numPr>
        <w:ilvl w:val="1"/>
        <w:numId w:val="3"/>
      </w:numPr>
      <w:spacing w:before="60" w:after="60" w:line="300" w:lineRule="auto"/>
    </w:pPr>
    <w:rPr>
      <w:rFonts w:eastAsia="Times New Roman" w:cs="Times New Roman"/>
      <w:szCs w:val="20"/>
    </w:rPr>
  </w:style>
  <w:style w:type="paragraph" w:customStyle="1" w:styleId="Bullets3">
    <w:name w:val="Bullets 3"/>
    <w:basedOn w:val="Normal"/>
    <w:qFormat/>
    <w:rsid w:val="00350549"/>
    <w:pPr>
      <w:numPr>
        <w:ilvl w:val="2"/>
        <w:numId w:val="3"/>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350549"/>
    <w:pPr>
      <w:spacing w:after="0"/>
    </w:pPr>
    <w:tblPr>
      <w:tblStyleRowBandSize w:val="1"/>
      <w:tblStyleColBandSize w:val="1"/>
      <w:tblBorders>
        <w:top w:val="single" w:sz="4" w:space="0" w:color="DBCBBF" w:themeColor="accent6" w:themeTint="99"/>
        <w:bottom w:val="single" w:sz="4" w:space="0" w:color="DBCBBF" w:themeColor="accent6" w:themeTint="99"/>
        <w:insideH w:val="single" w:sz="4" w:space="0" w:color="DBCBB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customStyle="1" w:styleId="AppendixHeading">
    <w:name w:val="Appendix Heading"/>
    <w:basedOn w:val="MajorHeading"/>
    <w:next w:val="Body"/>
    <w:link w:val="AppendixHeadingChar"/>
    <w:qFormat/>
    <w:rsid w:val="00350549"/>
    <w:pPr>
      <w:ind w:left="2552" w:hanging="2552"/>
    </w:pPr>
    <w:rPr>
      <w:rFonts w:cstheme="majorBidi"/>
    </w:rPr>
  </w:style>
  <w:style w:type="character" w:customStyle="1" w:styleId="AppendixHeadingChar">
    <w:name w:val="Appendix Heading Char"/>
    <w:basedOn w:val="Heading1Char"/>
    <w:link w:val="AppendixHeading"/>
    <w:rsid w:val="00350549"/>
    <w:rPr>
      <w:rFonts w:ascii="Arial" w:hAnsi="Arial" w:cstheme="majorBidi"/>
      <w:color w:val="B7D432" w:themeColor="accent1"/>
      <w:sz w:val="40"/>
      <w:szCs w:val="40"/>
    </w:rPr>
  </w:style>
  <w:style w:type="paragraph" w:styleId="TableofAuthorities">
    <w:name w:val="table of authorities"/>
    <w:basedOn w:val="Normal"/>
    <w:next w:val="Normal"/>
    <w:uiPriority w:val="99"/>
    <w:semiHidden/>
    <w:unhideWhenUsed/>
    <w:rsid w:val="007D08A9"/>
    <w:pPr>
      <w:ind w:left="284" w:hanging="284"/>
    </w:pPr>
    <w:rPr>
      <w:rFonts w:ascii="Arial Nova" w:hAnsi="Arial Nova"/>
    </w:rPr>
  </w:style>
  <w:style w:type="paragraph" w:styleId="Bibliography">
    <w:name w:val="Bibliography"/>
    <w:basedOn w:val="Normal"/>
    <w:next w:val="Normal"/>
    <w:uiPriority w:val="37"/>
    <w:qFormat/>
    <w:rsid w:val="00350549"/>
    <w:pPr>
      <w:spacing w:before="120" w:after="120"/>
      <w:ind w:left="284" w:hanging="284"/>
    </w:pPr>
    <w:rPr>
      <w:rFonts w:cs="Arial"/>
    </w:rPr>
  </w:style>
  <w:style w:type="table" w:styleId="GridTable7Colorful-Accent6">
    <w:name w:val="Grid Table 7 Colorful Accent 6"/>
    <w:basedOn w:val="TableNormal"/>
    <w:uiPriority w:val="52"/>
    <w:locked/>
    <w:rsid w:val="00350549"/>
    <w:pPr>
      <w:spacing w:after="0"/>
    </w:pPr>
    <w:rPr>
      <w:color w:val="A37D5D" w:themeColor="accent6" w:themeShade="BF"/>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table" w:customStyle="1" w:styleId="SRC2ndPage">
    <w:name w:val="SRC 2nd Page"/>
    <w:basedOn w:val="TableNormal"/>
    <w:uiPriority w:val="99"/>
    <w:rsid w:val="007D08A9"/>
    <w:pPr>
      <w:spacing w:before="0" w:after="0"/>
    </w:pPr>
    <w:rPr>
      <w:rFonts w:ascii="Arial" w:hAnsi="Arial"/>
    </w:rPr>
    <w:tblPr/>
    <w:tblStylePr w:type="firstRow">
      <w:pPr>
        <w:jc w:val="left"/>
      </w:pPr>
      <w:tblPr/>
      <w:tcPr>
        <w:vAlign w:val="bottom"/>
      </w:tcPr>
    </w:tblStylePr>
  </w:style>
  <w:style w:type="character" w:styleId="UnresolvedMention">
    <w:name w:val="Unresolved Mention"/>
    <w:basedOn w:val="DefaultParagraphFont"/>
    <w:uiPriority w:val="99"/>
    <w:semiHidden/>
    <w:unhideWhenUsed/>
    <w:rsid w:val="005F3B62"/>
    <w:rPr>
      <w:color w:val="605E5C"/>
      <w:shd w:val="clear" w:color="auto" w:fill="E1DFDD"/>
    </w:rPr>
  </w:style>
  <w:style w:type="paragraph" w:customStyle="1" w:styleId="Bullets-noindent">
    <w:name w:val="Bullets - no indent"/>
    <w:basedOn w:val="Body"/>
    <w:uiPriority w:val="1"/>
    <w:qFormat/>
    <w:rsid w:val="00350549"/>
    <w:pPr>
      <w:numPr>
        <w:numId w:val="2"/>
      </w:numPr>
      <w:spacing w:before="60" w:after="60"/>
    </w:pPr>
  </w:style>
  <w:style w:type="character" w:styleId="Emphasis">
    <w:name w:val="Emphasis"/>
    <w:basedOn w:val="DefaultParagraphFont"/>
    <w:uiPriority w:val="20"/>
    <w:rsid w:val="007D08A9"/>
    <w:rPr>
      <w:i/>
      <w:iCs/>
    </w:rPr>
  </w:style>
  <w:style w:type="character" w:customStyle="1" w:styleId="Heading6Char">
    <w:name w:val="Heading 6 Char"/>
    <w:basedOn w:val="DefaultParagraphFont"/>
    <w:link w:val="Heading6"/>
    <w:uiPriority w:val="9"/>
    <w:rsid w:val="00350549"/>
    <w:rPr>
      <w:rFonts w:asciiTheme="majorHAnsi" w:eastAsiaTheme="majorEastAsia" w:hAnsiTheme="majorHAnsi" w:cstheme="majorBidi"/>
      <w:i/>
      <w:iCs/>
      <w:caps/>
      <w:color w:val="5D6C16" w:themeColor="accent1" w:themeShade="80"/>
      <w:sz w:val="20"/>
    </w:rPr>
  </w:style>
  <w:style w:type="character" w:customStyle="1" w:styleId="Heading7Char">
    <w:name w:val="Heading 7 Char"/>
    <w:basedOn w:val="DefaultParagraphFont"/>
    <w:link w:val="Heading7"/>
    <w:uiPriority w:val="9"/>
    <w:rsid w:val="00350549"/>
    <w:rPr>
      <w:rFonts w:asciiTheme="majorHAnsi" w:eastAsiaTheme="majorEastAsia" w:hAnsiTheme="majorHAnsi" w:cstheme="majorBidi"/>
      <w:b/>
      <w:bCs/>
      <w:color w:val="5D6C16" w:themeColor="accent1" w:themeShade="80"/>
      <w:sz w:val="20"/>
    </w:rPr>
  </w:style>
  <w:style w:type="character" w:customStyle="1" w:styleId="Heading8Char">
    <w:name w:val="Heading 8 Char"/>
    <w:basedOn w:val="DefaultParagraphFont"/>
    <w:link w:val="Heading8"/>
    <w:uiPriority w:val="9"/>
    <w:semiHidden/>
    <w:rsid w:val="00350549"/>
    <w:rPr>
      <w:rFonts w:asciiTheme="majorHAnsi" w:eastAsiaTheme="majorEastAsia" w:hAnsiTheme="majorHAnsi" w:cstheme="majorBidi"/>
      <w:b/>
      <w:bCs/>
      <w:i/>
      <w:iCs/>
      <w:color w:val="5D6C16" w:themeColor="accent1" w:themeShade="80"/>
      <w:sz w:val="20"/>
    </w:rPr>
  </w:style>
  <w:style w:type="character" w:customStyle="1" w:styleId="Heading9Char">
    <w:name w:val="Heading 9 Char"/>
    <w:basedOn w:val="DefaultParagraphFont"/>
    <w:link w:val="Heading9"/>
    <w:uiPriority w:val="9"/>
    <w:semiHidden/>
    <w:rsid w:val="00350549"/>
    <w:rPr>
      <w:rFonts w:asciiTheme="majorHAnsi" w:eastAsiaTheme="majorEastAsia" w:hAnsiTheme="majorHAnsi" w:cstheme="majorBidi"/>
      <w:i/>
      <w:iCs/>
      <w:color w:val="5D6C16" w:themeColor="accent1" w:themeShade="80"/>
      <w:sz w:val="20"/>
    </w:rPr>
  </w:style>
  <w:style w:type="character" w:styleId="IntenseEmphasis">
    <w:name w:val="Intense Emphasis"/>
    <w:basedOn w:val="DefaultParagraphFont"/>
    <w:uiPriority w:val="21"/>
    <w:rsid w:val="007D08A9"/>
    <w:rPr>
      <w:b/>
      <w:bCs/>
      <w:i/>
      <w:iCs/>
    </w:rPr>
  </w:style>
  <w:style w:type="paragraph" w:styleId="IntenseQuote">
    <w:name w:val="Intense Quote"/>
    <w:basedOn w:val="Normal"/>
    <w:next w:val="Normal"/>
    <w:link w:val="IntenseQuoteChar"/>
    <w:uiPriority w:val="30"/>
    <w:rsid w:val="00473EE0"/>
    <w:pPr>
      <w:spacing w:before="100" w:beforeAutospacing="1" w:after="240"/>
      <w:ind w:left="720"/>
      <w:jc w:val="center"/>
    </w:pPr>
    <w:rPr>
      <w:rFonts w:asciiTheme="majorHAnsi" w:eastAsiaTheme="majorEastAsia" w:hAnsiTheme="majorHAnsi" w:cstheme="majorBidi"/>
      <w:color w:val="EE3B6F"/>
      <w:spacing w:val="-6"/>
      <w:sz w:val="32"/>
      <w:szCs w:val="32"/>
    </w:rPr>
  </w:style>
  <w:style w:type="character" w:customStyle="1" w:styleId="IntenseQuoteChar">
    <w:name w:val="Intense Quote Char"/>
    <w:basedOn w:val="DefaultParagraphFont"/>
    <w:link w:val="IntenseQuote"/>
    <w:uiPriority w:val="30"/>
    <w:rsid w:val="00473EE0"/>
    <w:rPr>
      <w:rFonts w:asciiTheme="majorHAnsi" w:eastAsiaTheme="majorEastAsia" w:hAnsiTheme="majorHAnsi" w:cstheme="majorBidi"/>
      <w:color w:val="EE3B6F"/>
      <w:spacing w:val="-6"/>
      <w:sz w:val="32"/>
      <w:szCs w:val="32"/>
    </w:rPr>
  </w:style>
  <w:style w:type="character" w:styleId="IntenseReference">
    <w:name w:val="Intense Reference"/>
    <w:basedOn w:val="DefaultParagraphFont"/>
    <w:uiPriority w:val="32"/>
    <w:rsid w:val="00B272D2"/>
    <w:rPr>
      <w:b/>
      <w:bCs/>
      <w:smallCaps/>
      <w:color w:val="EE3B6F"/>
      <w:u w:val="single"/>
    </w:rPr>
  </w:style>
  <w:style w:type="character" w:styleId="Strong">
    <w:name w:val="Strong"/>
    <w:basedOn w:val="DefaultParagraphFont"/>
    <w:uiPriority w:val="22"/>
    <w:rsid w:val="007D08A9"/>
    <w:rPr>
      <w:b/>
      <w:bCs/>
    </w:rPr>
  </w:style>
  <w:style w:type="character" w:styleId="SubtleEmphasis">
    <w:name w:val="Subtle Emphasis"/>
    <w:basedOn w:val="DefaultParagraphFont"/>
    <w:uiPriority w:val="19"/>
    <w:rsid w:val="007D08A9"/>
    <w:rPr>
      <w:i/>
      <w:iCs/>
      <w:color w:val="595959" w:themeColor="text1" w:themeTint="A6"/>
    </w:rPr>
  </w:style>
  <w:style w:type="character" w:styleId="SubtleReference">
    <w:name w:val="Subtle Reference"/>
    <w:basedOn w:val="DefaultParagraphFont"/>
    <w:uiPriority w:val="31"/>
    <w:rsid w:val="007D08A9"/>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unhideWhenUsed/>
    <w:qFormat/>
    <w:rsid w:val="002C499A"/>
    <w:pPr>
      <w:ind w:left="1134" w:hanging="1134"/>
      <w:outlineLvl w:val="9"/>
    </w:pPr>
  </w:style>
  <w:style w:type="paragraph" w:customStyle="1" w:styleId="Appendix1">
    <w:name w:val="Appendix 1"/>
    <w:basedOn w:val="Normal"/>
    <w:next w:val="Body"/>
    <w:uiPriority w:val="99"/>
    <w:qFormat/>
    <w:rsid w:val="00C306F1"/>
    <w:pPr>
      <w:pageBreakBefore/>
      <w:numPr>
        <w:numId w:val="1"/>
      </w:numPr>
      <w:spacing w:after="240"/>
      <w:outlineLvl w:val="0"/>
    </w:pPr>
    <w:rPr>
      <w:color w:val="5D6C16" w:themeColor="accent1" w:themeShade="80"/>
      <w:sz w:val="40"/>
    </w:rPr>
  </w:style>
  <w:style w:type="paragraph" w:customStyle="1" w:styleId="Appendix2">
    <w:name w:val="Appendix 2"/>
    <w:basedOn w:val="Normal"/>
    <w:next w:val="Body"/>
    <w:uiPriority w:val="99"/>
    <w:qFormat/>
    <w:rsid w:val="006731AA"/>
    <w:pPr>
      <w:keepNext/>
      <w:numPr>
        <w:ilvl w:val="1"/>
        <w:numId w:val="1"/>
      </w:numPr>
      <w:spacing w:before="240" w:after="120"/>
      <w:outlineLvl w:val="1"/>
    </w:pPr>
    <w:rPr>
      <w:color w:val="8AA122" w:themeColor="accent1" w:themeShade="BF"/>
      <w:sz w:val="32"/>
      <w:szCs w:val="32"/>
    </w:rPr>
  </w:style>
  <w:style w:type="paragraph" w:customStyle="1" w:styleId="Appendix3">
    <w:name w:val="Appendix 3"/>
    <w:basedOn w:val="Normal"/>
    <w:next w:val="Body"/>
    <w:link w:val="Appendix3Char"/>
    <w:uiPriority w:val="4"/>
    <w:qFormat/>
    <w:rsid w:val="006731AA"/>
    <w:pPr>
      <w:keepNext/>
      <w:numPr>
        <w:ilvl w:val="2"/>
        <w:numId w:val="1"/>
      </w:numPr>
      <w:spacing w:before="240" w:after="120"/>
      <w:outlineLvl w:val="2"/>
    </w:pPr>
    <w:rPr>
      <w:color w:val="8AA122" w:themeColor="accent1" w:themeShade="BF"/>
      <w:sz w:val="28"/>
    </w:rPr>
  </w:style>
  <w:style w:type="paragraph" w:customStyle="1" w:styleId="SubHeading20">
    <w:name w:val="Sub Heading 2"/>
    <w:basedOn w:val="SubHeading1"/>
    <w:next w:val="Body"/>
    <w:link w:val="SubHeading2Char0"/>
    <w:uiPriority w:val="3"/>
    <w:qFormat/>
    <w:rsid w:val="00350549"/>
    <w:rPr>
      <w:sz w:val="24"/>
      <w:szCs w:val="24"/>
    </w:rPr>
  </w:style>
  <w:style w:type="character" w:customStyle="1" w:styleId="SubHeading2Char0">
    <w:name w:val="Sub Heading 2 Char"/>
    <w:basedOn w:val="SubHeading1Char"/>
    <w:link w:val="SubHeading20"/>
    <w:uiPriority w:val="3"/>
    <w:rsid w:val="00350549"/>
    <w:rPr>
      <w:rFonts w:ascii="Arial" w:hAnsi="Arial"/>
      <w:bCs/>
      <w:color w:val="B7D432" w:themeColor="accent1"/>
      <w:sz w:val="24"/>
      <w:szCs w:val="24"/>
    </w:rPr>
  </w:style>
  <w:style w:type="paragraph" w:customStyle="1" w:styleId="AppendixHeading1">
    <w:name w:val="Appendix Heading 1"/>
    <w:basedOn w:val="MajorHeading"/>
    <w:next w:val="Body"/>
    <w:link w:val="AppendixHeading1Char"/>
    <w:autoRedefine/>
    <w:qFormat/>
    <w:rsid w:val="00244416"/>
    <w:pPr>
      <w:numPr>
        <w:numId w:val="12"/>
      </w:numPr>
    </w:pPr>
    <w:rPr>
      <w:rFonts w:cstheme="majorBidi"/>
    </w:rPr>
  </w:style>
  <w:style w:type="character" w:customStyle="1" w:styleId="AppendixHeading1Char">
    <w:name w:val="Appendix Heading 1 Char"/>
    <w:basedOn w:val="Heading1Char"/>
    <w:link w:val="AppendixHeading1"/>
    <w:rsid w:val="00244416"/>
    <w:rPr>
      <w:rFonts w:ascii="Arial" w:hAnsi="Arial" w:cstheme="majorBidi"/>
      <w:color w:val="B7D432" w:themeColor="accent1"/>
      <w:sz w:val="40"/>
      <w:szCs w:val="40"/>
    </w:rPr>
  </w:style>
  <w:style w:type="table" w:customStyle="1" w:styleId="SRC1">
    <w:name w:val="SRC 1"/>
    <w:basedOn w:val="TableNormal"/>
    <w:uiPriority w:val="99"/>
    <w:rsid w:val="00244416"/>
    <w:rPr>
      <w:rFonts w:ascii="Arial" w:hAnsi="Arial"/>
      <w:szCs w:val="22"/>
    </w:rPr>
    <w:tblPr>
      <w:tblStyleRowBandSize w:val="1"/>
      <w:tblStyleColBandSize w:val="1"/>
      <w:tblBorders>
        <w:bottom w:val="single" w:sz="4" w:space="0" w:color="B7D432"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B7D432"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F0F6D5"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Heading2">
    <w:name w:val="Appendix Heading 2"/>
    <w:basedOn w:val="Normal"/>
    <w:next w:val="Body"/>
    <w:uiPriority w:val="99"/>
    <w:rsid w:val="00244416"/>
    <w:pPr>
      <w:numPr>
        <w:ilvl w:val="1"/>
        <w:numId w:val="12"/>
      </w:numPr>
    </w:pPr>
    <w:rPr>
      <w:color w:val="B7D432" w:themeColor="accent1"/>
      <w:sz w:val="32"/>
      <w:szCs w:val="32"/>
    </w:rPr>
  </w:style>
  <w:style w:type="paragraph" w:customStyle="1" w:styleId="Appendixheading3">
    <w:name w:val="Appendix heading 3"/>
    <w:basedOn w:val="Heading3"/>
    <w:next w:val="Body"/>
    <w:uiPriority w:val="99"/>
    <w:qFormat/>
    <w:rsid w:val="00244416"/>
    <w:pPr>
      <w:numPr>
        <w:numId w:val="12"/>
      </w:numPr>
    </w:pPr>
  </w:style>
  <w:style w:type="paragraph" w:customStyle="1" w:styleId="NoParagraphStyle">
    <w:name w:val="[No Paragraph Style]"/>
    <w:autoRedefine/>
    <w:qFormat/>
    <w:rsid w:val="00244416"/>
    <w:pPr>
      <w:widowControl w:val="0"/>
      <w:autoSpaceDE w:val="0"/>
      <w:autoSpaceDN w:val="0"/>
      <w:adjustRightInd w:val="0"/>
      <w:spacing w:before="0" w:after="0" w:line="288" w:lineRule="auto"/>
      <w:textAlignment w:val="center"/>
    </w:pPr>
    <w:rPr>
      <w:rFonts w:ascii="Calibri" w:eastAsiaTheme="minorEastAsia" w:hAnsi="Calibri" w:cs="MinionPro-Regular"/>
      <w:b/>
      <w:bCs/>
      <w:caps/>
      <w:color w:val="FFFFFF" w:themeColor="background1"/>
      <w:sz w:val="32"/>
      <w:szCs w:val="32"/>
      <w:lang w:val="en-GB"/>
    </w:rPr>
  </w:style>
  <w:style w:type="paragraph" w:customStyle="1" w:styleId="Intropullout">
    <w:name w:val="Intro/pull out"/>
    <w:autoRedefine/>
    <w:uiPriority w:val="99"/>
    <w:qFormat/>
    <w:rsid w:val="00244416"/>
    <w:pPr>
      <w:widowControl w:val="0"/>
      <w:suppressAutoHyphens/>
      <w:autoSpaceDE w:val="0"/>
      <w:autoSpaceDN w:val="0"/>
      <w:adjustRightInd w:val="0"/>
      <w:spacing w:before="113" w:after="170" w:line="300" w:lineRule="atLeast"/>
      <w:textAlignment w:val="center"/>
    </w:pPr>
    <w:rPr>
      <w:rFonts w:ascii="Calibri" w:eastAsiaTheme="minorEastAsia" w:hAnsi="Calibri" w:cs="DINOT-Light"/>
      <w:color w:val="004459"/>
      <w:spacing w:val="-2"/>
      <w:sz w:val="23"/>
      <w:szCs w:val="23"/>
      <w:lang w:val="en-GB"/>
    </w:rPr>
  </w:style>
  <w:style w:type="paragraph" w:customStyle="1" w:styleId="Subhead2">
    <w:name w:val="Subhead 2"/>
    <w:autoRedefine/>
    <w:uiPriority w:val="99"/>
    <w:qFormat/>
    <w:rsid w:val="00244416"/>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eastAsiaTheme="minorEastAsia" w:hAnsi="DINOT-Medium" w:cs="DINOT-Medium"/>
      <w:color w:val="00777B"/>
      <w:spacing w:val="-1"/>
      <w:sz w:val="20"/>
      <w:szCs w:val="20"/>
      <w:lang w:val="en-GB"/>
    </w:rPr>
  </w:style>
  <w:style w:type="paragraph" w:customStyle="1" w:styleId="dashboard">
    <w:name w:val="dashboard #"/>
    <w:qFormat/>
    <w:rsid w:val="00244416"/>
    <w:pPr>
      <w:spacing w:before="0" w:after="1920"/>
      <w:ind w:left="425"/>
    </w:pPr>
    <w:rPr>
      <w:rFonts w:asciiTheme="majorHAnsi" w:eastAsiaTheme="minorEastAsia" w:hAnsiTheme="majorHAnsi" w:cs="Times New Roman"/>
      <w:b/>
      <w:color w:val="FFFFFF"/>
      <w:sz w:val="20"/>
      <w:szCs w:val="20"/>
      <w:lang w:val="en-US"/>
    </w:rPr>
  </w:style>
  <w:style w:type="paragraph" w:customStyle="1" w:styleId="TablecolumnheadAPPX">
    <w:name w:val="Table column head APPX"/>
    <w:basedOn w:val="Normal"/>
    <w:qFormat/>
    <w:rsid w:val="00244416"/>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244416"/>
    <w:pPr>
      <w:widowControl w:val="0"/>
      <w:numPr>
        <w:numId w:val="8"/>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244416"/>
    <w:pPr>
      <w:spacing w:before="240" w:after="0" w:line="240" w:lineRule="atLeast"/>
    </w:pPr>
    <w:rPr>
      <w:rFonts w:asciiTheme="majorHAnsi" w:eastAsiaTheme="minorEastAsia" w:hAnsiTheme="majorHAnsi" w:cs="Gotham-Light"/>
      <w:color w:val="000A23"/>
      <w:spacing w:val="-2"/>
      <w:sz w:val="20"/>
      <w:lang w:val="en-GB"/>
    </w:rPr>
  </w:style>
  <w:style w:type="character" w:customStyle="1" w:styleId="Body02BOLD">
    <w:name w:val="Body 02 BOLD"/>
    <w:uiPriority w:val="1"/>
    <w:qFormat/>
    <w:rsid w:val="00244416"/>
    <w:rPr>
      <w:rFonts w:cs="Gotham-Book"/>
      <w:b/>
    </w:rPr>
  </w:style>
  <w:style w:type="paragraph" w:customStyle="1" w:styleId="Bodyruleabove">
    <w:name w:val="Body rule above"/>
    <w:basedOn w:val="Normal"/>
    <w:uiPriority w:val="99"/>
    <w:rsid w:val="00244416"/>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244416"/>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244416"/>
    <w:pPr>
      <w:widowControl w:val="0"/>
      <w:suppressAutoHyphens/>
      <w:autoSpaceDE w:val="0"/>
      <w:autoSpaceDN w:val="0"/>
      <w:adjustRightInd w:val="0"/>
      <w:spacing w:before="0" w:after="720" w:line="720" w:lineRule="atLeast"/>
      <w:ind w:left="426"/>
      <w:textAlignment w:val="center"/>
    </w:pPr>
    <w:rPr>
      <w:rFonts w:asciiTheme="majorHAnsi" w:eastAsiaTheme="minorEastAsia" w:hAnsiTheme="majorHAnsi" w:cs="CaeciliaLTStd-Heavy"/>
      <w:color w:val="FFFFFF" w:themeColor="background1"/>
      <w:spacing w:val="-6"/>
      <w:sz w:val="62"/>
      <w:szCs w:val="62"/>
      <w:lang w:val="en-GB"/>
    </w:rPr>
  </w:style>
  <w:style w:type="paragraph" w:customStyle="1" w:styleId="Intropara">
    <w:name w:val="Intro para"/>
    <w:qFormat/>
    <w:rsid w:val="00244416"/>
    <w:pPr>
      <w:spacing w:before="0" w:after="0" w:line="220" w:lineRule="exact"/>
    </w:pPr>
    <w:rPr>
      <w:rFonts w:asciiTheme="majorHAnsi" w:eastAsiaTheme="minorEastAsia" w:hAnsiTheme="majorHAnsi" w:cs="CaeciliaLTStd-Heavy"/>
      <w:sz w:val="24"/>
      <w:szCs w:val="21"/>
      <w:lang w:val="en-GB"/>
    </w:rPr>
  </w:style>
  <w:style w:type="paragraph" w:customStyle="1" w:styleId="tablesub01">
    <w:name w:val="table sub 01"/>
    <w:basedOn w:val="Bodyruleabove"/>
    <w:uiPriority w:val="99"/>
    <w:rsid w:val="00244416"/>
    <w:rPr>
      <w:rFonts w:ascii="Calibri" w:hAnsi="Calibri" w:cs="Gotham-Medium"/>
      <w:sz w:val="22"/>
    </w:rPr>
  </w:style>
  <w:style w:type="paragraph" w:customStyle="1" w:styleId="tablesubhead">
    <w:name w:val="table subhead"/>
    <w:qFormat/>
    <w:rsid w:val="00244416"/>
    <w:pPr>
      <w:spacing w:before="0" w:after="0"/>
    </w:pPr>
    <w:rPr>
      <w:rFonts w:asciiTheme="majorHAnsi" w:eastAsiaTheme="minorEastAsia" w:hAnsiTheme="majorHAnsi" w:cs="Gotham-Book"/>
      <w:b/>
      <w:spacing w:val="-4"/>
      <w:sz w:val="20"/>
      <w:lang w:val="en-GB"/>
    </w:rPr>
  </w:style>
  <w:style w:type="paragraph" w:customStyle="1" w:styleId="Tabletext">
    <w:name w:val="Table text"/>
    <w:link w:val="TabletextChar"/>
    <w:qFormat/>
    <w:rsid w:val="00244416"/>
    <w:pPr>
      <w:spacing w:before="0" w:after="0"/>
    </w:pPr>
    <w:rPr>
      <w:rFonts w:asciiTheme="majorHAnsi" w:eastAsiaTheme="minorEastAsia" w:hAnsiTheme="majorHAnsi" w:cs="Gotham-Light"/>
      <w:color w:val="000A23"/>
      <w:spacing w:val="-2"/>
      <w:sz w:val="20"/>
      <w:lang w:val="en-GB"/>
    </w:rPr>
  </w:style>
  <w:style w:type="paragraph" w:customStyle="1" w:styleId="Sub03">
    <w:name w:val="Sub 03"/>
    <w:basedOn w:val="tablesub01"/>
    <w:qFormat/>
    <w:rsid w:val="00244416"/>
  </w:style>
  <w:style w:type="paragraph" w:customStyle="1" w:styleId="Sub1">
    <w:name w:val="Sub 1"/>
    <w:basedOn w:val="Normal"/>
    <w:uiPriority w:val="99"/>
    <w:rsid w:val="00244416"/>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Cs w:val="21"/>
      <w:lang w:val="en-GB"/>
    </w:rPr>
  </w:style>
  <w:style w:type="paragraph" w:customStyle="1" w:styleId="Sub1nounderline">
    <w:name w:val="Sub 1 no underline"/>
    <w:basedOn w:val="Normal"/>
    <w:qFormat/>
    <w:rsid w:val="00244416"/>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Cs w:val="24"/>
      <w:lang w:val="en-GB"/>
    </w:rPr>
  </w:style>
  <w:style w:type="paragraph" w:customStyle="1" w:styleId="Tablecolumnheader">
    <w:name w:val="Table column header"/>
    <w:basedOn w:val="Sub1"/>
    <w:qFormat/>
    <w:rsid w:val="00244416"/>
    <w:pPr>
      <w:spacing w:before="100" w:beforeAutospacing="1"/>
    </w:pPr>
  </w:style>
  <w:style w:type="paragraph" w:customStyle="1" w:styleId="Programtitle">
    <w:name w:val="Program title"/>
    <w:basedOn w:val="Header"/>
    <w:next w:val="NoParagraphStyle"/>
    <w:qFormat/>
    <w:rsid w:val="00244416"/>
    <w:pPr>
      <w:tabs>
        <w:tab w:val="clear" w:pos="4513"/>
        <w:tab w:val="clear" w:pos="9026"/>
        <w:tab w:val="center" w:pos="4320"/>
        <w:tab w:val="right" w:pos="8640"/>
      </w:tabs>
      <w:spacing w:after="180"/>
    </w:pPr>
    <w:rPr>
      <w:rFonts w:eastAsiaTheme="minorEastAsia" w:cs="Arial"/>
      <w:caps/>
      <w:color w:val="FFFFFF" w:themeColor="background1"/>
      <w:sz w:val="26"/>
      <w:szCs w:val="26"/>
      <w:lang w:val="en-GB"/>
    </w:rPr>
  </w:style>
  <w:style w:type="paragraph" w:customStyle="1" w:styleId="Featuretext">
    <w:name w:val="Feature text"/>
    <w:basedOn w:val="Normal"/>
    <w:qFormat/>
    <w:rsid w:val="00244416"/>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qFormat/>
    <w:rsid w:val="00244416"/>
    <w:pPr>
      <w:keepNext/>
      <w:keepLines/>
      <w:spacing w:after="120"/>
      <w:outlineLvl w:val="0"/>
    </w:pPr>
    <w:rPr>
      <w:rFonts w:eastAsiaTheme="majorEastAsia" w:cs="Arial"/>
      <w:b/>
      <w:bCs/>
      <w:caps/>
      <w:color w:val="00455B"/>
      <w:sz w:val="22"/>
      <w:szCs w:val="32"/>
      <w:lang w:val="en-US"/>
    </w:rPr>
  </w:style>
  <w:style w:type="character" w:customStyle="1" w:styleId="Teal">
    <w:name w:val="Teal"/>
    <w:uiPriority w:val="1"/>
    <w:qFormat/>
    <w:rsid w:val="00244416"/>
    <w:rPr>
      <w:color w:val="009096"/>
    </w:rPr>
  </w:style>
  <w:style w:type="paragraph" w:customStyle="1" w:styleId="Subtitle03">
    <w:name w:val="Subtitle 03"/>
    <w:basedOn w:val="NoParagraphStyle"/>
    <w:autoRedefine/>
    <w:qFormat/>
    <w:rsid w:val="00244416"/>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244416"/>
    <w:rPr>
      <w:i/>
    </w:rPr>
  </w:style>
  <w:style w:type="paragraph" w:customStyle="1" w:styleId="DocTitle-1">
    <w:name w:val="Doc Title - 1"/>
    <w:basedOn w:val="NoParagraphStyle"/>
    <w:uiPriority w:val="99"/>
    <w:rsid w:val="00244416"/>
    <w:pPr>
      <w:suppressAutoHyphens/>
      <w:spacing w:after="181" w:line="1240" w:lineRule="atLeast"/>
    </w:pPr>
    <w:rPr>
      <w:rFonts w:ascii="Arial-BoldMT" w:hAnsi="Arial-BoldMT" w:cs="Arial-BoldMT"/>
      <w:caps w:val="0"/>
      <w:color w:val="FFFFFF"/>
      <w:spacing w:val="-10"/>
      <w:sz w:val="98"/>
      <w:szCs w:val="98"/>
    </w:rPr>
  </w:style>
  <w:style w:type="paragraph" w:customStyle="1" w:styleId="DocTitle-3tier">
    <w:name w:val="Doc Title - 3 tier"/>
    <w:basedOn w:val="NoParagraphStyle"/>
    <w:uiPriority w:val="99"/>
    <w:rsid w:val="00244416"/>
    <w:pPr>
      <w:suppressAutoHyphens/>
      <w:spacing w:after="80" w:line="640" w:lineRule="atLeast"/>
    </w:pPr>
    <w:rPr>
      <w:rFonts w:ascii="Arial-BoldMT" w:hAnsi="Arial-BoldMT" w:cs="Arial-BoldMT"/>
      <w:color w:val="FFFFFF"/>
      <w:spacing w:val="2"/>
    </w:rPr>
  </w:style>
  <w:style w:type="paragraph" w:customStyle="1" w:styleId="H0ChapterTitle">
    <w:name w:val="H0 Chapter Title"/>
    <w:basedOn w:val="NoParagraphStyle"/>
    <w:uiPriority w:val="99"/>
    <w:rsid w:val="00244416"/>
    <w:pPr>
      <w:suppressAutoHyphens/>
      <w:spacing w:after="850" w:line="480" w:lineRule="atLeast"/>
    </w:pPr>
    <w:rPr>
      <w:rFonts w:ascii="Arial-Black" w:hAnsi="Arial-Black" w:cs="Arial-Black"/>
      <w:b w:val="0"/>
      <w:bCs w:val="0"/>
      <w:caps w:val="0"/>
      <w:color w:val="000000"/>
      <w:sz w:val="36"/>
      <w:szCs w:val="36"/>
    </w:rPr>
  </w:style>
  <w:style w:type="paragraph" w:customStyle="1" w:styleId="Bodycopy">
    <w:name w:val="Body copy"/>
    <w:basedOn w:val="NoParagraphStyle"/>
    <w:uiPriority w:val="99"/>
    <w:rsid w:val="00244416"/>
    <w:pPr>
      <w:suppressAutoHyphens/>
      <w:spacing w:before="142" w:line="290" w:lineRule="atLeast"/>
    </w:pPr>
    <w:rPr>
      <w:rFonts w:ascii="ArialMT" w:hAnsi="ArialMT" w:cs="ArialMT"/>
      <w:b w:val="0"/>
      <w:bCs w:val="0"/>
      <w:caps w:val="0"/>
      <w:color w:val="000000"/>
      <w:sz w:val="20"/>
      <w:szCs w:val="20"/>
    </w:rPr>
  </w:style>
  <w:style w:type="paragraph" w:customStyle="1" w:styleId="H1Bodycopyheader">
    <w:name w:val="H1 Body copy header"/>
    <w:basedOn w:val="NoParagraphStyle"/>
    <w:uiPriority w:val="99"/>
    <w:rsid w:val="00244416"/>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244416"/>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244416"/>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244416"/>
    <w:pPr>
      <w:spacing w:after="57"/>
    </w:pPr>
  </w:style>
  <w:style w:type="paragraph" w:customStyle="1" w:styleId="FigSPACE">
    <w:name w:val="Fig SPACE"/>
    <w:basedOn w:val="NoParagraphStyle"/>
    <w:uiPriority w:val="99"/>
    <w:rsid w:val="00244416"/>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244416"/>
    <w:pPr>
      <w:suppressAutoHyphens/>
      <w:spacing w:before="85"/>
    </w:pPr>
    <w:rPr>
      <w:rFonts w:ascii="ArialMT" w:hAnsi="ArialMT" w:cs="ArialMT"/>
      <w:b w:val="0"/>
      <w:bCs w:val="0"/>
      <w:caps w:val="0"/>
      <w:color w:val="000000"/>
      <w:sz w:val="17"/>
      <w:szCs w:val="17"/>
    </w:rPr>
  </w:style>
  <w:style w:type="paragraph" w:customStyle="1" w:styleId="TablecolumnheadCENTRETABLES">
    <w:name w:val="Table column head CENTRE (TABLES)"/>
    <w:basedOn w:val="TableTextTABLES"/>
    <w:uiPriority w:val="99"/>
    <w:rsid w:val="00244416"/>
    <w:pPr>
      <w:spacing w:before="0" w:line="240" w:lineRule="auto"/>
      <w:jc w:val="center"/>
    </w:pPr>
    <w:rPr>
      <w:rFonts w:ascii="Arial Black" w:hAnsi="Arial Black" w:cs="Arial-BoldMT"/>
      <w:bCs/>
    </w:rPr>
  </w:style>
  <w:style w:type="paragraph" w:customStyle="1" w:styleId="Footnote">
    <w:name w:val="Footnote"/>
    <w:basedOn w:val="NoParagraphStyle"/>
    <w:uiPriority w:val="99"/>
    <w:rsid w:val="00244416"/>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244416"/>
  </w:style>
  <w:style w:type="paragraph" w:customStyle="1" w:styleId="TabletotalTABLES">
    <w:name w:val="Table total (TABLES)"/>
    <w:basedOn w:val="TableTextTABLES"/>
    <w:uiPriority w:val="99"/>
    <w:rsid w:val="00244416"/>
    <w:rPr>
      <w:rFonts w:ascii="Arial-BoldMT" w:hAnsi="Arial-BoldMT" w:cs="Arial-BoldMT"/>
      <w:b/>
      <w:bCs/>
    </w:rPr>
  </w:style>
  <w:style w:type="paragraph" w:customStyle="1" w:styleId="TablefooterTABLES">
    <w:name w:val="Table footer (TABLES)"/>
    <w:basedOn w:val="TableTextTABLES"/>
    <w:uiPriority w:val="99"/>
    <w:rsid w:val="00244416"/>
    <w:pPr>
      <w:tabs>
        <w:tab w:val="left" w:pos="227"/>
      </w:tabs>
      <w:spacing w:before="28"/>
    </w:pPr>
    <w:rPr>
      <w:sz w:val="14"/>
      <w:szCs w:val="14"/>
    </w:rPr>
  </w:style>
  <w:style w:type="paragraph" w:customStyle="1" w:styleId="Tablecolumnhead2TABLES">
    <w:name w:val="Table column head 2 (TABLES)"/>
    <w:basedOn w:val="TablecolumnheadCENTRETABLES"/>
    <w:uiPriority w:val="99"/>
    <w:rsid w:val="00244416"/>
    <w:pPr>
      <w:jc w:val="left"/>
    </w:pPr>
  </w:style>
  <w:style w:type="character" w:customStyle="1" w:styleId="AtleticoMED">
    <w:name w:val="Atletico MED"/>
    <w:uiPriority w:val="99"/>
    <w:rsid w:val="00244416"/>
  </w:style>
  <w:style w:type="paragraph" w:customStyle="1" w:styleId="ListingsContents">
    <w:name w:val="Listings (Contents)"/>
    <w:basedOn w:val="NoParagraphStyle"/>
    <w:uiPriority w:val="99"/>
    <w:rsid w:val="00244416"/>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244416"/>
  </w:style>
  <w:style w:type="paragraph" w:customStyle="1" w:styleId="Bullettier1">
    <w:name w:val="Bullet tier 1"/>
    <w:basedOn w:val="Normal"/>
    <w:uiPriority w:val="99"/>
    <w:rsid w:val="00244416"/>
    <w:pPr>
      <w:widowControl w:val="0"/>
      <w:tabs>
        <w:tab w:val="left" w:pos="170"/>
      </w:tabs>
      <w:suppressAutoHyphens/>
      <w:autoSpaceDE w:val="0"/>
      <w:autoSpaceDN w:val="0"/>
      <w:adjustRightInd w:val="0"/>
      <w:spacing w:before="40"/>
      <w:ind w:left="170" w:hanging="170"/>
      <w:textAlignment w:val="center"/>
    </w:pPr>
    <w:rPr>
      <w:rFonts w:ascii="ArialMT" w:eastAsiaTheme="minorEastAsia" w:hAnsi="ArialMT" w:cs="ArialMT"/>
      <w:color w:val="000000"/>
      <w:sz w:val="17"/>
      <w:szCs w:val="17"/>
      <w:lang w:val="en-GB"/>
    </w:rPr>
  </w:style>
  <w:style w:type="character" w:customStyle="1" w:styleId="Superscript">
    <w:name w:val="Superscript"/>
    <w:uiPriority w:val="99"/>
    <w:rsid w:val="00244416"/>
    <w:rPr>
      <w:vertAlign w:val="superscript"/>
    </w:rPr>
  </w:style>
  <w:style w:type="paragraph" w:customStyle="1" w:styleId="TableBULLETTABLES">
    <w:name w:val="Table BULLET (TABLES)"/>
    <w:basedOn w:val="TableTextTABLES"/>
    <w:uiPriority w:val="99"/>
    <w:rsid w:val="00244416"/>
    <w:pPr>
      <w:tabs>
        <w:tab w:val="left" w:pos="170"/>
      </w:tabs>
      <w:spacing w:before="57"/>
      <w:ind w:left="170" w:hanging="170"/>
    </w:pPr>
  </w:style>
  <w:style w:type="character" w:customStyle="1" w:styleId="Aunderline">
    <w:name w:val="A underline"/>
    <w:uiPriority w:val="99"/>
    <w:rsid w:val="00244416"/>
    <w:rPr>
      <w:u w:val="thick"/>
    </w:rPr>
  </w:style>
  <w:style w:type="character" w:customStyle="1" w:styleId="Aitalic">
    <w:name w:val="A italic"/>
    <w:uiPriority w:val="99"/>
    <w:rsid w:val="00244416"/>
  </w:style>
  <w:style w:type="paragraph" w:customStyle="1" w:styleId="TableTEXTAPPXTABLES">
    <w:name w:val="Table TEXT APPX (TABLES)"/>
    <w:basedOn w:val="TableTextTABLES"/>
    <w:uiPriority w:val="99"/>
    <w:rsid w:val="00244416"/>
    <w:pPr>
      <w:tabs>
        <w:tab w:val="left" w:pos="283"/>
      </w:tabs>
      <w:spacing w:before="43"/>
    </w:pPr>
  </w:style>
  <w:style w:type="paragraph" w:customStyle="1" w:styleId="Footerrunning">
    <w:name w:val="Footer (running)"/>
    <w:basedOn w:val="NoParagraphStyle"/>
    <w:uiPriority w:val="99"/>
    <w:rsid w:val="00244416"/>
    <w:pPr>
      <w:suppressAutoHyphens/>
      <w:spacing w:after="80"/>
    </w:pPr>
    <w:rPr>
      <w:rFonts w:ascii="ArialMT" w:hAnsi="ArialMT" w:cs="ArialMT"/>
      <w:b w:val="0"/>
      <w:bCs w:val="0"/>
      <w:caps w:val="0"/>
      <w:color w:val="000000"/>
      <w:spacing w:val="1"/>
      <w:sz w:val="18"/>
      <w:szCs w:val="18"/>
    </w:rPr>
  </w:style>
  <w:style w:type="character" w:customStyle="1" w:styleId="KlavikaREGDKgreen">
    <w:name w:val="Klavika REG DK green"/>
    <w:uiPriority w:val="99"/>
    <w:rsid w:val="00244416"/>
    <w:rPr>
      <w:color w:val="000000"/>
    </w:rPr>
  </w:style>
  <w:style w:type="paragraph" w:customStyle="1" w:styleId="H2Bodycopyheader">
    <w:name w:val="H2 Body copy header"/>
    <w:basedOn w:val="NoParagraphStyle"/>
    <w:uiPriority w:val="99"/>
    <w:rsid w:val="00244416"/>
    <w:pPr>
      <w:keepNext/>
      <w:keepLines/>
      <w:tabs>
        <w:tab w:val="left" w:pos="567"/>
      </w:tabs>
      <w:suppressAutoHyphens/>
      <w:spacing w:before="227"/>
      <w:ind w:left="567" w:hanging="567"/>
    </w:pPr>
    <w:rPr>
      <w:rFonts w:ascii="Arial-BoldMT" w:hAnsi="Arial-BoldMT" w:cs="Arial-BoldMT"/>
      <w:caps w:val="0"/>
      <w:color w:val="000000"/>
      <w:sz w:val="22"/>
      <w:szCs w:val="22"/>
    </w:rPr>
  </w:style>
  <w:style w:type="paragraph" w:customStyle="1" w:styleId="TableTABLES">
    <w:name w:val="Table # (TABLES)"/>
    <w:basedOn w:val="TableTextTABLES"/>
    <w:uiPriority w:val="99"/>
    <w:rsid w:val="00244416"/>
    <w:pPr>
      <w:spacing w:before="28"/>
    </w:pPr>
  </w:style>
  <w:style w:type="paragraph" w:customStyle="1" w:styleId="DocumentTitle1">
    <w:name w:val="Document Title 1"/>
    <w:basedOn w:val="NoParagraphStyle"/>
    <w:uiPriority w:val="99"/>
    <w:rsid w:val="00244416"/>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244416"/>
    <w:pPr>
      <w:suppressAutoHyphens/>
      <w:spacing w:after="80" w:line="640" w:lineRule="atLeast"/>
    </w:pPr>
    <w:rPr>
      <w:rFonts w:ascii="ArialMT" w:hAnsi="ArialMT" w:cs="ArialMT"/>
      <w:b w:val="0"/>
      <w:bCs w:val="0"/>
      <w:color w:val="000000"/>
      <w:spacing w:val="2"/>
    </w:rPr>
  </w:style>
  <w:style w:type="paragraph" w:customStyle="1" w:styleId="DocumentTitle2">
    <w:name w:val="Document Title 2"/>
    <w:basedOn w:val="Normal"/>
    <w:qFormat/>
    <w:rsid w:val="00244416"/>
    <w:rPr>
      <w:rFonts w:ascii="ArialMT" w:eastAsiaTheme="minorEastAsia" w:hAnsi="ArialMT" w:cs="ArialMT"/>
      <w:bCs/>
      <w:color w:val="000000"/>
      <w:sz w:val="48"/>
      <w:szCs w:val="48"/>
      <w:lang w:val="en-US"/>
    </w:rPr>
  </w:style>
  <w:style w:type="paragraph" w:customStyle="1" w:styleId="Tabletitle">
    <w:name w:val="Table title"/>
    <w:basedOn w:val="Normal"/>
    <w:qFormat/>
    <w:rsid w:val="00244416"/>
    <w:pPr>
      <w:keepNext/>
      <w:widowControl w:val="0"/>
      <w:suppressAutoHyphens/>
      <w:autoSpaceDE w:val="0"/>
      <w:autoSpaceDN w:val="0"/>
      <w:adjustRightInd w:val="0"/>
      <w:spacing w:before="240" w:after="120"/>
      <w:textAlignment w:val="center"/>
    </w:pPr>
    <w:rPr>
      <w:rFonts w:ascii="ArialMT" w:eastAsiaTheme="minorEastAsia" w:hAnsi="ArialMT" w:cs="ArialMT"/>
      <w:b/>
      <w:szCs w:val="20"/>
      <w:lang w:val="en-GB"/>
    </w:rPr>
  </w:style>
  <w:style w:type="character" w:customStyle="1" w:styleId="TabletextBOLD">
    <w:name w:val="Table text BOLD"/>
    <w:basedOn w:val="DefaultParagraphFont"/>
    <w:uiPriority w:val="1"/>
    <w:qFormat/>
    <w:rsid w:val="00244416"/>
    <w:rPr>
      <w:rFonts w:ascii="Arial" w:hAnsi="Arial" w:cs="Arial-BoldMT"/>
      <w:b/>
      <w:bCs/>
      <w:i w:val="0"/>
      <w:color w:val="000000"/>
      <w:sz w:val="17"/>
      <w:szCs w:val="17"/>
      <w:lang w:val="en-GB"/>
    </w:rPr>
  </w:style>
  <w:style w:type="paragraph" w:styleId="TOC4">
    <w:name w:val="toc 4"/>
    <w:basedOn w:val="Normal"/>
    <w:next w:val="Normal"/>
    <w:autoRedefine/>
    <w:uiPriority w:val="39"/>
    <w:unhideWhenUsed/>
    <w:rsid w:val="00244416"/>
    <w:pPr>
      <w:pBdr>
        <w:between w:val="double" w:sz="6" w:space="0" w:color="auto"/>
      </w:pBdr>
      <w:ind w:left="480"/>
    </w:pPr>
    <w:rPr>
      <w:rFonts w:eastAsiaTheme="minorEastAsia"/>
      <w:szCs w:val="20"/>
      <w:lang w:val="en-US"/>
    </w:rPr>
  </w:style>
  <w:style w:type="paragraph" w:styleId="TOC5">
    <w:name w:val="toc 5"/>
    <w:basedOn w:val="Normal"/>
    <w:next w:val="Normal"/>
    <w:autoRedefine/>
    <w:uiPriority w:val="39"/>
    <w:unhideWhenUsed/>
    <w:rsid w:val="00244416"/>
    <w:pPr>
      <w:pBdr>
        <w:between w:val="double" w:sz="6" w:space="0" w:color="auto"/>
      </w:pBdr>
      <w:ind w:left="720"/>
    </w:pPr>
    <w:rPr>
      <w:rFonts w:eastAsiaTheme="minorEastAsia"/>
      <w:szCs w:val="20"/>
      <w:lang w:val="en-US"/>
    </w:rPr>
  </w:style>
  <w:style w:type="paragraph" w:styleId="TOC6">
    <w:name w:val="toc 6"/>
    <w:basedOn w:val="Normal"/>
    <w:next w:val="Normal"/>
    <w:autoRedefine/>
    <w:uiPriority w:val="39"/>
    <w:unhideWhenUsed/>
    <w:rsid w:val="00244416"/>
    <w:pPr>
      <w:pBdr>
        <w:between w:val="double" w:sz="6" w:space="0" w:color="auto"/>
      </w:pBdr>
      <w:ind w:left="960"/>
    </w:pPr>
    <w:rPr>
      <w:rFonts w:eastAsiaTheme="minorEastAsia"/>
      <w:szCs w:val="20"/>
      <w:lang w:val="en-US"/>
    </w:rPr>
  </w:style>
  <w:style w:type="paragraph" w:styleId="TOC7">
    <w:name w:val="toc 7"/>
    <w:basedOn w:val="Normal"/>
    <w:next w:val="Normal"/>
    <w:autoRedefine/>
    <w:uiPriority w:val="39"/>
    <w:unhideWhenUsed/>
    <w:rsid w:val="00244416"/>
    <w:pPr>
      <w:pBdr>
        <w:between w:val="double" w:sz="6" w:space="0" w:color="auto"/>
      </w:pBdr>
      <w:ind w:left="1200"/>
    </w:pPr>
    <w:rPr>
      <w:rFonts w:eastAsiaTheme="minorEastAsia"/>
      <w:szCs w:val="20"/>
      <w:lang w:val="en-US"/>
    </w:rPr>
  </w:style>
  <w:style w:type="paragraph" w:styleId="TOC8">
    <w:name w:val="toc 8"/>
    <w:basedOn w:val="Normal"/>
    <w:next w:val="Normal"/>
    <w:autoRedefine/>
    <w:uiPriority w:val="39"/>
    <w:unhideWhenUsed/>
    <w:rsid w:val="00244416"/>
    <w:pPr>
      <w:pBdr>
        <w:between w:val="double" w:sz="6" w:space="0" w:color="auto"/>
      </w:pBdr>
      <w:ind w:left="1440"/>
    </w:pPr>
    <w:rPr>
      <w:rFonts w:eastAsiaTheme="minorEastAsia"/>
      <w:szCs w:val="20"/>
      <w:lang w:val="en-US"/>
    </w:rPr>
  </w:style>
  <w:style w:type="paragraph" w:styleId="TOC9">
    <w:name w:val="toc 9"/>
    <w:basedOn w:val="Normal"/>
    <w:next w:val="Normal"/>
    <w:autoRedefine/>
    <w:uiPriority w:val="39"/>
    <w:unhideWhenUsed/>
    <w:rsid w:val="00244416"/>
    <w:pPr>
      <w:pBdr>
        <w:between w:val="double" w:sz="6" w:space="0" w:color="auto"/>
      </w:pBdr>
      <w:ind w:left="1680"/>
    </w:pPr>
    <w:rPr>
      <w:rFonts w:eastAsiaTheme="minorEastAsia"/>
      <w:szCs w:val="20"/>
      <w:lang w:val="en-US"/>
    </w:rPr>
  </w:style>
  <w:style w:type="paragraph" w:customStyle="1" w:styleId="TablecolumnheadTABLES">
    <w:name w:val="Table column head (TABLES)"/>
    <w:basedOn w:val="TableTextTABLES"/>
    <w:uiPriority w:val="99"/>
    <w:rsid w:val="00244416"/>
    <w:pPr>
      <w:tabs>
        <w:tab w:val="left" w:pos="227"/>
      </w:tabs>
      <w:spacing w:before="57"/>
      <w:jc w:val="center"/>
    </w:pPr>
    <w:rPr>
      <w:rFonts w:ascii="Atletico-Medium" w:hAnsi="Atletico-Medium" w:cs="Atletico-Medium"/>
    </w:rPr>
  </w:style>
  <w:style w:type="character" w:customStyle="1" w:styleId="apple-converted-space">
    <w:name w:val="apple-converted-space"/>
    <w:basedOn w:val="DefaultParagraphFont"/>
    <w:rsid w:val="00244416"/>
  </w:style>
  <w:style w:type="paragraph" w:customStyle="1" w:styleId="TableTextC">
    <w:name w:val="Table Text C"/>
    <w:basedOn w:val="TableTextTABLES"/>
    <w:qFormat/>
    <w:rsid w:val="00244416"/>
    <w:pPr>
      <w:jc w:val="center"/>
    </w:pPr>
  </w:style>
  <w:style w:type="paragraph" w:styleId="BalloonText">
    <w:name w:val="Balloon Text"/>
    <w:basedOn w:val="Normal"/>
    <w:link w:val="BalloonTextChar"/>
    <w:uiPriority w:val="99"/>
    <w:semiHidden/>
    <w:unhideWhenUsed/>
    <w:rsid w:val="00244416"/>
    <w:rPr>
      <w:rFonts w:ascii="Times New Roman" w:eastAsiaTheme="minorEastAsia" w:hAnsi="Times New Roman" w:cs="Times New Roman"/>
      <w:sz w:val="18"/>
      <w:lang w:val="en-US"/>
    </w:rPr>
  </w:style>
  <w:style w:type="character" w:customStyle="1" w:styleId="BalloonTextChar">
    <w:name w:val="Balloon Text Char"/>
    <w:basedOn w:val="DefaultParagraphFont"/>
    <w:link w:val="BalloonText"/>
    <w:uiPriority w:val="99"/>
    <w:semiHidden/>
    <w:rsid w:val="00244416"/>
    <w:rPr>
      <w:rFonts w:ascii="Times New Roman" w:eastAsiaTheme="minorEastAsia" w:hAnsi="Times New Roman" w:cs="Times New Roman"/>
      <w:lang w:val="en-US"/>
    </w:rPr>
  </w:style>
  <w:style w:type="table" w:customStyle="1" w:styleId="QILTTableStylePH">
    <w:name w:val="QILT Table Style PH"/>
    <w:basedOn w:val="TableNormal"/>
    <w:uiPriority w:val="99"/>
    <w:rsid w:val="00244416"/>
    <w:pPr>
      <w:spacing w:before="0" w:after="0"/>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QNameText">
    <w:name w:val="Q Name &amp; Text"/>
    <w:basedOn w:val="Normal"/>
    <w:next w:val="Normal"/>
    <w:qFormat/>
    <w:rsid w:val="00244416"/>
    <w:pPr>
      <w:spacing w:after="120"/>
      <w:ind w:left="1134" w:hanging="1134"/>
    </w:pPr>
    <w:rPr>
      <w:szCs w:val="22"/>
    </w:rPr>
  </w:style>
  <w:style w:type="paragraph" w:customStyle="1" w:styleId="BaseDescription">
    <w:name w:val="Base Description"/>
    <w:basedOn w:val="Normal"/>
    <w:next w:val="Normal"/>
    <w:qFormat/>
    <w:rsid w:val="00244416"/>
    <w:pPr>
      <w:spacing w:before="120"/>
      <w:ind w:left="1134" w:hanging="1134"/>
    </w:pPr>
    <w:rPr>
      <w:szCs w:val="22"/>
    </w:rPr>
  </w:style>
  <w:style w:type="character" w:customStyle="1" w:styleId="s1">
    <w:name w:val="s1"/>
    <w:basedOn w:val="DefaultParagraphFont"/>
    <w:rsid w:val="00244416"/>
    <w:rPr>
      <w:spacing w:val="-2"/>
    </w:rPr>
  </w:style>
  <w:style w:type="character" w:customStyle="1" w:styleId="s2">
    <w:name w:val="s2"/>
    <w:basedOn w:val="DefaultParagraphFont"/>
    <w:rsid w:val="00244416"/>
    <w:rPr>
      <w:spacing w:val="-3"/>
    </w:rPr>
  </w:style>
  <w:style w:type="character" w:styleId="FollowedHyperlink">
    <w:name w:val="FollowedHyperlink"/>
    <w:basedOn w:val="DefaultParagraphFont"/>
    <w:uiPriority w:val="99"/>
    <w:semiHidden/>
    <w:unhideWhenUsed/>
    <w:rsid w:val="00244416"/>
    <w:rPr>
      <w:color w:val="4B7CCA" w:themeColor="followedHyperlink"/>
      <w:u w:val="single"/>
    </w:rPr>
  </w:style>
  <w:style w:type="paragraph" w:customStyle="1" w:styleId="1ResponseFrame">
    <w:name w:val="1. Response Frame"/>
    <w:basedOn w:val="Normal"/>
    <w:qFormat/>
    <w:rsid w:val="00244416"/>
    <w:pPr>
      <w:ind w:left="1701" w:hanging="567"/>
    </w:pPr>
    <w:rPr>
      <w:rFonts w:cs="Arial"/>
      <w:szCs w:val="20"/>
    </w:rPr>
  </w:style>
  <w:style w:type="paragraph" w:customStyle="1" w:styleId="Heading71">
    <w:name w:val="Heading 71"/>
    <w:basedOn w:val="Normal"/>
    <w:next w:val="Normal"/>
    <w:uiPriority w:val="9"/>
    <w:unhideWhenUsed/>
    <w:rsid w:val="00244416"/>
    <w:pPr>
      <w:keepNext/>
      <w:keepLines/>
      <w:spacing w:before="40"/>
      <w:outlineLvl w:val="6"/>
    </w:pPr>
    <w:rPr>
      <w:rFonts w:eastAsia="Times New Roman" w:cs="Arial"/>
      <w:i/>
      <w:iCs/>
      <w:color w:val="1F688D"/>
      <w:szCs w:val="22"/>
    </w:rPr>
  </w:style>
  <w:style w:type="paragraph" w:customStyle="1" w:styleId="CentreSubHeading2">
    <w:name w:val="Centre Sub Heading 2"/>
    <w:basedOn w:val="Normal"/>
    <w:next w:val="Normal"/>
    <w:rsid w:val="00244416"/>
    <w:pPr>
      <w:tabs>
        <w:tab w:val="center" w:pos="4678"/>
      </w:tabs>
      <w:spacing w:after="60" w:line="300" w:lineRule="auto"/>
      <w:jc w:val="center"/>
    </w:pPr>
    <w:rPr>
      <w:rFonts w:ascii="Arial Bold" w:eastAsia="Calibri" w:hAnsi="Arial Bold" w:cs="Arial"/>
      <w:b/>
      <w:color w:val="1F688D"/>
      <w:sz w:val="22"/>
      <w:szCs w:val="22"/>
    </w:rPr>
  </w:style>
  <w:style w:type="paragraph" w:customStyle="1" w:styleId="FigureNote">
    <w:name w:val="Figure Note"/>
    <w:basedOn w:val="Normal"/>
    <w:link w:val="FigureNoteChar"/>
    <w:qFormat/>
    <w:rsid w:val="00244416"/>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244416"/>
    <w:rPr>
      <w:rFonts w:ascii="Arial" w:eastAsia="Calibri" w:hAnsi="Arial" w:cs="Times New Roman"/>
      <w:sz w:val="16"/>
      <w:szCs w:val="22"/>
      <w:lang w:val="en-GB"/>
    </w:rPr>
  </w:style>
  <w:style w:type="paragraph" w:customStyle="1" w:styleId="Quote1">
    <w:name w:val="Quote1"/>
    <w:basedOn w:val="Normal"/>
    <w:next w:val="Normal"/>
    <w:uiPriority w:val="29"/>
    <w:qFormat/>
    <w:rsid w:val="00244416"/>
    <w:pPr>
      <w:spacing w:before="120" w:after="120" w:line="300" w:lineRule="auto"/>
      <w:ind w:left="567" w:right="567"/>
    </w:pPr>
    <w:rPr>
      <w:rFonts w:eastAsia="Calibri"/>
      <w:i/>
      <w:iCs/>
      <w:color w:val="404040"/>
      <w:szCs w:val="22"/>
    </w:rPr>
  </w:style>
  <w:style w:type="paragraph" w:customStyle="1" w:styleId="Subtitle1">
    <w:name w:val="Subtitle1"/>
    <w:basedOn w:val="Title"/>
    <w:next w:val="Body"/>
    <w:uiPriority w:val="11"/>
    <w:qFormat/>
    <w:rsid w:val="00244416"/>
    <w:pPr>
      <w:ind w:left="0"/>
    </w:pPr>
    <w:rPr>
      <w:rFonts w:eastAsiaTheme="minorEastAsia" w:cstheme="minorBidi"/>
      <w:b/>
      <w:color w:val="000000"/>
      <w:sz w:val="44"/>
      <w:szCs w:val="44"/>
      <w:lang w:val="en-US"/>
    </w:rPr>
  </w:style>
  <w:style w:type="table" w:customStyle="1" w:styleId="SRC21">
    <w:name w:val="SRC 21"/>
    <w:basedOn w:val="TableNormal"/>
    <w:next w:val="TableGrid"/>
    <w:uiPriority w:val="39"/>
    <w:rsid w:val="00244416"/>
    <w:pPr>
      <w:spacing w:before="0" w:after="0"/>
    </w:pPr>
    <w:rPr>
      <w:rFonts w:ascii="Arial" w:eastAsia="Calibri" w:hAnsi="Arial"/>
      <w:szCs w:val="22"/>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
    <w:name w:val="List Table 4 - Accent 51"/>
    <w:basedOn w:val="TableNormal"/>
    <w:next w:val="ListTable4-Accent5"/>
    <w:uiPriority w:val="49"/>
    <w:rsid w:val="00244416"/>
    <w:pPr>
      <w:spacing w:before="0" w:after="0"/>
    </w:pPr>
    <w:rPr>
      <w:rFonts w:eastAsia="Calibri"/>
      <w:sz w:val="22"/>
      <w:szCs w:val="22"/>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1">
    <w:name w:val="Grid Table 2 - Accent 11"/>
    <w:basedOn w:val="TableNormal"/>
    <w:next w:val="GridTable2-Accent1"/>
    <w:uiPriority w:val="47"/>
    <w:rsid w:val="00244416"/>
    <w:pPr>
      <w:spacing w:before="0" w:after="0"/>
    </w:pPr>
    <w:rPr>
      <w:rFonts w:eastAsia="Calibri"/>
      <w:sz w:val="22"/>
      <w:szCs w:val="22"/>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1">
    <w:name w:val="Grid Table 2 - Accent 21"/>
    <w:basedOn w:val="TableNormal"/>
    <w:next w:val="GridTable2-Accent2"/>
    <w:uiPriority w:val="47"/>
    <w:rsid w:val="00244416"/>
    <w:pPr>
      <w:spacing w:before="0" w:after="0"/>
    </w:pPr>
    <w:rPr>
      <w:rFonts w:eastAsia="Calibri"/>
      <w:sz w:val="22"/>
      <w:szCs w:val="22"/>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1">
    <w:name w:val="Grid Table 2 - Accent 31"/>
    <w:basedOn w:val="TableNormal"/>
    <w:next w:val="GridTable2-Accent3"/>
    <w:uiPriority w:val="47"/>
    <w:rsid w:val="00244416"/>
    <w:pPr>
      <w:spacing w:before="0" w:after="0"/>
    </w:pPr>
    <w:rPr>
      <w:rFonts w:eastAsia="Calibri"/>
      <w:sz w:val="22"/>
      <w:szCs w:val="22"/>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1">
    <w:name w:val="Grid Table 3 - Accent 11"/>
    <w:basedOn w:val="TableNormal"/>
    <w:next w:val="GridTable3-Accent1"/>
    <w:uiPriority w:val="48"/>
    <w:rsid w:val="00244416"/>
    <w:pPr>
      <w:spacing w:before="0" w:after="0"/>
    </w:pPr>
    <w:rPr>
      <w:rFonts w:eastAsia="Calibri"/>
      <w:sz w:val="22"/>
      <w:szCs w:val="22"/>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1">
    <w:name w:val="Grid Table 3 - Accent 21"/>
    <w:basedOn w:val="TableNormal"/>
    <w:next w:val="GridTable3-Accent2"/>
    <w:uiPriority w:val="48"/>
    <w:rsid w:val="00244416"/>
    <w:pPr>
      <w:spacing w:before="0" w:after="0"/>
    </w:pPr>
    <w:rPr>
      <w:rFonts w:eastAsia="Calibri"/>
      <w:sz w:val="22"/>
      <w:szCs w:val="22"/>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1">
    <w:name w:val="Grid Table 3 - Accent 61"/>
    <w:basedOn w:val="TableNormal"/>
    <w:next w:val="GridTable3-Accent6"/>
    <w:uiPriority w:val="48"/>
    <w:rsid w:val="00244416"/>
    <w:pPr>
      <w:spacing w:before="0" w:after="0"/>
    </w:pPr>
    <w:rPr>
      <w:rFonts w:eastAsia="Calibri"/>
      <w:sz w:val="22"/>
      <w:szCs w:val="22"/>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1">
    <w:name w:val="Grid Table 4 - Accent 21"/>
    <w:basedOn w:val="TableNormal"/>
    <w:next w:val="GridTable4-Accent2"/>
    <w:uiPriority w:val="49"/>
    <w:rsid w:val="00244416"/>
    <w:pPr>
      <w:spacing w:before="0" w:after="0"/>
    </w:pPr>
    <w:rPr>
      <w:rFonts w:eastAsia="Calibri"/>
      <w:sz w:val="22"/>
      <w:szCs w:val="22"/>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1">
    <w:name w:val="Table Grid Light1"/>
    <w:basedOn w:val="TableNormal"/>
    <w:next w:val="TableGridLight"/>
    <w:uiPriority w:val="40"/>
    <w:rsid w:val="00244416"/>
    <w:pPr>
      <w:spacing w:before="0" w:after="0"/>
    </w:pPr>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1">
    <w:name w:val="List Table 4 - Accent 21"/>
    <w:basedOn w:val="TableNormal"/>
    <w:next w:val="ListTable4-Accent2"/>
    <w:uiPriority w:val="49"/>
    <w:rsid w:val="00244416"/>
    <w:pPr>
      <w:spacing w:before="0" w:after="0"/>
    </w:pPr>
    <w:rPr>
      <w:rFonts w:eastAsia="Calibri"/>
      <w:sz w:val="22"/>
      <w:szCs w:val="22"/>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ListTable4-Accent11">
    <w:name w:val="List Table 4 - Accent 11"/>
    <w:basedOn w:val="TableNormal"/>
    <w:next w:val="ListTable4-Accent1"/>
    <w:uiPriority w:val="49"/>
    <w:rsid w:val="00244416"/>
    <w:pPr>
      <w:spacing w:before="0" w:after="0"/>
    </w:pPr>
    <w:rPr>
      <w:rFonts w:eastAsia="Calibri"/>
      <w:sz w:val="22"/>
      <w:szCs w:val="22"/>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1">
    <w:name w:val="Grid Table 41"/>
    <w:basedOn w:val="TableNormal"/>
    <w:next w:val="GridTable4"/>
    <w:uiPriority w:val="49"/>
    <w:rsid w:val="00244416"/>
    <w:pPr>
      <w:spacing w:before="0" w:after="0"/>
    </w:pPr>
    <w:rPr>
      <w:rFonts w:eastAsia="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244416"/>
    <w:pPr>
      <w:spacing w:before="0" w:after="0"/>
    </w:pPr>
    <w:rPr>
      <w:rFonts w:eastAsia="Calibri"/>
      <w:sz w:val="22"/>
      <w:szCs w:val="22"/>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1">
    <w:name w:val="Grid Table 4 - Accent 31"/>
    <w:basedOn w:val="TableNormal"/>
    <w:next w:val="GridTable4-Accent3"/>
    <w:uiPriority w:val="49"/>
    <w:rsid w:val="00244416"/>
    <w:pPr>
      <w:spacing w:before="0" w:after="0"/>
    </w:pPr>
    <w:rPr>
      <w:rFonts w:eastAsia="Calibri"/>
      <w:sz w:val="22"/>
      <w:szCs w:val="22"/>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1">
    <w:name w:val="Grid Table 4 - Accent 41"/>
    <w:basedOn w:val="TableNormal"/>
    <w:next w:val="GridTable4-Accent4"/>
    <w:uiPriority w:val="49"/>
    <w:rsid w:val="00244416"/>
    <w:pPr>
      <w:spacing w:before="0" w:after="0"/>
    </w:pPr>
    <w:rPr>
      <w:rFonts w:eastAsia="Calibri"/>
      <w:sz w:val="22"/>
      <w:szCs w:val="22"/>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1">
    <w:name w:val="Grid Table 4 - Accent 51"/>
    <w:basedOn w:val="TableNormal"/>
    <w:next w:val="GridTable4-Accent5"/>
    <w:uiPriority w:val="49"/>
    <w:rsid w:val="00244416"/>
    <w:pPr>
      <w:spacing w:before="0" w:after="0"/>
    </w:pPr>
    <w:rPr>
      <w:rFonts w:eastAsia="Calibri"/>
      <w:sz w:val="22"/>
      <w:szCs w:val="22"/>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1">
    <w:name w:val="Grid Table 4 - Accent 61"/>
    <w:basedOn w:val="TableNormal"/>
    <w:next w:val="GridTable4-Accent6"/>
    <w:uiPriority w:val="49"/>
    <w:rsid w:val="00244416"/>
    <w:pPr>
      <w:spacing w:before="0" w:after="0"/>
    </w:pPr>
    <w:rPr>
      <w:rFonts w:eastAsia="Calibri"/>
      <w:sz w:val="22"/>
      <w:szCs w:val="22"/>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1">
    <w:name w:val="Grid Table 5 Dark1"/>
    <w:basedOn w:val="TableNormal"/>
    <w:next w:val="GridTable5Dark"/>
    <w:uiPriority w:val="50"/>
    <w:rsid w:val="00244416"/>
    <w:pPr>
      <w:spacing w:before="0" w:after="0"/>
    </w:pPr>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
    <w:name w:val="Grid Table 5 Dark - Accent 21"/>
    <w:basedOn w:val="TableNormal"/>
    <w:next w:val="GridTable5Dark-Accent2"/>
    <w:uiPriority w:val="50"/>
    <w:rsid w:val="00244416"/>
    <w:pPr>
      <w:spacing w:before="0" w:after="0"/>
    </w:pPr>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1">
    <w:name w:val="Grid Table 5 Dark - Accent 31"/>
    <w:basedOn w:val="TableNormal"/>
    <w:next w:val="GridTable5Dark-Accent3"/>
    <w:uiPriority w:val="50"/>
    <w:rsid w:val="00244416"/>
    <w:pPr>
      <w:spacing w:before="0" w:after="0"/>
    </w:pPr>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1">
    <w:name w:val="Grid Table 5 Dark - Accent 41"/>
    <w:basedOn w:val="TableNormal"/>
    <w:next w:val="GridTable5Dark-Accent4"/>
    <w:uiPriority w:val="50"/>
    <w:rsid w:val="00244416"/>
    <w:pPr>
      <w:spacing w:before="0" w:after="0"/>
    </w:pPr>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1">
    <w:name w:val="Grid Table 5 Dark - Accent 51"/>
    <w:basedOn w:val="TableNormal"/>
    <w:next w:val="GridTable5Dark-Accent5"/>
    <w:uiPriority w:val="50"/>
    <w:rsid w:val="00244416"/>
    <w:pPr>
      <w:spacing w:before="0" w:after="0"/>
    </w:pPr>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1">
    <w:name w:val="Grid Table 5 Dark - Accent 61"/>
    <w:basedOn w:val="TableNormal"/>
    <w:next w:val="GridTable5Dark-Accent6"/>
    <w:uiPriority w:val="50"/>
    <w:rsid w:val="00244416"/>
    <w:pPr>
      <w:spacing w:before="0" w:after="0"/>
    </w:pPr>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1">
    <w:name w:val="Grid Table 6 Colorful1"/>
    <w:basedOn w:val="TableNormal"/>
    <w:next w:val="GridTable6Colorful"/>
    <w:uiPriority w:val="51"/>
    <w:rsid w:val="00244416"/>
    <w:pPr>
      <w:spacing w:before="0" w:after="0"/>
    </w:pPr>
    <w:rPr>
      <w:rFonts w:eastAsia="Calibr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next w:val="GridTable6Colorful-Accent1"/>
    <w:uiPriority w:val="51"/>
    <w:rsid w:val="00244416"/>
    <w:pPr>
      <w:spacing w:before="0" w:after="0"/>
    </w:pPr>
    <w:rPr>
      <w:rFonts w:eastAsia="Calibri"/>
      <w:color w:val="174E6A"/>
      <w:sz w:val="22"/>
      <w:szCs w:val="22"/>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1">
    <w:name w:val="Grid Table 6 Colorful - Accent 21"/>
    <w:basedOn w:val="TableNormal"/>
    <w:next w:val="GridTable6Colorful-Accent2"/>
    <w:uiPriority w:val="51"/>
    <w:rsid w:val="00244416"/>
    <w:pPr>
      <w:spacing w:before="0" w:after="0"/>
    </w:pPr>
    <w:rPr>
      <w:rFonts w:eastAsia="Calibri"/>
      <w:color w:val="1E9FD1"/>
      <w:sz w:val="22"/>
      <w:szCs w:val="22"/>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1">
    <w:name w:val="Grid Table 6 Colorful - Accent 31"/>
    <w:basedOn w:val="TableNormal"/>
    <w:next w:val="GridTable6Colorful-Accent3"/>
    <w:uiPriority w:val="51"/>
    <w:rsid w:val="00244416"/>
    <w:pPr>
      <w:spacing w:before="0" w:after="0"/>
    </w:pPr>
    <w:rPr>
      <w:rFonts w:eastAsia="Calibri"/>
      <w:color w:val="5CD0ED"/>
      <w:sz w:val="22"/>
      <w:szCs w:val="22"/>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1">
    <w:name w:val="Grid Table 6 Colorful - Accent 41"/>
    <w:basedOn w:val="TableNormal"/>
    <w:next w:val="GridTable6Colorful-Accent4"/>
    <w:uiPriority w:val="51"/>
    <w:rsid w:val="00244416"/>
    <w:pPr>
      <w:spacing w:before="0" w:after="0"/>
    </w:pPr>
    <w:rPr>
      <w:rFonts w:eastAsia="Calibri"/>
      <w:color w:val="159273"/>
      <w:sz w:val="22"/>
      <w:szCs w:val="22"/>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1">
    <w:name w:val="Grid Table 6 Colorful - Accent 51"/>
    <w:basedOn w:val="TableNormal"/>
    <w:next w:val="GridTable6Colorful-Accent5"/>
    <w:uiPriority w:val="51"/>
    <w:rsid w:val="00244416"/>
    <w:pPr>
      <w:spacing w:before="0" w:after="0"/>
    </w:pPr>
    <w:rPr>
      <w:rFonts w:eastAsia="Calibri"/>
      <w:color w:val="334953"/>
      <w:sz w:val="22"/>
      <w:szCs w:val="22"/>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1">
    <w:name w:val="Grid Table 6 Colorful - Accent 61"/>
    <w:basedOn w:val="TableNormal"/>
    <w:next w:val="GridTable6Colorful-Accent6"/>
    <w:uiPriority w:val="51"/>
    <w:rsid w:val="00244416"/>
    <w:pPr>
      <w:spacing w:before="0" w:after="0"/>
    </w:pPr>
    <w:rPr>
      <w:rFonts w:eastAsia="Calibri"/>
      <w:color w:val="152847"/>
      <w:sz w:val="22"/>
      <w:szCs w:val="22"/>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1">
    <w:name w:val="Grid Table 7 Colorful1"/>
    <w:basedOn w:val="TableNormal"/>
    <w:next w:val="GridTable7Colorful"/>
    <w:uiPriority w:val="52"/>
    <w:rsid w:val="00244416"/>
    <w:pPr>
      <w:spacing w:before="0" w:after="0"/>
    </w:pPr>
    <w:rPr>
      <w:rFonts w:eastAsia="Calibr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next w:val="GridTable7Colorful-Accent1"/>
    <w:uiPriority w:val="52"/>
    <w:rsid w:val="00244416"/>
    <w:pPr>
      <w:spacing w:before="0" w:after="0"/>
    </w:pPr>
    <w:rPr>
      <w:rFonts w:eastAsia="Calibri"/>
      <w:color w:val="174E6A"/>
      <w:sz w:val="22"/>
      <w:szCs w:val="22"/>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1">
    <w:name w:val="Grid Table 7 Colorful - Accent 21"/>
    <w:basedOn w:val="TableNormal"/>
    <w:next w:val="GridTable7Colorful-Accent2"/>
    <w:uiPriority w:val="52"/>
    <w:rsid w:val="00244416"/>
    <w:pPr>
      <w:spacing w:before="0" w:after="0"/>
    </w:pPr>
    <w:rPr>
      <w:rFonts w:eastAsia="Calibri"/>
      <w:color w:val="1E9FD1"/>
      <w:sz w:val="22"/>
      <w:szCs w:val="22"/>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1">
    <w:name w:val="Grid Table 7 Colorful - Accent 31"/>
    <w:basedOn w:val="TableNormal"/>
    <w:next w:val="GridTable7Colorful-Accent3"/>
    <w:uiPriority w:val="52"/>
    <w:rsid w:val="00244416"/>
    <w:pPr>
      <w:spacing w:before="0" w:after="0"/>
    </w:pPr>
    <w:rPr>
      <w:rFonts w:eastAsia="Calibri"/>
      <w:color w:val="5CD0ED"/>
      <w:sz w:val="22"/>
      <w:szCs w:val="22"/>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1">
    <w:name w:val="Grid Table 7 Colorful - Accent 41"/>
    <w:basedOn w:val="TableNormal"/>
    <w:next w:val="GridTable7Colorful-Accent4"/>
    <w:uiPriority w:val="52"/>
    <w:rsid w:val="00244416"/>
    <w:pPr>
      <w:spacing w:before="0" w:after="0"/>
    </w:pPr>
    <w:rPr>
      <w:rFonts w:eastAsia="Calibri"/>
      <w:color w:val="159273"/>
      <w:sz w:val="22"/>
      <w:szCs w:val="22"/>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1">
    <w:name w:val="Grid Table 7 Colorful - Accent 51"/>
    <w:basedOn w:val="TableNormal"/>
    <w:next w:val="GridTable7Colorful-Accent5"/>
    <w:uiPriority w:val="52"/>
    <w:rsid w:val="00244416"/>
    <w:pPr>
      <w:spacing w:before="0" w:after="0"/>
    </w:pPr>
    <w:rPr>
      <w:rFonts w:eastAsia="Calibri"/>
      <w:color w:val="334953"/>
      <w:sz w:val="22"/>
      <w:szCs w:val="22"/>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1">
    <w:name w:val="List Table 7 Colorful - Accent 61"/>
    <w:basedOn w:val="TableNormal"/>
    <w:next w:val="ListTable7Colorful-Accent6"/>
    <w:uiPriority w:val="52"/>
    <w:rsid w:val="00244416"/>
    <w:pPr>
      <w:spacing w:before="0" w:after="0"/>
    </w:pPr>
    <w:rPr>
      <w:rFonts w:eastAsia="Calibri"/>
      <w:color w:val="152847"/>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244416"/>
    <w:pPr>
      <w:spacing w:before="0" w:after="0"/>
    </w:pPr>
    <w:rPr>
      <w:rFonts w:eastAsia="Calibri"/>
      <w:color w:val="334953"/>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244416"/>
    <w:pPr>
      <w:spacing w:before="0" w:after="0"/>
    </w:pPr>
    <w:rPr>
      <w:rFonts w:eastAsia="Calibri"/>
      <w:color w:val="159273"/>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244416"/>
    <w:pPr>
      <w:spacing w:before="0" w:after="0"/>
    </w:pPr>
    <w:rPr>
      <w:rFonts w:eastAsia="Calibri"/>
      <w:color w:val="5CD0ED"/>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next w:val="PlainTable1"/>
    <w:uiPriority w:val="41"/>
    <w:rsid w:val="00244416"/>
    <w:pPr>
      <w:spacing w:before="0" w:after="0"/>
    </w:pPr>
    <w:rPr>
      <w:rFonts w:eastAsia="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7Char1">
    <w:name w:val="Heading 7 Char1"/>
    <w:basedOn w:val="DefaultParagraphFont"/>
    <w:uiPriority w:val="9"/>
    <w:semiHidden/>
    <w:rsid w:val="00244416"/>
    <w:rPr>
      <w:rFonts w:asciiTheme="majorHAnsi" w:eastAsiaTheme="majorEastAsia" w:hAnsiTheme="majorHAnsi" w:cstheme="majorBidi"/>
      <w:i/>
      <w:iCs/>
      <w:color w:val="5C6B16" w:themeColor="accent1" w:themeShade="7F"/>
      <w:sz w:val="20"/>
    </w:rPr>
  </w:style>
  <w:style w:type="character" w:customStyle="1" w:styleId="SubtitleChar1">
    <w:name w:val="Subtitle Char1"/>
    <w:basedOn w:val="DefaultParagraphFont"/>
    <w:uiPriority w:val="11"/>
    <w:rsid w:val="00244416"/>
    <w:rPr>
      <w:color w:val="5A5A5A" w:themeColor="text1" w:themeTint="A5"/>
      <w:spacing w:val="15"/>
      <w:sz w:val="22"/>
      <w:szCs w:val="22"/>
    </w:rPr>
  </w:style>
  <w:style w:type="character" w:customStyle="1" w:styleId="QuoteChar1">
    <w:name w:val="Quote Char1"/>
    <w:basedOn w:val="DefaultParagraphFont"/>
    <w:uiPriority w:val="29"/>
    <w:rsid w:val="00244416"/>
    <w:rPr>
      <w:rFonts w:ascii="Arial" w:hAnsi="Arial"/>
      <w:i/>
      <w:iCs/>
      <w:color w:val="404040" w:themeColor="text1" w:themeTint="BF"/>
      <w:sz w:val="20"/>
    </w:rPr>
  </w:style>
  <w:style w:type="paragraph" w:customStyle="1" w:styleId="zz">
    <w:name w:val="zz"/>
    <w:basedOn w:val="BodyText"/>
    <w:link w:val="zzChar"/>
    <w:qFormat/>
    <w:rsid w:val="00244416"/>
    <w:pPr>
      <w:tabs>
        <w:tab w:val="left" w:pos="284"/>
      </w:tabs>
      <w:spacing w:before="120" w:after="170"/>
      <w:jc w:val="center"/>
    </w:pPr>
    <w:rPr>
      <w:rFonts w:cs="Arial"/>
      <w:b/>
      <w:bCs/>
      <w:szCs w:val="20"/>
      <w:lang w:val="en-GB" w:eastAsia="en-GB"/>
    </w:rPr>
  </w:style>
  <w:style w:type="character" w:customStyle="1" w:styleId="zzChar">
    <w:name w:val="zz Char"/>
    <w:basedOn w:val="BodyTextChar"/>
    <w:link w:val="zz"/>
    <w:rsid w:val="00244416"/>
    <w:rPr>
      <w:rFonts w:ascii="Arial" w:hAnsi="Arial" w:cs="Arial"/>
      <w:b/>
      <w:bCs/>
      <w:sz w:val="20"/>
      <w:szCs w:val="20"/>
      <w:lang w:val="en-GB" w:eastAsia="en-GB"/>
    </w:rPr>
  </w:style>
  <w:style w:type="paragraph" w:customStyle="1" w:styleId="Z">
    <w:name w:val="Z"/>
    <w:basedOn w:val="Tabletext"/>
    <w:link w:val="ZChar"/>
    <w:qFormat/>
    <w:rsid w:val="00244416"/>
    <w:rPr>
      <w:rFonts w:ascii="Arial" w:hAnsi="Arial" w:cs="Arial"/>
      <w:sz w:val="18"/>
      <w:szCs w:val="20"/>
    </w:rPr>
  </w:style>
  <w:style w:type="character" w:customStyle="1" w:styleId="ZChar">
    <w:name w:val="Z Char"/>
    <w:basedOn w:val="DefaultParagraphFont"/>
    <w:link w:val="Z"/>
    <w:rsid w:val="00244416"/>
    <w:rPr>
      <w:rFonts w:ascii="Arial" w:eastAsiaTheme="minorEastAsia" w:hAnsi="Arial" w:cs="Arial"/>
      <w:color w:val="000A23"/>
      <w:spacing w:val="-2"/>
      <w:szCs w:val="20"/>
      <w:lang w:val="en-GB"/>
    </w:rPr>
  </w:style>
  <w:style w:type="character" w:customStyle="1" w:styleId="TabletextChar">
    <w:name w:val="Table text Char"/>
    <w:basedOn w:val="DefaultParagraphFont"/>
    <w:link w:val="Tabletext"/>
    <w:rsid w:val="00244416"/>
    <w:rPr>
      <w:rFonts w:asciiTheme="majorHAnsi" w:eastAsiaTheme="minorEastAsia" w:hAnsiTheme="majorHAnsi" w:cs="Gotham-Light"/>
      <w:color w:val="000A23"/>
      <w:spacing w:val="-2"/>
      <w:sz w:val="20"/>
      <w:lang w:val="en-GB"/>
    </w:rPr>
  </w:style>
  <w:style w:type="table" w:customStyle="1" w:styleId="TableGrid1">
    <w:name w:val="Table Grid1"/>
    <w:basedOn w:val="TableNormal"/>
    <w:next w:val="TableGrid"/>
    <w:uiPriority w:val="39"/>
    <w:rsid w:val="00244416"/>
    <w:pPr>
      <w:spacing w:before="0" w:after="0"/>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44416"/>
    <w:rPr>
      <w:rFonts w:ascii="Segoe UI" w:hAnsi="Segoe UI" w:cs="Segoe UI" w:hint="default"/>
      <w:sz w:val="18"/>
      <w:szCs w:val="18"/>
    </w:rPr>
  </w:style>
  <w:style w:type="paragraph" w:styleId="EndnoteText">
    <w:name w:val="endnote text"/>
    <w:basedOn w:val="Normal"/>
    <w:link w:val="EndnoteTextChar"/>
    <w:uiPriority w:val="99"/>
    <w:semiHidden/>
    <w:unhideWhenUsed/>
    <w:rsid w:val="00244416"/>
    <w:rPr>
      <w:rFonts w:eastAsiaTheme="minorEastAsia"/>
      <w:szCs w:val="20"/>
      <w:lang w:val="en-US"/>
    </w:rPr>
  </w:style>
  <w:style w:type="character" w:customStyle="1" w:styleId="EndnoteTextChar">
    <w:name w:val="Endnote Text Char"/>
    <w:basedOn w:val="DefaultParagraphFont"/>
    <w:link w:val="EndnoteText"/>
    <w:uiPriority w:val="99"/>
    <w:semiHidden/>
    <w:rsid w:val="00244416"/>
    <w:rPr>
      <w:rFonts w:ascii="Arial" w:eastAsiaTheme="minorEastAsia" w:hAnsi="Arial"/>
      <w:sz w:val="20"/>
      <w:szCs w:val="20"/>
      <w:lang w:val="en-US"/>
    </w:rPr>
  </w:style>
  <w:style w:type="character" w:styleId="EndnoteReference">
    <w:name w:val="endnote reference"/>
    <w:basedOn w:val="DefaultParagraphFont"/>
    <w:uiPriority w:val="99"/>
    <w:semiHidden/>
    <w:unhideWhenUsed/>
    <w:rsid w:val="00244416"/>
    <w:rPr>
      <w:vertAlign w:val="superscript"/>
    </w:rPr>
  </w:style>
  <w:style w:type="paragraph" w:customStyle="1" w:styleId="BasicParagraph">
    <w:name w:val="[Basic Paragraph]"/>
    <w:basedOn w:val="NoParagraphStyle"/>
    <w:uiPriority w:val="99"/>
    <w:rsid w:val="00244416"/>
    <w:pPr>
      <w:widowControl/>
      <w:spacing w:line="240" w:lineRule="atLeast"/>
    </w:pPr>
    <w:rPr>
      <w:rFonts w:ascii="Public Sans ExtraLight" w:hAnsi="Public Sans ExtraLight" w:cs="Public Sans ExtraLight"/>
      <w:b w:val="0"/>
      <w:bCs w:val="0"/>
      <w:caps w:val="0"/>
      <w:color w:val="000000"/>
      <w:sz w:val="18"/>
      <w:szCs w:val="18"/>
      <w:lang w:val="en-US"/>
    </w:rPr>
  </w:style>
  <w:style w:type="character" w:customStyle="1" w:styleId="Tableandchartdescription">
    <w:name w:val="Table and chart description"/>
    <w:basedOn w:val="DefaultParagraphFont"/>
    <w:uiPriority w:val="99"/>
    <w:rsid w:val="00244416"/>
    <w:rPr>
      <w:rFonts w:ascii="Quicksand SemiBold" w:hAnsi="Quicksand SemiBold" w:cs="Quicksand SemiBold"/>
      <w:sz w:val="18"/>
      <w:szCs w:val="18"/>
    </w:rPr>
  </w:style>
  <w:style w:type="paragraph" w:customStyle="1" w:styleId="BodytextDocumentstyles">
    <w:name w:val="Body text (Document styles)"/>
    <w:basedOn w:val="NoParagraphStyle"/>
    <w:uiPriority w:val="99"/>
    <w:rsid w:val="00244416"/>
    <w:pPr>
      <w:widowControl/>
      <w:suppressAutoHyphens/>
      <w:spacing w:line="260" w:lineRule="atLeast"/>
    </w:pPr>
    <w:rPr>
      <w:rFonts w:ascii="Lato" w:hAnsi="Lato" w:cs="Lato"/>
      <w:b w:val="0"/>
      <w:bCs w:val="0"/>
      <w:caps w:val="0"/>
      <w:color w:val="000000"/>
      <w:sz w:val="18"/>
      <w:szCs w:val="18"/>
      <w:lang w:val="en-US"/>
    </w:rPr>
  </w:style>
  <w:style w:type="character" w:styleId="Mention">
    <w:name w:val="Mention"/>
    <w:basedOn w:val="DefaultParagraphFont"/>
    <w:uiPriority w:val="99"/>
    <w:unhideWhenUsed/>
    <w:rsid w:val="00244416"/>
    <w:rPr>
      <w:color w:val="2B579A"/>
      <w:shd w:val="clear" w:color="auto" w:fill="E1DFDD"/>
    </w:rPr>
  </w:style>
  <w:style w:type="numbering" w:customStyle="1" w:styleId="CurrentList1">
    <w:name w:val="Current List1"/>
    <w:uiPriority w:val="99"/>
    <w:rsid w:val="00244416"/>
    <w:pPr>
      <w:numPr>
        <w:numId w:val="11"/>
      </w:numPr>
    </w:pPr>
  </w:style>
  <w:style w:type="character" w:customStyle="1" w:styleId="Appendix3Char">
    <w:name w:val="Appendix 3 Char"/>
    <w:basedOn w:val="Heading3Char"/>
    <w:link w:val="Appendix3"/>
    <w:uiPriority w:val="99"/>
    <w:rsid w:val="006731AA"/>
    <w:rPr>
      <w:rFonts w:ascii="Arial" w:eastAsiaTheme="majorEastAsia" w:hAnsi="Arial" w:cs="Arial"/>
      <w:color w:val="8AA122" w:themeColor="accent1" w:themeShade="BF"/>
      <w:sz w:val="28"/>
      <w:szCs w:val="28"/>
    </w:rPr>
  </w:style>
  <w:style w:type="paragraph" w:customStyle="1" w:styleId="Sourcenote">
    <w:name w:val="Source note"/>
    <w:basedOn w:val="Normal"/>
    <w:next w:val="Normal"/>
    <w:uiPriority w:val="4"/>
    <w:qFormat/>
    <w:rsid w:val="00066C5E"/>
    <w:rPr>
      <w:color w:val="FF0000"/>
      <w:sz w:val="16"/>
    </w:rPr>
  </w:style>
  <w:style w:type="paragraph" w:customStyle="1" w:styleId="Note">
    <w:name w:val="Note"/>
    <w:basedOn w:val="Normal"/>
    <w:qFormat/>
    <w:rsid w:val="00E94A5D"/>
    <w:pPr>
      <w:widowControl w:val="0"/>
      <w:suppressAutoHyphens/>
      <w:autoSpaceDE w:val="0"/>
      <w:autoSpaceDN w:val="0"/>
      <w:adjustRightInd w:val="0"/>
      <w:textAlignment w:val="center"/>
    </w:pPr>
    <w:rPr>
      <w:rFonts w:cs="Times New Roman"/>
      <w:sz w:val="16"/>
      <w:szCs w:val="15"/>
      <w:lang w:val="en-GB" w:eastAsia="en-GB"/>
    </w:rPr>
  </w:style>
  <w:style w:type="paragraph" w:customStyle="1" w:styleId="Default">
    <w:name w:val="Default"/>
    <w:rsid w:val="00E5099D"/>
    <w:pPr>
      <w:autoSpaceDE w:val="0"/>
      <w:autoSpaceDN w:val="0"/>
      <w:adjustRightInd w:val="0"/>
      <w:spacing w:before="0" w:after="0"/>
    </w:pPr>
    <w:rPr>
      <w:rFonts w:ascii="Arial" w:hAnsi="Arial" w:cs="Arial"/>
      <w:color w:val="000000"/>
      <w:sz w:val="24"/>
      <w:szCs w:val="24"/>
    </w:rPr>
  </w:style>
  <w:style w:type="paragraph" w:customStyle="1" w:styleId="InterviewerNote">
    <w:name w:val="Interviewer Note"/>
    <w:basedOn w:val="Normal"/>
    <w:next w:val="Normal"/>
    <w:qFormat/>
    <w:rsid w:val="008E041B"/>
    <w:pPr>
      <w:ind w:left="1134"/>
    </w:pPr>
    <w:rPr>
      <w:szCs w:val="22"/>
    </w:rPr>
  </w:style>
  <w:style w:type="paragraph" w:customStyle="1" w:styleId="2Questionstem">
    <w:name w:val="2 Question stem"/>
    <w:basedOn w:val="Normal"/>
    <w:next w:val="Normal"/>
    <w:qFormat/>
    <w:rsid w:val="008E041B"/>
    <w:pPr>
      <w:ind w:left="993" w:hanging="710"/>
    </w:pPr>
    <w:rPr>
      <w:rFonts w:eastAsiaTheme="minorEastAsia" w:cs="Arial"/>
      <w:lang w:eastAsia="en-AU"/>
    </w:rPr>
  </w:style>
  <w:style w:type="character" w:customStyle="1" w:styleId="normaltextrun">
    <w:name w:val="normaltextrun"/>
    <w:basedOn w:val="DefaultParagraphFont"/>
    <w:rsid w:val="008E0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8870">
      <w:bodyDiv w:val="1"/>
      <w:marLeft w:val="0"/>
      <w:marRight w:val="0"/>
      <w:marTop w:val="0"/>
      <w:marBottom w:val="0"/>
      <w:divBdr>
        <w:top w:val="none" w:sz="0" w:space="0" w:color="auto"/>
        <w:left w:val="none" w:sz="0" w:space="0" w:color="auto"/>
        <w:bottom w:val="none" w:sz="0" w:space="0" w:color="auto"/>
        <w:right w:val="none" w:sz="0" w:space="0" w:color="auto"/>
      </w:divBdr>
    </w:div>
    <w:div w:id="303781288">
      <w:bodyDiv w:val="1"/>
      <w:marLeft w:val="0"/>
      <w:marRight w:val="0"/>
      <w:marTop w:val="0"/>
      <w:marBottom w:val="0"/>
      <w:divBdr>
        <w:top w:val="none" w:sz="0" w:space="0" w:color="auto"/>
        <w:left w:val="none" w:sz="0" w:space="0" w:color="auto"/>
        <w:bottom w:val="none" w:sz="0" w:space="0" w:color="auto"/>
        <w:right w:val="none" w:sz="0" w:space="0" w:color="auto"/>
      </w:divBdr>
    </w:div>
    <w:div w:id="401951540">
      <w:bodyDiv w:val="1"/>
      <w:marLeft w:val="0"/>
      <w:marRight w:val="0"/>
      <w:marTop w:val="0"/>
      <w:marBottom w:val="0"/>
      <w:divBdr>
        <w:top w:val="none" w:sz="0" w:space="0" w:color="auto"/>
        <w:left w:val="none" w:sz="0" w:space="0" w:color="auto"/>
        <w:bottom w:val="none" w:sz="0" w:space="0" w:color="auto"/>
        <w:right w:val="none" w:sz="0" w:space="0" w:color="auto"/>
      </w:divBdr>
    </w:div>
    <w:div w:id="442577017">
      <w:bodyDiv w:val="1"/>
      <w:marLeft w:val="0"/>
      <w:marRight w:val="0"/>
      <w:marTop w:val="0"/>
      <w:marBottom w:val="0"/>
      <w:divBdr>
        <w:top w:val="none" w:sz="0" w:space="0" w:color="auto"/>
        <w:left w:val="none" w:sz="0" w:space="0" w:color="auto"/>
        <w:bottom w:val="none" w:sz="0" w:space="0" w:color="auto"/>
        <w:right w:val="none" w:sz="0" w:space="0" w:color="auto"/>
      </w:divBdr>
    </w:div>
    <w:div w:id="481432887">
      <w:bodyDiv w:val="1"/>
      <w:marLeft w:val="0"/>
      <w:marRight w:val="0"/>
      <w:marTop w:val="0"/>
      <w:marBottom w:val="0"/>
      <w:divBdr>
        <w:top w:val="none" w:sz="0" w:space="0" w:color="auto"/>
        <w:left w:val="none" w:sz="0" w:space="0" w:color="auto"/>
        <w:bottom w:val="none" w:sz="0" w:space="0" w:color="auto"/>
        <w:right w:val="none" w:sz="0" w:space="0" w:color="auto"/>
      </w:divBdr>
    </w:div>
    <w:div w:id="519124507">
      <w:bodyDiv w:val="1"/>
      <w:marLeft w:val="0"/>
      <w:marRight w:val="0"/>
      <w:marTop w:val="0"/>
      <w:marBottom w:val="0"/>
      <w:divBdr>
        <w:top w:val="none" w:sz="0" w:space="0" w:color="auto"/>
        <w:left w:val="none" w:sz="0" w:space="0" w:color="auto"/>
        <w:bottom w:val="none" w:sz="0" w:space="0" w:color="auto"/>
        <w:right w:val="none" w:sz="0" w:space="0" w:color="auto"/>
      </w:divBdr>
    </w:div>
    <w:div w:id="551043413">
      <w:bodyDiv w:val="1"/>
      <w:marLeft w:val="0"/>
      <w:marRight w:val="0"/>
      <w:marTop w:val="0"/>
      <w:marBottom w:val="0"/>
      <w:divBdr>
        <w:top w:val="none" w:sz="0" w:space="0" w:color="auto"/>
        <w:left w:val="none" w:sz="0" w:space="0" w:color="auto"/>
        <w:bottom w:val="none" w:sz="0" w:space="0" w:color="auto"/>
        <w:right w:val="none" w:sz="0" w:space="0" w:color="auto"/>
      </w:divBdr>
    </w:div>
    <w:div w:id="601769837">
      <w:bodyDiv w:val="1"/>
      <w:marLeft w:val="0"/>
      <w:marRight w:val="0"/>
      <w:marTop w:val="0"/>
      <w:marBottom w:val="0"/>
      <w:divBdr>
        <w:top w:val="none" w:sz="0" w:space="0" w:color="auto"/>
        <w:left w:val="none" w:sz="0" w:space="0" w:color="auto"/>
        <w:bottom w:val="none" w:sz="0" w:space="0" w:color="auto"/>
        <w:right w:val="none" w:sz="0" w:space="0" w:color="auto"/>
      </w:divBdr>
    </w:div>
    <w:div w:id="629629615">
      <w:bodyDiv w:val="1"/>
      <w:marLeft w:val="0"/>
      <w:marRight w:val="0"/>
      <w:marTop w:val="0"/>
      <w:marBottom w:val="0"/>
      <w:divBdr>
        <w:top w:val="none" w:sz="0" w:space="0" w:color="auto"/>
        <w:left w:val="none" w:sz="0" w:space="0" w:color="auto"/>
        <w:bottom w:val="none" w:sz="0" w:space="0" w:color="auto"/>
        <w:right w:val="none" w:sz="0" w:space="0" w:color="auto"/>
      </w:divBdr>
    </w:div>
    <w:div w:id="684939974">
      <w:bodyDiv w:val="1"/>
      <w:marLeft w:val="0"/>
      <w:marRight w:val="0"/>
      <w:marTop w:val="0"/>
      <w:marBottom w:val="0"/>
      <w:divBdr>
        <w:top w:val="none" w:sz="0" w:space="0" w:color="auto"/>
        <w:left w:val="none" w:sz="0" w:space="0" w:color="auto"/>
        <w:bottom w:val="none" w:sz="0" w:space="0" w:color="auto"/>
        <w:right w:val="none" w:sz="0" w:space="0" w:color="auto"/>
      </w:divBdr>
    </w:div>
    <w:div w:id="941496873">
      <w:bodyDiv w:val="1"/>
      <w:marLeft w:val="0"/>
      <w:marRight w:val="0"/>
      <w:marTop w:val="0"/>
      <w:marBottom w:val="0"/>
      <w:divBdr>
        <w:top w:val="none" w:sz="0" w:space="0" w:color="auto"/>
        <w:left w:val="none" w:sz="0" w:space="0" w:color="auto"/>
        <w:bottom w:val="none" w:sz="0" w:space="0" w:color="auto"/>
        <w:right w:val="none" w:sz="0" w:space="0" w:color="auto"/>
      </w:divBdr>
    </w:div>
    <w:div w:id="945774356">
      <w:bodyDiv w:val="1"/>
      <w:marLeft w:val="0"/>
      <w:marRight w:val="0"/>
      <w:marTop w:val="0"/>
      <w:marBottom w:val="0"/>
      <w:divBdr>
        <w:top w:val="none" w:sz="0" w:space="0" w:color="auto"/>
        <w:left w:val="none" w:sz="0" w:space="0" w:color="auto"/>
        <w:bottom w:val="none" w:sz="0" w:space="0" w:color="auto"/>
        <w:right w:val="none" w:sz="0" w:space="0" w:color="auto"/>
      </w:divBdr>
    </w:div>
    <w:div w:id="1020931898">
      <w:bodyDiv w:val="1"/>
      <w:marLeft w:val="0"/>
      <w:marRight w:val="0"/>
      <w:marTop w:val="0"/>
      <w:marBottom w:val="0"/>
      <w:divBdr>
        <w:top w:val="none" w:sz="0" w:space="0" w:color="auto"/>
        <w:left w:val="none" w:sz="0" w:space="0" w:color="auto"/>
        <w:bottom w:val="none" w:sz="0" w:space="0" w:color="auto"/>
        <w:right w:val="none" w:sz="0" w:space="0" w:color="auto"/>
      </w:divBdr>
    </w:div>
    <w:div w:id="1026176363">
      <w:bodyDiv w:val="1"/>
      <w:marLeft w:val="0"/>
      <w:marRight w:val="0"/>
      <w:marTop w:val="0"/>
      <w:marBottom w:val="0"/>
      <w:divBdr>
        <w:top w:val="none" w:sz="0" w:space="0" w:color="auto"/>
        <w:left w:val="none" w:sz="0" w:space="0" w:color="auto"/>
        <w:bottom w:val="none" w:sz="0" w:space="0" w:color="auto"/>
        <w:right w:val="none" w:sz="0" w:space="0" w:color="auto"/>
      </w:divBdr>
    </w:div>
    <w:div w:id="1079058212">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236933475">
      <w:bodyDiv w:val="1"/>
      <w:marLeft w:val="0"/>
      <w:marRight w:val="0"/>
      <w:marTop w:val="0"/>
      <w:marBottom w:val="0"/>
      <w:divBdr>
        <w:top w:val="none" w:sz="0" w:space="0" w:color="auto"/>
        <w:left w:val="none" w:sz="0" w:space="0" w:color="auto"/>
        <w:bottom w:val="none" w:sz="0" w:space="0" w:color="auto"/>
        <w:right w:val="none" w:sz="0" w:space="0" w:color="auto"/>
      </w:divBdr>
    </w:div>
    <w:div w:id="1400251943">
      <w:bodyDiv w:val="1"/>
      <w:marLeft w:val="0"/>
      <w:marRight w:val="0"/>
      <w:marTop w:val="0"/>
      <w:marBottom w:val="0"/>
      <w:divBdr>
        <w:top w:val="none" w:sz="0" w:space="0" w:color="auto"/>
        <w:left w:val="none" w:sz="0" w:space="0" w:color="auto"/>
        <w:bottom w:val="none" w:sz="0" w:space="0" w:color="auto"/>
        <w:right w:val="none" w:sz="0" w:space="0" w:color="auto"/>
      </w:divBdr>
    </w:div>
    <w:div w:id="1530560140">
      <w:bodyDiv w:val="1"/>
      <w:marLeft w:val="0"/>
      <w:marRight w:val="0"/>
      <w:marTop w:val="0"/>
      <w:marBottom w:val="0"/>
      <w:divBdr>
        <w:top w:val="none" w:sz="0" w:space="0" w:color="auto"/>
        <w:left w:val="none" w:sz="0" w:space="0" w:color="auto"/>
        <w:bottom w:val="none" w:sz="0" w:space="0" w:color="auto"/>
        <w:right w:val="none" w:sz="0" w:space="0" w:color="auto"/>
      </w:divBdr>
    </w:div>
    <w:div w:id="1611088750">
      <w:bodyDiv w:val="1"/>
      <w:marLeft w:val="0"/>
      <w:marRight w:val="0"/>
      <w:marTop w:val="0"/>
      <w:marBottom w:val="0"/>
      <w:divBdr>
        <w:top w:val="none" w:sz="0" w:space="0" w:color="auto"/>
        <w:left w:val="none" w:sz="0" w:space="0" w:color="auto"/>
        <w:bottom w:val="none" w:sz="0" w:space="0" w:color="auto"/>
        <w:right w:val="none" w:sz="0" w:space="0" w:color="auto"/>
      </w:divBdr>
    </w:div>
    <w:div w:id="1674452135">
      <w:bodyDiv w:val="1"/>
      <w:marLeft w:val="0"/>
      <w:marRight w:val="0"/>
      <w:marTop w:val="0"/>
      <w:marBottom w:val="0"/>
      <w:divBdr>
        <w:top w:val="none" w:sz="0" w:space="0" w:color="auto"/>
        <w:left w:val="none" w:sz="0" w:space="0" w:color="auto"/>
        <w:bottom w:val="none" w:sz="0" w:space="0" w:color="auto"/>
        <w:right w:val="none" w:sz="0" w:space="0" w:color="auto"/>
      </w:divBdr>
    </w:div>
    <w:div w:id="1705977860">
      <w:bodyDiv w:val="1"/>
      <w:marLeft w:val="0"/>
      <w:marRight w:val="0"/>
      <w:marTop w:val="0"/>
      <w:marBottom w:val="0"/>
      <w:divBdr>
        <w:top w:val="none" w:sz="0" w:space="0" w:color="auto"/>
        <w:left w:val="none" w:sz="0" w:space="0" w:color="auto"/>
        <w:bottom w:val="none" w:sz="0" w:space="0" w:color="auto"/>
        <w:right w:val="none" w:sz="0" w:space="0" w:color="auto"/>
      </w:divBdr>
    </w:div>
    <w:div w:id="1709186254">
      <w:bodyDiv w:val="1"/>
      <w:marLeft w:val="0"/>
      <w:marRight w:val="0"/>
      <w:marTop w:val="0"/>
      <w:marBottom w:val="0"/>
      <w:divBdr>
        <w:top w:val="none" w:sz="0" w:space="0" w:color="auto"/>
        <w:left w:val="none" w:sz="0" w:space="0" w:color="auto"/>
        <w:bottom w:val="none" w:sz="0" w:space="0" w:color="auto"/>
        <w:right w:val="none" w:sz="0" w:space="0" w:color="auto"/>
      </w:divBdr>
    </w:div>
    <w:div w:id="1773893477">
      <w:bodyDiv w:val="1"/>
      <w:marLeft w:val="0"/>
      <w:marRight w:val="0"/>
      <w:marTop w:val="0"/>
      <w:marBottom w:val="0"/>
      <w:divBdr>
        <w:top w:val="none" w:sz="0" w:space="0" w:color="auto"/>
        <w:left w:val="none" w:sz="0" w:space="0" w:color="auto"/>
        <w:bottom w:val="none" w:sz="0" w:space="0" w:color="auto"/>
        <w:right w:val="none" w:sz="0" w:space="0" w:color="auto"/>
      </w:divBdr>
    </w:div>
    <w:div w:id="1830752156">
      <w:bodyDiv w:val="1"/>
      <w:marLeft w:val="0"/>
      <w:marRight w:val="0"/>
      <w:marTop w:val="0"/>
      <w:marBottom w:val="0"/>
      <w:divBdr>
        <w:top w:val="none" w:sz="0" w:space="0" w:color="auto"/>
        <w:left w:val="none" w:sz="0" w:space="0" w:color="auto"/>
        <w:bottom w:val="none" w:sz="0" w:space="0" w:color="auto"/>
        <w:right w:val="none" w:sz="0" w:space="0" w:color="auto"/>
      </w:divBdr>
    </w:div>
    <w:div w:id="1947538097">
      <w:bodyDiv w:val="1"/>
      <w:marLeft w:val="0"/>
      <w:marRight w:val="0"/>
      <w:marTop w:val="0"/>
      <w:marBottom w:val="0"/>
      <w:divBdr>
        <w:top w:val="none" w:sz="0" w:space="0" w:color="auto"/>
        <w:left w:val="none" w:sz="0" w:space="0" w:color="auto"/>
        <w:bottom w:val="none" w:sz="0" w:space="0" w:color="auto"/>
        <w:right w:val="none" w:sz="0" w:space="0" w:color="auto"/>
      </w:divBdr>
    </w:div>
    <w:div w:id="2063013985">
      <w:bodyDiv w:val="1"/>
      <w:marLeft w:val="0"/>
      <w:marRight w:val="0"/>
      <w:marTop w:val="0"/>
      <w:marBottom w:val="0"/>
      <w:divBdr>
        <w:top w:val="none" w:sz="0" w:space="0" w:color="auto"/>
        <w:left w:val="none" w:sz="0" w:space="0" w:color="auto"/>
        <w:bottom w:val="none" w:sz="0" w:space="0" w:color="auto"/>
        <w:right w:val="none" w:sz="0" w:space="0" w:color="auto"/>
      </w:divBdr>
    </w:div>
    <w:div w:id="212677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5.xml"/><Relationship Id="rId21" Type="http://schemas.openxmlformats.org/officeDocument/2006/relationships/hyperlink" Target="mailto:qilt@srcentre.com.au" TargetMode="External"/><Relationship Id="rId42" Type="http://schemas.openxmlformats.org/officeDocument/2006/relationships/hyperlink" Target="https://www.qilt.edu.au/surveys/graduate-outcomes-survey---longitudinal-(gos-l)" TargetMode="External"/><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header" Target="header14.xml"/><Relationship Id="rId89" Type="http://schemas.openxmlformats.org/officeDocument/2006/relationships/footer" Target="footer11.xml"/><Relationship Id="rId112" Type="http://schemas.openxmlformats.org/officeDocument/2006/relationships/image" Target="media/image65.png"/><Relationship Id="rId16" Type="http://schemas.openxmlformats.org/officeDocument/2006/relationships/image" Target="media/image6.svg"/><Relationship Id="rId107" Type="http://schemas.openxmlformats.org/officeDocument/2006/relationships/image" Target="media/image61.png"/><Relationship Id="rId11"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header" Target="header7.xm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eader" Target="header11.xml"/><Relationship Id="rId79" Type="http://schemas.openxmlformats.org/officeDocument/2006/relationships/image" Target="media/image45.png"/><Relationship Id="rId102" Type="http://schemas.openxmlformats.org/officeDocument/2006/relationships/header" Target="header19.xml"/><Relationship Id="rId123" Type="http://schemas.openxmlformats.org/officeDocument/2006/relationships/image" Target="media/image70.svg"/><Relationship Id="rId128" Type="http://schemas.openxmlformats.org/officeDocument/2006/relationships/header" Target="header24.xml"/><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image" Target="media/image54.png"/><Relationship Id="rId22" Type="http://schemas.openxmlformats.org/officeDocument/2006/relationships/header" Target="header1.xml"/><Relationship Id="rId27" Type="http://schemas.openxmlformats.org/officeDocument/2006/relationships/image" Target="media/image12.png"/><Relationship Id="rId43" Type="http://schemas.openxmlformats.org/officeDocument/2006/relationships/hyperlink" Target="https://app.powerbi.com/view?r=eyJrIjoiNzA0NWI5ZWItNzA3Yy00N2ViLTgyOGMtMTNmNTY3MzVhMmU1IiwidCI6Ijg2MjA5Yjg0LTBjODMtNDNjNS05MmJlLWE1ZjUwZDY4ZTNmNiJ9" TargetMode="External"/><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66.png"/><Relationship Id="rId118" Type="http://schemas.openxmlformats.org/officeDocument/2006/relationships/header" Target="header21.xml"/><Relationship Id="rId80" Type="http://schemas.openxmlformats.org/officeDocument/2006/relationships/image" Target="media/image46.png"/><Relationship Id="rId85" Type="http://schemas.openxmlformats.org/officeDocument/2006/relationships/footer" Target="footer9.xml"/><Relationship Id="rId12" Type="http://schemas.openxmlformats.org/officeDocument/2006/relationships/image" Target="media/image2.svg"/><Relationship Id="rId17"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header" Target="header8.xml"/><Relationship Id="rId59" Type="http://schemas.openxmlformats.org/officeDocument/2006/relationships/image" Target="media/image32.png"/><Relationship Id="rId103" Type="http://schemas.openxmlformats.org/officeDocument/2006/relationships/footer" Target="footer14.xml"/><Relationship Id="rId108" Type="http://schemas.openxmlformats.org/officeDocument/2006/relationships/image" Target="media/image62.png"/><Relationship Id="rId124" Type="http://schemas.openxmlformats.org/officeDocument/2006/relationships/header" Target="header22.xml"/><Relationship Id="rId129" Type="http://schemas.openxmlformats.org/officeDocument/2006/relationships/fontTable" Target="fontTable.xm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header" Target="header12.xml"/><Relationship Id="rId91" Type="http://schemas.openxmlformats.org/officeDocument/2006/relationships/image" Target="media/image51.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2.xml"/><Relationship Id="rId28" Type="http://schemas.openxmlformats.org/officeDocument/2006/relationships/image" Target="media/image13.png"/><Relationship Id="rId49" Type="http://schemas.openxmlformats.org/officeDocument/2006/relationships/image" Target="media/image22.png"/><Relationship Id="rId114" Type="http://schemas.openxmlformats.org/officeDocument/2006/relationships/image" Target="media/image67.png"/><Relationship Id="rId119" Type="http://schemas.openxmlformats.org/officeDocument/2006/relationships/footer" Target="footer16.xml"/><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47.png"/><Relationship Id="rId86" Type="http://schemas.openxmlformats.org/officeDocument/2006/relationships/header" Target="header15.xml"/><Relationship Id="rId130"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header" Target="header9.xml"/><Relationship Id="rId109" Type="http://schemas.openxmlformats.org/officeDocument/2006/relationships/hyperlink" Target="https://www.qilt.edu.au/surveys/graduate-outcomes-survey-(gos)" TargetMode="External"/><Relationship Id="rId34" Type="http://schemas.openxmlformats.org/officeDocument/2006/relationships/footer" Target="footer3.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footer" Target="footer7.xml"/><Relationship Id="rId97" Type="http://schemas.openxmlformats.org/officeDocument/2006/relationships/image" Target="media/image56.png"/><Relationship Id="rId104" Type="http://schemas.openxmlformats.org/officeDocument/2006/relationships/image" Target="media/image58.png"/><Relationship Id="rId120" Type="http://schemas.openxmlformats.org/officeDocument/2006/relationships/hyperlink" Target="mailto:qilt@srcentre.com.au" TargetMode="External"/><Relationship Id="rId125" Type="http://schemas.openxmlformats.org/officeDocument/2006/relationships/header" Target="header23.xml"/><Relationship Id="rId7" Type="http://schemas.openxmlformats.org/officeDocument/2006/relationships/settings" Target="settings.xml"/><Relationship Id="rId71" Type="http://schemas.openxmlformats.org/officeDocument/2006/relationships/header" Target="header10.xml"/><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footer" Target="footer10.xml"/><Relationship Id="rId110" Type="http://schemas.openxmlformats.org/officeDocument/2006/relationships/image" Target="media/image63.png"/><Relationship Id="rId115" Type="http://schemas.openxmlformats.org/officeDocument/2006/relationships/image" Target="media/image68.png"/><Relationship Id="rId61" Type="http://schemas.openxmlformats.org/officeDocument/2006/relationships/image" Target="media/image34.png"/><Relationship Id="rId82" Type="http://schemas.openxmlformats.org/officeDocument/2006/relationships/image" Target="media/image48.png"/><Relationship Id="rId19" Type="http://schemas.openxmlformats.org/officeDocument/2006/relationships/footer" Target="footer1.xml"/><Relationship Id="rId14" Type="http://schemas.openxmlformats.org/officeDocument/2006/relationships/image" Target="media/image4.svg"/><Relationship Id="rId30" Type="http://schemas.openxmlformats.org/officeDocument/2006/relationships/image" Target="media/image15.png"/><Relationship Id="rId35" Type="http://schemas.openxmlformats.org/officeDocument/2006/relationships/header" Target="header6.xml"/><Relationship Id="rId56" Type="http://schemas.openxmlformats.org/officeDocument/2006/relationships/image" Target="media/image29.png"/><Relationship Id="rId77" Type="http://schemas.openxmlformats.org/officeDocument/2006/relationships/header" Target="header13.xml"/><Relationship Id="rId100" Type="http://schemas.openxmlformats.org/officeDocument/2006/relationships/header" Target="header18.xml"/><Relationship Id="rId105" Type="http://schemas.openxmlformats.org/officeDocument/2006/relationships/image" Target="media/image59.png"/><Relationship Id="rId126"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footer" Target="footer6.xml"/><Relationship Id="rId93" Type="http://schemas.openxmlformats.org/officeDocument/2006/relationships/footer" Target="footer12.xml"/><Relationship Id="rId98" Type="http://schemas.openxmlformats.org/officeDocument/2006/relationships/image" Target="media/image57.png"/><Relationship Id="rId121" Type="http://schemas.openxmlformats.org/officeDocument/2006/relationships/hyperlink" Target="http://www.qilt.com.au" TargetMode="Externa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header" Target="header20.xml"/><Relationship Id="rId20" Type="http://schemas.openxmlformats.org/officeDocument/2006/relationships/hyperlink" Target="https://www.qilt.edu.au/surveys/graduate-outcomes-survey---longitudinal-(gos-l)" TargetMode="External"/><Relationship Id="rId41" Type="http://schemas.openxmlformats.org/officeDocument/2006/relationships/hyperlink" Target="https://www.qilt.edu.au/surveys/graduate-outcomes-survey-(gos)" TargetMode="External"/><Relationship Id="rId62" Type="http://schemas.openxmlformats.org/officeDocument/2006/relationships/image" Target="media/image35.png"/><Relationship Id="rId83" Type="http://schemas.openxmlformats.org/officeDocument/2006/relationships/image" Target="media/image49.png"/><Relationship Id="rId88" Type="http://schemas.openxmlformats.org/officeDocument/2006/relationships/header" Target="header16.xml"/><Relationship Id="rId111" Type="http://schemas.openxmlformats.org/officeDocument/2006/relationships/image" Target="media/image64.png"/><Relationship Id="rId15" Type="http://schemas.openxmlformats.org/officeDocument/2006/relationships/image" Target="media/image5.png"/><Relationship Id="rId36" Type="http://schemas.openxmlformats.org/officeDocument/2006/relationships/footer" Target="footer4.xml"/><Relationship Id="rId57" Type="http://schemas.openxmlformats.org/officeDocument/2006/relationships/image" Target="media/image30.png"/><Relationship Id="rId106" Type="http://schemas.openxmlformats.org/officeDocument/2006/relationships/image" Target="media/image60.png"/><Relationship Id="rId127" Type="http://schemas.openxmlformats.org/officeDocument/2006/relationships/footer" Target="footer18.xm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25.png"/><Relationship Id="rId73" Type="http://schemas.openxmlformats.org/officeDocument/2006/relationships/image" Target="media/image44.png"/><Relationship Id="rId78" Type="http://schemas.openxmlformats.org/officeDocument/2006/relationships/footer" Target="footer8.xml"/><Relationship Id="rId94" Type="http://schemas.openxmlformats.org/officeDocument/2006/relationships/image" Target="media/image53.emf"/><Relationship Id="rId99" Type="http://schemas.openxmlformats.org/officeDocument/2006/relationships/header" Target="header17.xml"/><Relationship Id="rId101" Type="http://schemas.openxmlformats.org/officeDocument/2006/relationships/footer" Target="footer13.xml"/><Relationship Id="rId122"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s>
</file>

<file path=word/_rels/footer10.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1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1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1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18.xml.rels><?xml version="1.0" encoding="UTF-8" standalone="yes"?>
<Relationships xmlns="http://schemas.openxmlformats.org/package/2006/relationships"><Relationship Id="rId2" Type="http://schemas.openxmlformats.org/officeDocument/2006/relationships/image" Target="media/image72.svg"/><Relationship Id="rId1" Type="http://schemas.openxmlformats.org/officeDocument/2006/relationships/image" Target="media/image71.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detailed-methodology-information/concepts-sources-methods/labour-statistics-concepts-sources-and-methods/2023/concepts-and-sources" TargetMode="External"/><Relationship Id="rId3" Type="http://schemas.openxmlformats.org/officeDocument/2006/relationships/hyperlink" Target="https://www.qilt.edu.au/surveys/graduate-outcomes-survey---longitudinal-(gos-l)/graduate-outcomes-survey-l-questionnaire/" TargetMode="External"/><Relationship Id="rId7" Type="http://schemas.openxmlformats.org/officeDocument/2006/relationships/hyperlink" Target="https://www.tcsisupport.gov.au/element/346" TargetMode="External"/><Relationship Id="rId2" Type="http://schemas.openxmlformats.org/officeDocument/2006/relationships/hyperlink" Target="https://www.abs.gov.au/statistics/labour/earnings-and-working-conditions/average-weekly-earnings-australia/may-2025" TargetMode="External"/><Relationship Id="rId1" Type="http://schemas.openxmlformats.org/officeDocument/2006/relationships/hyperlink" Target="https://www.abs.gov.au/statistics/economy/price-indexes-and-inflation/wage-price-index-australia/mar-2025" TargetMode="External"/><Relationship Id="rId6" Type="http://schemas.openxmlformats.org/officeDocument/2006/relationships/hyperlink" Target="https://www.qilt.edu.au/surveys/graduate-outcomes-survey---longitudinal-(gos-l)" TargetMode="External"/><Relationship Id="rId5" Type="http://schemas.openxmlformats.org/officeDocument/2006/relationships/hyperlink" Target="https://www.qilt.edu.au/docs/default-source/default-document-library/construction-of-confidence-intervals-in-qilt-surveys.pdf?sfvrsn=8d01d58b_1" TargetMode="External"/><Relationship Id="rId4" Type="http://schemas.openxmlformats.org/officeDocument/2006/relationships/hyperlink" Target="https://www.qilt.edu.au/data/study-areas" TargetMode="External"/></Relationships>
</file>

<file path=word/theme/theme1.xml><?xml version="1.0" encoding="utf-8"?>
<a:theme xmlns:a="http://schemas.openxmlformats.org/drawingml/2006/main" name="QILT">
  <a:themeElements>
    <a:clrScheme name="GOS-L">
      <a:dk1>
        <a:srgbClr val="000000"/>
      </a:dk1>
      <a:lt1>
        <a:sysClr val="window" lastClr="FFFFFF"/>
      </a:lt1>
      <a:dk2>
        <a:srgbClr val="007A7D"/>
      </a:dk2>
      <a:lt2>
        <a:srgbClr val="E6ECEE"/>
      </a:lt2>
      <a:accent1>
        <a:srgbClr val="B7D432"/>
      </a:accent1>
      <a:accent2>
        <a:srgbClr val="4FBFBE"/>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98A18D3684994C9C52717DA600DB9E" ma:contentTypeVersion="19" ma:contentTypeDescription="Create a new document." ma:contentTypeScope="" ma:versionID="c5b7d20d40ca9aa8d76d5bc1f8bf5677">
  <xsd:schema xmlns:xsd="http://www.w3.org/2001/XMLSchema" xmlns:xs="http://www.w3.org/2001/XMLSchema" xmlns:p="http://schemas.microsoft.com/office/2006/metadata/properties" xmlns:ns1="http://schemas.microsoft.com/sharepoint/v3" xmlns:ns2="ae4e7071-5663-40f4-b82b-2f0fff1265cc" xmlns:ns3="1d7fd805-69e4-4ade-a468-cc546b9d58af" targetNamespace="http://schemas.microsoft.com/office/2006/metadata/properties" ma:root="true" ma:fieldsID="6ff3f5917ba38a26b931eb9d9cb8e6f7" ns1:_="" ns2:_="" ns3:_="">
    <xsd:import namespace="http://schemas.microsoft.com/sharepoint/v3"/>
    <xsd:import namespace="ae4e7071-5663-40f4-b82b-2f0fff1265cc"/>
    <xsd:import namespace="1d7fd805-69e4-4ade-a468-cc546b9d58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e7071-5663-40f4-b82b-2f0fff12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7fd805-69e4-4ade-a468-cc546b9d58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f07664-34f3-4f09-9e94-c8b34590142c}" ma:internalName="TaxCatchAll" ma:showField="CatchAllData" ma:web="1d7fd805-69e4-4ade-a468-cc546b9d58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e4e7071-5663-40f4-b82b-2f0fff1265cc">
      <Terms xmlns="http://schemas.microsoft.com/office/infopath/2007/PartnerControls"/>
    </lcf76f155ced4ddcb4097134ff3c332f>
    <_ip_UnifiedCompliancePolicyProperties xmlns="http://schemas.microsoft.com/sharepoint/v3" xsi:nil="true"/>
    <TaxCatchAll xmlns="1d7fd805-69e4-4ade-a468-cc546b9d58a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9B6D6-8B2B-448D-8749-230D669FEB6C}">
  <ds:schemaRefs>
    <ds:schemaRef ds:uri="http://schemas.microsoft.com/sharepoint/v3/contenttype/forms"/>
  </ds:schemaRefs>
</ds:datastoreItem>
</file>

<file path=customXml/itemProps2.xml><?xml version="1.0" encoding="utf-8"?>
<ds:datastoreItem xmlns:ds="http://schemas.openxmlformats.org/officeDocument/2006/customXml" ds:itemID="{825D5C33-9E7C-4C13-A4D7-465873EBE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e7071-5663-40f4-b82b-2f0fff1265cc"/>
    <ds:schemaRef ds:uri="1d7fd805-69e4-4ade-a468-cc546b9d5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D5EBD-7E86-44B8-BC01-55F77E4327E4}">
  <ds:schemaRefs>
    <ds:schemaRef ds:uri="http://schemas.microsoft.com/office/2006/metadata/properties"/>
    <ds:schemaRef ds:uri="http://schemas.microsoft.com/office/infopath/2007/PartnerControls"/>
    <ds:schemaRef ds:uri="http://schemas.microsoft.com/sharepoint/v3"/>
    <ds:schemaRef ds:uri="ae4e7071-5663-40f4-b82b-2f0fff1265cc"/>
    <ds:schemaRef ds:uri="1d7fd805-69e4-4ade-a468-cc546b9d58af"/>
  </ds:schemaRefs>
</ds:datastoreItem>
</file>

<file path=customXml/itemProps4.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15</TotalTime>
  <Pages>4</Pages>
  <Words>26291</Words>
  <Characters>149072</Characters>
  <Application>Microsoft Office Word</Application>
  <DocSecurity>0</DocSecurity>
  <Lines>3922</Lines>
  <Paragraphs>2783</Paragraphs>
  <ScaleCrop>false</ScaleCrop>
  <HeadingPairs>
    <vt:vector size="2" baseType="variant">
      <vt:variant>
        <vt:lpstr>Title</vt:lpstr>
      </vt:variant>
      <vt:variant>
        <vt:i4>1</vt:i4>
      </vt:variant>
    </vt:vector>
  </HeadingPairs>
  <TitlesOfParts>
    <vt:vector size="1" baseType="lpstr">
      <vt:lpstr>2025 GOS-L National Report - Accessible</vt:lpstr>
    </vt:vector>
  </TitlesOfParts>
  <Manager/>
  <Company>The Social Reserarch Centre Pty Ltd</Company>
  <LinksUpToDate>false</LinksUpToDate>
  <CharactersWithSpaces>172580</CharactersWithSpaces>
  <SharedDoc>false</SharedDoc>
  <HyperlinkBase/>
  <HLinks>
    <vt:vector size="600" baseType="variant">
      <vt:variant>
        <vt:i4>6553636</vt:i4>
      </vt:variant>
      <vt:variant>
        <vt:i4>705</vt:i4>
      </vt:variant>
      <vt:variant>
        <vt:i4>0</vt:i4>
      </vt:variant>
      <vt:variant>
        <vt:i4>5</vt:i4>
      </vt:variant>
      <vt:variant>
        <vt:lpwstr>https://www.qilt.edu.au/surveys/graduate-outcomes-survey-(gos)</vt:lpwstr>
      </vt:variant>
      <vt:variant>
        <vt:lpwstr/>
      </vt:variant>
      <vt:variant>
        <vt:i4>7012364</vt:i4>
      </vt:variant>
      <vt:variant>
        <vt:i4>643</vt:i4>
      </vt:variant>
      <vt:variant>
        <vt:i4>0</vt:i4>
      </vt:variant>
      <vt:variant>
        <vt:i4>5</vt:i4>
      </vt:variant>
      <vt:variant>
        <vt:lpwstr/>
      </vt:variant>
      <vt:variant>
        <vt:lpwstr>_Median_annual_full-time</vt:lpwstr>
      </vt:variant>
      <vt:variant>
        <vt:i4>7077954</vt:i4>
      </vt:variant>
      <vt:variant>
        <vt:i4>612</vt:i4>
      </vt:variant>
      <vt:variant>
        <vt:i4>0</vt:i4>
      </vt:variant>
      <vt:variant>
        <vt:i4>5</vt:i4>
      </vt:variant>
      <vt:variant>
        <vt:lpwstr/>
      </vt:variant>
      <vt:variant>
        <vt:lpwstr>_Gender_pay_gap</vt:lpwstr>
      </vt:variant>
      <vt:variant>
        <vt:i4>65575</vt:i4>
      </vt:variant>
      <vt:variant>
        <vt:i4>576</vt:i4>
      </vt:variant>
      <vt:variant>
        <vt:i4>0</vt:i4>
      </vt:variant>
      <vt:variant>
        <vt:i4>5</vt:i4>
      </vt:variant>
      <vt:variant>
        <vt:lpwstr/>
      </vt:variant>
      <vt:variant>
        <vt:lpwstr>_Reasons_for_not</vt:lpwstr>
      </vt:variant>
      <vt:variant>
        <vt:i4>5832825</vt:i4>
      </vt:variant>
      <vt:variant>
        <vt:i4>543</vt:i4>
      </vt:variant>
      <vt:variant>
        <vt:i4>0</vt:i4>
      </vt:variant>
      <vt:variant>
        <vt:i4>5</vt:i4>
      </vt:variant>
      <vt:variant>
        <vt:lpwstr/>
      </vt:variant>
      <vt:variant>
        <vt:lpwstr>_Median__annual</vt:lpwstr>
      </vt:variant>
      <vt:variant>
        <vt:i4>3670031</vt:i4>
      </vt:variant>
      <vt:variant>
        <vt:i4>534</vt:i4>
      </vt:variant>
      <vt:variant>
        <vt:i4>0</vt:i4>
      </vt:variant>
      <vt:variant>
        <vt:i4>5</vt:i4>
      </vt:variant>
      <vt:variant>
        <vt:lpwstr/>
      </vt:variant>
      <vt:variant>
        <vt:lpwstr>_Domestic__graduates</vt:lpwstr>
      </vt:variant>
      <vt:variant>
        <vt:i4>5373981</vt:i4>
      </vt:variant>
      <vt:variant>
        <vt:i4>525</vt:i4>
      </vt:variant>
      <vt:variant>
        <vt:i4>0</vt:i4>
      </vt:variant>
      <vt:variant>
        <vt:i4>5</vt:i4>
      </vt:variant>
      <vt:variant>
        <vt:lpwstr/>
      </vt:variant>
      <vt:variant>
        <vt:lpwstr>_Full-time_employment</vt:lpwstr>
      </vt:variant>
      <vt:variant>
        <vt:i4>5373981</vt:i4>
      </vt:variant>
      <vt:variant>
        <vt:i4>510</vt:i4>
      </vt:variant>
      <vt:variant>
        <vt:i4>0</vt:i4>
      </vt:variant>
      <vt:variant>
        <vt:i4>5</vt:i4>
      </vt:variant>
      <vt:variant>
        <vt:lpwstr/>
      </vt:variant>
      <vt:variant>
        <vt:lpwstr>_Full-time_employment</vt:lpwstr>
      </vt:variant>
      <vt:variant>
        <vt:i4>2621469</vt:i4>
      </vt:variant>
      <vt:variant>
        <vt:i4>501</vt:i4>
      </vt:variant>
      <vt:variant>
        <vt:i4>0</vt:i4>
      </vt:variant>
      <vt:variant>
        <vt:i4>5</vt:i4>
      </vt:variant>
      <vt:variant>
        <vt:lpwstr/>
      </vt:variant>
      <vt:variant>
        <vt:lpwstr>_Domestic_graduate_skills</vt:lpwstr>
      </vt:variant>
      <vt:variant>
        <vt:i4>3670057</vt:i4>
      </vt:variant>
      <vt:variant>
        <vt:i4>489</vt:i4>
      </vt:variant>
      <vt:variant>
        <vt:i4>0</vt:i4>
      </vt:variant>
      <vt:variant>
        <vt:i4>5</vt:i4>
      </vt:variant>
      <vt:variant>
        <vt:lpwstr>https://app.powerbi.com/view?r=eyJrIjoiM2ZjOTkxNGQtMzc5NS00YjZmLWE5MTctYjlhZjY2ZTZmNGRkIiwidCI6IjBhNGQ1MDgwLTUxNWMtNDVlNi1hN2FiLTFiZjI1OTZhNTY0OCJ9</vt:lpwstr>
      </vt:variant>
      <vt:variant>
        <vt:lpwstr/>
      </vt:variant>
      <vt:variant>
        <vt:i4>6553709</vt:i4>
      </vt:variant>
      <vt:variant>
        <vt:i4>486</vt:i4>
      </vt:variant>
      <vt:variant>
        <vt:i4>0</vt:i4>
      </vt:variant>
      <vt:variant>
        <vt:i4>5</vt:i4>
      </vt:variant>
      <vt:variant>
        <vt:lpwstr>https://www.qilt.edu.au/surveys/graduate-outcomes-survey---longitudinal-(gos-l)</vt:lpwstr>
      </vt:variant>
      <vt:variant>
        <vt:lpwstr/>
      </vt:variant>
      <vt:variant>
        <vt:i4>6553636</vt:i4>
      </vt:variant>
      <vt:variant>
        <vt:i4>483</vt:i4>
      </vt:variant>
      <vt:variant>
        <vt:i4>0</vt:i4>
      </vt:variant>
      <vt:variant>
        <vt:i4>5</vt:i4>
      </vt:variant>
      <vt:variant>
        <vt:lpwstr>https://www.qilt.edu.au/surveys/graduate-outcomes-survey-(gos)</vt:lpwstr>
      </vt:variant>
      <vt:variant>
        <vt:lpwstr/>
      </vt:variant>
      <vt:variant>
        <vt:i4>1376314</vt:i4>
      </vt:variant>
      <vt:variant>
        <vt:i4>476</vt:i4>
      </vt:variant>
      <vt:variant>
        <vt:i4>0</vt:i4>
      </vt:variant>
      <vt:variant>
        <vt:i4>5</vt:i4>
      </vt:variant>
      <vt:variant>
        <vt:lpwstr/>
      </vt:variant>
      <vt:variant>
        <vt:lpwstr>_Toc211015863</vt:lpwstr>
      </vt:variant>
      <vt:variant>
        <vt:i4>1376314</vt:i4>
      </vt:variant>
      <vt:variant>
        <vt:i4>470</vt:i4>
      </vt:variant>
      <vt:variant>
        <vt:i4>0</vt:i4>
      </vt:variant>
      <vt:variant>
        <vt:i4>5</vt:i4>
      </vt:variant>
      <vt:variant>
        <vt:lpwstr/>
      </vt:variant>
      <vt:variant>
        <vt:lpwstr>_Toc211015862</vt:lpwstr>
      </vt:variant>
      <vt:variant>
        <vt:i4>1376314</vt:i4>
      </vt:variant>
      <vt:variant>
        <vt:i4>464</vt:i4>
      </vt:variant>
      <vt:variant>
        <vt:i4>0</vt:i4>
      </vt:variant>
      <vt:variant>
        <vt:i4>5</vt:i4>
      </vt:variant>
      <vt:variant>
        <vt:lpwstr/>
      </vt:variant>
      <vt:variant>
        <vt:lpwstr>_Toc211015861</vt:lpwstr>
      </vt:variant>
      <vt:variant>
        <vt:i4>1376314</vt:i4>
      </vt:variant>
      <vt:variant>
        <vt:i4>458</vt:i4>
      </vt:variant>
      <vt:variant>
        <vt:i4>0</vt:i4>
      </vt:variant>
      <vt:variant>
        <vt:i4>5</vt:i4>
      </vt:variant>
      <vt:variant>
        <vt:lpwstr/>
      </vt:variant>
      <vt:variant>
        <vt:lpwstr>_Toc211015860</vt:lpwstr>
      </vt:variant>
      <vt:variant>
        <vt:i4>1441850</vt:i4>
      </vt:variant>
      <vt:variant>
        <vt:i4>452</vt:i4>
      </vt:variant>
      <vt:variant>
        <vt:i4>0</vt:i4>
      </vt:variant>
      <vt:variant>
        <vt:i4>5</vt:i4>
      </vt:variant>
      <vt:variant>
        <vt:lpwstr/>
      </vt:variant>
      <vt:variant>
        <vt:lpwstr>_Toc211015859</vt:lpwstr>
      </vt:variant>
      <vt:variant>
        <vt:i4>1441850</vt:i4>
      </vt:variant>
      <vt:variant>
        <vt:i4>446</vt:i4>
      </vt:variant>
      <vt:variant>
        <vt:i4>0</vt:i4>
      </vt:variant>
      <vt:variant>
        <vt:i4>5</vt:i4>
      </vt:variant>
      <vt:variant>
        <vt:lpwstr/>
      </vt:variant>
      <vt:variant>
        <vt:lpwstr>_Toc211015858</vt:lpwstr>
      </vt:variant>
      <vt:variant>
        <vt:i4>1441850</vt:i4>
      </vt:variant>
      <vt:variant>
        <vt:i4>440</vt:i4>
      </vt:variant>
      <vt:variant>
        <vt:i4>0</vt:i4>
      </vt:variant>
      <vt:variant>
        <vt:i4>5</vt:i4>
      </vt:variant>
      <vt:variant>
        <vt:lpwstr/>
      </vt:variant>
      <vt:variant>
        <vt:lpwstr>_Toc211015857</vt:lpwstr>
      </vt:variant>
      <vt:variant>
        <vt:i4>1441850</vt:i4>
      </vt:variant>
      <vt:variant>
        <vt:i4>434</vt:i4>
      </vt:variant>
      <vt:variant>
        <vt:i4>0</vt:i4>
      </vt:variant>
      <vt:variant>
        <vt:i4>5</vt:i4>
      </vt:variant>
      <vt:variant>
        <vt:lpwstr/>
      </vt:variant>
      <vt:variant>
        <vt:lpwstr>_Toc211015856</vt:lpwstr>
      </vt:variant>
      <vt:variant>
        <vt:i4>1441850</vt:i4>
      </vt:variant>
      <vt:variant>
        <vt:i4>428</vt:i4>
      </vt:variant>
      <vt:variant>
        <vt:i4>0</vt:i4>
      </vt:variant>
      <vt:variant>
        <vt:i4>5</vt:i4>
      </vt:variant>
      <vt:variant>
        <vt:lpwstr/>
      </vt:variant>
      <vt:variant>
        <vt:lpwstr>_Toc211015855</vt:lpwstr>
      </vt:variant>
      <vt:variant>
        <vt:i4>1441850</vt:i4>
      </vt:variant>
      <vt:variant>
        <vt:i4>422</vt:i4>
      </vt:variant>
      <vt:variant>
        <vt:i4>0</vt:i4>
      </vt:variant>
      <vt:variant>
        <vt:i4>5</vt:i4>
      </vt:variant>
      <vt:variant>
        <vt:lpwstr/>
      </vt:variant>
      <vt:variant>
        <vt:lpwstr>_Toc211015854</vt:lpwstr>
      </vt:variant>
      <vt:variant>
        <vt:i4>1441850</vt:i4>
      </vt:variant>
      <vt:variant>
        <vt:i4>416</vt:i4>
      </vt:variant>
      <vt:variant>
        <vt:i4>0</vt:i4>
      </vt:variant>
      <vt:variant>
        <vt:i4>5</vt:i4>
      </vt:variant>
      <vt:variant>
        <vt:lpwstr/>
      </vt:variant>
      <vt:variant>
        <vt:lpwstr>_Toc211015853</vt:lpwstr>
      </vt:variant>
      <vt:variant>
        <vt:i4>1441850</vt:i4>
      </vt:variant>
      <vt:variant>
        <vt:i4>410</vt:i4>
      </vt:variant>
      <vt:variant>
        <vt:i4>0</vt:i4>
      </vt:variant>
      <vt:variant>
        <vt:i4>5</vt:i4>
      </vt:variant>
      <vt:variant>
        <vt:lpwstr/>
      </vt:variant>
      <vt:variant>
        <vt:lpwstr>_Toc211015852</vt:lpwstr>
      </vt:variant>
      <vt:variant>
        <vt:i4>1441850</vt:i4>
      </vt:variant>
      <vt:variant>
        <vt:i4>404</vt:i4>
      </vt:variant>
      <vt:variant>
        <vt:i4>0</vt:i4>
      </vt:variant>
      <vt:variant>
        <vt:i4>5</vt:i4>
      </vt:variant>
      <vt:variant>
        <vt:lpwstr/>
      </vt:variant>
      <vt:variant>
        <vt:lpwstr>_Toc211015851</vt:lpwstr>
      </vt:variant>
      <vt:variant>
        <vt:i4>1441850</vt:i4>
      </vt:variant>
      <vt:variant>
        <vt:i4>398</vt:i4>
      </vt:variant>
      <vt:variant>
        <vt:i4>0</vt:i4>
      </vt:variant>
      <vt:variant>
        <vt:i4>5</vt:i4>
      </vt:variant>
      <vt:variant>
        <vt:lpwstr/>
      </vt:variant>
      <vt:variant>
        <vt:lpwstr>_Toc211015850</vt:lpwstr>
      </vt:variant>
      <vt:variant>
        <vt:i4>1507386</vt:i4>
      </vt:variant>
      <vt:variant>
        <vt:i4>392</vt:i4>
      </vt:variant>
      <vt:variant>
        <vt:i4>0</vt:i4>
      </vt:variant>
      <vt:variant>
        <vt:i4>5</vt:i4>
      </vt:variant>
      <vt:variant>
        <vt:lpwstr/>
      </vt:variant>
      <vt:variant>
        <vt:lpwstr>_Toc211015849</vt:lpwstr>
      </vt:variant>
      <vt:variant>
        <vt:i4>1507386</vt:i4>
      </vt:variant>
      <vt:variant>
        <vt:i4>386</vt:i4>
      </vt:variant>
      <vt:variant>
        <vt:i4>0</vt:i4>
      </vt:variant>
      <vt:variant>
        <vt:i4>5</vt:i4>
      </vt:variant>
      <vt:variant>
        <vt:lpwstr/>
      </vt:variant>
      <vt:variant>
        <vt:lpwstr>_Toc211015848</vt:lpwstr>
      </vt:variant>
      <vt:variant>
        <vt:i4>1507386</vt:i4>
      </vt:variant>
      <vt:variant>
        <vt:i4>380</vt:i4>
      </vt:variant>
      <vt:variant>
        <vt:i4>0</vt:i4>
      </vt:variant>
      <vt:variant>
        <vt:i4>5</vt:i4>
      </vt:variant>
      <vt:variant>
        <vt:lpwstr/>
      </vt:variant>
      <vt:variant>
        <vt:lpwstr>_Toc211015847</vt:lpwstr>
      </vt:variant>
      <vt:variant>
        <vt:i4>1507386</vt:i4>
      </vt:variant>
      <vt:variant>
        <vt:i4>374</vt:i4>
      </vt:variant>
      <vt:variant>
        <vt:i4>0</vt:i4>
      </vt:variant>
      <vt:variant>
        <vt:i4>5</vt:i4>
      </vt:variant>
      <vt:variant>
        <vt:lpwstr/>
      </vt:variant>
      <vt:variant>
        <vt:lpwstr>_Toc211015846</vt:lpwstr>
      </vt:variant>
      <vt:variant>
        <vt:i4>1507386</vt:i4>
      </vt:variant>
      <vt:variant>
        <vt:i4>368</vt:i4>
      </vt:variant>
      <vt:variant>
        <vt:i4>0</vt:i4>
      </vt:variant>
      <vt:variant>
        <vt:i4>5</vt:i4>
      </vt:variant>
      <vt:variant>
        <vt:lpwstr/>
      </vt:variant>
      <vt:variant>
        <vt:lpwstr>_Toc211015845</vt:lpwstr>
      </vt:variant>
      <vt:variant>
        <vt:i4>1507386</vt:i4>
      </vt:variant>
      <vt:variant>
        <vt:i4>362</vt:i4>
      </vt:variant>
      <vt:variant>
        <vt:i4>0</vt:i4>
      </vt:variant>
      <vt:variant>
        <vt:i4>5</vt:i4>
      </vt:variant>
      <vt:variant>
        <vt:lpwstr/>
      </vt:variant>
      <vt:variant>
        <vt:lpwstr>_Toc211015844</vt:lpwstr>
      </vt:variant>
      <vt:variant>
        <vt:i4>1769530</vt:i4>
      </vt:variant>
      <vt:variant>
        <vt:i4>353</vt:i4>
      </vt:variant>
      <vt:variant>
        <vt:i4>0</vt:i4>
      </vt:variant>
      <vt:variant>
        <vt:i4>5</vt:i4>
      </vt:variant>
      <vt:variant>
        <vt:lpwstr/>
      </vt:variant>
      <vt:variant>
        <vt:lpwstr>_Toc211015884</vt:lpwstr>
      </vt:variant>
      <vt:variant>
        <vt:i4>1769530</vt:i4>
      </vt:variant>
      <vt:variant>
        <vt:i4>347</vt:i4>
      </vt:variant>
      <vt:variant>
        <vt:i4>0</vt:i4>
      </vt:variant>
      <vt:variant>
        <vt:i4>5</vt:i4>
      </vt:variant>
      <vt:variant>
        <vt:lpwstr/>
      </vt:variant>
      <vt:variant>
        <vt:lpwstr>_Toc211015883</vt:lpwstr>
      </vt:variant>
      <vt:variant>
        <vt:i4>1769530</vt:i4>
      </vt:variant>
      <vt:variant>
        <vt:i4>341</vt:i4>
      </vt:variant>
      <vt:variant>
        <vt:i4>0</vt:i4>
      </vt:variant>
      <vt:variant>
        <vt:i4>5</vt:i4>
      </vt:variant>
      <vt:variant>
        <vt:lpwstr/>
      </vt:variant>
      <vt:variant>
        <vt:lpwstr>_Toc211015882</vt:lpwstr>
      </vt:variant>
      <vt:variant>
        <vt:i4>1769530</vt:i4>
      </vt:variant>
      <vt:variant>
        <vt:i4>335</vt:i4>
      </vt:variant>
      <vt:variant>
        <vt:i4>0</vt:i4>
      </vt:variant>
      <vt:variant>
        <vt:i4>5</vt:i4>
      </vt:variant>
      <vt:variant>
        <vt:lpwstr/>
      </vt:variant>
      <vt:variant>
        <vt:lpwstr>_Toc211015881</vt:lpwstr>
      </vt:variant>
      <vt:variant>
        <vt:i4>1769530</vt:i4>
      </vt:variant>
      <vt:variant>
        <vt:i4>329</vt:i4>
      </vt:variant>
      <vt:variant>
        <vt:i4>0</vt:i4>
      </vt:variant>
      <vt:variant>
        <vt:i4>5</vt:i4>
      </vt:variant>
      <vt:variant>
        <vt:lpwstr/>
      </vt:variant>
      <vt:variant>
        <vt:lpwstr>_Toc211015880</vt:lpwstr>
      </vt:variant>
      <vt:variant>
        <vt:i4>1310778</vt:i4>
      </vt:variant>
      <vt:variant>
        <vt:i4>323</vt:i4>
      </vt:variant>
      <vt:variant>
        <vt:i4>0</vt:i4>
      </vt:variant>
      <vt:variant>
        <vt:i4>5</vt:i4>
      </vt:variant>
      <vt:variant>
        <vt:lpwstr/>
      </vt:variant>
      <vt:variant>
        <vt:lpwstr>_Toc211015879</vt:lpwstr>
      </vt:variant>
      <vt:variant>
        <vt:i4>1310778</vt:i4>
      </vt:variant>
      <vt:variant>
        <vt:i4>317</vt:i4>
      </vt:variant>
      <vt:variant>
        <vt:i4>0</vt:i4>
      </vt:variant>
      <vt:variant>
        <vt:i4>5</vt:i4>
      </vt:variant>
      <vt:variant>
        <vt:lpwstr/>
      </vt:variant>
      <vt:variant>
        <vt:lpwstr>_Toc211015878</vt:lpwstr>
      </vt:variant>
      <vt:variant>
        <vt:i4>1310778</vt:i4>
      </vt:variant>
      <vt:variant>
        <vt:i4>311</vt:i4>
      </vt:variant>
      <vt:variant>
        <vt:i4>0</vt:i4>
      </vt:variant>
      <vt:variant>
        <vt:i4>5</vt:i4>
      </vt:variant>
      <vt:variant>
        <vt:lpwstr/>
      </vt:variant>
      <vt:variant>
        <vt:lpwstr>_Toc211015877</vt:lpwstr>
      </vt:variant>
      <vt:variant>
        <vt:i4>1310778</vt:i4>
      </vt:variant>
      <vt:variant>
        <vt:i4>305</vt:i4>
      </vt:variant>
      <vt:variant>
        <vt:i4>0</vt:i4>
      </vt:variant>
      <vt:variant>
        <vt:i4>5</vt:i4>
      </vt:variant>
      <vt:variant>
        <vt:lpwstr/>
      </vt:variant>
      <vt:variant>
        <vt:lpwstr>_Toc211015876</vt:lpwstr>
      </vt:variant>
      <vt:variant>
        <vt:i4>1310778</vt:i4>
      </vt:variant>
      <vt:variant>
        <vt:i4>299</vt:i4>
      </vt:variant>
      <vt:variant>
        <vt:i4>0</vt:i4>
      </vt:variant>
      <vt:variant>
        <vt:i4>5</vt:i4>
      </vt:variant>
      <vt:variant>
        <vt:lpwstr/>
      </vt:variant>
      <vt:variant>
        <vt:lpwstr>_Toc211015875</vt:lpwstr>
      </vt:variant>
      <vt:variant>
        <vt:i4>1310778</vt:i4>
      </vt:variant>
      <vt:variant>
        <vt:i4>293</vt:i4>
      </vt:variant>
      <vt:variant>
        <vt:i4>0</vt:i4>
      </vt:variant>
      <vt:variant>
        <vt:i4>5</vt:i4>
      </vt:variant>
      <vt:variant>
        <vt:lpwstr/>
      </vt:variant>
      <vt:variant>
        <vt:lpwstr>_Toc211015874</vt:lpwstr>
      </vt:variant>
      <vt:variant>
        <vt:i4>1310778</vt:i4>
      </vt:variant>
      <vt:variant>
        <vt:i4>287</vt:i4>
      </vt:variant>
      <vt:variant>
        <vt:i4>0</vt:i4>
      </vt:variant>
      <vt:variant>
        <vt:i4>5</vt:i4>
      </vt:variant>
      <vt:variant>
        <vt:lpwstr/>
      </vt:variant>
      <vt:variant>
        <vt:lpwstr>_Toc211015873</vt:lpwstr>
      </vt:variant>
      <vt:variant>
        <vt:i4>1310778</vt:i4>
      </vt:variant>
      <vt:variant>
        <vt:i4>281</vt:i4>
      </vt:variant>
      <vt:variant>
        <vt:i4>0</vt:i4>
      </vt:variant>
      <vt:variant>
        <vt:i4>5</vt:i4>
      </vt:variant>
      <vt:variant>
        <vt:lpwstr/>
      </vt:variant>
      <vt:variant>
        <vt:lpwstr>_Toc211015872</vt:lpwstr>
      </vt:variant>
      <vt:variant>
        <vt:i4>1310778</vt:i4>
      </vt:variant>
      <vt:variant>
        <vt:i4>275</vt:i4>
      </vt:variant>
      <vt:variant>
        <vt:i4>0</vt:i4>
      </vt:variant>
      <vt:variant>
        <vt:i4>5</vt:i4>
      </vt:variant>
      <vt:variant>
        <vt:lpwstr/>
      </vt:variant>
      <vt:variant>
        <vt:lpwstr>_Toc211015871</vt:lpwstr>
      </vt:variant>
      <vt:variant>
        <vt:i4>1310778</vt:i4>
      </vt:variant>
      <vt:variant>
        <vt:i4>269</vt:i4>
      </vt:variant>
      <vt:variant>
        <vt:i4>0</vt:i4>
      </vt:variant>
      <vt:variant>
        <vt:i4>5</vt:i4>
      </vt:variant>
      <vt:variant>
        <vt:lpwstr/>
      </vt:variant>
      <vt:variant>
        <vt:lpwstr>_Toc211015870</vt:lpwstr>
      </vt:variant>
      <vt:variant>
        <vt:i4>1376314</vt:i4>
      </vt:variant>
      <vt:variant>
        <vt:i4>263</vt:i4>
      </vt:variant>
      <vt:variant>
        <vt:i4>0</vt:i4>
      </vt:variant>
      <vt:variant>
        <vt:i4>5</vt:i4>
      </vt:variant>
      <vt:variant>
        <vt:lpwstr/>
      </vt:variant>
      <vt:variant>
        <vt:lpwstr>_Toc211015869</vt:lpwstr>
      </vt:variant>
      <vt:variant>
        <vt:i4>1376314</vt:i4>
      </vt:variant>
      <vt:variant>
        <vt:i4>257</vt:i4>
      </vt:variant>
      <vt:variant>
        <vt:i4>0</vt:i4>
      </vt:variant>
      <vt:variant>
        <vt:i4>5</vt:i4>
      </vt:variant>
      <vt:variant>
        <vt:lpwstr/>
      </vt:variant>
      <vt:variant>
        <vt:lpwstr>_Toc211015868</vt:lpwstr>
      </vt:variant>
      <vt:variant>
        <vt:i4>1376314</vt:i4>
      </vt:variant>
      <vt:variant>
        <vt:i4>251</vt:i4>
      </vt:variant>
      <vt:variant>
        <vt:i4>0</vt:i4>
      </vt:variant>
      <vt:variant>
        <vt:i4>5</vt:i4>
      </vt:variant>
      <vt:variant>
        <vt:lpwstr/>
      </vt:variant>
      <vt:variant>
        <vt:lpwstr>_Toc211015867</vt:lpwstr>
      </vt:variant>
      <vt:variant>
        <vt:i4>1376314</vt:i4>
      </vt:variant>
      <vt:variant>
        <vt:i4>245</vt:i4>
      </vt:variant>
      <vt:variant>
        <vt:i4>0</vt:i4>
      </vt:variant>
      <vt:variant>
        <vt:i4>5</vt:i4>
      </vt:variant>
      <vt:variant>
        <vt:lpwstr/>
      </vt:variant>
      <vt:variant>
        <vt:lpwstr>_Toc211015866</vt:lpwstr>
      </vt:variant>
      <vt:variant>
        <vt:i4>1376314</vt:i4>
      </vt:variant>
      <vt:variant>
        <vt:i4>239</vt:i4>
      </vt:variant>
      <vt:variant>
        <vt:i4>0</vt:i4>
      </vt:variant>
      <vt:variant>
        <vt:i4>5</vt:i4>
      </vt:variant>
      <vt:variant>
        <vt:lpwstr/>
      </vt:variant>
      <vt:variant>
        <vt:lpwstr>_Toc211015865</vt:lpwstr>
      </vt:variant>
      <vt:variant>
        <vt:i4>1376314</vt:i4>
      </vt:variant>
      <vt:variant>
        <vt:i4>233</vt:i4>
      </vt:variant>
      <vt:variant>
        <vt:i4>0</vt:i4>
      </vt:variant>
      <vt:variant>
        <vt:i4>5</vt:i4>
      </vt:variant>
      <vt:variant>
        <vt:lpwstr/>
      </vt:variant>
      <vt:variant>
        <vt:lpwstr>_Toc211015864</vt:lpwstr>
      </vt:variant>
      <vt:variant>
        <vt:i4>1114171</vt:i4>
      </vt:variant>
      <vt:variant>
        <vt:i4>224</vt:i4>
      </vt:variant>
      <vt:variant>
        <vt:i4>0</vt:i4>
      </vt:variant>
      <vt:variant>
        <vt:i4>5</vt:i4>
      </vt:variant>
      <vt:variant>
        <vt:lpwstr/>
      </vt:variant>
      <vt:variant>
        <vt:lpwstr>_Toc211015921</vt:lpwstr>
      </vt:variant>
      <vt:variant>
        <vt:i4>1114171</vt:i4>
      </vt:variant>
      <vt:variant>
        <vt:i4>218</vt:i4>
      </vt:variant>
      <vt:variant>
        <vt:i4>0</vt:i4>
      </vt:variant>
      <vt:variant>
        <vt:i4>5</vt:i4>
      </vt:variant>
      <vt:variant>
        <vt:lpwstr/>
      </vt:variant>
      <vt:variant>
        <vt:lpwstr>_Toc211015920</vt:lpwstr>
      </vt:variant>
      <vt:variant>
        <vt:i4>1179707</vt:i4>
      </vt:variant>
      <vt:variant>
        <vt:i4>212</vt:i4>
      </vt:variant>
      <vt:variant>
        <vt:i4>0</vt:i4>
      </vt:variant>
      <vt:variant>
        <vt:i4>5</vt:i4>
      </vt:variant>
      <vt:variant>
        <vt:lpwstr/>
      </vt:variant>
      <vt:variant>
        <vt:lpwstr>_Toc211015919</vt:lpwstr>
      </vt:variant>
      <vt:variant>
        <vt:i4>1179707</vt:i4>
      </vt:variant>
      <vt:variant>
        <vt:i4>206</vt:i4>
      </vt:variant>
      <vt:variant>
        <vt:i4>0</vt:i4>
      </vt:variant>
      <vt:variant>
        <vt:i4>5</vt:i4>
      </vt:variant>
      <vt:variant>
        <vt:lpwstr/>
      </vt:variant>
      <vt:variant>
        <vt:lpwstr>_Toc211015918</vt:lpwstr>
      </vt:variant>
      <vt:variant>
        <vt:i4>1179707</vt:i4>
      </vt:variant>
      <vt:variant>
        <vt:i4>200</vt:i4>
      </vt:variant>
      <vt:variant>
        <vt:i4>0</vt:i4>
      </vt:variant>
      <vt:variant>
        <vt:i4>5</vt:i4>
      </vt:variant>
      <vt:variant>
        <vt:lpwstr/>
      </vt:variant>
      <vt:variant>
        <vt:lpwstr>_Toc211015917</vt:lpwstr>
      </vt:variant>
      <vt:variant>
        <vt:i4>1179707</vt:i4>
      </vt:variant>
      <vt:variant>
        <vt:i4>194</vt:i4>
      </vt:variant>
      <vt:variant>
        <vt:i4>0</vt:i4>
      </vt:variant>
      <vt:variant>
        <vt:i4>5</vt:i4>
      </vt:variant>
      <vt:variant>
        <vt:lpwstr/>
      </vt:variant>
      <vt:variant>
        <vt:lpwstr>_Toc211015916</vt:lpwstr>
      </vt:variant>
      <vt:variant>
        <vt:i4>1179707</vt:i4>
      </vt:variant>
      <vt:variant>
        <vt:i4>188</vt:i4>
      </vt:variant>
      <vt:variant>
        <vt:i4>0</vt:i4>
      </vt:variant>
      <vt:variant>
        <vt:i4>5</vt:i4>
      </vt:variant>
      <vt:variant>
        <vt:lpwstr/>
      </vt:variant>
      <vt:variant>
        <vt:lpwstr>_Toc211015915</vt:lpwstr>
      </vt:variant>
      <vt:variant>
        <vt:i4>1179707</vt:i4>
      </vt:variant>
      <vt:variant>
        <vt:i4>182</vt:i4>
      </vt:variant>
      <vt:variant>
        <vt:i4>0</vt:i4>
      </vt:variant>
      <vt:variant>
        <vt:i4>5</vt:i4>
      </vt:variant>
      <vt:variant>
        <vt:lpwstr/>
      </vt:variant>
      <vt:variant>
        <vt:lpwstr>_Toc211015914</vt:lpwstr>
      </vt:variant>
      <vt:variant>
        <vt:i4>1179707</vt:i4>
      </vt:variant>
      <vt:variant>
        <vt:i4>176</vt:i4>
      </vt:variant>
      <vt:variant>
        <vt:i4>0</vt:i4>
      </vt:variant>
      <vt:variant>
        <vt:i4>5</vt:i4>
      </vt:variant>
      <vt:variant>
        <vt:lpwstr/>
      </vt:variant>
      <vt:variant>
        <vt:lpwstr>_Toc211015913</vt:lpwstr>
      </vt:variant>
      <vt:variant>
        <vt:i4>1179707</vt:i4>
      </vt:variant>
      <vt:variant>
        <vt:i4>170</vt:i4>
      </vt:variant>
      <vt:variant>
        <vt:i4>0</vt:i4>
      </vt:variant>
      <vt:variant>
        <vt:i4>5</vt:i4>
      </vt:variant>
      <vt:variant>
        <vt:lpwstr/>
      </vt:variant>
      <vt:variant>
        <vt:lpwstr>_Toc211015912</vt:lpwstr>
      </vt:variant>
      <vt:variant>
        <vt:i4>1179707</vt:i4>
      </vt:variant>
      <vt:variant>
        <vt:i4>164</vt:i4>
      </vt:variant>
      <vt:variant>
        <vt:i4>0</vt:i4>
      </vt:variant>
      <vt:variant>
        <vt:i4>5</vt:i4>
      </vt:variant>
      <vt:variant>
        <vt:lpwstr/>
      </vt:variant>
      <vt:variant>
        <vt:lpwstr>_Toc211015911</vt:lpwstr>
      </vt:variant>
      <vt:variant>
        <vt:i4>1179707</vt:i4>
      </vt:variant>
      <vt:variant>
        <vt:i4>158</vt:i4>
      </vt:variant>
      <vt:variant>
        <vt:i4>0</vt:i4>
      </vt:variant>
      <vt:variant>
        <vt:i4>5</vt:i4>
      </vt:variant>
      <vt:variant>
        <vt:lpwstr/>
      </vt:variant>
      <vt:variant>
        <vt:lpwstr>_Toc211015910</vt:lpwstr>
      </vt:variant>
      <vt:variant>
        <vt:i4>1245243</vt:i4>
      </vt:variant>
      <vt:variant>
        <vt:i4>152</vt:i4>
      </vt:variant>
      <vt:variant>
        <vt:i4>0</vt:i4>
      </vt:variant>
      <vt:variant>
        <vt:i4>5</vt:i4>
      </vt:variant>
      <vt:variant>
        <vt:lpwstr/>
      </vt:variant>
      <vt:variant>
        <vt:lpwstr>_Toc211015909</vt:lpwstr>
      </vt:variant>
      <vt:variant>
        <vt:i4>1245243</vt:i4>
      </vt:variant>
      <vt:variant>
        <vt:i4>146</vt:i4>
      </vt:variant>
      <vt:variant>
        <vt:i4>0</vt:i4>
      </vt:variant>
      <vt:variant>
        <vt:i4>5</vt:i4>
      </vt:variant>
      <vt:variant>
        <vt:lpwstr/>
      </vt:variant>
      <vt:variant>
        <vt:lpwstr>_Toc211015908</vt:lpwstr>
      </vt:variant>
      <vt:variant>
        <vt:i4>1245243</vt:i4>
      </vt:variant>
      <vt:variant>
        <vt:i4>140</vt:i4>
      </vt:variant>
      <vt:variant>
        <vt:i4>0</vt:i4>
      </vt:variant>
      <vt:variant>
        <vt:i4>5</vt:i4>
      </vt:variant>
      <vt:variant>
        <vt:lpwstr/>
      </vt:variant>
      <vt:variant>
        <vt:lpwstr>_Toc211015907</vt:lpwstr>
      </vt:variant>
      <vt:variant>
        <vt:i4>1245243</vt:i4>
      </vt:variant>
      <vt:variant>
        <vt:i4>134</vt:i4>
      </vt:variant>
      <vt:variant>
        <vt:i4>0</vt:i4>
      </vt:variant>
      <vt:variant>
        <vt:i4>5</vt:i4>
      </vt:variant>
      <vt:variant>
        <vt:lpwstr/>
      </vt:variant>
      <vt:variant>
        <vt:lpwstr>_Toc211015906</vt:lpwstr>
      </vt:variant>
      <vt:variant>
        <vt:i4>1245243</vt:i4>
      </vt:variant>
      <vt:variant>
        <vt:i4>128</vt:i4>
      </vt:variant>
      <vt:variant>
        <vt:i4>0</vt:i4>
      </vt:variant>
      <vt:variant>
        <vt:i4>5</vt:i4>
      </vt:variant>
      <vt:variant>
        <vt:lpwstr/>
      </vt:variant>
      <vt:variant>
        <vt:lpwstr>_Toc211015905</vt:lpwstr>
      </vt:variant>
      <vt:variant>
        <vt:i4>1245243</vt:i4>
      </vt:variant>
      <vt:variant>
        <vt:i4>122</vt:i4>
      </vt:variant>
      <vt:variant>
        <vt:i4>0</vt:i4>
      </vt:variant>
      <vt:variant>
        <vt:i4>5</vt:i4>
      </vt:variant>
      <vt:variant>
        <vt:lpwstr/>
      </vt:variant>
      <vt:variant>
        <vt:lpwstr>_Toc211015904</vt:lpwstr>
      </vt:variant>
      <vt:variant>
        <vt:i4>1245243</vt:i4>
      </vt:variant>
      <vt:variant>
        <vt:i4>116</vt:i4>
      </vt:variant>
      <vt:variant>
        <vt:i4>0</vt:i4>
      </vt:variant>
      <vt:variant>
        <vt:i4>5</vt:i4>
      </vt:variant>
      <vt:variant>
        <vt:lpwstr/>
      </vt:variant>
      <vt:variant>
        <vt:lpwstr>_Toc211015903</vt:lpwstr>
      </vt:variant>
      <vt:variant>
        <vt:i4>1245243</vt:i4>
      </vt:variant>
      <vt:variant>
        <vt:i4>110</vt:i4>
      </vt:variant>
      <vt:variant>
        <vt:i4>0</vt:i4>
      </vt:variant>
      <vt:variant>
        <vt:i4>5</vt:i4>
      </vt:variant>
      <vt:variant>
        <vt:lpwstr/>
      </vt:variant>
      <vt:variant>
        <vt:lpwstr>_Toc211015902</vt:lpwstr>
      </vt:variant>
      <vt:variant>
        <vt:i4>1245243</vt:i4>
      </vt:variant>
      <vt:variant>
        <vt:i4>104</vt:i4>
      </vt:variant>
      <vt:variant>
        <vt:i4>0</vt:i4>
      </vt:variant>
      <vt:variant>
        <vt:i4>5</vt:i4>
      </vt:variant>
      <vt:variant>
        <vt:lpwstr/>
      </vt:variant>
      <vt:variant>
        <vt:lpwstr>_Toc211015901</vt:lpwstr>
      </vt:variant>
      <vt:variant>
        <vt:i4>1245243</vt:i4>
      </vt:variant>
      <vt:variant>
        <vt:i4>98</vt:i4>
      </vt:variant>
      <vt:variant>
        <vt:i4>0</vt:i4>
      </vt:variant>
      <vt:variant>
        <vt:i4>5</vt:i4>
      </vt:variant>
      <vt:variant>
        <vt:lpwstr/>
      </vt:variant>
      <vt:variant>
        <vt:lpwstr>_Toc211015900</vt:lpwstr>
      </vt:variant>
      <vt:variant>
        <vt:i4>1703994</vt:i4>
      </vt:variant>
      <vt:variant>
        <vt:i4>92</vt:i4>
      </vt:variant>
      <vt:variant>
        <vt:i4>0</vt:i4>
      </vt:variant>
      <vt:variant>
        <vt:i4>5</vt:i4>
      </vt:variant>
      <vt:variant>
        <vt:lpwstr/>
      </vt:variant>
      <vt:variant>
        <vt:lpwstr>_Toc211015899</vt:lpwstr>
      </vt:variant>
      <vt:variant>
        <vt:i4>1703994</vt:i4>
      </vt:variant>
      <vt:variant>
        <vt:i4>86</vt:i4>
      </vt:variant>
      <vt:variant>
        <vt:i4>0</vt:i4>
      </vt:variant>
      <vt:variant>
        <vt:i4>5</vt:i4>
      </vt:variant>
      <vt:variant>
        <vt:lpwstr/>
      </vt:variant>
      <vt:variant>
        <vt:lpwstr>_Toc211015898</vt:lpwstr>
      </vt:variant>
      <vt:variant>
        <vt:i4>1703994</vt:i4>
      </vt:variant>
      <vt:variant>
        <vt:i4>80</vt:i4>
      </vt:variant>
      <vt:variant>
        <vt:i4>0</vt:i4>
      </vt:variant>
      <vt:variant>
        <vt:i4>5</vt:i4>
      </vt:variant>
      <vt:variant>
        <vt:lpwstr/>
      </vt:variant>
      <vt:variant>
        <vt:lpwstr>_Toc211015897</vt:lpwstr>
      </vt:variant>
      <vt:variant>
        <vt:i4>1703994</vt:i4>
      </vt:variant>
      <vt:variant>
        <vt:i4>74</vt:i4>
      </vt:variant>
      <vt:variant>
        <vt:i4>0</vt:i4>
      </vt:variant>
      <vt:variant>
        <vt:i4>5</vt:i4>
      </vt:variant>
      <vt:variant>
        <vt:lpwstr/>
      </vt:variant>
      <vt:variant>
        <vt:lpwstr>_Toc211015896</vt:lpwstr>
      </vt:variant>
      <vt:variant>
        <vt:i4>1703994</vt:i4>
      </vt:variant>
      <vt:variant>
        <vt:i4>68</vt:i4>
      </vt:variant>
      <vt:variant>
        <vt:i4>0</vt:i4>
      </vt:variant>
      <vt:variant>
        <vt:i4>5</vt:i4>
      </vt:variant>
      <vt:variant>
        <vt:lpwstr/>
      </vt:variant>
      <vt:variant>
        <vt:lpwstr>_Toc211015895</vt:lpwstr>
      </vt:variant>
      <vt:variant>
        <vt:i4>1703994</vt:i4>
      </vt:variant>
      <vt:variant>
        <vt:i4>62</vt:i4>
      </vt:variant>
      <vt:variant>
        <vt:i4>0</vt:i4>
      </vt:variant>
      <vt:variant>
        <vt:i4>5</vt:i4>
      </vt:variant>
      <vt:variant>
        <vt:lpwstr/>
      </vt:variant>
      <vt:variant>
        <vt:lpwstr>_Toc211015894</vt:lpwstr>
      </vt:variant>
      <vt:variant>
        <vt:i4>1703994</vt:i4>
      </vt:variant>
      <vt:variant>
        <vt:i4>56</vt:i4>
      </vt:variant>
      <vt:variant>
        <vt:i4>0</vt:i4>
      </vt:variant>
      <vt:variant>
        <vt:i4>5</vt:i4>
      </vt:variant>
      <vt:variant>
        <vt:lpwstr/>
      </vt:variant>
      <vt:variant>
        <vt:lpwstr>_Toc211015893</vt:lpwstr>
      </vt:variant>
      <vt:variant>
        <vt:i4>1703994</vt:i4>
      </vt:variant>
      <vt:variant>
        <vt:i4>50</vt:i4>
      </vt:variant>
      <vt:variant>
        <vt:i4>0</vt:i4>
      </vt:variant>
      <vt:variant>
        <vt:i4>5</vt:i4>
      </vt:variant>
      <vt:variant>
        <vt:lpwstr/>
      </vt:variant>
      <vt:variant>
        <vt:lpwstr>_Toc211015892</vt:lpwstr>
      </vt:variant>
      <vt:variant>
        <vt:i4>1703994</vt:i4>
      </vt:variant>
      <vt:variant>
        <vt:i4>44</vt:i4>
      </vt:variant>
      <vt:variant>
        <vt:i4>0</vt:i4>
      </vt:variant>
      <vt:variant>
        <vt:i4>5</vt:i4>
      </vt:variant>
      <vt:variant>
        <vt:lpwstr/>
      </vt:variant>
      <vt:variant>
        <vt:lpwstr>_Toc211015891</vt:lpwstr>
      </vt:variant>
      <vt:variant>
        <vt:i4>1703994</vt:i4>
      </vt:variant>
      <vt:variant>
        <vt:i4>38</vt:i4>
      </vt:variant>
      <vt:variant>
        <vt:i4>0</vt:i4>
      </vt:variant>
      <vt:variant>
        <vt:i4>5</vt:i4>
      </vt:variant>
      <vt:variant>
        <vt:lpwstr/>
      </vt:variant>
      <vt:variant>
        <vt:lpwstr>_Toc211015890</vt:lpwstr>
      </vt:variant>
      <vt:variant>
        <vt:i4>1769530</vt:i4>
      </vt:variant>
      <vt:variant>
        <vt:i4>32</vt:i4>
      </vt:variant>
      <vt:variant>
        <vt:i4>0</vt:i4>
      </vt:variant>
      <vt:variant>
        <vt:i4>5</vt:i4>
      </vt:variant>
      <vt:variant>
        <vt:lpwstr/>
      </vt:variant>
      <vt:variant>
        <vt:lpwstr>_Toc211015889</vt:lpwstr>
      </vt:variant>
      <vt:variant>
        <vt:i4>1769530</vt:i4>
      </vt:variant>
      <vt:variant>
        <vt:i4>26</vt:i4>
      </vt:variant>
      <vt:variant>
        <vt:i4>0</vt:i4>
      </vt:variant>
      <vt:variant>
        <vt:i4>5</vt:i4>
      </vt:variant>
      <vt:variant>
        <vt:lpwstr/>
      </vt:variant>
      <vt:variant>
        <vt:lpwstr>_Toc211015888</vt:lpwstr>
      </vt:variant>
      <vt:variant>
        <vt:i4>1769530</vt:i4>
      </vt:variant>
      <vt:variant>
        <vt:i4>20</vt:i4>
      </vt:variant>
      <vt:variant>
        <vt:i4>0</vt:i4>
      </vt:variant>
      <vt:variant>
        <vt:i4>5</vt:i4>
      </vt:variant>
      <vt:variant>
        <vt:lpwstr/>
      </vt:variant>
      <vt:variant>
        <vt:lpwstr>_Toc211015887</vt:lpwstr>
      </vt:variant>
      <vt:variant>
        <vt:i4>1769530</vt:i4>
      </vt:variant>
      <vt:variant>
        <vt:i4>14</vt:i4>
      </vt:variant>
      <vt:variant>
        <vt:i4>0</vt:i4>
      </vt:variant>
      <vt:variant>
        <vt:i4>5</vt:i4>
      </vt:variant>
      <vt:variant>
        <vt:lpwstr/>
      </vt:variant>
      <vt:variant>
        <vt:lpwstr>_Toc211015886</vt:lpwstr>
      </vt:variant>
      <vt:variant>
        <vt:i4>1769530</vt:i4>
      </vt:variant>
      <vt:variant>
        <vt:i4>8</vt:i4>
      </vt:variant>
      <vt:variant>
        <vt:i4>0</vt:i4>
      </vt:variant>
      <vt:variant>
        <vt:i4>5</vt:i4>
      </vt:variant>
      <vt:variant>
        <vt:lpwstr/>
      </vt:variant>
      <vt:variant>
        <vt:lpwstr>_Toc211015885</vt:lpwstr>
      </vt:variant>
      <vt:variant>
        <vt:i4>5636148</vt:i4>
      </vt:variant>
      <vt:variant>
        <vt:i4>3</vt:i4>
      </vt:variant>
      <vt:variant>
        <vt:i4>0</vt:i4>
      </vt:variant>
      <vt:variant>
        <vt:i4>5</vt:i4>
      </vt:variant>
      <vt:variant>
        <vt:lpwstr>mailto:qilt@srcentre.com.au</vt:lpwstr>
      </vt:variant>
      <vt:variant>
        <vt:lpwstr/>
      </vt:variant>
      <vt:variant>
        <vt:i4>6553709</vt:i4>
      </vt:variant>
      <vt:variant>
        <vt:i4>0</vt:i4>
      </vt:variant>
      <vt:variant>
        <vt:i4>0</vt:i4>
      </vt:variant>
      <vt:variant>
        <vt:i4>5</vt:i4>
      </vt:variant>
      <vt:variant>
        <vt:lpwstr>https://www.qilt.edu.au/surveys/graduate-outcomes-survey---longitudinal-(gos-l)</vt:lpwstr>
      </vt:variant>
      <vt:variant>
        <vt:lpwstr/>
      </vt:variant>
      <vt:variant>
        <vt:i4>6160393</vt:i4>
      </vt:variant>
      <vt:variant>
        <vt:i4>15</vt:i4>
      </vt:variant>
      <vt:variant>
        <vt:i4>0</vt:i4>
      </vt:variant>
      <vt:variant>
        <vt:i4>5</vt:i4>
      </vt:variant>
      <vt:variant>
        <vt:lpwstr>https://www.abs.gov.au/statistics/detailed-methodology-information/concepts-sources-methods/labour-statistics-concepts-sources-and-methods/2023/concepts-and-sources</vt:lpwstr>
      </vt:variant>
      <vt:variant>
        <vt:lpwstr/>
      </vt:variant>
      <vt:variant>
        <vt:i4>3866740</vt:i4>
      </vt:variant>
      <vt:variant>
        <vt:i4>12</vt:i4>
      </vt:variant>
      <vt:variant>
        <vt:i4>0</vt:i4>
      </vt:variant>
      <vt:variant>
        <vt:i4>5</vt:i4>
      </vt:variant>
      <vt:variant>
        <vt:lpwstr>https://www.tcsisupport.gov.au/element/346</vt:lpwstr>
      </vt:variant>
      <vt:variant>
        <vt:lpwstr/>
      </vt:variant>
      <vt:variant>
        <vt:i4>6553709</vt:i4>
      </vt:variant>
      <vt:variant>
        <vt:i4>9</vt:i4>
      </vt:variant>
      <vt:variant>
        <vt:i4>0</vt:i4>
      </vt:variant>
      <vt:variant>
        <vt:i4>5</vt:i4>
      </vt:variant>
      <vt:variant>
        <vt:lpwstr>https://www.qilt.edu.au/surveys/graduate-outcomes-survey---longitudinal-(gos-l)</vt:lpwstr>
      </vt:variant>
      <vt:variant>
        <vt:lpwstr/>
      </vt:variant>
      <vt:variant>
        <vt:i4>196701</vt:i4>
      </vt:variant>
      <vt:variant>
        <vt:i4>6</vt:i4>
      </vt:variant>
      <vt:variant>
        <vt:i4>0</vt:i4>
      </vt:variant>
      <vt:variant>
        <vt:i4>5</vt:i4>
      </vt:variant>
      <vt:variant>
        <vt:lpwstr>https://www.qilt.edu.au/data/study-areas</vt:lpwstr>
      </vt:variant>
      <vt:variant>
        <vt:lpwstr/>
      </vt:variant>
      <vt:variant>
        <vt:i4>6553655</vt:i4>
      </vt:variant>
      <vt:variant>
        <vt:i4>3</vt:i4>
      </vt:variant>
      <vt:variant>
        <vt:i4>0</vt:i4>
      </vt:variant>
      <vt:variant>
        <vt:i4>5</vt:i4>
      </vt:variant>
      <vt:variant>
        <vt:lpwstr>https://www.abs.gov.au/statistics/labour/earnings-and-working-conditions/average-weekly-earnings-australia/may-2025</vt:lpwstr>
      </vt:variant>
      <vt:variant>
        <vt:lpwstr/>
      </vt:variant>
      <vt:variant>
        <vt:i4>4784147</vt:i4>
      </vt:variant>
      <vt:variant>
        <vt:i4>0</vt:i4>
      </vt:variant>
      <vt:variant>
        <vt:i4>0</vt:i4>
      </vt:variant>
      <vt:variant>
        <vt:i4>5</vt:i4>
      </vt:variant>
      <vt:variant>
        <vt:lpwstr>https://www.abs.gov.au/statistics/economy/price-indexes-and-inflation/wage-price-index-australia/mar-2025</vt:lpwstr>
      </vt:variant>
      <vt:variant>
        <vt:lpwstr/>
      </vt:variant>
      <vt:variant>
        <vt:i4>393289</vt:i4>
      </vt:variant>
      <vt:variant>
        <vt:i4>3</vt:i4>
      </vt:variant>
      <vt:variant>
        <vt:i4>0</vt:i4>
      </vt:variant>
      <vt:variant>
        <vt:i4>5</vt:i4>
      </vt:variant>
      <vt:variant>
        <vt:lpwstr>https://pwd.org.au/resources/language-guide/</vt:lpwstr>
      </vt:variant>
      <vt:variant>
        <vt:lpwstr/>
      </vt:variant>
      <vt:variant>
        <vt:i4>2293861</vt:i4>
      </vt:variant>
      <vt:variant>
        <vt:i4>0</vt:i4>
      </vt:variant>
      <vt:variant>
        <vt:i4>0</vt:i4>
      </vt:variant>
      <vt:variant>
        <vt:i4>5</vt:i4>
      </vt:variant>
      <vt:variant>
        <vt:lpwstr>https://www.stylemanual.gov.au/referencing-and-attribution/documentary-note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GOS-L National Report - Accessible</dc:title>
  <dc:subject/>
  <dc:creator>KORDA,Jordan</dc:creator>
  <cp:keywords/>
  <dc:description/>
  <cp:lastModifiedBy>Diana Nguyen</cp:lastModifiedBy>
  <cp:revision>6</cp:revision>
  <cp:lastPrinted>2025-10-16T23:40:00Z</cp:lastPrinted>
  <dcterms:created xsi:type="dcterms:W3CDTF">2026-04-26T23:31:00Z</dcterms:created>
  <dcterms:modified xsi:type="dcterms:W3CDTF">2026-05-18T09:16:00Z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0x010100BB98A18D3684994C9C52717DA600DB9E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2025-07-02T05:18:48Z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ec0e4c57-7f07-412e-828d-6dcbf97863eb</vt:lpwstr>
  </property>
  <property fmtid="{D5CDD505-2E9C-101B-9397-08002B2CF9AE}" pid="10" name="MSIP_Label_79d889eb-932f-4752-8739-64d25806ef64_ContentBits">
    <vt:lpwstr>0</vt:lpwstr>
  </property>
  <property fmtid="{D5CDD505-2E9C-101B-9397-08002B2CF9AE}" pid="11" name="MSIP_Label_79d889eb-932f-4752-8739-64d25806ef64_Tag">
    <vt:lpwstr>10, 0, 1, 1</vt:lpwstr>
  </property>
  <property fmtid="{D5CDD505-2E9C-101B-9397-08002B2CF9AE}" pid="12" name="docLang">
    <vt:lpwstr>en</vt:lpwstr>
  </property>
</Properties>
</file>