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9029"/>
        <w:gridCol w:w="2878"/>
      </w:tblGrid>
      <w:tr w:rsidR="005B3B03" w:rsidRPr="000530B1" w14:paraId="630835D3" w14:textId="38E851D2" w:rsidTr="005B3B03">
        <w:trPr>
          <w:cnfStyle w:val="100000000000" w:firstRow="1" w:lastRow="0" w:firstColumn="0" w:lastColumn="0" w:oddVBand="0" w:evenVBand="0" w:oddHBand="0" w:evenHBand="0" w:firstRowFirstColumn="0" w:firstRowLastColumn="0" w:lastRowFirstColumn="0" w:lastRowLastColumn="0"/>
          <w:trHeight w:hRule="exact" w:val="1505"/>
          <w:tblHeader/>
        </w:trPr>
        <w:tc>
          <w:tcPr>
            <w:tcW w:w="9029" w:type="dxa"/>
            <w:vAlign w:val="top"/>
          </w:tcPr>
          <w:p w14:paraId="4DA23641" w14:textId="14D182E6" w:rsidR="005B3B03" w:rsidRPr="000530B1" w:rsidRDefault="005B3B03" w:rsidP="005B3B03">
            <w:pPr>
              <w:pStyle w:val="Body"/>
              <w:tabs>
                <w:tab w:val="right" w:pos="11085"/>
              </w:tabs>
              <w:spacing w:before="0" w:after="0" w:line="240" w:lineRule="auto"/>
              <w:ind w:left="397" w:right="397"/>
              <w:rPr>
                <w:color w:val="DE2060" w:themeColor="accent1"/>
              </w:rPr>
            </w:pPr>
            <w:r w:rsidRPr="000530B1">
              <w:rPr>
                <w:noProof/>
                <w:color w:val="DE2060" w:themeColor="accent1"/>
              </w:rPr>
              <w:drawing>
                <wp:inline distT="0" distB="0" distL="0" distR="0" wp14:anchorId="2F3032BF" wp14:editId="39D29BD5">
                  <wp:extent cx="1685925" cy="664152"/>
                  <wp:effectExtent l="0" t="0" r="0" b="3175"/>
                  <wp:docPr id="10745254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525487"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1685925" cy="664152"/>
                          </a:xfrm>
                          <a:prstGeom prst="rect">
                            <a:avLst/>
                          </a:prstGeom>
                        </pic:spPr>
                      </pic:pic>
                    </a:graphicData>
                  </a:graphic>
                </wp:inline>
              </w:drawing>
            </w:r>
          </w:p>
        </w:tc>
        <w:tc>
          <w:tcPr>
            <w:tcW w:w="2878" w:type="dxa"/>
            <w:vAlign w:val="top"/>
          </w:tcPr>
          <w:p w14:paraId="4397C652" w14:textId="70F2F493" w:rsidR="005B3B03" w:rsidRPr="000530B1" w:rsidRDefault="005B3B03" w:rsidP="005B3B03">
            <w:pPr>
              <w:pStyle w:val="Body"/>
              <w:tabs>
                <w:tab w:val="right" w:pos="11085"/>
              </w:tabs>
              <w:spacing w:before="0" w:after="0" w:line="240" w:lineRule="auto"/>
              <w:ind w:right="397"/>
              <w:jc w:val="right"/>
              <w:rPr>
                <w:noProof/>
                <w:color w:val="DE2060" w:themeColor="accent1"/>
              </w:rPr>
            </w:pPr>
            <w:r w:rsidRPr="000530B1">
              <w:rPr>
                <w:noProof/>
                <w:color w:val="DE2060" w:themeColor="accent1"/>
              </w:rPr>
              <w:drawing>
                <wp:inline distT="0" distB="0" distL="0" distR="0" wp14:anchorId="6600CBBD" wp14:editId="01766327">
                  <wp:extent cx="1457325" cy="485775"/>
                  <wp:effectExtent l="0" t="0" r="9525" b="9525"/>
                  <wp:docPr id="20833111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11158"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96DAC541-7B7A-43D3-8B79-37D633B846F1}">
                                <asvg:svgBlip xmlns:asvg="http://schemas.microsoft.com/office/drawing/2016/SVG/main" r:embed="rId14"/>
                              </a:ext>
                            </a:extLst>
                          </a:blip>
                          <a:stretch>
                            <a:fillRect/>
                          </a:stretch>
                        </pic:blipFill>
                        <pic:spPr bwMode="auto">
                          <a:xfrm>
                            <a:off x="0" y="0"/>
                            <a:ext cx="1457325" cy="485775"/>
                          </a:xfrm>
                          <a:prstGeom prst="rect">
                            <a:avLst/>
                          </a:prstGeom>
                        </pic:spPr>
                      </pic:pic>
                    </a:graphicData>
                  </a:graphic>
                </wp:inline>
              </w:drawing>
            </w:r>
          </w:p>
        </w:tc>
      </w:tr>
    </w:tbl>
    <w:p w14:paraId="1232AF62" w14:textId="542062D8" w:rsidR="005B3B03" w:rsidRPr="000530B1" w:rsidRDefault="00B226DC" w:rsidP="005B3B03">
      <w:pPr>
        <w:pStyle w:val="Title"/>
        <w:tabs>
          <w:tab w:val="left" w:pos="9029"/>
        </w:tabs>
        <w:spacing w:after="120"/>
        <w:ind w:right="397"/>
        <w:rPr>
          <w:color w:val="4C4C4C"/>
          <w:sz w:val="72"/>
          <w:szCs w:val="72"/>
        </w:rPr>
      </w:pPr>
      <w:r w:rsidRPr="000530B1">
        <w:rPr>
          <w:color w:val="4C4C4C"/>
          <w:sz w:val="72"/>
          <w:szCs w:val="72"/>
        </w:rPr>
        <w:t>2025 Student Experience Survey</w:t>
      </w:r>
    </w:p>
    <w:p w14:paraId="3D7EF6FA" w14:textId="77777777" w:rsidR="005B3B03" w:rsidRPr="000530B1" w:rsidRDefault="005B3B03" w:rsidP="005B3B03">
      <w:pPr>
        <w:pStyle w:val="Body"/>
        <w:spacing w:before="0" w:after="360" w:line="240" w:lineRule="auto"/>
        <w:ind w:left="397" w:right="397"/>
        <w:rPr>
          <w:b/>
          <w:bCs/>
          <w:color w:val="DE2060" w:themeColor="accent1"/>
        </w:rPr>
      </w:pPr>
      <w:r w:rsidRPr="000530B1">
        <w:rPr>
          <w:bCs/>
          <w:noProof/>
          <w:color w:val="DE2060" w:themeColor="accent1"/>
        </w:rPr>
        <mc:AlternateContent>
          <mc:Choice Requires="wps">
            <w:drawing>
              <wp:inline distT="0" distB="0" distL="0" distR="0" wp14:anchorId="23F76C6D" wp14:editId="66075974">
                <wp:extent cx="540000" cy="0"/>
                <wp:effectExtent l="0" t="12700" r="19050" b="12700"/>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rgbClr val="EE3B6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96C7FCB" id="Straight Connector 3" o:spid="_x0000_s1026" alt="&quot;&quot;" style="visibility:visible;mso-wrap-style:square;mso-left-percent:-10001;mso-top-percent:-10001;mso-position-horizontal:absolute;mso-position-horizontal-relative:char;mso-position-vertical:absolute;mso-position-vertical-relative:line;mso-left-percent:-10001;mso-top-percent:-10001" from="0,0" to="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" strokecolor="#ee3b6f" strokeweight="1.5pt">
                <v:stroke joinstyle="miter"/>
                <w10:anchorlock/>
              </v:line>
            </w:pict>
          </mc:Fallback>
        </mc:AlternateContent>
      </w:r>
    </w:p>
    <w:p w14:paraId="4AD5AD63" w14:textId="753878C7" w:rsidR="005B3B03" w:rsidRPr="000530B1" w:rsidRDefault="00812897" w:rsidP="005B3B03">
      <w:pPr>
        <w:pStyle w:val="Body"/>
        <w:spacing w:before="0" w:after="0" w:line="240" w:lineRule="auto"/>
        <w:ind w:left="397" w:right="397"/>
        <w:rPr>
          <w:b/>
          <w:bCs/>
          <w:color w:val="4C4C4C"/>
          <w:sz w:val="40"/>
          <w:szCs w:val="40"/>
        </w:rPr>
      </w:pPr>
      <w:r w:rsidRPr="000530B1">
        <w:rPr>
          <w:bCs/>
          <w:color w:val="4C4C4C"/>
          <w:sz w:val="40"/>
          <w:szCs w:val="40"/>
        </w:rPr>
        <w:t>National Report</w:t>
      </w:r>
    </w:p>
    <w:p w14:paraId="02697D45" w14:textId="04812CA3" w:rsidR="005B3B03" w:rsidRPr="000530B1" w:rsidRDefault="006B3257" w:rsidP="00367EF1">
      <w:pPr>
        <w:pStyle w:val="Body"/>
        <w:tabs>
          <w:tab w:val="left" w:pos="9029"/>
        </w:tabs>
        <w:spacing w:before="0" w:after="960" w:line="240" w:lineRule="auto"/>
        <w:ind w:left="397" w:right="397"/>
        <w:rPr>
          <w:bCs/>
          <w:noProof/>
          <w:color w:val="DE2060" w:themeColor="accent1"/>
        </w:rPr>
      </w:pPr>
      <w:r>
        <w:rPr>
          <w:bCs/>
          <w:color w:val="4C4C4C"/>
          <w:sz w:val="28"/>
          <w:szCs w:val="28"/>
        </w:rPr>
        <w:t>September</w:t>
      </w:r>
      <w:r w:rsidRPr="000530B1">
        <w:rPr>
          <w:bCs/>
          <w:color w:val="4C4C4C"/>
          <w:sz w:val="28"/>
          <w:szCs w:val="28"/>
        </w:rPr>
        <w:t xml:space="preserve"> </w:t>
      </w:r>
      <w:r w:rsidR="00812897" w:rsidRPr="000530B1">
        <w:rPr>
          <w:bCs/>
          <w:color w:val="4C4C4C"/>
          <w:sz w:val="28"/>
          <w:szCs w:val="28"/>
        </w:rPr>
        <w:t>2026</w:t>
      </w:r>
    </w:p>
    <w:p w14:paraId="46955641" w14:textId="26EC8251" w:rsidR="00C96E9B" w:rsidRPr="000530B1" w:rsidRDefault="001971B4" w:rsidP="00A93175">
      <w:pPr>
        <w:pStyle w:val="Body"/>
        <w:spacing w:before="0" w:after="0" w:line="240" w:lineRule="auto"/>
        <w:jc w:val="center"/>
      </w:pPr>
      <w:bookmarkStart w:id="0" w:name="_Hlk119606448"/>
      <w:r w:rsidRPr="000530B1">
        <w:rPr>
          <w:noProof/>
        </w:rPr>
        <w:drawing>
          <wp:inline distT="0" distB="0" distL="0" distR="0" wp14:anchorId="4FD1EF2A" wp14:editId="64452D06">
            <wp:extent cx="7563954" cy="5868000"/>
            <wp:effectExtent l="0" t="0" r="5715" b="0"/>
            <wp:docPr id="18392521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5213" name="Picture 3">
                      <a:extLst>
                        <a:ext uri="{C183D7F6-B498-43B3-948B-1728B52AA6E4}">
                          <adec:decorative xmlns:adec="http://schemas.microsoft.com/office/drawing/2017/decorative" val="1"/>
                        </a:ext>
                      </a:extLst>
                    </pic:cNvPr>
                    <pic:cNvPicPr>
                      <a:picLocks noChangeAspect="1" noChangeArrowheads="1"/>
                    </pic:cNvPicPr>
                  </pic:nvPicPr>
                  <pic:blipFill>
                    <a:blip r:embed="rId15">
                      <a:extLst>
                        <a:ext uri="{96DAC541-7B7A-43D3-8B79-37D633B846F1}">
                          <asvg:svgBlip xmlns:asvg="http://schemas.microsoft.com/office/drawing/2016/SVG/main" r:embed="rId16"/>
                        </a:ext>
                      </a:extLst>
                    </a:blip>
                    <a:stretch>
                      <a:fillRect/>
                    </a:stretch>
                  </pic:blipFill>
                  <pic:spPr bwMode="auto">
                    <a:xfrm>
                      <a:off x="0" y="0"/>
                      <a:ext cx="7563954" cy="5868000"/>
                    </a:xfrm>
                    <a:prstGeom prst="rect">
                      <a:avLst/>
                    </a:prstGeom>
                  </pic:spPr>
                </pic:pic>
              </a:graphicData>
            </a:graphic>
          </wp:inline>
        </w:drawing>
      </w:r>
    </w:p>
    <w:p w14:paraId="7CFCC196" w14:textId="351592FE" w:rsidR="00C96E9B" w:rsidRPr="000530B1" w:rsidRDefault="00616E88" w:rsidP="00165416">
      <w:pPr>
        <w:pStyle w:val="Body"/>
        <w:spacing w:before="240" w:after="0" w:line="240" w:lineRule="auto"/>
        <w:ind w:right="397"/>
        <w:jc w:val="right"/>
        <w:sectPr w:rsidR="00C96E9B" w:rsidRPr="000530B1" w:rsidSect="002D7A52">
          <w:pgSz w:w="11906" w:h="16838" w:code="9"/>
          <w:pgMar w:top="397" w:right="0" w:bottom="0" w:left="0" w:header="397" w:footer="0" w:gutter="0"/>
          <w:pgNumType w:fmt="lowerRoman" w:start="1"/>
          <w:cols w:space="708"/>
          <w:docGrid w:linePitch="360"/>
        </w:sectPr>
      </w:pPr>
      <w:r w:rsidRPr="000530B1">
        <w:rPr>
          <w:noProof/>
        </w:rPr>
        <w:drawing>
          <wp:inline distT="0" distB="0" distL="0" distR="0" wp14:anchorId="38DFD567" wp14:editId="302F6063">
            <wp:extent cx="1289598" cy="535305"/>
            <wp:effectExtent l="0" t="0" r="6350" b="0"/>
            <wp:docPr id="47212436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24368" name="Picture 1">
                      <a:extLst>
                        <a:ext uri="{C183D7F6-B498-43B3-948B-1728B52AA6E4}">
                          <adec:decorative xmlns:adec="http://schemas.microsoft.com/office/drawing/2017/decorative" val="1"/>
                        </a:ext>
                      </a:extLst>
                    </pic:cNvPr>
                    <pic:cNvPicPr>
                      <a:picLocks noChangeAspect="1" noChangeArrowheads="1"/>
                    </pic:cNvPicPr>
                  </pic:nvPicPr>
                  <pic:blipFill>
                    <a:blip r:embed="rId17">
                      <a:extLst>
                        <a:ext uri="{96DAC541-7B7A-43D3-8B79-37D633B846F1}">
                          <asvg:svgBlip xmlns:asvg="http://schemas.microsoft.com/office/drawing/2016/SVG/main" r:embed="rId18"/>
                        </a:ext>
                      </a:extLst>
                    </a:blip>
                    <a:stretch>
                      <a:fillRect/>
                    </a:stretch>
                  </pic:blipFill>
                  <pic:spPr bwMode="auto">
                    <a:xfrm>
                      <a:off x="0" y="0"/>
                      <a:ext cx="1289598" cy="535305"/>
                    </a:xfrm>
                    <a:prstGeom prst="rect">
                      <a:avLst/>
                    </a:prstGeom>
                  </pic:spPr>
                </pic:pic>
              </a:graphicData>
            </a:graphic>
          </wp:inline>
        </w:drawing>
      </w:r>
    </w:p>
    <w:p w14:paraId="15C55F86" w14:textId="6BC725B8" w:rsidR="003579F0" w:rsidRDefault="003579F0" w:rsidP="003579F0">
      <w:pPr>
        <w:pStyle w:val="MajorHeadingaccessible"/>
      </w:pPr>
      <w:bookmarkStart w:id="1" w:name="_Toc115109848"/>
      <w:bookmarkStart w:id="2" w:name="_Hlk113616757"/>
      <w:bookmarkStart w:id="3" w:name="_Toc239764776"/>
      <w:r>
        <w:lastRenderedPageBreak/>
        <w:t>Acknowledgments</w:t>
      </w:r>
      <w:bookmarkEnd w:id="3"/>
    </w:p>
    <w:p w14:paraId="4FEE5725" w14:textId="77777777" w:rsidR="003579F0" w:rsidRPr="000530B1" w:rsidRDefault="003579F0" w:rsidP="003579F0">
      <w:pPr>
        <w:pStyle w:val="Body"/>
      </w:pPr>
      <w:r w:rsidRPr="000530B1">
        <w:t>The Quality Indicators for Learning and Teaching (QILT) survey program, including the Student Experience Survey (SES), is funded by the Australian Government Department of Education (Department of Education).</w:t>
      </w:r>
    </w:p>
    <w:p w14:paraId="0591FA84" w14:textId="77777777" w:rsidR="003579F0" w:rsidRPr="000530B1" w:rsidRDefault="003579F0" w:rsidP="003579F0">
      <w:pPr>
        <w:pStyle w:val="Body"/>
      </w:pPr>
      <w:r w:rsidRPr="000530B1">
        <w:t>The Department of Education and the Social Research Centre acknowledge the Traditional Custodians of the lands and waters on which this research was conducted. We pay our respects to Elders, past, present and emerging.</w:t>
      </w:r>
    </w:p>
    <w:p w14:paraId="4C4445C9" w14:textId="77777777" w:rsidR="003579F0" w:rsidRPr="000530B1" w:rsidRDefault="003579F0" w:rsidP="003579F0">
      <w:pPr>
        <w:pStyle w:val="Body"/>
      </w:pPr>
      <w:r w:rsidRPr="000530B1">
        <w:t>The Social Research Centre would like to thank the higher education institutions that contributed to the SES in 2025. Without the enthusiastic and committed assistance of the survey managers and institutional planners, the 2025 SES would not have been such a success.</w:t>
      </w:r>
    </w:p>
    <w:p w14:paraId="723613D2" w14:textId="77777777" w:rsidR="003579F0" w:rsidRPr="000530B1" w:rsidRDefault="003579F0" w:rsidP="003579F0">
      <w:pPr>
        <w:pStyle w:val="Body"/>
      </w:pPr>
      <w:r w:rsidRPr="000530B1">
        <w:t>We are also very grateful to the students who took the time to provide valuable feedback about their student experience. Institutions use SES data for benchmarking and continuous improvement initiatives. In addition, prospective students use SES data to assist in making informed decisions about future study.</w:t>
      </w:r>
    </w:p>
    <w:p w14:paraId="18810383" w14:textId="77777777" w:rsidR="00195AC2" w:rsidRPr="000530B1" w:rsidRDefault="00195AC2" w:rsidP="00195AC2">
      <w:pPr>
        <w:pStyle w:val="Body"/>
      </w:pPr>
      <w:r w:rsidRPr="000530B1">
        <w:t xml:space="preserve">The 2025 SES was led by Graham </w:t>
      </w:r>
      <w:proofErr w:type="spellStart"/>
      <w:r w:rsidRPr="000530B1">
        <w:t>Challice</w:t>
      </w:r>
      <w:proofErr w:type="spellEnd"/>
      <w:r w:rsidRPr="000530B1">
        <w:t xml:space="preserve"> and the project team consisted of Dr Angela Baker, Lauren Spencer, Vicky Tong, Michael Allan, Cynthia Kim, Dr Gabriel Ong, Emmanuel Mnatzaganian, </w:t>
      </w:r>
      <w:r>
        <w:t xml:space="preserve">Benjamin Desta, Hannah Madison, Jake Edelman, </w:t>
      </w:r>
      <w:r w:rsidRPr="000530B1">
        <w:t xml:space="preserve">Rahul Bet, Rawan Habibeh, Joe Feng, Erika </w:t>
      </w:r>
      <w:proofErr w:type="spellStart"/>
      <w:r w:rsidRPr="000530B1">
        <w:t>Sitnai</w:t>
      </w:r>
      <w:proofErr w:type="spellEnd"/>
      <w:r w:rsidRPr="000530B1">
        <w:t xml:space="preserve">, </w:t>
      </w:r>
      <w:r>
        <w:t>Josh Bach</w:t>
      </w:r>
      <w:r w:rsidRPr="000530B1">
        <w:t>and Serena Kim.</w:t>
      </w:r>
    </w:p>
    <w:p w14:paraId="5942BA24" w14:textId="77777777" w:rsidR="003579F0" w:rsidRPr="000530B1" w:rsidRDefault="003579F0" w:rsidP="003579F0">
      <w:pPr>
        <w:pStyle w:val="Body"/>
      </w:pPr>
      <w:r w:rsidRPr="000530B1">
        <w:t>For more information about the 2025 SES, including how it was conducted, visit the QILT website: www.qilt.edu.au</w:t>
      </w:r>
    </w:p>
    <w:p w14:paraId="45C02D46" w14:textId="575585F2" w:rsidR="003579F0" w:rsidRDefault="003579F0" w:rsidP="003462D6">
      <w:pPr>
        <w:pStyle w:val="Body"/>
      </w:pPr>
      <w:r w:rsidRPr="000530B1">
        <w:t xml:space="preserve">Email the QILT team at </w:t>
      </w:r>
      <w:hyperlink r:id="rId19" w:history="1">
        <w:r w:rsidRPr="000530B1">
          <w:rPr>
            <w:rStyle w:val="Hyperlink"/>
          </w:rPr>
          <w:t>qilt@srcentre.com.au</w:t>
        </w:r>
      </w:hyperlink>
      <w:r w:rsidRPr="000530B1">
        <w:t>.</w:t>
      </w:r>
    </w:p>
    <w:p w14:paraId="7895B882" w14:textId="77777777" w:rsidR="003579F0" w:rsidRPr="000530B1" w:rsidRDefault="003579F0" w:rsidP="003579F0">
      <w:pPr>
        <w:pStyle w:val="SubHeading1accessible"/>
      </w:pPr>
      <w:r w:rsidRPr="000530B1">
        <w:t>Terminology</w:t>
      </w:r>
    </w:p>
    <w:p w14:paraId="22D44A84" w14:textId="77777777" w:rsidR="003579F0" w:rsidRPr="000530B1" w:rsidRDefault="003579F0" w:rsidP="003579F0">
      <w:pPr>
        <w:pStyle w:val="SubHeading2accessible"/>
      </w:pPr>
      <w:r w:rsidRPr="000530B1">
        <w:t>‘First Nations’</w:t>
      </w:r>
    </w:p>
    <w:p w14:paraId="453B6406" w14:textId="3C747547" w:rsidR="003579F0" w:rsidRPr="000530B1" w:rsidRDefault="003579F0" w:rsidP="003579F0">
      <w:pPr>
        <w:pStyle w:val="Body"/>
      </w:pPr>
      <w:r w:rsidRPr="000530B1">
        <w:t>In recognition of the national scope of this research, this report uses the term ‘First Nations’ to encompass both Aboriginal and Torres Strait Islander peoples.</w:t>
      </w:r>
    </w:p>
    <w:p w14:paraId="12790B41" w14:textId="67C645E6" w:rsidR="003579F0" w:rsidRPr="000530B1" w:rsidRDefault="003579F0" w:rsidP="003579F0">
      <w:pPr>
        <w:pStyle w:val="Body"/>
      </w:pPr>
      <w:r w:rsidRPr="000530B1">
        <w:t>We deeply respect the rich diversity of communities, identities and clans among First Nations peoples and acknowledge there may be preferences to be known by a specific group name or Country, or as Traditional Owners and Custodians.</w:t>
      </w:r>
    </w:p>
    <w:p w14:paraId="3FD045F7" w14:textId="3418E847" w:rsidR="00F2581A" w:rsidRDefault="003579F0" w:rsidP="003579F0">
      <w:pPr>
        <w:pStyle w:val="Body"/>
        <w:sectPr w:rsidR="00F2581A" w:rsidSect="002D7A52">
          <w:footerReference w:type="even" r:id="rId20"/>
          <w:footerReference w:type="default" r:id="rId21"/>
          <w:footerReference w:type="first" r:id="rId22"/>
          <w:pgSz w:w="11906" w:h="16838" w:code="9"/>
          <w:pgMar w:top="1134" w:right="851" w:bottom="1134" w:left="851" w:header="567" w:footer="567" w:gutter="0"/>
          <w:pgNumType w:fmt="lowerRoman"/>
          <w:cols w:space="708"/>
          <w:docGrid w:linePitch="360"/>
        </w:sectPr>
      </w:pPr>
      <w:r w:rsidRPr="000530B1">
        <w:t>The terminology used in this report reflects a considered and deliberate approach to be inclusive by using ‘non-Indigenous students’ when referring to students who do not identify as an Aboriginal and/or Torres Strait Islander person in Australia. This does not infer any disrespect to those who identify as an Indigenous person from another</w:t>
      </w:r>
      <w:r>
        <w:t> </w:t>
      </w:r>
      <w:r w:rsidRPr="000530B1">
        <w:t>country</w:t>
      </w:r>
    </w:p>
    <w:p w14:paraId="2F492C3A" w14:textId="77777777" w:rsidR="00B37A22" w:rsidRPr="000530B1" w:rsidRDefault="00D44BA3" w:rsidP="00BE3345">
      <w:pPr>
        <w:pStyle w:val="MajorHeadingaccessible"/>
      </w:pPr>
      <w:bookmarkStart w:id="4" w:name="_Toc239764777"/>
      <w:r w:rsidRPr="000530B1">
        <w:lastRenderedPageBreak/>
        <w:t>Executive summary</w:t>
      </w:r>
      <w:bookmarkEnd w:id="1"/>
      <w:bookmarkEnd w:id="4"/>
    </w:p>
    <w:p w14:paraId="63858A9C" w14:textId="49DC527C" w:rsidR="00BC1E7C" w:rsidRPr="000530B1" w:rsidRDefault="00BC1E7C" w:rsidP="00BC1E7C">
      <w:pPr>
        <w:spacing w:before="120" w:after="120" w:line="300" w:lineRule="auto"/>
        <w:rPr>
          <w:rFonts w:ascii="Aptos" w:hAnsi="Aptos"/>
          <w:szCs w:val="20"/>
          <w:lang w:val="en-US" w:eastAsia="ja-JP"/>
        </w:rPr>
      </w:pPr>
      <w:r w:rsidRPr="000530B1">
        <w:rPr>
          <w:rFonts w:eastAsia="Times New Roman" w:cs="Times New Roman"/>
          <w:szCs w:val="20"/>
          <w:lang w:val="en-GB" w:eastAsia="en-GB"/>
        </w:rPr>
        <w:t xml:space="preserve">The Student Experience Survey (SES) is </w:t>
      </w:r>
      <w:r w:rsidRPr="000530B1">
        <w:rPr>
          <w:szCs w:val="20"/>
          <w:lang w:val="en-GB" w:eastAsia="en-GB"/>
        </w:rPr>
        <w:t xml:space="preserve">one of 4 surveys included in </w:t>
      </w:r>
      <w:r w:rsidRPr="000530B1">
        <w:rPr>
          <w:rFonts w:eastAsia="Times New Roman" w:cs="Times New Roman"/>
          <w:szCs w:val="20"/>
          <w:lang w:val="en-GB" w:eastAsia="en-GB"/>
        </w:rPr>
        <w:t>the Quality Indicators for Learning and Teaching (QILT) suite</w:t>
      </w:r>
      <w:r w:rsidRPr="000530B1">
        <w:rPr>
          <w:szCs w:val="20"/>
          <w:lang w:val="en-GB" w:eastAsia="en-GB"/>
        </w:rPr>
        <w:t xml:space="preserve">. </w:t>
      </w:r>
      <w:r w:rsidRPr="000530B1">
        <w:rPr>
          <w:rFonts w:eastAsia="Arial" w:cs="Arial"/>
          <w:szCs w:val="20"/>
          <w:lang w:val="en-US" w:eastAsia="ja-JP"/>
        </w:rPr>
        <w:t xml:space="preserve">The SES provides a national framework for collecting data on key aspects of the higher education student experience. These key aspects are referred to in SES as the 5 focus areas and comprised of: </w:t>
      </w:r>
      <w:r w:rsidRPr="000530B1">
        <w:rPr>
          <w:rFonts w:eastAsia="Times New Roman" w:cs="Times New Roman"/>
          <w:szCs w:val="20"/>
          <w:lang w:val="en-GB" w:eastAsia="en-GB"/>
        </w:rPr>
        <w:t>Teaching Quality and Engagement, Skills Development, Learning Resources, Student Support and Services, and Peer Engagement. Additionally, the SES includes a single stand-alone item measuring Overall Educational Experience. All students enrolled in non-university higher education institutions (NUHEI</w:t>
      </w:r>
      <w:r w:rsidR="00382CA5" w:rsidRPr="000530B1">
        <w:rPr>
          <w:rFonts w:eastAsia="Times New Roman" w:cs="Times New Roman"/>
          <w:szCs w:val="20"/>
          <w:lang w:val="en-GB" w:eastAsia="en-GB"/>
        </w:rPr>
        <w:t>s</w:t>
      </w:r>
      <w:r w:rsidRPr="000530B1">
        <w:rPr>
          <w:rFonts w:eastAsia="Times New Roman" w:cs="Times New Roman"/>
          <w:szCs w:val="20"/>
          <w:lang w:val="en-GB" w:eastAsia="en-GB"/>
        </w:rPr>
        <w:t xml:space="preserve">) and students enrolled in a university in their </w:t>
      </w:r>
      <w:r w:rsidR="00727BCC" w:rsidRPr="000530B1">
        <w:rPr>
          <w:rFonts w:eastAsia="Times New Roman" w:cs="Times New Roman"/>
          <w:szCs w:val="20"/>
          <w:lang w:val="en-GB" w:eastAsia="en-GB"/>
        </w:rPr>
        <w:t>commencing and later</w:t>
      </w:r>
      <w:r w:rsidRPr="000530B1">
        <w:rPr>
          <w:rFonts w:eastAsia="Times New Roman" w:cs="Times New Roman"/>
          <w:szCs w:val="20"/>
          <w:lang w:val="en-GB" w:eastAsia="en-GB"/>
        </w:rPr>
        <w:t xml:space="preserve"> year of study in an undergraduate or postgraduate coursework higher education degree studying onshore are invited to take </w:t>
      </w:r>
      <w:r w:rsidRPr="000530B1">
        <w:rPr>
          <w:szCs w:val="20"/>
          <w:lang w:val="en-GB" w:eastAsia="en-GB"/>
        </w:rPr>
        <w:t xml:space="preserve">part in </w:t>
      </w:r>
      <w:r w:rsidRPr="000530B1">
        <w:rPr>
          <w:rFonts w:eastAsia="Times New Roman" w:cs="Times New Roman"/>
          <w:szCs w:val="20"/>
          <w:lang w:val="en-GB" w:eastAsia="en-GB"/>
        </w:rPr>
        <w:t xml:space="preserve">the SES. The 2025 SES </w:t>
      </w:r>
      <w:r w:rsidR="00421881" w:rsidRPr="000530B1">
        <w:rPr>
          <w:rFonts w:eastAsia="Times New Roman" w:cs="Times New Roman"/>
          <w:szCs w:val="20"/>
          <w:lang w:val="en-GB" w:eastAsia="en-GB"/>
        </w:rPr>
        <w:t>National</w:t>
      </w:r>
      <w:r w:rsidRPr="000530B1">
        <w:rPr>
          <w:rFonts w:eastAsia="Times New Roman" w:cs="Times New Roman"/>
          <w:szCs w:val="20"/>
          <w:lang w:val="en-GB" w:eastAsia="en-GB"/>
        </w:rPr>
        <w:t xml:space="preserve"> Report presents findings for </w:t>
      </w:r>
      <w:r w:rsidR="00421881" w:rsidRPr="000530B1">
        <w:rPr>
          <w:rFonts w:eastAsia="Times New Roman" w:cs="Times New Roman"/>
          <w:szCs w:val="20"/>
          <w:lang w:val="en-GB" w:eastAsia="en-GB"/>
        </w:rPr>
        <w:t>all</w:t>
      </w:r>
      <w:r w:rsidRPr="000530B1">
        <w:rPr>
          <w:rFonts w:eastAsia="Times New Roman" w:cs="Times New Roman"/>
          <w:szCs w:val="20"/>
          <w:lang w:val="en-GB" w:eastAsia="en-GB"/>
        </w:rPr>
        <w:t xml:space="preserve"> students who responded to the SES between August and </w:t>
      </w:r>
      <w:r w:rsidRPr="000530B1">
        <w:rPr>
          <w:szCs w:val="20"/>
          <w:lang w:val="en-GB" w:eastAsia="en-GB"/>
        </w:rPr>
        <w:t>September 2025</w:t>
      </w:r>
      <w:r w:rsidR="00421881" w:rsidRPr="000530B1">
        <w:rPr>
          <w:szCs w:val="20"/>
          <w:lang w:val="en-GB" w:eastAsia="en-GB"/>
        </w:rPr>
        <w:t xml:space="preserve">. </w:t>
      </w:r>
    </w:p>
    <w:p w14:paraId="152363A2" w14:textId="5C57244B" w:rsidR="00BC1E7C" w:rsidRPr="000530B1" w:rsidRDefault="00BC1E7C" w:rsidP="00BC1E7C">
      <w:pPr>
        <w:pStyle w:val="Body"/>
        <w:rPr>
          <w:lang w:val="en-GB" w:eastAsia="en-GB"/>
        </w:rPr>
      </w:pPr>
      <w:r w:rsidRPr="000530B1">
        <w:rPr>
          <w:lang w:val="en-GB" w:eastAsia="en-GB"/>
        </w:rPr>
        <w:t xml:space="preserve">In 2025, more than </w:t>
      </w:r>
      <w:r w:rsidR="00EB337A" w:rsidRPr="000530B1">
        <w:rPr>
          <w:lang w:val="en-GB" w:eastAsia="en-GB"/>
        </w:rPr>
        <w:t>324</w:t>
      </w:r>
      <w:r w:rsidRPr="000530B1">
        <w:rPr>
          <w:lang w:val="en-GB" w:eastAsia="en-GB"/>
        </w:rPr>
        <w:t>,000 students from 153 higher education institutions</w:t>
      </w:r>
      <w:r w:rsidR="00382CA5" w:rsidRPr="000530B1">
        <w:rPr>
          <w:lang w:val="en-GB" w:eastAsia="en-GB"/>
        </w:rPr>
        <w:t xml:space="preserve"> – </w:t>
      </w:r>
      <w:r w:rsidRPr="000530B1">
        <w:rPr>
          <w:lang w:val="en-GB" w:eastAsia="en-GB"/>
        </w:rPr>
        <w:t>including 43 universities</w:t>
      </w:r>
      <w:r w:rsidR="00382CA5" w:rsidRPr="000530B1">
        <w:rPr>
          <w:lang w:val="en-GB" w:eastAsia="en-GB"/>
        </w:rPr>
        <w:t xml:space="preserve"> – participated</w:t>
      </w:r>
      <w:r w:rsidRPr="000530B1">
        <w:rPr>
          <w:lang w:val="en-GB" w:eastAsia="en-GB"/>
        </w:rPr>
        <w:t xml:space="preserve"> in the SES. </w:t>
      </w:r>
    </w:p>
    <w:p w14:paraId="2A08121F" w14:textId="2C36487A" w:rsidR="00BC1E7C" w:rsidRPr="000530B1" w:rsidRDefault="00E5491A" w:rsidP="00BE3345">
      <w:pPr>
        <w:pStyle w:val="SubHeading1accessible"/>
      </w:pPr>
      <w:r w:rsidRPr="000530B1">
        <w:t>Overall student experience increased at the postgraduate coursework level,</w:t>
      </w:r>
      <w:r w:rsidR="006C2A37" w:rsidRPr="000530B1">
        <w:t xml:space="preserve"> while undergraduate ratings </w:t>
      </w:r>
      <w:r w:rsidR="006A146E" w:rsidRPr="000530B1">
        <w:t>remain</w:t>
      </w:r>
      <w:r w:rsidRPr="000530B1">
        <w:t>ed</w:t>
      </w:r>
      <w:r w:rsidR="006A146E" w:rsidRPr="000530B1">
        <w:t xml:space="preserve"> stable</w:t>
      </w:r>
    </w:p>
    <w:p w14:paraId="1599E8D7" w14:textId="5AC3EDC6" w:rsidR="006A146E" w:rsidRPr="000530B1" w:rsidRDefault="00421881" w:rsidP="00FE48F4">
      <w:pPr>
        <w:pStyle w:val="Body"/>
      </w:pPr>
      <w:r w:rsidRPr="000530B1">
        <w:t>In 2025, undergraduate student ratings of Overall Educational Experience remained stable for the third consecutive year and have not returned to the levels seen prior to the pandemic</w:t>
      </w:r>
      <w:r w:rsidR="00761CC9" w:rsidRPr="000530B1">
        <w:t xml:space="preserve"> (</w:t>
      </w:r>
      <w:r w:rsidR="00761CC9" w:rsidRPr="000530B1">
        <w:rPr>
          <w:b/>
          <w:bCs/>
        </w:rPr>
        <w:t xml:space="preserve">Figure </w:t>
      </w:r>
      <w:proofErr w:type="spellStart"/>
      <w:r w:rsidR="0057189F" w:rsidRPr="000530B1">
        <w:rPr>
          <w:b/>
          <w:bCs/>
        </w:rPr>
        <w:t>i</w:t>
      </w:r>
      <w:proofErr w:type="spellEnd"/>
      <w:r w:rsidR="00761CC9" w:rsidRPr="000530B1">
        <w:t>)</w:t>
      </w:r>
      <w:r w:rsidRPr="000530B1">
        <w:t xml:space="preserve">. In contrast, postgraduate coursework ratings </w:t>
      </w:r>
      <w:r w:rsidR="006C2A37" w:rsidRPr="000530B1">
        <w:t>rose slightly, continuing to</w:t>
      </w:r>
      <w:r w:rsidR="00EB337A" w:rsidRPr="000530B1">
        <w:t xml:space="preserve"> </w:t>
      </w:r>
      <w:r w:rsidR="006A146E" w:rsidRPr="000530B1">
        <w:t>exceed</w:t>
      </w:r>
      <w:r w:rsidR="00EB337A" w:rsidRPr="000530B1">
        <w:t xml:space="preserve"> </w:t>
      </w:r>
      <w:r w:rsidR="006C2A37" w:rsidRPr="000530B1">
        <w:t xml:space="preserve">pre-pandemic levels and ratings at the undergraduate level. </w:t>
      </w:r>
      <w:r w:rsidR="006A146E" w:rsidRPr="000530B1">
        <w:t>This trend was relatively consistent across the 5 focus areas in SES. Undergraduate student ratings for the focus areas were broadly stable with small increases to Learning Resources and Peer Engagement, while postgraduate coursework student ratings increased for all focus areas except Peer Engagement.</w:t>
      </w:r>
    </w:p>
    <w:p w14:paraId="216269BE" w14:textId="6EFF8EA0" w:rsidR="006A146E" w:rsidRDefault="006A146E" w:rsidP="00194EE0">
      <w:pPr>
        <w:pStyle w:val="Captionaccessible"/>
      </w:pPr>
      <w:r w:rsidRPr="000530B1">
        <w:t xml:space="preserve">Figure </w:t>
      </w:r>
      <w:r w:rsidR="00A47865">
        <w:t>I</w:t>
      </w:r>
      <w:r w:rsidR="00A47865">
        <w:tab/>
      </w:r>
      <w:r w:rsidRPr="000530B1">
        <w:t>Overall Educational Experience by course level, 2017–25 (% positive rating)</w:t>
      </w:r>
    </w:p>
    <w:p w14:paraId="2EBD391B" w14:textId="231FE2C5" w:rsidR="00FE48F4" w:rsidRPr="000530B1" w:rsidRDefault="00DD038D" w:rsidP="0057189F">
      <w:pPr>
        <w:pStyle w:val="Body"/>
        <w:jc w:val="center"/>
      </w:pPr>
      <w:r>
        <w:rPr>
          <w:noProof/>
        </w:rPr>
        <w:drawing>
          <wp:inline distT="0" distB="0" distL="0" distR="0" wp14:anchorId="7991CA65" wp14:editId="09221150">
            <wp:extent cx="6407097" cy="3009014"/>
            <wp:effectExtent l="0" t="0" r="0" b="1270"/>
            <wp:docPr id="206082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24251" cy="3017070"/>
                    </a:xfrm>
                    <a:prstGeom prst="rect">
                      <a:avLst/>
                    </a:prstGeom>
                    <a:noFill/>
                  </pic:spPr>
                </pic:pic>
              </a:graphicData>
            </a:graphic>
          </wp:inline>
        </w:drawing>
      </w:r>
    </w:p>
    <w:p w14:paraId="5E1D6F8E" w14:textId="53B91F8C" w:rsidR="00BC1E7C" w:rsidRPr="000530B1" w:rsidRDefault="00E5491A" w:rsidP="0057189F">
      <w:pPr>
        <w:pStyle w:val="Subheading2"/>
        <w:rPr>
          <w:bCs w:val="0"/>
          <w:sz w:val="32"/>
          <w:szCs w:val="32"/>
        </w:rPr>
      </w:pPr>
      <w:r w:rsidRPr="000530B1">
        <w:t>On-campus participation plays a key role in the student experience</w:t>
      </w:r>
      <w:r w:rsidR="00B428EF" w:rsidRPr="000530B1">
        <w:t xml:space="preserve"> for internal students</w:t>
      </w:r>
    </w:p>
    <w:p w14:paraId="2162B896" w14:textId="66678EDA" w:rsidR="00013DD1" w:rsidRPr="00C67F69" w:rsidRDefault="009843D0" w:rsidP="00C67F69">
      <w:pPr>
        <w:pStyle w:val="Body"/>
      </w:pPr>
      <w:r w:rsidRPr="000530B1">
        <w:t xml:space="preserve">In the post-pandemic period, many institutions have retained hybrid delivery modes, combining online and on-campus classes and giving students </w:t>
      </w:r>
      <w:r w:rsidR="00E5491A" w:rsidRPr="000530B1">
        <w:t xml:space="preserve">greater flexibility in </w:t>
      </w:r>
      <w:r w:rsidR="00FA36C9" w:rsidRPr="000530B1">
        <w:t>h</w:t>
      </w:r>
      <w:r w:rsidRPr="000530B1">
        <w:t>o</w:t>
      </w:r>
      <w:r w:rsidR="00FA36C9" w:rsidRPr="000530B1">
        <w:t>w</w:t>
      </w:r>
      <w:r w:rsidRPr="000530B1">
        <w:t xml:space="preserve"> they participate</w:t>
      </w:r>
      <w:r w:rsidR="00E5491A" w:rsidRPr="000530B1">
        <w:t xml:space="preserve"> in their higher education</w:t>
      </w:r>
      <w:r w:rsidRPr="000530B1">
        <w:t xml:space="preserve">. </w:t>
      </w:r>
      <w:r w:rsidR="00B428EF" w:rsidRPr="000530B1">
        <w:t>For students enrolled in an internal course</w:t>
      </w:r>
      <w:r w:rsidR="00382CA5" w:rsidRPr="000530B1">
        <w:t xml:space="preserve"> </w:t>
      </w:r>
      <w:r w:rsidR="00382CA5" w:rsidRPr="000530B1">
        <w:rPr>
          <w:lang w:val="en-GB" w:eastAsia="en-GB"/>
        </w:rPr>
        <w:t xml:space="preserve">– </w:t>
      </w:r>
      <w:r w:rsidR="00B428EF" w:rsidRPr="000530B1">
        <w:t>that is, a course where they were expected to undertake at least some of their studies on-campus, around</w:t>
      </w:r>
      <w:r w:rsidR="00E5491A" w:rsidRPr="000530B1">
        <w:t xml:space="preserve"> half of undergraduate students indicated that they participated in their studies all-on </w:t>
      </w:r>
      <w:r w:rsidR="00B428EF" w:rsidRPr="000530B1">
        <w:t>campus</w:t>
      </w:r>
      <w:r w:rsidR="00E5491A" w:rsidRPr="000530B1">
        <w:t xml:space="preserve">. </w:t>
      </w:r>
      <w:r w:rsidR="00B428EF" w:rsidRPr="000530B1">
        <w:t>Across the 5 focus areas, these students were more likely to provide a positive rating compared to those who participated in a hybrid</w:t>
      </w:r>
      <w:r w:rsidR="00D255A1" w:rsidRPr="000530B1">
        <w:t xml:space="preserve"> or online</w:t>
      </w:r>
      <w:r w:rsidR="00F34F56" w:rsidRPr="000530B1">
        <w:t xml:space="preserve"> </w:t>
      </w:r>
      <w:r w:rsidR="00B428EF" w:rsidRPr="000530B1">
        <w:t>capacity.</w:t>
      </w:r>
    </w:p>
    <w:p w14:paraId="2EEAE2D9" w14:textId="169BBC66" w:rsidR="00B428EF" w:rsidRDefault="00B428EF" w:rsidP="00194EE0">
      <w:pPr>
        <w:pStyle w:val="Captionaccessible"/>
      </w:pPr>
      <w:r w:rsidRPr="000530B1">
        <w:lastRenderedPageBreak/>
        <w:t xml:space="preserve">Figure ii – </w:t>
      </w:r>
      <w:r w:rsidR="005326D4" w:rsidRPr="000530B1">
        <w:t xml:space="preserve">Undergraduate </w:t>
      </w:r>
      <w:r w:rsidRPr="000530B1">
        <w:t>Teaching Quality and Engagement by class participation, 2025 (% positive rating)</w:t>
      </w:r>
    </w:p>
    <w:p w14:paraId="49B49693" w14:textId="6FFE96BD" w:rsidR="00F34F56" w:rsidRPr="000530B1" w:rsidRDefault="00DD038D" w:rsidP="001F713E">
      <w:pPr>
        <w:pStyle w:val="Body"/>
        <w:jc w:val="center"/>
        <w:rPr>
          <w:b/>
          <w:bCs/>
        </w:rPr>
      </w:pPr>
      <w:r>
        <w:rPr>
          <w:b/>
          <w:bCs/>
          <w:noProof/>
        </w:rPr>
        <w:drawing>
          <wp:inline distT="0" distB="0" distL="0" distR="0" wp14:anchorId="6A9970B9" wp14:editId="4B575256">
            <wp:extent cx="6407150" cy="2871470"/>
            <wp:effectExtent l="0" t="0" r="0" b="5080"/>
            <wp:docPr id="10465787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07150" cy="2871470"/>
                    </a:xfrm>
                    <a:prstGeom prst="rect">
                      <a:avLst/>
                    </a:prstGeom>
                    <a:noFill/>
                  </pic:spPr>
                </pic:pic>
              </a:graphicData>
            </a:graphic>
          </wp:inline>
        </w:drawing>
      </w:r>
    </w:p>
    <w:p w14:paraId="58D619B3" w14:textId="29CBAF7D" w:rsidR="005F1B9D" w:rsidRPr="000530B1" w:rsidRDefault="00403DA6" w:rsidP="00F60C40">
      <w:pPr>
        <w:pStyle w:val="SubHeading2accessible"/>
        <w:rPr>
          <w:sz w:val="32"/>
          <w:szCs w:val="32"/>
        </w:rPr>
      </w:pPr>
      <w:r w:rsidRPr="000530B1">
        <w:t>Positive results from the Tourism and Health services s</w:t>
      </w:r>
      <w:r w:rsidR="005F1B9D" w:rsidRPr="000530B1">
        <w:t>tudy areas</w:t>
      </w:r>
    </w:p>
    <w:p w14:paraId="321972A8" w14:textId="74722595" w:rsidR="00D31367" w:rsidRPr="000530B1" w:rsidRDefault="005F1B9D" w:rsidP="005F1B9D">
      <w:pPr>
        <w:pStyle w:val="Body"/>
      </w:pPr>
      <w:r w:rsidRPr="000530B1">
        <w:t xml:space="preserve">As with previous years, ratings of student experience tend to vary by study area. In 2025, students from study areas such as </w:t>
      </w:r>
      <w:r w:rsidR="00F34F56" w:rsidRPr="000530B1">
        <w:t>Tourism, hospitality, personal services</w:t>
      </w:r>
      <w:r w:rsidR="00761CC9" w:rsidRPr="000530B1">
        <w:t>,</w:t>
      </w:r>
      <w:r w:rsidR="00F34F56" w:rsidRPr="000530B1">
        <w:t xml:space="preserve"> sport and recreation, and Health services </w:t>
      </w:r>
      <w:r w:rsidR="00761CC9" w:rsidRPr="000530B1">
        <w:t xml:space="preserve">and support </w:t>
      </w:r>
      <w:r w:rsidR="00F34F56" w:rsidRPr="000530B1">
        <w:t>were mo</w:t>
      </w:r>
      <w:r w:rsidR="00403DA6" w:rsidRPr="000530B1">
        <w:t>re</w:t>
      </w:r>
      <w:r w:rsidR="00F34F56" w:rsidRPr="000530B1">
        <w:t xml:space="preserve"> likely </w:t>
      </w:r>
      <w:r w:rsidRPr="000530B1">
        <w:t>to provide positive ratings for their Overall Educational Experience across both undergraduate and postgraduate coursework levels. On the other hand, students from study areas such as</w:t>
      </w:r>
      <w:r w:rsidR="00F34F56" w:rsidRPr="000530B1">
        <w:t xml:space="preserve"> Computing and information systems and Dentistry </w:t>
      </w:r>
      <w:r w:rsidRPr="000530B1">
        <w:t>were le</w:t>
      </w:r>
      <w:r w:rsidR="00403DA6" w:rsidRPr="000530B1">
        <w:t>s</w:t>
      </w:r>
      <w:r w:rsidRPr="000530B1">
        <w:t>s likely to provide positive ratings for their Overall Educational Experience across both coursework levels.</w:t>
      </w:r>
    </w:p>
    <w:p w14:paraId="4667AB74" w14:textId="478454C2" w:rsidR="00BC1E7C" w:rsidRPr="000530B1" w:rsidRDefault="00BC1E7C" w:rsidP="00F60C40">
      <w:pPr>
        <w:pStyle w:val="SubHeading2accessible"/>
        <w:rPr>
          <w:sz w:val="32"/>
          <w:szCs w:val="32"/>
        </w:rPr>
      </w:pPr>
      <w:r w:rsidRPr="000530B1">
        <w:t>Students less likely to consider leaving</w:t>
      </w:r>
    </w:p>
    <w:p w14:paraId="40933B0B" w14:textId="5ADF19D3" w:rsidR="005F1B9D" w:rsidRPr="000530B1" w:rsidRDefault="009669E8" w:rsidP="00BC1E7C">
      <w:pPr>
        <w:pStyle w:val="Body"/>
      </w:pPr>
      <w:r w:rsidRPr="000530B1">
        <w:t>The proportion of students who considered leaving their institution continued to fall in 2025 and is at an all-time low for both undergraduate and postgraduate coursework levels</w:t>
      </w:r>
      <w:r w:rsidR="00761CC9" w:rsidRPr="000530B1">
        <w:t xml:space="preserve"> (</w:t>
      </w:r>
      <w:r w:rsidR="00761CC9" w:rsidRPr="000530B1">
        <w:rPr>
          <w:b/>
          <w:bCs/>
        </w:rPr>
        <w:t>Figure iii</w:t>
      </w:r>
      <w:r w:rsidR="00761CC9" w:rsidRPr="000530B1">
        <w:t>)</w:t>
      </w:r>
      <w:r w:rsidRPr="000530B1">
        <w:t xml:space="preserve">. At both coursework levels, stress levels were the most cited reason students considered leaving their institution. </w:t>
      </w:r>
    </w:p>
    <w:p w14:paraId="7505BECD" w14:textId="650E8BC3" w:rsidR="00F34F56" w:rsidRDefault="00F34F56" w:rsidP="00194EE0">
      <w:pPr>
        <w:pStyle w:val="Captionaccessible"/>
      </w:pPr>
      <w:r w:rsidRPr="000530B1">
        <w:t>Figure iii – Likelihood to consider leaving by course level, 2017</w:t>
      </w:r>
      <w:r w:rsidR="00DD038D">
        <w:t>–</w:t>
      </w:r>
      <w:r w:rsidRPr="000530B1">
        <w:t>25 (%)</w:t>
      </w:r>
    </w:p>
    <w:p w14:paraId="7A34E617" w14:textId="447D5DF9" w:rsidR="00291D4B" w:rsidRPr="000530B1" w:rsidRDefault="008E3A02" w:rsidP="008E3A02">
      <w:pPr>
        <w:pStyle w:val="Body"/>
        <w:spacing w:before="60" w:after="0"/>
      </w:pPr>
      <w:r>
        <w:rPr>
          <w:noProof/>
        </w:rPr>
        <w:drawing>
          <wp:inline distT="0" distB="0" distL="0" distR="0" wp14:anchorId="3D9A9306" wp14:editId="623142F5">
            <wp:extent cx="6408000" cy="3174227"/>
            <wp:effectExtent l="0" t="0" r="0" b="7620"/>
            <wp:docPr id="10913748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8000" cy="3174227"/>
                    </a:xfrm>
                    <a:prstGeom prst="rect">
                      <a:avLst/>
                    </a:prstGeom>
                    <a:noFill/>
                  </pic:spPr>
                </pic:pic>
              </a:graphicData>
            </a:graphic>
          </wp:inline>
        </w:drawing>
      </w:r>
    </w:p>
    <w:p w14:paraId="19970543" w14:textId="3F9F86FB" w:rsidR="00A541D9" w:rsidRPr="000530B1" w:rsidRDefault="003F0059" w:rsidP="00115E06">
      <w:pPr>
        <w:pStyle w:val="SubHeading2accessible"/>
        <w:spacing w:after="120"/>
        <w:rPr>
          <w:sz w:val="32"/>
          <w:szCs w:val="32"/>
        </w:rPr>
      </w:pPr>
      <w:r w:rsidRPr="000530B1">
        <w:lastRenderedPageBreak/>
        <w:t>F</w:t>
      </w:r>
      <w:r w:rsidR="009843D0" w:rsidRPr="000530B1">
        <w:t xml:space="preserve">inancial circumstances </w:t>
      </w:r>
      <w:r w:rsidRPr="000530B1">
        <w:t>negatively affect studies for a quarter of students</w:t>
      </w:r>
    </w:p>
    <w:p w14:paraId="1263315A" w14:textId="6724FB95" w:rsidR="00013DD1" w:rsidRPr="00A167A5" w:rsidRDefault="00761CC9" w:rsidP="00115E06">
      <w:pPr>
        <w:pStyle w:val="Body"/>
        <w:spacing w:after="100"/>
      </w:pPr>
      <w:r w:rsidRPr="000530B1">
        <w:t>T</w:t>
      </w:r>
      <w:r w:rsidR="00A541D9" w:rsidRPr="000530B1">
        <w:t xml:space="preserve">he proportion of students </w:t>
      </w:r>
      <w:r w:rsidR="009843D0" w:rsidRPr="000530B1">
        <w:t xml:space="preserve">who cited financial circumstances as negatively affected their studies </w:t>
      </w:r>
      <w:r w:rsidR="00A541D9" w:rsidRPr="000530B1">
        <w:t>decreased slightl</w:t>
      </w:r>
      <w:r w:rsidR="009843D0" w:rsidRPr="000530B1">
        <w:t>y</w:t>
      </w:r>
      <w:r w:rsidR="007C081E" w:rsidRPr="000530B1">
        <w:t xml:space="preserve"> compared to previous years</w:t>
      </w:r>
      <w:r w:rsidR="00A541D9" w:rsidRPr="000530B1">
        <w:t xml:space="preserve">, however </w:t>
      </w:r>
      <w:r w:rsidR="009843D0" w:rsidRPr="000530B1">
        <w:t>around one quarter of undergraduate and postgraduate coursework students</w:t>
      </w:r>
      <w:r w:rsidR="007C081E" w:rsidRPr="000530B1">
        <w:t xml:space="preserve"> still</w:t>
      </w:r>
      <w:r w:rsidR="00F34F56" w:rsidRPr="000530B1">
        <w:t xml:space="preserve"> </w:t>
      </w:r>
      <w:r w:rsidR="009843D0" w:rsidRPr="000530B1">
        <w:t>report</w:t>
      </w:r>
      <w:r w:rsidR="00F34F56" w:rsidRPr="000530B1">
        <w:t>ed</w:t>
      </w:r>
      <w:r w:rsidR="009843D0" w:rsidRPr="000530B1">
        <w:t xml:space="preserve"> that financial circumstances</w:t>
      </w:r>
      <w:r w:rsidR="007C081E" w:rsidRPr="000530B1">
        <w:t xml:space="preserve"> negatively</w:t>
      </w:r>
      <w:r w:rsidR="009843D0" w:rsidRPr="000530B1">
        <w:t xml:space="preserve"> impacted their studies</w:t>
      </w:r>
      <w:r w:rsidR="007C081E" w:rsidRPr="000530B1">
        <w:t>, and one third of undergraduate and postgraduate coursework students reported that paid work negatively impacted their studies in 2025</w:t>
      </w:r>
      <w:r w:rsidRPr="000530B1">
        <w:t xml:space="preserve"> (</w:t>
      </w:r>
      <w:r w:rsidRPr="000530B1">
        <w:rPr>
          <w:b/>
          <w:bCs/>
        </w:rPr>
        <w:t>Figure iv</w:t>
      </w:r>
      <w:r w:rsidRPr="000530B1">
        <w:t>)</w:t>
      </w:r>
      <w:r w:rsidR="00A541D9" w:rsidRPr="000530B1">
        <w:t>.</w:t>
      </w:r>
    </w:p>
    <w:p w14:paraId="1380FDE1" w14:textId="635015DA" w:rsidR="003F0059" w:rsidRDefault="003F0059" w:rsidP="00FF798E">
      <w:pPr>
        <w:pStyle w:val="Captionaccessible"/>
        <w:spacing w:after="0"/>
      </w:pPr>
      <w:r w:rsidRPr="000530B1">
        <w:t xml:space="preserve">Figure iv – </w:t>
      </w:r>
      <w:r w:rsidR="007C081E" w:rsidRPr="000530B1">
        <w:t>N</w:t>
      </w:r>
      <w:r w:rsidRPr="000530B1">
        <w:t>egative effects on study</w:t>
      </w:r>
      <w:r w:rsidR="007C081E" w:rsidRPr="000530B1">
        <w:t xml:space="preserve"> by course level</w:t>
      </w:r>
      <w:r w:rsidRPr="000530B1">
        <w:t>, 2025 (% negatively affected)</w:t>
      </w:r>
    </w:p>
    <w:p w14:paraId="31077567" w14:textId="1FF5DEEA" w:rsidR="007C081E" w:rsidRPr="000530B1" w:rsidRDefault="005536F9" w:rsidP="005536F9">
      <w:pPr>
        <w:pStyle w:val="Body"/>
        <w:spacing w:before="60" w:after="60"/>
        <w:jc w:val="center"/>
        <w:rPr>
          <w:b/>
          <w:bCs/>
        </w:rPr>
      </w:pPr>
      <w:r>
        <w:rPr>
          <w:b/>
          <w:bCs/>
          <w:noProof/>
        </w:rPr>
        <w:drawing>
          <wp:inline distT="0" distB="0" distL="0" distR="0" wp14:anchorId="183286D8" wp14:editId="72FFF313">
            <wp:extent cx="6408000" cy="3428607"/>
            <wp:effectExtent l="0" t="0" r="0" b="635"/>
            <wp:docPr id="19792739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8000" cy="3428607"/>
                    </a:xfrm>
                    <a:prstGeom prst="rect">
                      <a:avLst/>
                    </a:prstGeom>
                    <a:noFill/>
                  </pic:spPr>
                </pic:pic>
              </a:graphicData>
            </a:graphic>
          </wp:inline>
        </w:drawing>
      </w:r>
    </w:p>
    <w:p w14:paraId="6B1FE329" w14:textId="00AF68D4" w:rsidR="00A96432" w:rsidRPr="000530B1" w:rsidRDefault="00A96432" w:rsidP="00F60C40">
      <w:pPr>
        <w:pStyle w:val="SubHeading2accessible"/>
        <w:rPr>
          <w:sz w:val="32"/>
          <w:szCs w:val="32"/>
        </w:rPr>
      </w:pPr>
      <w:r w:rsidRPr="000530B1">
        <w:t>Sense of belonging</w:t>
      </w:r>
      <w:r w:rsidR="003F0059" w:rsidRPr="000530B1">
        <w:t xml:space="preserve"> for undergraduate students remains below pre</w:t>
      </w:r>
      <w:r w:rsidR="00F60C40">
        <w:t> </w:t>
      </w:r>
      <w:r w:rsidR="003F0059" w:rsidRPr="000530B1">
        <w:t>pandemic</w:t>
      </w:r>
      <w:r w:rsidR="00F60C40">
        <w:t> </w:t>
      </w:r>
      <w:r w:rsidR="003F0059" w:rsidRPr="000530B1">
        <w:t>levels</w:t>
      </w:r>
    </w:p>
    <w:p w14:paraId="0646B6C8" w14:textId="77777777" w:rsidR="00F74C73" w:rsidRPr="00A868B6" w:rsidRDefault="003F0059" w:rsidP="00BC1E7C">
      <w:pPr>
        <w:pStyle w:val="Body"/>
        <w:rPr>
          <w:spacing w:val="-2"/>
        </w:rPr>
      </w:pPr>
      <w:r w:rsidRPr="00A868B6">
        <w:rPr>
          <w:spacing w:val="-2"/>
        </w:rPr>
        <w:t>Across both coursework levels, t</w:t>
      </w:r>
      <w:r w:rsidR="009669E8" w:rsidRPr="00A868B6">
        <w:rPr>
          <w:spacing w:val="-2"/>
        </w:rPr>
        <w:t xml:space="preserve">here were slight increases </w:t>
      </w:r>
      <w:r w:rsidRPr="00A868B6">
        <w:rPr>
          <w:spacing w:val="-2"/>
        </w:rPr>
        <w:t>to</w:t>
      </w:r>
      <w:r w:rsidR="009669E8" w:rsidRPr="00A868B6">
        <w:rPr>
          <w:spacing w:val="-2"/>
        </w:rPr>
        <w:t xml:space="preserve"> sense of belonging in 2025.</w:t>
      </w:r>
      <w:r w:rsidRPr="00A868B6">
        <w:rPr>
          <w:spacing w:val="-2"/>
        </w:rPr>
        <w:t xml:space="preserve"> Ratings of sense of belonging for p</w:t>
      </w:r>
      <w:r w:rsidR="009669E8" w:rsidRPr="00A868B6">
        <w:rPr>
          <w:spacing w:val="-2"/>
        </w:rPr>
        <w:t>ostgraduate coursework students now exceed pre-pandemic levels</w:t>
      </w:r>
      <w:r w:rsidRPr="00A868B6">
        <w:rPr>
          <w:spacing w:val="-2"/>
        </w:rPr>
        <w:t>, but undergraduate student ratings remain below pre-pandemic levels</w:t>
      </w:r>
      <w:r w:rsidR="009669E8" w:rsidRPr="00A868B6">
        <w:rPr>
          <w:spacing w:val="-2"/>
        </w:rPr>
        <w:t xml:space="preserve">. </w:t>
      </w:r>
      <w:r w:rsidR="00BA0F8B" w:rsidRPr="00A868B6">
        <w:rPr>
          <w:spacing w:val="-2"/>
        </w:rPr>
        <w:t xml:space="preserve">As with Overall Educational Experience </w:t>
      </w:r>
      <w:r w:rsidRPr="00A868B6">
        <w:rPr>
          <w:spacing w:val="-2"/>
        </w:rPr>
        <w:t xml:space="preserve">and the </w:t>
      </w:r>
      <w:r w:rsidR="009350E6" w:rsidRPr="00A868B6">
        <w:rPr>
          <w:spacing w:val="-2"/>
        </w:rPr>
        <w:t xml:space="preserve">focus area </w:t>
      </w:r>
      <w:r w:rsidR="00403DA6" w:rsidRPr="00A868B6">
        <w:rPr>
          <w:spacing w:val="-2"/>
        </w:rPr>
        <w:t>ratings</w:t>
      </w:r>
      <w:r w:rsidR="009350E6" w:rsidRPr="00A868B6">
        <w:rPr>
          <w:spacing w:val="-2"/>
        </w:rPr>
        <w:t>, those who participated in their classes on</w:t>
      </w:r>
      <w:r w:rsidR="0057189F" w:rsidRPr="00A868B6">
        <w:rPr>
          <w:spacing w:val="-2"/>
        </w:rPr>
        <w:t xml:space="preserve"> </w:t>
      </w:r>
      <w:r w:rsidR="009350E6" w:rsidRPr="00A868B6">
        <w:rPr>
          <w:spacing w:val="-2"/>
        </w:rPr>
        <w:t>campus were more likely to provide positive ratings for sense of belonging.</w:t>
      </w:r>
    </w:p>
    <w:tbl>
      <w:tblPr>
        <w:tblStyle w:val="TableGrid"/>
        <w:tblW w:w="0" w:type="auto"/>
        <w:jc w:val="center"/>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10158"/>
      </w:tblGrid>
      <w:tr w:rsidR="00F74C73" w14:paraId="0C7970F4" w14:textId="77777777" w:rsidTr="00F74C73">
        <w:trPr>
          <w:cnfStyle w:val="100000000000" w:firstRow="1" w:lastRow="0" w:firstColumn="0" w:lastColumn="0" w:oddVBand="0" w:evenVBand="0" w:oddHBand="0" w:evenHBand="0" w:firstRowFirstColumn="0" w:firstRowLastColumn="0" w:lastRowFirstColumn="0" w:lastRowLastColumn="0"/>
          <w:trHeight w:val="1995"/>
          <w:jc w:val="center"/>
        </w:trPr>
        <w:tc>
          <w:tcPr>
            <w:tcW w:w="10206" w:type="dxa"/>
            <w:vAlign w:val="top"/>
          </w:tcPr>
          <w:p w14:paraId="7D372D7F" w14:textId="77777777" w:rsidR="00F74C73" w:rsidRPr="00A868B6" w:rsidRDefault="00F74C73" w:rsidP="005536F9">
            <w:pPr>
              <w:keepNext/>
              <w:spacing w:before="120" w:after="120"/>
              <w:ind w:left="283" w:right="57"/>
              <w:rPr>
                <w:rStyle w:val="Strong"/>
                <w:b/>
                <w:bCs w:val="0"/>
                <w:sz w:val="22"/>
              </w:rPr>
            </w:pPr>
            <w:r w:rsidRPr="00A868B6">
              <w:rPr>
                <w:rStyle w:val="Strong"/>
                <w:b/>
                <w:bCs w:val="0"/>
                <w:sz w:val="22"/>
              </w:rPr>
              <w:t>Demographic and Equity groups</w:t>
            </w:r>
          </w:p>
          <w:p w14:paraId="48D94C95" w14:textId="77777777" w:rsidR="00F74C73" w:rsidRPr="00F74C73" w:rsidRDefault="00F74C73" w:rsidP="004D0106">
            <w:pPr>
              <w:pStyle w:val="Bullets-noindent"/>
              <w:ind w:left="708"/>
            </w:pPr>
            <w:r w:rsidRPr="00F74C73">
              <w:rPr>
                <w:bCs/>
              </w:rPr>
              <w:t>Age</w:t>
            </w:r>
            <w:r w:rsidRPr="00F74C73">
              <w:rPr>
                <w:b w:val="0"/>
                <w:bCs/>
              </w:rPr>
              <w:t>: Students aged 30 and over were more likely to rate their Overall Educational Experience positively than those aged under 30.</w:t>
            </w:r>
          </w:p>
          <w:p w14:paraId="535BDC40" w14:textId="77777777" w:rsidR="00F74C73" w:rsidRPr="00F74C73" w:rsidRDefault="00F74C73" w:rsidP="004D0106">
            <w:pPr>
              <w:pStyle w:val="Bullets-noindent"/>
              <w:ind w:left="708"/>
            </w:pPr>
            <w:r w:rsidRPr="00F74C73">
              <w:rPr>
                <w:bCs/>
              </w:rPr>
              <w:t>Stage of study</w:t>
            </w:r>
            <w:r w:rsidRPr="00F74C73">
              <w:rPr>
                <w:b w:val="0"/>
                <w:bCs/>
              </w:rPr>
              <w:t>: Compared to commencing students, later year students are more likely to rate their Skills Development positively.</w:t>
            </w:r>
          </w:p>
          <w:p w14:paraId="061D6137" w14:textId="77777777" w:rsidR="00F74C73" w:rsidRPr="00F74C73" w:rsidRDefault="00F74C73" w:rsidP="004D0106">
            <w:pPr>
              <w:pStyle w:val="Bullets-noindent"/>
              <w:ind w:left="708"/>
              <w:rPr>
                <w:b w:val="0"/>
                <w:bCs/>
              </w:rPr>
            </w:pPr>
            <w:r w:rsidRPr="00F74C73">
              <w:rPr>
                <w:bCs/>
              </w:rPr>
              <w:t>Disability</w:t>
            </w:r>
            <w:r w:rsidRPr="00F74C73">
              <w:rPr>
                <w:b w:val="0"/>
                <w:bCs/>
              </w:rPr>
              <w:t>: The gap in positive ratings of Overall Educational Experience between students with and without a disability is at its lowest recorded since 2017.</w:t>
            </w:r>
          </w:p>
          <w:p w14:paraId="302725EA" w14:textId="77777777" w:rsidR="00F74C73" w:rsidRPr="00F74C73" w:rsidRDefault="00F74C73" w:rsidP="004D0106">
            <w:pPr>
              <w:pStyle w:val="Bullets-noindent"/>
              <w:ind w:left="708"/>
            </w:pPr>
            <w:r w:rsidRPr="00F74C73">
              <w:rPr>
                <w:bCs/>
              </w:rPr>
              <w:t>First Nations</w:t>
            </w:r>
            <w:r w:rsidRPr="00F74C73">
              <w:rPr>
                <w:b w:val="0"/>
                <w:bCs/>
              </w:rPr>
              <w:t>: Although First Nations students rated their Overall Educational Experience similarly to non-Indigenous students, they were more likely to consider leaving their institution.</w:t>
            </w:r>
            <w:r w:rsidRPr="00F74C73">
              <w:t xml:space="preserve"> </w:t>
            </w:r>
          </w:p>
          <w:p w14:paraId="7C16A9B5" w14:textId="1099AEEA" w:rsidR="00F74C73" w:rsidRPr="00F74C73" w:rsidRDefault="00F74C73" w:rsidP="005536F9">
            <w:pPr>
              <w:pStyle w:val="Bullets-noindent"/>
              <w:spacing w:after="120"/>
              <w:ind w:left="708"/>
            </w:pPr>
            <w:r w:rsidRPr="00F74C73">
              <w:rPr>
                <w:bCs/>
              </w:rPr>
              <w:t>Home language</w:t>
            </w:r>
            <w:r w:rsidRPr="00F74C73">
              <w:rPr>
                <w:b w:val="0"/>
                <w:bCs/>
              </w:rPr>
              <w:t>: The gap in positive ratings of Overall Educational Experience between undergraduate students whose home language is English and whose home language is not English has narrowed to its lowest recorded since 2017.</w:t>
            </w:r>
          </w:p>
        </w:tc>
      </w:tr>
    </w:tbl>
    <w:p w14:paraId="60427B94" w14:textId="6371FC5B" w:rsidR="00FC2781" w:rsidRPr="00FC2781" w:rsidRDefault="00FC2781" w:rsidP="00564696">
      <w:pPr>
        <w:pStyle w:val="Body"/>
      </w:pPr>
      <w:r>
        <w:br w:type="page"/>
      </w:r>
    </w:p>
    <w:bookmarkEnd w:id="2"/>
    <w:p w14:paraId="0D44A86C" w14:textId="6BAF54B1" w:rsidR="00BE7643" w:rsidRPr="000530B1" w:rsidRDefault="00BE7643" w:rsidP="00194EE0">
      <w:pPr>
        <w:pStyle w:val="TOCaccessible"/>
      </w:pPr>
      <w:r w:rsidRPr="000530B1">
        <w:lastRenderedPageBreak/>
        <w:t>Contents</w:t>
      </w:r>
    </w:p>
    <w:bookmarkStart w:id="5" w:name="_Toc215068880"/>
    <w:p w14:paraId="70D3E0B3" w14:textId="5E926A9C" w:rsidR="00D15CEE" w:rsidRDefault="0033167C">
      <w:pPr>
        <w:pStyle w:val="TOC1"/>
        <w:rPr>
          <w:rFonts w:asciiTheme="minorHAnsi" w:eastAsiaTheme="minorEastAsia" w:hAnsiTheme="minorHAnsi" w:cstheme="minorBidi"/>
          <w:bCs w:val="0"/>
          <w:kern w:val="2"/>
          <w:sz w:val="24"/>
          <w:szCs w:val="24"/>
          <w:lang w:eastAsia="en-AU"/>
          <w14:ligatures w14:val="standardContextual"/>
        </w:rPr>
      </w:pPr>
      <w:r>
        <w:rPr>
          <w:rFonts w:cs="Arial"/>
        </w:rPr>
        <w:fldChar w:fldCharType="begin"/>
      </w:r>
      <w:r>
        <w:rPr>
          <w:rFonts w:cs="Arial"/>
        </w:rPr>
        <w:instrText xml:space="preserve"> TOC \o "1-3" \h \z \u </w:instrText>
      </w:r>
      <w:r>
        <w:rPr>
          <w:rFonts w:cs="Arial"/>
        </w:rPr>
        <w:fldChar w:fldCharType="separate"/>
      </w:r>
      <w:hyperlink w:anchor="_Toc239764776" w:history="1">
        <w:r w:rsidR="00D15CEE" w:rsidRPr="00C1125D">
          <w:rPr>
            <w:rStyle w:val="Hyperlink"/>
          </w:rPr>
          <w:t>Acknowledgments</w:t>
        </w:r>
        <w:r w:rsidR="00D15CEE">
          <w:rPr>
            <w:rStyle w:val="Hyperlink"/>
          </w:rPr>
          <w:t>….</w:t>
        </w:r>
        <w:r w:rsidR="00D15CEE">
          <w:rPr>
            <w:webHidden/>
          </w:rPr>
          <w:tab/>
        </w:r>
        <w:r w:rsidR="00D15CEE">
          <w:rPr>
            <w:webHidden/>
          </w:rPr>
          <w:fldChar w:fldCharType="begin"/>
        </w:r>
        <w:r w:rsidR="00D15CEE">
          <w:rPr>
            <w:webHidden/>
          </w:rPr>
          <w:instrText xml:space="preserve"> PAGEREF _Toc239764776 \h </w:instrText>
        </w:r>
        <w:r w:rsidR="00D15CEE">
          <w:rPr>
            <w:webHidden/>
          </w:rPr>
        </w:r>
        <w:r w:rsidR="00D15CEE">
          <w:rPr>
            <w:webHidden/>
          </w:rPr>
          <w:fldChar w:fldCharType="separate"/>
        </w:r>
        <w:r w:rsidR="00764E61">
          <w:rPr>
            <w:webHidden/>
          </w:rPr>
          <w:t>ii</w:t>
        </w:r>
        <w:r w:rsidR="00D15CEE">
          <w:rPr>
            <w:webHidden/>
          </w:rPr>
          <w:fldChar w:fldCharType="end"/>
        </w:r>
      </w:hyperlink>
    </w:p>
    <w:p w14:paraId="0B602526" w14:textId="49DA1FB5" w:rsidR="00D15CEE" w:rsidRDefault="00D15CEE">
      <w:pPr>
        <w:pStyle w:val="TOC1"/>
        <w:rPr>
          <w:rFonts w:asciiTheme="minorHAnsi" w:eastAsiaTheme="minorEastAsia" w:hAnsiTheme="minorHAnsi" w:cstheme="minorBidi"/>
          <w:bCs w:val="0"/>
          <w:kern w:val="2"/>
          <w:sz w:val="24"/>
          <w:szCs w:val="24"/>
          <w:lang w:eastAsia="en-AU"/>
          <w14:ligatures w14:val="standardContextual"/>
        </w:rPr>
      </w:pPr>
      <w:hyperlink w:anchor="_Toc239764777" w:history="1">
        <w:r w:rsidRPr="00C1125D">
          <w:rPr>
            <w:rStyle w:val="Hyperlink"/>
          </w:rPr>
          <w:t>Executive summary</w:t>
        </w:r>
        <w:r>
          <w:rPr>
            <w:rStyle w:val="Hyperlink"/>
          </w:rPr>
          <w:t>..</w:t>
        </w:r>
        <w:r>
          <w:rPr>
            <w:webHidden/>
          </w:rPr>
          <w:tab/>
        </w:r>
        <w:r>
          <w:rPr>
            <w:webHidden/>
          </w:rPr>
          <w:fldChar w:fldCharType="begin"/>
        </w:r>
        <w:r>
          <w:rPr>
            <w:webHidden/>
          </w:rPr>
          <w:instrText xml:space="preserve"> PAGEREF _Toc239764777 \h </w:instrText>
        </w:r>
        <w:r>
          <w:rPr>
            <w:webHidden/>
          </w:rPr>
        </w:r>
        <w:r>
          <w:rPr>
            <w:webHidden/>
          </w:rPr>
          <w:fldChar w:fldCharType="separate"/>
        </w:r>
        <w:r w:rsidR="00764E61">
          <w:rPr>
            <w:webHidden/>
          </w:rPr>
          <w:t>iii</w:t>
        </w:r>
        <w:r>
          <w:rPr>
            <w:webHidden/>
          </w:rPr>
          <w:fldChar w:fldCharType="end"/>
        </w:r>
      </w:hyperlink>
    </w:p>
    <w:p w14:paraId="027DC87F" w14:textId="0C7CB3A3" w:rsidR="00D15CEE" w:rsidRDefault="00D15CEE">
      <w:pPr>
        <w:pStyle w:val="TOC1"/>
        <w:rPr>
          <w:rFonts w:asciiTheme="minorHAnsi" w:eastAsiaTheme="minorEastAsia" w:hAnsiTheme="minorHAnsi" w:cstheme="minorBidi"/>
          <w:bCs w:val="0"/>
          <w:kern w:val="2"/>
          <w:sz w:val="24"/>
          <w:szCs w:val="24"/>
          <w:lang w:eastAsia="en-AU"/>
          <w14:ligatures w14:val="standardContextual"/>
        </w:rPr>
      </w:pPr>
      <w:hyperlink w:anchor="_Toc239764778" w:history="1">
        <w:r w:rsidRPr="00C1125D">
          <w:rPr>
            <w:rStyle w:val="Hyperlink"/>
          </w:rPr>
          <w:t>List of tables</w:t>
        </w:r>
        <w:r>
          <w:rPr>
            <w:rStyle w:val="Hyperlink"/>
          </w:rPr>
          <w:t>…………</w:t>
        </w:r>
        <w:r>
          <w:rPr>
            <w:webHidden/>
          </w:rPr>
          <w:tab/>
        </w:r>
        <w:r>
          <w:rPr>
            <w:webHidden/>
          </w:rPr>
          <w:fldChar w:fldCharType="begin"/>
        </w:r>
        <w:r>
          <w:rPr>
            <w:webHidden/>
          </w:rPr>
          <w:instrText xml:space="preserve"> PAGEREF _Toc239764778 \h </w:instrText>
        </w:r>
        <w:r>
          <w:rPr>
            <w:webHidden/>
          </w:rPr>
        </w:r>
        <w:r>
          <w:rPr>
            <w:webHidden/>
          </w:rPr>
          <w:fldChar w:fldCharType="separate"/>
        </w:r>
        <w:r w:rsidR="00764E61">
          <w:rPr>
            <w:webHidden/>
          </w:rPr>
          <w:t>vii</w:t>
        </w:r>
        <w:r>
          <w:rPr>
            <w:webHidden/>
          </w:rPr>
          <w:fldChar w:fldCharType="end"/>
        </w:r>
      </w:hyperlink>
    </w:p>
    <w:p w14:paraId="2E8171A0" w14:textId="66CC7374" w:rsidR="00D15CEE" w:rsidRDefault="00D15CEE">
      <w:pPr>
        <w:pStyle w:val="TOC1"/>
        <w:rPr>
          <w:rFonts w:asciiTheme="minorHAnsi" w:eastAsiaTheme="minorEastAsia" w:hAnsiTheme="minorHAnsi" w:cstheme="minorBidi"/>
          <w:bCs w:val="0"/>
          <w:kern w:val="2"/>
          <w:sz w:val="24"/>
          <w:szCs w:val="24"/>
          <w:lang w:eastAsia="en-AU"/>
          <w14:ligatures w14:val="standardContextual"/>
        </w:rPr>
      </w:pPr>
      <w:hyperlink w:anchor="_Toc239764779" w:history="1">
        <w:r w:rsidRPr="00C1125D">
          <w:rPr>
            <w:rStyle w:val="Hyperlink"/>
          </w:rPr>
          <w:t>List of figures</w:t>
        </w:r>
        <w:r>
          <w:rPr>
            <w:rStyle w:val="Hyperlink"/>
          </w:rPr>
          <w:t>……….</w:t>
        </w:r>
        <w:r>
          <w:rPr>
            <w:webHidden/>
          </w:rPr>
          <w:tab/>
        </w:r>
        <w:r>
          <w:rPr>
            <w:webHidden/>
          </w:rPr>
          <w:fldChar w:fldCharType="begin"/>
        </w:r>
        <w:r>
          <w:rPr>
            <w:webHidden/>
          </w:rPr>
          <w:instrText xml:space="preserve"> PAGEREF _Toc239764779 \h </w:instrText>
        </w:r>
        <w:r>
          <w:rPr>
            <w:webHidden/>
          </w:rPr>
        </w:r>
        <w:r>
          <w:rPr>
            <w:webHidden/>
          </w:rPr>
          <w:fldChar w:fldCharType="separate"/>
        </w:r>
        <w:r w:rsidR="00764E61">
          <w:rPr>
            <w:webHidden/>
          </w:rPr>
          <w:t>viii</w:t>
        </w:r>
        <w:r>
          <w:rPr>
            <w:webHidden/>
          </w:rPr>
          <w:fldChar w:fldCharType="end"/>
        </w:r>
      </w:hyperlink>
    </w:p>
    <w:p w14:paraId="36F0D787" w14:textId="66ECE263" w:rsidR="00D15CEE" w:rsidRDefault="00D15CEE">
      <w:pPr>
        <w:pStyle w:val="TOC1"/>
        <w:rPr>
          <w:rFonts w:asciiTheme="minorHAnsi" w:eastAsiaTheme="minorEastAsia" w:hAnsiTheme="minorHAnsi" w:cstheme="minorBidi"/>
          <w:bCs w:val="0"/>
          <w:kern w:val="2"/>
          <w:sz w:val="24"/>
          <w:szCs w:val="24"/>
          <w:lang w:eastAsia="en-AU"/>
          <w14:ligatures w14:val="standardContextual"/>
        </w:rPr>
      </w:pPr>
      <w:hyperlink w:anchor="_Toc239764780" w:history="1">
        <w:r w:rsidRPr="00C1125D">
          <w:rPr>
            <w:rStyle w:val="Hyperlink"/>
          </w:rPr>
          <w:t>1.</w:t>
        </w:r>
        <w:r>
          <w:rPr>
            <w:rFonts w:asciiTheme="minorHAnsi" w:eastAsiaTheme="minorEastAsia" w:hAnsiTheme="minorHAnsi" w:cstheme="minorBidi"/>
            <w:bCs w:val="0"/>
            <w:kern w:val="2"/>
            <w:sz w:val="24"/>
            <w:szCs w:val="24"/>
            <w:lang w:eastAsia="en-AU"/>
            <w14:ligatures w14:val="standardContextual"/>
          </w:rPr>
          <w:tab/>
        </w:r>
        <w:r w:rsidRPr="00C1125D">
          <w:rPr>
            <w:rStyle w:val="Hyperlink"/>
          </w:rPr>
          <w:t>About the SES</w:t>
        </w:r>
        <w:r>
          <w:rPr>
            <w:webHidden/>
          </w:rPr>
          <w:tab/>
        </w:r>
        <w:r>
          <w:rPr>
            <w:webHidden/>
          </w:rPr>
          <w:fldChar w:fldCharType="begin"/>
        </w:r>
        <w:r>
          <w:rPr>
            <w:webHidden/>
          </w:rPr>
          <w:instrText xml:space="preserve"> PAGEREF _Toc239764780 \h </w:instrText>
        </w:r>
        <w:r>
          <w:rPr>
            <w:webHidden/>
          </w:rPr>
        </w:r>
        <w:r>
          <w:rPr>
            <w:webHidden/>
          </w:rPr>
          <w:fldChar w:fldCharType="separate"/>
        </w:r>
        <w:r w:rsidR="00764E61">
          <w:rPr>
            <w:webHidden/>
          </w:rPr>
          <w:t>1</w:t>
        </w:r>
        <w:r>
          <w:rPr>
            <w:webHidden/>
          </w:rPr>
          <w:fldChar w:fldCharType="end"/>
        </w:r>
      </w:hyperlink>
    </w:p>
    <w:p w14:paraId="50891CB3" w14:textId="64980CA4"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81" w:history="1">
        <w:r w:rsidRPr="00C1125D">
          <w:rPr>
            <w:rStyle w:val="Hyperlink"/>
          </w:rPr>
          <w:t>1.1</w:t>
        </w:r>
        <w:r>
          <w:rPr>
            <w:rFonts w:asciiTheme="minorHAnsi" w:eastAsiaTheme="minorEastAsia" w:hAnsiTheme="minorHAnsi" w:cstheme="minorBidi"/>
            <w:kern w:val="2"/>
            <w:sz w:val="24"/>
            <w:szCs w:val="24"/>
            <w:lang w:eastAsia="en-AU"/>
            <w14:ligatures w14:val="standardContextual"/>
          </w:rPr>
          <w:tab/>
        </w:r>
        <w:r w:rsidRPr="00C1125D">
          <w:rPr>
            <w:rStyle w:val="Hyperlink"/>
          </w:rPr>
          <w:t>Participation</w:t>
        </w:r>
        <w:r>
          <w:rPr>
            <w:webHidden/>
          </w:rPr>
          <w:tab/>
        </w:r>
        <w:r>
          <w:rPr>
            <w:webHidden/>
          </w:rPr>
          <w:fldChar w:fldCharType="begin"/>
        </w:r>
        <w:r>
          <w:rPr>
            <w:webHidden/>
          </w:rPr>
          <w:instrText xml:space="preserve"> PAGEREF _Toc239764781 \h </w:instrText>
        </w:r>
        <w:r>
          <w:rPr>
            <w:webHidden/>
          </w:rPr>
        </w:r>
        <w:r>
          <w:rPr>
            <w:webHidden/>
          </w:rPr>
          <w:fldChar w:fldCharType="separate"/>
        </w:r>
        <w:r w:rsidR="00764E61">
          <w:rPr>
            <w:webHidden/>
          </w:rPr>
          <w:t>1</w:t>
        </w:r>
        <w:r>
          <w:rPr>
            <w:webHidden/>
          </w:rPr>
          <w:fldChar w:fldCharType="end"/>
        </w:r>
      </w:hyperlink>
    </w:p>
    <w:p w14:paraId="371EE3E2" w14:textId="36601CB3"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82" w:history="1">
        <w:r w:rsidRPr="00C1125D">
          <w:rPr>
            <w:rStyle w:val="Hyperlink"/>
          </w:rPr>
          <w:t>1.2</w:t>
        </w:r>
        <w:r>
          <w:rPr>
            <w:rFonts w:asciiTheme="minorHAnsi" w:eastAsiaTheme="minorEastAsia" w:hAnsiTheme="minorHAnsi" w:cstheme="minorBidi"/>
            <w:kern w:val="2"/>
            <w:sz w:val="24"/>
            <w:szCs w:val="24"/>
            <w:lang w:eastAsia="en-AU"/>
            <w14:ligatures w14:val="standardContextual"/>
          </w:rPr>
          <w:tab/>
        </w:r>
        <w:r w:rsidRPr="00C1125D">
          <w:rPr>
            <w:rStyle w:val="Hyperlink"/>
          </w:rPr>
          <w:t>Series history</w:t>
        </w:r>
        <w:r>
          <w:rPr>
            <w:webHidden/>
          </w:rPr>
          <w:tab/>
        </w:r>
        <w:r>
          <w:rPr>
            <w:webHidden/>
          </w:rPr>
          <w:fldChar w:fldCharType="begin"/>
        </w:r>
        <w:r>
          <w:rPr>
            <w:webHidden/>
          </w:rPr>
          <w:instrText xml:space="preserve"> PAGEREF _Toc239764782 \h </w:instrText>
        </w:r>
        <w:r>
          <w:rPr>
            <w:webHidden/>
          </w:rPr>
        </w:r>
        <w:r>
          <w:rPr>
            <w:webHidden/>
          </w:rPr>
          <w:fldChar w:fldCharType="separate"/>
        </w:r>
        <w:r w:rsidR="00764E61">
          <w:rPr>
            <w:webHidden/>
          </w:rPr>
          <w:t>1</w:t>
        </w:r>
        <w:r>
          <w:rPr>
            <w:webHidden/>
          </w:rPr>
          <w:fldChar w:fldCharType="end"/>
        </w:r>
      </w:hyperlink>
    </w:p>
    <w:p w14:paraId="37191B4F" w14:textId="6419A726"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83" w:history="1">
        <w:r w:rsidRPr="00C1125D">
          <w:rPr>
            <w:rStyle w:val="Hyperlink"/>
          </w:rPr>
          <w:t>1.3</w:t>
        </w:r>
        <w:r>
          <w:rPr>
            <w:rFonts w:asciiTheme="minorHAnsi" w:eastAsiaTheme="minorEastAsia" w:hAnsiTheme="minorHAnsi" w:cstheme="minorBidi"/>
            <w:kern w:val="2"/>
            <w:sz w:val="24"/>
            <w:szCs w:val="24"/>
            <w:lang w:eastAsia="en-AU"/>
            <w14:ligatures w14:val="standardContextual"/>
          </w:rPr>
          <w:tab/>
        </w:r>
        <w:r w:rsidRPr="00C1125D">
          <w:rPr>
            <w:rStyle w:val="Hyperlink"/>
          </w:rPr>
          <w:t>Further detail</w:t>
        </w:r>
        <w:r>
          <w:rPr>
            <w:webHidden/>
          </w:rPr>
          <w:tab/>
        </w:r>
        <w:r>
          <w:rPr>
            <w:webHidden/>
          </w:rPr>
          <w:fldChar w:fldCharType="begin"/>
        </w:r>
        <w:r>
          <w:rPr>
            <w:webHidden/>
          </w:rPr>
          <w:instrText xml:space="preserve"> PAGEREF _Toc239764783 \h </w:instrText>
        </w:r>
        <w:r>
          <w:rPr>
            <w:webHidden/>
          </w:rPr>
        </w:r>
        <w:r>
          <w:rPr>
            <w:webHidden/>
          </w:rPr>
          <w:fldChar w:fldCharType="separate"/>
        </w:r>
        <w:r w:rsidR="00764E61">
          <w:rPr>
            <w:webHidden/>
          </w:rPr>
          <w:t>1</w:t>
        </w:r>
        <w:r>
          <w:rPr>
            <w:webHidden/>
          </w:rPr>
          <w:fldChar w:fldCharType="end"/>
        </w:r>
      </w:hyperlink>
    </w:p>
    <w:p w14:paraId="5939871B" w14:textId="5679C101"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84" w:history="1">
        <w:r w:rsidRPr="00C1125D">
          <w:rPr>
            <w:rStyle w:val="Hyperlink"/>
          </w:rPr>
          <w:t>1.4</w:t>
        </w:r>
        <w:r>
          <w:rPr>
            <w:rFonts w:asciiTheme="minorHAnsi" w:eastAsiaTheme="minorEastAsia" w:hAnsiTheme="minorHAnsi" w:cstheme="minorBidi"/>
            <w:kern w:val="2"/>
            <w:sz w:val="24"/>
            <w:szCs w:val="24"/>
            <w:lang w:eastAsia="en-AU"/>
            <w14:ligatures w14:val="standardContextual"/>
          </w:rPr>
          <w:tab/>
        </w:r>
        <w:r w:rsidRPr="00C1125D">
          <w:rPr>
            <w:rStyle w:val="Hyperlink"/>
          </w:rPr>
          <w:t>About this report</w:t>
        </w:r>
        <w:r>
          <w:rPr>
            <w:webHidden/>
          </w:rPr>
          <w:tab/>
        </w:r>
        <w:r>
          <w:rPr>
            <w:webHidden/>
          </w:rPr>
          <w:fldChar w:fldCharType="begin"/>
        </w:r>
        <w:r>
          <w:rPr>
            <w:webHidden/>
          </w:rPr>
          <w:instrText xml:space="preserve"> PAGEREF _Toc239764784 \h </w:instrText>
        </w:r>
        <w:r>
          <w:rPr>
            <w:webHidden/>
          </w:rPr>
        </w:r>
        <w:r>
          <w:rPr>
            <w:webHidden/>
          </w:rPr>
          <w:fldChar w:fldCharType="separate"/>
        </w:r>
        <w:r w:rsidR="00764E61">
          <w:rPr>
            <w:webHidden/>
          </w:rPr>
          <w:t>2</w:t>
        </w:r>
        <w:r>
          <w:rPr>
            <w:webHidden/>
          </w:rPr>
          <w:fldChar w:fldCharType="end"/>
        </w:r>
      </w:hyperlink>
    </w:p>
    <w:p w14:paraId="0F00F5BF" w14:textId="265E947E" w:rsidR="00D15CEE" w:rsidRDefault="00D15CEE">
      <w:pPr>
        <w:pStyle w:val="TOC1"/>
        <w:rPr>
          <w:rFonts w:asciiTheme="minorHAnsi" w:eastAsiaTheme="minorEastAsia" w:hAnsiTheme="minorHAnsi" w:cstheme="minorBidi"/>
          <w:bCs w:val="0"/>
          <w:kern w:val="2"/>
          <w:sz w:val="24"/>
          <w:szCs w:val="24"/>
          <w:lang w:eastAsia="en-AU"/>
          <w14:ligatures w14:val="standardContextual"/>
        </w:rPr>
      </w:pPr>
      <w:hyperlink w:anchor="_Toc239764785" w:history="1">
        <w:r w:rsidRPr="00C1125D">
          <w:rPr>
            <w:rStyle w:val="Hyperlink"/>
          </w:rPr>
          <w:t>2.</w:t>
        </w:r>
        <w:r>
          <w:rPr>
            <w:rFonts w:asciiTheme="minorHAnsi" w:eastAsiaTheme="minorEastAsia" w:hAnsiTheme="minorHAnsi" w:cstheme="minorBidi"/>
            <w:bCs w:val="0"/>
            <w:kern w:val="2"/>
            <w:sz w:val="24"/>
            <w:szCs w:val="24"/>
            <w:lang w:eastAsia="en-AU"/>
            <w14:ligatures w14:val="standardContextual"/>
          </w:rPr>
          <w:tab/>
        </w:r>
        <w:r w:rsidRPr="00C1125D">
          <w:rPr>
            <w:rStyle w:val="Hyperlink"/>
          </w:rPr>
          <w:t>The educational experience</w:t>
        </w:r>
        <w:r>
          <w:rPr>
            <w:webHidden/>
          </w:rPr>
          <w:tab/>
        </w:r>
        <w:r>
          <w:rPr>
            <w:webHidden/>
          </w:rPr>
          <w:fldChar w:fldCharType="begin"/>
        </w:r>
        <w:r>
          <w:rPr>
            <w:webHidden/>
          </w:rPr>
          <w:instrText xml:space="preserve"> PAGEREF _Toc239764785 \h </w:instrText>
        </w:r>
        <w:r>
          <w:rPr>
            <w:webHidden/>
          </w:rPr>
        </w:r>
        <w:r>
          <w:rPr>
            <w:webHidden/>
          </w:rPr>
          <w:fldChar w:fldCharType="separate"/>
        </w:r>
        <w:r w:rsidR="00764E61">
          <w:rPr>
            <w:webHidden/>
          </w:rPr>
          <w:t>3</w:t>
        </w:r>
        <w:r>
          <w:rPr>
            <w:webHidden/>
          </w:rPr>
          <w:fldChar w:fldCharType="end"/>
        </w:r>
      </w:hyperlink>
    </w:p>
    <w:p w14:paraId="32E0592F" w14:textId="09D9C862"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86" w:history="1">
        <w:r w:rsidRPr="00C1125D">
          <w:rPr>
            <w:rStyle w:val="Hyperlink"/>
          </w:rPr>
          <w:t>2.1</w:t>
        </w:r>
        <w:r>
          <w:rPr>
            <w:rFonts w:asciiTheme="minorHAnsi" w:eastAsiaTheme="minorEastAsia" w:hAnsiTheme="minorHAnsi" w:cstheme="minorBidi"/>
            <w:kern w:val="2"/>
            <w:sz w:val="24"/>
            <w:szCs w:val="24"/>
            <w:lang w:eastAsia="en-AU"/>
            <w14:ligatures w14:val="standardContextual"/>
          </w:rPr>
          <w:tab/>
        </w:r>
        <w:r w:rsidRPr="00C1125D">
          <w:rPr>
            <w:rStyle w:val="Hyperlink"/>
          </w:rPr>
          <w:t>Context of changes in student experience since 2019</w:t>
        </w:r>
        <w:r>
          <w:rPr>
            <w:webHidden/>
          </w:rPr>
          <w:tab/>
        </w:r>
        <w:r>
          <w:rPr>
            <w:webHidden/>
          </w:rPr>
          <w:fldChar w:fldCharType="begin"/>
        </w:r>
        <w:r>
          <w:rPr>
            <w:webHidden/>
          </w:rPr>
          <w:instrText xml:space="preserve"> PAGEREF _Toc239764786 \h </w:instrText>
        </w:r>
        <w:r>
          <w:rPr>
            <w:webHidden/>
          </w:rPr>
        </w:r>
        <w:r>
          <w:rPr>
            <w:webHidden/>
          </w:rPr>
          <w:fldChar w:fldCharType="separate"/>
        </w:r>
        <w:r w:rsidR="00764E61">
          <w:rPr>
            <w:webHidden/>
          </w:rPr>
          <w:t>3</w:t>
        </w:r>
        <w:r>
          <w:rPr>
            <w:webHidden/>
          </w:rPr>
          <w:fldChar w:fldCharType="end"/>
        </w:r>
      </w:hyperlink>
    </w:p>
    <w:p w14:paraId="63CA2DC6" w14:textId="4451ADCC" w:rsidR="00D15CEE" w:rsidRDefault="00D15CEE">
      <w:pPr>
        <w:pStyle w:val="TOC3"/>
        <w:rPr>
          <w:rFonts w:asciiTheme="minorHAnsi" w:eastAsiaTheme="minorEastAsia" w:hAnsiTheme="minorHAnsi" w:cstheme="minorBidi"/>
          <w:kern w:val="2"/>
          <w:sz w:val="24"/>
          <w:szCs w:val="24"/>
          <w:lang w:eastAsia="en-AU"/>
          <w14:ligatures w14:val="standardContextual"/>
        </w:rPr>
      </w:pPr>
      <w:hyperlink w:anchor="_Toc239764787" w:history="1">
        <w:r w:rsidRPr="00C1125D">
          <w:rPr>
            <w:rStyle w:val="Hyperlink"/>
          </w:rPr>
          <w:t>2.1.1</w:t>
        </w:r>
        <w:r>
          <w:rPr>
            <w:rFonts w:asciiTheme="minorHAnsi" w:eastAsiaTheme="minorEastAsia" w:hAnsiTheme="minorHAnsi" w:cstheme="minorBidi"/>
            <w:kern w:val="2"/>
            <w:sz w:val="24"/>
            <w:szCs w:val="24"/>
            <w:lang w:eastAsia="en-AU"/>
            <w14:ligatures w14:val="standardContextual"/>
          </w:rPr>
          <w:tab/>
        </w:r>
        <w:r w:rsidRPr="00C1125D">
          <w:rPr>
            <w:rStyle w:val="Hyperlink"/>
          </w:rPr>
          <w:t>Citizenship status and mode of study</w:t>
        </w:r>
        <w:r>
          <w:rPr>
            <w:webHidden/>
          </w:rPr>
          <w:tab/>
        </w:r>
        <w:r>
          <w:rPr>
            <w:webHidden/>
          </w:rPr>
          <w:fldChar w:fldCharType="begin"/>
        </w:r>
        <w:r>
          <w:rPr>
            <w:webHidden/>
          </w:rPr>
          <w:instrText xml:space="preserve"> PAGEREF _Toc239764787 \h </w:instrText>
        </w:r>
        <w:r>
          <w:rPr>
            <w:webHidden/>
          </w:rPr>
        </w:r>
        <w:r>
          <w:rPr>
            <w:webHidden/>
          </w:rPr>
          <w:fldChar w:fldCharType="separate"/>
        </w:r>
        <w:r w:rsidR="00764E61">
          <w:rPr>
            <w:webHidden/>
          </w:rPr>
          <w:t>6</w:t>
        </w:r>
        <w:r>
          <w:rPr>
            <w:webHidden/>
          </w:rPr>
          <w:fldChar w:fldCharType="end"/>
        </w:r>
      </w:hyperlink>
    </w:p>
    <w:p w14:paraId="5E4AECA1" w14:textId="6D90DF86"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88" w:history="1">
        <w:r w:rsidRPr="00C1125D">
          <w:rPr>
            <w:rStyle w:val="Hyperlink"/>
          </w:rPr>
          <w:t>2.2</w:t>
        </w:r>
        <w:r>
          <w:rPr>
            <w:rFonts w:asciiTheme="minorHAnsi" w:eastAsiaTheme="minorEastAsia" w:hAnsiTheme="minorHAnsi" w:cstheme="minorBidi"/>
            <w:kern w:val="2"/>
            <w:sz w:val="24"/>
            <w:szCs w:val="24"/>
            <w:lang w:eastAsia="en-AU"/>
            <w14:ligatures w14:val="standardContextual"/>
          </w:rPr>
          <w:tab/>
        </w:r>
        <w:r w:rsidRPr="00C1125D">
          <w:rPr>
            <w:rStyle w:val="Hyperlink"/>
          </w:rPr>
          <w:t>Overall Educational Experience</w:t>
        </w:r>
        <w:r>
          <w:rPr>
            <w:webHidden/>
          </w:rPr>
          <w:tab/>
        </w:r>
        <w:r>
          <w:rPr>
            <w:webHidden/>
          </w:rPr>
          <w:fldChar w:fldCharType="begin"/>
        </w:r>
        <w:r>
          <w:rPr>
            <w:webHidden/>
          </w:rPr>
          <w:instrText xml:space="preserve"> PAGEREF _Toc239764788 \h </w:instrText>
        </w:r>
        <w:r>
          <w:rPr>
            <w:webHidden/>
          </w:rPr>
        </w:r>
        <w:r>
          <w:rPr>
            <w:webHidden/>
          </w:rPr>
          <w:fldChar w:fldCharType="separate"/>
        </w:r>
        <w:r w:rsidR="00764E61">
          <w:rPr>
            <w:webHidden/>
          </w:rPr>
          <w:t>7</w:t>
        </w:r>
        <w:r>
          <w:rPr>
            <w:webHidden/>
          </w:rPr>
          <w:fldChar w:fldCharType="end"/>
        </w:r>
      </w:hyperlink>
    </w:p>
    <w:p w14:paraId="7B64C54F" w14:textId="36BBE268"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89" w:history="1">
        <w:r w:rsidRPr="00C1125D">
          <w:rPr>
            <w:rStyle w:val="Hyperlink"/>
          </w:rPr>
          <w:t>2.3</w:t>
        </w:r>
        <w:r>
          <w:rPr>
            <w:rFonts w:asciiTheme="minorHAnsi" w:eastAsiaTheme="minorEastAsia" w:hAnsiTheme="minorHAnsi" w:cstheme="minorBidi"/>
            <w:kern w:val="2"/>
            <w:sz w:val="24"/>
            <w:szCs w:val="24"/>
            <w:lang w:eastAsia="en-AU"/>
            <w14:ligatures w14:val="standardContextual"/>
          </w:rPr>
          <w:tab/>
        </w:r>
        <w:r w:rsidRPr="00C1125D">
          <w:rPr>
            <w:rStyle w:val="Hyperlink"/>
          </w:rPr>
          <w:t>Teaching Quality and Engagement</w:t>
        </w:r>
        <w:r>
          <w:rPr>
            <w:webHidden/>
          </w:rPr>
          <w:tab/>
        </w:r>
        <w:r>
          <w:rPr>
            <w:webHidden/>
          </w:rPr>
          <w:fldChar w:fldCharType="begin"/>
        </w:r>
        <w:r>
          <w:rPr>
            <w:webHidden/>
          </w:rPr>
          <w:instrText xml:space="preserve"> PAGEREF _Toc239764789 \h </w:instrText>
        </w:r>
        <w:r>
          <w:rPr>
            <w:webHidden/>
          </w:rPr>
        </w:r>
        <w:r>
          <w:rPr>
            <w:webHidden/>
          </w:rPr>
          <w:fldChar w:fldCharType="separate"/>
        </w:r>
        <w:r w:rsidR="00764E61">
          <w:rPr>
            <w:webHidden/>
          </w:rPr>
          <w:t>11</w:t>
        </w:r>
        <w:r>
          <w:rPr>
            <w:webHidden/>
          </w:rPr>
          <w:fldChar w:fldCharType="end"/>
        </w:r>
      </w:hyperlink>
    </w:p>
    <w:p w14:paraId="63F26C52" w14:textId="7712AFCE"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90" w:history="1">
        <w:r w:rsidRPr="00C1125D">
          <w:rPr>
            <w:rStyle w:val="Hyperlink"/>
          </w:rPr>
          <w:t>2.4</w:t>
        </w:r>
        <w:r>
          <w:rPr>
            <w:rFonts w:asciiTheme="minorHAnsi" w:eastAsiaTheme="minorEastAsia" w:hAnsiTheme="minorHAnsi" w:cstheme="minorBidi"/>
            <w:kern w:val="2"/>
            <w:sz w:val="24"/>
            <w:szCs w:val="24"/>
            <w:lang w:eastAsia="en-AU"/>
            <w14:ligatures w14:val="standardContextual"/>
          </w:rPr>
          <w:tab/>
        </w:r>
        <w:r w:rsidRPr="00C1125D">
          <w:rPr>
            <w:rStyle w:val="Hyperlink"/>
          </w:rPr>
          <w:t>Skills Development</w:t>
        </w:r>
        <w:r>
          <w:rPr>
            <w:webHidden/>
          </w:rPr>
          <w:tab/>
        </w:r>
        <w:r>
          <w:rPr>
            <w:webHidden/>
          </w:rPr>
          <w:fldChar w:fldCharType="begin"/>
        </w:r>
        <w:r>
          <w:rPr>
            <w:webHidden/>
          </w:rPr>
          <w:instrText xml:space="preserve"> PAGEREF _Toc239764790 \h </w:instrText>
        </w:r>
        <w:r>
          <w:rPr>
            <w:webHidden/>
          </w:rPr>
        </w:r>
        <w:r>
          <w:rPr>
            <w:webHidden/>
          </w:rPr>
          <w:fldChar w:fldCharType="separate"/>
        </w:r>
        <w:r w:rsidR="00764E61">
          <w:rPr>
            <w:webHidden/>
          </w:rPr>
          <w:t>14</w:t>
        </w:r>
        <w:r>
          <w:rPr>
            <w:webHidden/>
          </w:rPr>
          <w:fldChar w:fldCharType="end"/>
        </w:r>
      </w:hyperlink>
    </w:p>
    <w:p w14:paraId="6632731C" w14:textId="5727991B"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91" w:history="1">
        <w:r w:rsidRPr="00C1125D">
          <w:rPr>
            <w:rStyle w:val="Hyperlink"/>
          </w:rPr>
          <w:t>2.5</w:t>
        </w:r>
        <w:r>
          <w:rPr>
            <w:rFonts w:asciiTheme="minorHAnsi" w:eastAsiaTheme="minorEastAsia" w:hAnsiTheme="minorHAnsi" w:cstheme="minorBidi"/>
            <w:kern w:val="2"/>
            <w:sz w:val="24"/>
            <w:szCs w:val="24"/>
            <w:lang w:eastAsia="en-AU"/>
            <w14:ligatures w14:val="standardContextual"/>
          </w:rPr>
          <w:tab/>
        </w:r>
        <w:r w:rsidRPr="00C1125D">
          <w:rPr>
            <w:rStyle w:val="Hyperlink"/>
          </w:rPr>
          <w:t>Learning Resources</w:t>
        </w:r>
        <w:r>
          <w:rPr>
            <w:webHidden/>
          </w:rPr>
          <w:tab/>
        </w:r>
        <w:r>
          <w:rPr>
            <w:webHidden/>
          </w:rPr>
          <w:fldChar w:fldCharType="begin"/>
        </w:r>
        <w:r>
          <w:rPr>
            <w:webHidden/>
          </w:rPr>
          <w:instrText xml:space="preserve"> PAGEREF _Toc239764791 \h </w:instrText>
        </w:r>
        <w:r>
          <w:rPr>
            <w:webHidden/>
          </w:rPr>
        </w:r>
        <w:r>
          <w:rPr>
            <w:webHidden/>
          </w:rPr>
          <w:fldChar w:fldCharType="separate"/>
        </w:r>
        <w:r w:rsidR="00764E61">
          <w:rPr>
            <w:webHidden/>
          </w:rPr>
          <w:t>17</w:t>
        </w:r>
        <w:r>
          <w:rPr>
            <w:webHidden/>
          </w:rPr>
          <w:fldChar w:fldCharType="end"/>
        </w:r>
      </w:hyperlink>
    </w:p>
    <w:p w14:paraId="3876D389" w14:textId="4441993E"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92" w:history="1">
        <w:r w:rsidRPr="00C1125D">
          <w:rPr>
            <w:rStyle w:val="Hyperlink"/>
          </w:rPr>
          <w:t>2.6</w:t>
        </w:r>
        <w:r>
          <w:rPr>
            <w:rFonts w:asciiTheme="minorHAnsi" w:eastAsiaTheme="minorEastAsia" w:hAnsiTheme="minorHAnsi" w:cstheme="minorBidi"/>
            <w:kern w:val="2"/>
            <w:sz w:val="24"/>
            <w:szCs w:val="24"/>
            <w:lang w:eastAsia="en-AU"/>
            <w14:ligatures w14:val="standardContextual"/>
          </w:rPr>
          <w:tab/>
        </w:r>
        <w:r w:rsidRPr="00C1125D">
          <w:rPr>
            <w:rStyle w:val="Hyperlink"/>
          </w:rPr>
          <w:t>Student Support and Services</w:t>
        </w:r>
        <w:r>
          <w:rPr>
            <w:webHidden/>
          </w:rPr>
          <w:tab/>
        </w:r>
        <w:r>
          <w:rPr>
            <w:webHidden/>
          </w:rPr>
          <w:fldChar w:fldCharType="begin"/>
        </w:r>
        <w:r>
          <w:rPr>
            <w:webHidden/>
          </w:rPr>
          <w:instrText xml:space="preserve"> PAGEREF _Toc239764792 \h </w:instrText>
        </w:r>
        <w:r>
          <w:rPr>
            <w:webHidden/>
          </w:rPr>
        </w:r>
        <w:r>
          <w:rPr>
            <w:webHidden/>
          </w:rPr>
          <w:fldChar w:fldCharType="separate"/>
        </w:r>
        <w:r w:rsidR="00764E61">
          <w:rPr>
            <w:webHidden/>
          </w:rPr>
          <w:t>20</w:t>
        </w:r>
        <w:r>
          <w:rPr>
            <w:webHidden/>
          </w:rPr>
          <w:fldChar w:fldCharType="end"/>
        </w:r>
      </w:hyperlink>
    </w:p>
    <w:p w14:paraId="419E0ADB" w14:textId="685E51AB"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93" w:history="1">
        <w:r w:rsidRPr="00C1125D">
          <w:rPr>
            <w:rStyle w:val="Hyperlink"/>
          </w:rPr>
          <w:t>2.7</w:t>
        </w:r>
        <w:r>
          <w:rPr>
            <w:rFonts w:asciiTheme="minorHAnsi" w:eastAsiaTheme="minorEastAsia" w:hAnsiTheme="minorHAnsi" w:cstheme="minorBidi"/>
            <w:kern w:val="2"/>
            <w:sz w:val="24"/>
            <w:szCs w:val="24"/>
            <w:lang w:eastAsia="en-AU"/>
            <w14:ligatures w14:val="standardContextual"/>
          </w:rPr>
          <w:tab/>
        </w:r>
        <w:r w:rsidRPr="00C1125D">
          <w:rPr>
            <w:rStyle w:val="Hyperlink"/>
          </w:rPr>
          <w:t>Peer Engagement</w:t>
        </w:r>
        <w:r>
          <w:rPr>
            <w:webHidden/>
          </w:rPr>
          <w:tab/>
        </w:r>
        <w:r>
          <w:rPr>
            <w:webHidden/>
          </w:rPr>
          <w:fldChar w:fldCharType="begin"/>
        </w:r>
        <w:r>
          <w:rPr>
            <w:webHidden/>
          </w:rPr>
          <w:instrText xml:space="preserve"> PAGEREF _Toc239764793 \h </w:instrText>
        </w:r>
        <w:r>
          <w:rPr>
            <w:webHidden/>
          </w:rPr>
        </w:r>
        <w:r>
          <w:rPr>
            <w:webHidden/>
          </w:rPr>
          <w:fldChar w:fldCharType="separate"/>
        </w:r>
        <w:r w:rsidR="00764E61">
          <w:rPr>
            <w:webHidden/>
          </w:rPr>
          <w:t>23</w:t>
        </w:r>
        <w:r>
          <w:rPr>
            <w:webHidden/>
          </w:rPr>
          <w:fldChar w:fldCharType="end"/>
        </w:r>
      </w:hyperlink>
    </w:p>
    <w:p w14:paraId="67135676" w14:textId="36D019EB" w:rsidR="00D15CEE" w:rsidRDefault="00D15CEE">
      <w:pPr>
        <w:pStyle w:val="TOC1"/>
        <w:rPr>
          <w:rFonts w:asciiTheme="minorHAnsi" w:eastAsiaTheme="minorEastAsia" w:hAnsiTheme="minorHAnsi" w:cstheme="minorBidi"/>
          <w:bCs w:val="0"/>
          <w:kern w:val="2"/>
          <w:sz w:val="24"/>
          <w:szCs w:val="24"/>
          <w:lang w:eastAsia="en-AU"/>
          <w14:ligatures w14:val="standardContextual"/>
        </w:rPr>
      </w:pPr>
      <w:hyperlink w:anchor="_Toc239764794" w:history="1">
        <w:r w:rsidRPr="00C1125D">
          <w:rPr>
            <w:rStyle w:val="Hyperlink"/>
          </w:rPr>
          <w:t>3.</w:t>
        </w:r>
        <w:r>
          <w:rPr>
            <w:rFonts w:asciiTheme="minorHAnsi" w:eastAsiaTheme="minorEastAsia" w:hAnsiTheme="minorHAnsi" w:cstheme="minorBidi"/>
            <w:bCs w:val="0"/>
            <w:kern w:val="2"/>
            <w:sz w:val="24"/>
            <w:szCs w:val="24"/>
            <w:lang w:eastAsia="en-AU"/>
            <w14:ligatures w14:val="standardContextual"/>
          </w:rPr>
          <w:tab/>
        </w:r>
        <w:r w:rsidRPr="00C1125D">
          <w:rPr>
            <w:rStyle w:val="Hyperlink"/>
          </w:rPr>
          <w:t>Other aspects of the student experience</w:t>
        </w:r>
        <w:r>
          <w:rPr>
            <w:webHidden/>
          </w:rPr>
          <w:tab/>
        </w:r>
        <w:r>
          <w:rPr>
            <w:webHidden/>
          </w:rPr>
          <w:fldChar w:fldCharType="begin"/>
        </w:r>
        <w:r>
          <w:rPr>
            <w:webHidden/>
          </w:rPr>
          <w:instrText xml:space="preserve"> PAGEREF _Toc239764794 \h </w:instrText>
        </w:r>
        <w:r>
          <w:rPr>
            <w:webHidden/>
          </w:rPr>
        </w:r>
        <w:r>
          <w:rPr>
            <w:webHidden/>
          </w:rPr>
          <w:fldChar w:fldCharType="separate"/>
        </w:r>
        <w:r w:rsidR="00764E61">
          <w:rPr>
            <w:webHidden/>
          </w:rPr>
          <w:t>25</w:t>
        </w:r>
        <w:r>
          <w:rPr>
            <w:webHidden/>
          </w:rPr>
          <w:fldChar w:fldCharType="end"/>
        </w:r>
      </w:hyperlink>
    </w:p>
    <w:p w14:paraId="6BE8E413" w14:textId="724587A3"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95" w:history="1">
        <w:r w:rsidRPr="00C1125D">
          <w:rPr>
            <w:rStyle w:val="Hyperlink"/>
          </w:rPr>
          <w:t>1.1.</w:t>
        </w:r>
        <w:r>
          <w:rPr>
            <w:rFonts w:asciiTheme="minorHAnsi" w:eastAsiaTheme="minorEastAsia" w:hAnsiTheme="minorHAnsi" w:cstheme="minorBidi"/>
            <w:kern w:val="2"/>
            <w:sz w:val="24"/>
            <w:szCs w:val="24"/>
            <w:lang w:eastAsia="en-AU"/>
            <w14:ligatures w14:val="standardContextual"/>
          </w:rPr>
          <w:tab/>
        </w:r>
        <w:r w:rsidRPr="00C1125D">
          <w:rPr>
            <w:rStyle w:val="Hyperlink"/>
          </w:rPr>
          <w:t>Sense of belonging</w:t>
        </w:r>
        <w:r>
          <w:rPr>
            <w:webHidden/>
          </w:rPr>
          <w:tab/>
        </w:r>
        <w:r>
          <w:rPr>
            <w:webHidden/>
          </w:rPr>
          <w:fldChar w:fldCharType="begin"/>
        </w:r>
        <w:r>
          <w:rPr>
            <w:webHidden/>
          </w:rPr>
          <w:instrText xml:space="preserve"> PAGEREF _Toc239764795 \h </w:instrText>
        </w:r>
        <w:r>
          <w:rPr>
            <w:webHidden/>
          </w:rPr>
        </w:r>
        <w:r>
          <w:rPr>
            <w:webHidden/>
          </w:rPr>
          <w:fldChar w:fldCharType="separate"/>
        </w:r>
        <w:r w:rsidR="00764E61">
          <w:rPr>
            <w:webHidden/>
          </w:rPr>
          <w:t>25</w:t>
        </w:r>
        <w:r>
          <w:rPr>
            <w:webHidden/>
          </w:rPr>
          <w:fldChar w:fldCharType="end"/>
        </w:r>
      </w:hyperlink>
    </w:p>
    <w:p w14:paraId="6082ACBA" w14:textId="4C171357"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96" w:history="1">
        <w:r w:rsidRPr="00C1125D">
          <w:rPr>
            <w:rStyle w:val="Hyperlink"/>
          </w:rPr>
          <w:t>1.2.</w:t>
        </w:r>
        <w:r>
          <w:rPr>
            <w:rFonts w:asciiTheme="minorHAnsi" w:eastAsiaTheme="minorEastAsia" w:hAnsiTheme="minorHAnsi" w:cstheme="minorBidi"/>
            <w:kern w:val="2"/>
            <w:sz w:val="24"/>
            <w:szCs w:val="24"/>
            <w:lang w:eastAsia="en-AU"/>
            <w14:ligatures w14:val="standardContextual"/>
          </w:rPr>
          <w:tab/>
        </w:r>
        <w:r w:rsidRPr="00C1125D">
          <w:rPr>
            <w:rStyle w:val="Hyperlink"/>
          </w:rPr>
          <w:t>Likelihood to consider leaving current institution</w:t>
        </w:r>
        <w:r>
          <w:rPr>
            <w:webHidden/>
          </w:rPr>
          <w:tab/>
        </w:r>
        <w:r>
          <w:rPr>
            <w:webHidden/>
          </w:rPr>
          <w:fldChar w:fldCharType="begin"/>
        </w:r>
        <w:r>
          <w:rPr>
            <w:webHidden/>
          </w:rPr>
          <w:instrText xml:space="preserve"> PAGEREF _Toc239764796 \h </w:instrText>
        </w:r>
        <w:r>
          <w:rPr>
            <w:webHidden/>
          </w:rPr>
        </w:r>
        <w:r>
          <w:rPr>
            <w:webHidden/>
          </w:rPr>
          <w:fldChar w:fldCharType="separate"/>
        </w:r>
        <w:r w:rsidR="00764E61">
          <w:rPr>
            <w:webHidden/>
          </w:rPr>
          <w:t>28</w:t>
        </w:r>
        <w:r>
          <w:rPr>
            <w:webHidden/>
          </w:rPr>
          <w:fldChar w:fldCharType="end"/>
        </w:r>
      </w:hyperlink>
    </w:p>
    <w:p w14:paraId="10295748" w14:textId="3EBB5054"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97" w:history="1">
        <w:r w:rsidRPr="00C1125D">
          <w:rPr>
            <w:rStyle w:val="Hyperlink"/>
          </w:rPr>
          <w:t>3.1</w:t>
        </w:r>
        <w:r>
          <w:rPr>
            <w:rFonts w:asciiTheme="minorHAnsi" w:eastAsiaTheme="minorEastAsia" w:hAnsiTheme="minorHAnsi" w:cstheme="minorBidi"/>
            <w:kern w:val="2"/>
            <w:sz w:val="24"/>
            <w:szCs w:val="24"/>
            <w:lang w:eastAsia="en-AU"/>
            <w14:ligatures w14:val="standardContextual"/>
          </w:rPr>
          <w:tab/>
        </w:r>
        <w:r w:rsidRPr="00C1125D">
          <w:rPr>
            <w:rStyle w:val="Hyperlink"/>
          </w:rPr>
          <w:t>Negative effects on study</w:t>
        </w:r>
        <w:r>
          <w:rPr>
            <w:webHidden/>
          </w:rPr>
          <w:tab/>
        </w:r>
        <w:r>
          <w:rPr>
            <w:webHidden/>
          </w:rPr>
          <w:fldChar w:fldCharType="begin"/>
        </w:r>
        <w:r>
          <w:rPr>
            <w:webHidden/>
          </w:rPr>
          <w:instrText xml:space="preserve"> PAGEREF _Toc239764797 \h </w:instrText>
        </w:r>
        <w:r>
          <w:rPr>
            <w:webHidden/>
          </w:rPr>
        </w:r>
        <w:r>
          <w:rPr>
            <w:webHidden/>
          </w:rPr>
          <w:fldChar w:fldCharType="separate"/>
        </w:r>
        <w:r w:rsidR="00764E61">
          <w:rPr>
            <w:webHidden/>
          </w:rPr>
          <w:t>30</w:t>
        </w:r>
        <w:r>
          <w:rPr>
            <w:webHidden/>
          </w:rPr>
          <w:fldChar w:fldCharType="end"/>
        </w:r>
      </w:hyperlink>
    </w:p>
    <w:p w14:paraId="1D06145D" w14:textId="751FB478"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798" w:history="1">
        <w:r w:rsidRPr="00C1125D">
          <w:rPr>
            <w:rStyle w:val="Hyperlink"/>
          </w:rPr>
          <w:t>1.3.</w:t>
        </w:r>
        <w:r>
          <w:rPr>
            <w:rFonts w:asciiTheme="minorHAnsi" w:eastAsiaTheme="minorEastAsia" w:hAnsiTheme="minorHAnsi" w:cstheme="minorBidi"/>
            <w:kern w:val="2"/>
            <w:sz w:val="24"/>
            <w:szCs w:val="24"/>
            <w:lang w:eastAsia="en-AU"/>
            <w14:ligatures w14:val="standardContextual"/>
          </w:rPr>
          <w:tab/>
        </w:r>
        <w:r w:rsidRPr="00C1125D">
          <w:rPr>
            <w:rStyle w:val="Hyperlink"/>
          </w:rPr>
          <w:t>Freedom of expression</w:t>
        </w:r>
        <w:r>
          <w:rPr>
            <w:webHidden/>
          </w:rPr>
          <w:tab/>
        </w:r>
        <w:r>
          <w:rPr>
            <w:webHidden/>
          </w:rPr>
          <w:fldChar w:fldCharType="begin"/>
        </w:r>
        <w:r>
          <w:rPr>
            <w:webHidden/>
          </w:rPr>
          <w:instrText xml:space="preserve"> PAGEREF _Toc239764798 \h </w:instrText>
        </w:r>
        <w:r>
          <w:rPr>
            <w:webHidden/>
          </w:rPr>
        </w:r>
        <w:r>
          <w:rPr>
            <w:webHidden/>
          </w:rPr>
          <w:fldChar w:fldCharType="separate"/>
        </w:r>
        <w:r w:rsidR="00764E61">
          <w:rPr>
            <w:webHidden/>
          </w:rPr>
          <w:t>31</w:t>
        </w:r>
        <w:r>
          <w:rPr>
            <w:webHidden/>
          </w:rPr>
          <w:fldChar w:fldCharType="end"/>
        </w:r>
      </w:hyperlink>
    </w:p>
    <w:p w14:paraId="0D47F7E6" w14:textId="372975DC" w:rsidR="00D15CEE" w:rsidRDefault="00D15CEE">
      <w:pPr>
        <w:pStyle w:val="TOC1"/>
        <w:rPr>
          <w:rFonts w:asciiTheme="minorHAnsi" w:eastAsiaTheme="minorEastAsia" w:hAnsiTheme="minorHAnsi" w:cstheme="minorBidi"/>
          <w:bCs w:val="0"/>
          <w:kern w:val="2"/>
          <w:sz w:val="24"/>
          <w:szCs w:val="24"/>
          <w:lang w:eastAsia="en-AU"/>
          <w14:ligatures w14:val="standardContextual"/>
        </w:rPr>
      </w:pPr>
      <w:hyperlink w:anchor="_Toc239764799" w:history="1">
        <w:r w:rsidRPr="00C1125D">
          <w:rPr>
            <w:rStyle w:val="Hyperlink"/>
          </w:rPr>
          <w:t>4.</w:t>
        </w:r>
        <w:r>
          <w:rPr>
            <w:rFonts w:asciiTheme="minorHAnsi" w:eastAsiaTheme="minorEastAsia" w:hAnsiTheme="minorHAnsi" w:cstheme="minorBidi"/>
            <w:bCs w:val="0"/>
            <w:kern w:val="2"/>
            <w:sz w:val="24"/>
            <w:szCs w:val="24"/>
            <w:lang w:eastAsia="en-AU"/>
            <w14:ligatures w14:val="standardContextual"/>
          </w:rPr>
          <w:tab/>
        </w:r>
        <w:r w:rsidRPr="00C1125D">
          <w:rPr>
            <w:rStyle w:val="Hyperlink"/>
          </w:rPr>
          <w:t>Demographic and equity groups</w:t>
        </w:r>
        <w:r>
          <w:rPr>
            <w:webHidden/>
          </w:rPr>
          <w:tab/>
        </w:r>
        <w:r>
          <w:rPr>
            <w:webHidden/>
          </w:rPr>
          <w:fldChar w:fldCharType="begin"/>
        </w:r>
        <w:r>
          <w:rPr>
            <w:webHidden/>
          </w:rPr>
          <w:instrText xml:space="preserve"> PAGEREF _Toc239764799 \h </w:instrText>
        </w:r>
        <w:r>
          <w:rPr>
            <w:webHidden/>
          </w:rPr>
        </w:r>
        <w:r>
          <w:rPr>
            <w:webHidden/>
          </w:rPr>
          <w:fldChar w:fldCharType="separate"/>
        </w:r>
        <w:r w:rsidR="00764E61">
          <w:rPr>
            <w:webHidden/>
          </w:rPr>
          <w:t>34</w:t>
        </w:r>
        <w:r>
          <w:rPr>
            <w:webHidden/>
          </w:rPr>
          <w:fldChar w:fldCharType="end"/>
        </w:r>
      </w:hyperlink>
    </w:p>
    <w:p w14:paraId="1CFDEA4E" w14:textId="7BA38CF3" w:rsidR="00D15CEE" w:rsidRDefault="00D15CEE">
      <w:pPr>
        <w:pStyle w:val="TOC1"/>
        <w:rPr>
          <w:rFonts w:asciiTheme="minorHAnsi" w:eastAsiaTheme="minorEastAsia" w:hAnsiTheme="minorHAnsi" w:cstheme="minorBidi"/>
          <w:bCs w:val="0"/>
          <w:kern w:val="2"/>
          <w:sz w:val="24"/>
          <w:szCs w:val="24"/>
          <w:lang w:eastAsia="en-AU"/>
          <w14:ligatures w14:val="standardContextual"/>
        </w:rPr>
      </w:pPr>
      <w:hyperlink w:anchor="_Toc239764800" w:history="1">
        <w:r w:rsidRPr="00C1125D">
          <w:rPr>
            <w:rStyle w:val="Hyperlink"/>
          </w:rPr>
          <w:t>5.</w:t>
        </w:r>
        <w:r>
          <w:rPr>
            <w:rFonts w:asciiTheme="minorHAnsi" w:eastAsiaTheme="minorEastAsia" w:hAnsiTheme="minorHAnsi" w:cstheme="minorBidi"/>
            <w:bCs w:val="0"/>
            <w:kern w:val="2"/>
            <w:sz w:val="24"/>
            <w:szCs w:val="24"/>
            <w:lang w:eastAsia="en-AU"/>
            <w14:ligatures w14:val="standardContextual"/>
          </w:rPr>
          <w:tab/>
        </w:r>
        <w:r w:rsidRPr="00C1125D">
          <w:rPr>
            <w:rStyle w:val="Hyperlink"/>
          </w:rPr>
          <w:t>Study area</w:t>
        </w:r>
        <w:r>
          <w:rPr>
            <w:rStyle w:val="Hyperlink"/>
          </w:rPr>
          <w:t>…..</w:t>
        </w:r>
        <w:r>
          <w:rPr>
            <w:webHidden/>
          </w:rPr>
          <w:tab/>
        </w:r>
        <w:r>
          <w:rPr>
            <w:webHidden/>
          </w:rPr>
          <w:fldChar w:fldCharType="begin"/>
        </w:r>
        <w:r>
          <w:rPr>
            <w:webHidden/>
          </w:rPr>
          <w:instrText xml:space="preserve"> PAGEREF _Toc239764800 \h </w:instrText>
        </w:r>
        <w:r>
          <w:rPr>
            <w:webHidden/>
          </w:rPr>
        </w:r>
        <w:r>
          <w:rPr>
            <w:webHidden/>
          </w:rPr>
          <w:fldChar w:fldCharType="separate"/>
        </w:r>
        <w:r w:rsidR="00764E61">
          <w:rPr>
            <w:webHidden/>
          </w:rPr>
          <w:t>44</w:t>
        </w:r>
        <w:r>
          <w:rPr>
            <w:webHidden/>
          </w:rPr>
          <w:fldChar w:fldCharType="end"/>
        </w:r>
      </w:hyperlink>
    </w:p>
    <w:p w14:paraId="54126B35" w14:textId="193FFB17" w:rsidR="00D15CEE" w:rsidRDefault="00D15CEE">
      <w:pPr>
        <w:pStyle w:val="TOC1"/>
        <w:rPr>
          <w:rFonts w:asciiTheme="minorHAnsi" w:eastAsiaTheme="minorEastAsia" w:hAnsiTheme="minorHAnsi" w:cstheme="minorBidi"/>
          <w:bCs w:val="0"/>
          <w:kern w:val="2"/>
          <w:sz w:val="24"/>
          <w:szCs w:val="24"/>
          <w:lang w:eastAsia="en-AU"/>
          <w14:ligatures w14:val="standardContextual"/>
        </w:rPr>
      </w:pPr>
      <w:hyperlink w:anchor="_Toc239764801" w:history="1">
        <w:r w:rsidRPr="00C1125D">
          <w:rPr>
            <w:rStyle w:val="Hyperlink"/>
          </w:rPr>
          <w:t>6.</w:t>
        </w:r>
        <w:r>
          <w:rPr>
            <w:rFonts w:asciiTheme="minorHAnsi" w:eastAsiaTheme="minorEastAsia" w:hAnsiTheme="minorHAnsi" w:cstheme="minorBidi"/>
            <w:bCs w:val="0"/>
            <w:kern w:val="2"/>
            <w:sz w:val="24"/>
            <w:szCs w:val="24"/>
            <w:lang w:eastAsia="en-AU"/>
            <w14:ligatures w14:val="standardContextual"/>
          </w:rPr>
          <w:tab/>
        </w:r>
        <w:r w:rsidRPr="00C1125D">
          <w:rPr>
            <w:rStyle w:val="Hyperlink"/>
          </w:rPr>
          <w:t>Institution</w:t>
        </w:r>
        <w:r>
          <w:rPr>
            <w:rStyle w:val="Hyperlink"/>
          </w:rPr>
          <w:t>…….</w:t>
        </w:r>
        <w:r>
          <w:rPr>
            <w:webHidden/>
          </w:rPr>
          <w:tab/>
        </w:r>
        <w:r>
          <w:rPr>
            <w:webHidden/>
          </w:rPr>
          <w:fldChar w:fldCharType="begin"/>
        </w:r>
        <w:r>
          <w:rPr>
            <w:webHidden/>
          </w:rPr>
          <w:instrText xml:space="preserve"> PAGEREF _Toc239764801 \h </w:instrText>
        </w:r>
        <w:r>
          <w:rPr>
            <w:webHidden/>
          </w:rPr>
        </w:r>
        <w:r>
          <w:rPr>
            <w:webHidden/>
          </w:rPr>
          <w:fldChar w:fldCharType="separate"/>
        </w:r>
        <w:r w:rsidR="00764E61">
          <w:rPr>
            <w:webHidden/>
          </w:rPr>
          <w:t>49</w:t>
        </w:r>
        <w:r>
          <w:rPr>
            <w:webHidden/>
          </w:rPr>
          <w:fldChar w:fldCharType="end"/>
        </w:r>
      </w:hyperlink>
    </w:p>
    <w:p w14:paraId="61A7A4EC" w14:textId="29F96237"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802" w:history="1">
        <w:r w:rsidRPr="00C1125D">
          <w:rPr>
            <w:rStyle w:val="Hyperlink"/>
          </w:rPr>
          <w:t>6.1</w:t>
        </w:r>
        <w:r>
          <w:rPr>
            <w:rFonts w:asciiTheme="minorHAnsi" w:eastAsiaTheme="minorEastAsia" w:hAnsiTheme="minorHAnsi" w:cstheme="minorBidi"/>
            <w:kern w:val="2"/>
            <w:sz w:val="24"/>
            <w:szCs w:val="24"/>
            <w:lang w:eastAsia="en-AU"/>
            <w14:ligatures w14:val="standardContextual"/>
          </w:rPr>
          <w:tab/>
        </w:r>
        <w:r w:rsidRPr="00C1125D">
          <w:rPr>
            <w:rStyle w:val="Hyperlink"/>
          </w:rPr>
          <w:t>Institution type</w:t>
        </w:r>
        <w:r>
          <w:rPr>
            <w:webHidden/>
          </w:rPr>
          <w:tab/>
        </w:r>
        <w:r>
          <w:rPr>
            <w:webHidden/>
          </w:rPr>
          <w:fldChar w:fldCharType="begin"/>
        </w:r>
        <w:r>
          <w:rPr>
            <w:webHidden/>
          </w:rPr>
          <w:instrText xml:space="preserve"> PAGEREF _Toc239764802 \h </w:instrText>
        </w:r>
        <w:r>
          <w:rPr>
            <w:webHidden/>
          </w:rPr>
        </w:r>
        <w:r>
          <w:rPr>
            <w:webHidden/>
          </w:rPr>
          <w:fldChar w:fldCharType="separate"/>
        </w:r>
        <w:r w:rsidR="00764E61">
          <w:rPr>
            <w:webHidden/>
          </w:rPr>
          <w:t>49</w:t>
        </w:r>
        <w:r>
          <w:rPr>
            <w:webHidden/>
          </w:rPr>
          <w:fldChar w:fldCharType="end"/>
        </w:r>
      </w:hyperlink>
    </w:p>
    <w:p w14:paraId="776ED550" w14:textId="432579EF"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803" w:history="1">
        <w:r w:rsidRPr="00C1125D">
          <w:rPr>
            <w:rStyle w:val="Hyperlink"/>
          </w:rPr>
          <w:t>6.2</w:t>
        </w:r>
        <w:r>
          <w:rPr>
            <w:rFonts w:asciiTheme="minorHAnsi" w:eastAsiaTheme="minorEastAsia" w:hAnsiTheme="minorHAnsi" w:cstheme="minorBidi"/>
            <w:kern w:val="2"/>
            <w:sz w:val="24"/>
            <w:szCs w:val="24"/>
            <w:lang w:eastAsia="en-AU"/>
            <w14:ligatures w14:val="standardContextual"/>
          </w:rPr>
          <w:tab/>
        </w:r>
        <w:r w:rsidRPr="00C1125D">
          <w:rPr>
            <w:rStyle w:val="Hyperlink"/>
          </w:rPr>
          <w:t>Comparative institution outcomes</w:t>
        </w:r>
        <w:r>
          <w:rPr>
            <w:webHidden/>
          </w:rPr>
          <w:tab/>
        </w:r>
        <w:r>
          <w:rPr>
            <w:webHidden/>
          </w:rPr>
          <w:fldChar w:fldCharType="begin"/>
        </w:r>
        <w:r>
          <w:rPr>
            <w:webHidden/>
          </w:rPr>
          <w:instrText xml:space="preserve"> PAGEREF _Toc239764803 \h </w:instrText>
        </w:r>
        <w:r>
          <w:rPr>
            <w:webHidden/>
          </w:rPr>
        </w:r>
        <w:r>
          <w:rPr>
            <w:webHidden/>
          </w:rPr>
          <w:fldChar w:fldCharType="separate"/>
        </w:r>
        <w:r w:rsidR="00764E61">
          <w:rPr>
            <w:webHidden/>
          </w:rPr>
          <w:t>52</w:t>
        </w:r>
        <w:r>
          <w:rPr>
            <w:webHidden/>
          </w:rPr>
          <w:fldChar w:fldCharType="end"/>
        </w:r>
      </w:hyperlink>
    </w:p>
    <w:p w14:paraId="71FA4742" w14:textId="61749009" w:rsidR="00D15CEE" w:rsidRDefault="00D15CEE">
      <w:pPr>
        <w:pStyle w:val="TOC3"/>
        <w:rPr>
          <w:rFonts w:asciiTheme="minorHAnsi" w:eastAsiaTheme="minorEastAsia" w:hAnsiTheme="minorHAnsi" w:cstheme="minorBidi"/>
          <w:kern w:val="2"/>
          <w:sz w:val="24"/>
          <w:szCs w:val="24"/>
          <w:lang w:eastAsia="en-AU"/>
          <w14:ligatures w14:val="standardContextual"/>
        </w:rPr>
      </w:pPr>
      <w:hyperlink w:anchor="_Toc239764804" w:history="1">
        <w:r w:rsidRPr="00C1125D">
          <w:rPr>
            <w:rStyle w:val="Hyperlink"/>
          </w:rPr>
          <w:t>6.2.1</w:t>
        </w:r>
        <w:r>
          <w:rPr>
            <w:rFonts w:asciiTheme="minorHAnsi" w:eastAsiaTheme="minorEastAsia" w:hAnsiTheme="minorHAnsi" w:cstheme="minorBidi"/>
            <w:kern w:val="2"/>
            <w:sz w:val="24"/>
            <w:szCs w:val="24"/>
            <w:lang w:eastAsia="en-AU"/>
            <w14:ligatures w14:val="standardContextual"/>
          </w:rPr>
          <w:tab/>
        </w:r>
        <w:r w:rsidRPr="00C1125D">
          <w:rPr>
            <w:rStyle w:val="Hyperlink"/>
          </w:rPr>
          <w:t>Universities</w:t>
        </w:r>
        <w:r>
          <w:rPr>
            <w:webHidden/>
          </w:rPr>
          <w:tab/>
        </w:r>
        <w:r>
          <w:rPr>
            <w:webHidden/>
          </w:rPr>
          <w:fldChar w:fldCharType="begin"/>
        </w:r>
        <w:r>
          <w:rPr>
            <w:webHidden/>
          </w:rPr>
          <w:instrText xml:space="preserve"> PAGEREF _Toc239764804 \h </w:instrText>
        </w:r>
        <w:r>
          <w:rPr>
            <w:webHidden/>
          </w:rPr>
        </w:r>
        <w:r>
          <w:rPr>
            <w:webHidden/>
          </w:rPr>
          <w:fldChar w:fldCharType="separate"/>
        </w:r>
        <w:r w:rsidR="00764E61">
          <w:rPr>
            <w:webHidden/>
          </w:rPr>
          <w:t>52</w:t>
        </w:r>
        <w:r>
          <w:rPr>
            <w:webHidden/>
          </w:rPr>
          <w:fldChar w:fldCharType="end"/>
        </w:r>
      </w:hyperlink>
    </w:p>
    <w:p w14:paraId="298CB014" w14:textId="11E7C993" w:rsidR="00D15CEE" w:rsidRDefault="00D15CEE">
      <w:pPr>
        <w:pStyle w:val="TOC3"/>
        <w:rPr>
          <w:rFonts w:asciiTheme="minorHAnsi" w:eastAsiaTheme="minorEastAsia" w:hAnsiTheme="minorHAnsi" w:cstheme="minorBidi"/>
          <w:kern w:val="2"/>
          <w:sz w:val="24"/>
          <w:szCs w:val="24"/>
          <w:lang w:eastAsia="en-AU"/>
          <w14:ligatures w14:val="standardContextual"/>
        </w:rPr>
      </w:pPr>
      <w:hyperlink w:anchor="_Toc239764805" w:history="1">
        <w:r w:rsidRPr="00C1125D">
          <w:rPr>
            <w:rStyle w:val="Hyperlink"/>
          </w:rPr>
          <w:t>6.2.2</w:t>
        </w:r>
        <w:r>
          <w:rPr>
            <w:rFonts w:asciiTheme="minorHAnsi" w:eastAsiaTheme="minorEastAsia" w:hAnsiTheme="minorHAnsi" w:cstheme="minorBidi"/>
            <w:kern w:val="2"/>
            <w:sz w:val="24"/>
            <w:szCs w:val="24"/>
            <w:lang w:eastAsia="en-AU"/>
            <w14:ligatures w14:val="standardContextual"/>
          </w:rPr>
          <w:tab/>
        </w:r>
        <w:r w:rsidRPr="00C1125D">
          <w:rPr>
            <w:rStyle w:val="Hyperlink"/>
          </w:rPr>
          <w:t>NUHEIs</w:t>
        </w:r>
        <w:r>
          <w:rPr>
            <w:webHidden/>
          </w:rPr>
          <w:tab/>
        </w:r>
        <w:r>
          <w:rPr>
            <w:webHidden/>
          </w:rPr>
          <w:fldChar w:fldCharType="begin"/>
        </w:r>
        <w:r>
          <w:rPr>
            <w:webHidden/>
          </w:rPr>
          <w:instrText xml:space="preserve"> PAGEREF _Toc239764805 \h </w:instrText>
        </w:r>
        <w:r>
          <w:rPr>
            <w:webHidden/>
          </w:rPr>
        </w:r>
        <w:r>
          <w:rPr>
            <w:webHidden/>
          </w:rPr>
          <w:fldChar w:fldCharType="separate"/>
        </w:r>
        <w:r w:rsidR="00764E61">
          <w:rPr>
            <w:webHidden/>
          </w:rPr>
          <w:t>55</w:t>
        </w:r>
        <w:r>
          <w:rPr>
            <w:webHidden/>
          </w:rPr>
          <w:fldChar w:fldCharType="end"/>
        </w:r>
      </w:hyperlink>
    </w:p>
    <w:p w14:paraId="154BC7E9" w14:textId="44230867" w:rsidR="00D15CEE" w:rsidRDefault="00D15CEE">
      <w:pPr>
        <w:pStyle w:val="TOC1"/>
        <w:rPr>
          <w:rFonts w:asciiTheme="minorHAnsi" w:eastAsiaTheme="minorEastAsia" w:hAnsiTheme="minorHAnsi" w:cstheme="minorBidi"/>
          <w:bCs w:val="0"/>
          <w:kern w:val="2"/>
          <w:sz w:val="24"/>
          <w:szCs w:val="24"/>
          <w:lang w:eastAsia="en-AU"/>
          <w14:ligatures w14:val="standardContextual"/>
        </w:rPr>
      </w:pPr>
      <w:hyperlink w:anchor="_Toc239764806" w:history="1">
        <w:r w:rsidRPr="00C1125D">
          <w:rPr>
            <w:rStyle w:val="Hyperlink"/>
          </w:rPr>
          <w:t>Appendix 1</w:t>
        </w:r>
        <w:r w:rsidR="004A6053">
          <w:rPr>
            <w:rStyle w:val="Hyperlink"/>
          </w:rPr>
          <w:t xml:space="preserve">: </w:t>
        </w:r>
        <w:r w:rsidRPr="00C1125D">
          <w:rPr>
            <w:rStyle w:val="Hyperlink"/>
          </w:rPr>
          <w:t>Understanding study mode and class participation: post</w:t>
        </w:r>
        <w:r w:rsidRPr="00C1125D">
          <w:rPr>
            <w:rStyle w:val="Hyperlink"/>
          </w:rPr>
          <w:noBreakHyphen/>
          <w:t>pandemic dynamics</w:t>
        </w:r>
        <w:r>
          <w:rPr>
            <w:webHidden/>
          </w:rPr>
          <w:tab/>
        </w:r>
        <w:r>
          <w:rPr>
            <w:webHidden/>
          </w:rPr>
          <w:fldChar w:fldCharType="begin"/>
        </w:r>
        <w:r>
          <w:rPr>
            <w:webHidden/>
          </w:rPr>
          <w:instrText xml:space="preserve"> PAGEREF _Toc239764806 \h </w:instrText>
        </w:r>
        <w:r>
          <w:rPr>
            <w:webHidden/>
          </w:rPr>
        </w:r>
        <w:r>
          <w:rPr>
            <w:webHidden/>
          </w:rPr>
          <w:fldChar w:fldCharType="separate"/>
        </w:r>
        <w:r w:rsidR="00764E61">
          <w:rPr>
            <w:webHidden/>
          </w:rPr>
          <w:t>58</w:t>
        </w:r>
        <w:r>
          <w:rPr>
            <w:webHidden/>
          </w:rPr>
          <w:fldChar w:fldCharType="end"/>
        </w:r>
      </w:hyperlink>
    </w:p>
    <w:p w14:paraId="1740E48D" w14:textId="79A57947"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807" w:history="1">
        <w:r w:rsidRPr="00C1125D">
          <w:rPr>
            <w:rStyle w:val="Hyperlink"/>
          </w:rPr>
          <w:t>A1.1</w:t>
        </w:r>
        <w:r>
          <w:rPr>
            <w:rFonts w:asciiTheme="minorHAnsi" w:eastAsiaTheme="minorEastAsia" w:hAnsiTheme="minorHAnsi" w:cstheme="minorBidi"/>
            <w:kern w:val="2"/>
            <w:sz w:val="24"/>
            <w:szCs w:val="24"/>
            <w:lang w:eastAsia="en-AU"/>
            <w14:ligatures w14:val="standardContextual"/>
          </w:rPr>
          <w:tab/>
        </w:r>
        <w:r w:rsidRPr="00C1125D">
          <w:rPr>
            <w:rStyle w:val="Hyperlink"/>
          </w:rPr>
          <w:t>Study mode (institution-reported)</w:t>
        </w:r>
        <w:r>
          <w:rPr>
            <w:webHidden/>
          </w:rPr>
          <w:tab/>
        </w:r>
        <w:r>
          <w:rPr>
            <w:webHidden/>
          </w:rPr>
          <w:fldChar w:fldCharType="begin"/>
        </w:r>
        <w:r>
          <w:rPr>
            <w:webHidden/>
          </w:rPr>
          <w:instrText xml:space="preserve"> PAGEREF _Toc239764807 \h </w:instrText>
        </w:r>
        <w:r>
          <w:rPr>
            <w:webHidden/>
          </w:rPr>
        </w:r>
        <w:r>
          <w:rPr>
            <w:webHidden/>
          </w:rPr>
          <w:fldChar w:fldCharType="separate"/>
        </w:r>
        <w:r w:rsidR="00764E61">
          <w:rPr>
            <w:webHidden/>
          </w:rPr>
          <w:t>58</w:t>
        </w:r>
        <w:r>
          <w:rPr>
            <w:webHidden/>
          </w:rPr>
          <w:fldChar w:fldCharType="end"/>
        </w:r>
      </w:hyperlink>
    </w:p>
    <w:p w14:paraId="2F8CC3D3" w14:textId="6802EE8E" w:rsidR="00D15CEE" w:rsidRDefault="00D15CEE">
      <w:pPr>
        <w:pStyle w:val="TOC3"/>
        <w:rPr>
          <w:rFonts w:asciiTheme="minorHAnsi" w:eastAsiaTheme="minorEastAsia" w:hAnsiTheme="minorHAnsi" w:cstheme="minorBidi"/>
          <w:kern w:val="2"/>
          <w:sz w:val="24"/>
          <w:szCs w:val="24"/>
          <w:lang w:eastAsia="en-AU"/>
          <w14:ligatures w14:val="standardContextual"/>
        </w:rPr>
      </w:pPr>
      <w:hyperlink w:anchor="_Toc239764808" w:history="1">
        <w:r w:rsidRPr="00C1125D">
          <w:rPr>
            <w:rStyle w:val="Hyperlink"/>
          </w:rPr>
          <w:t>A1.1.1</w:t>
        </w:r>
        <w:r>
          <w:rPr>
            <w:rFonts w:asciiTheme="minorHAnsi" w:eastAsiaTheme="minorEastAsia" w:hAnsiTheme="minorHAnsi" w:cstheme="minorBidi"/>
            <w:kern w:val="2"/>
            <w:sz w:val="24"/>
            <w:szCs w:val="24"/>
            <w:lang w:eastAsia="en-AU"/>
            <w14:ligatures w14:val="standardContextual"/>
          </w:rPr>
          <w:tab/>
        </w:r>
        <w:r w:rsidRPr="00C1125D">
          <w:rPr>
            <w:rStyle w:val="Hyperlink"/>
          </w:rPr>
          <w:t>Domestic study mode trends over time</w:t>
        </w:r>
        <w:r>
          <w:rPr>
            <w:webHidden/>
          </w:rPr>
          <w:tab/>
        </w:r>
        <w:r>
          <w:rPr>
            <w:webHidden/>
          </w:rPr>
          <w:fldChar w:fldCharType="begin"/>
        </w:r>
        <w:r>
          <w:rPr>
            <w:webHidden/>
          </w:rPr>
          <w:instrText xml:space="preserve"> PAGEREF _Toc239764808 \h </w:instrText>
        </w:r>
        <w:r>
          <w:rPr>
            <w:webHidden/>
          </w:rPr>
        </w:r>
        <w:r>
          <w:rPr>
            <w:webHidden/>
          </w:rPr>
          <w:fldChar w:fldCharType="separate"/>
        </w:r>
        <w:r w:rsidR="00764E61">
          <w:rPr>
            <w:webHidden/>
          </w:rPr>
          <w:t>60</w:t>
        </w:r>
        <w:r>
          <w:rPr>
            <w:webHidden/>
          </w:rPr>
          <w:fldChar w:fldCharType="end"/>
        </w:r>
      </w:hyperlink>
    </w:p>
    <w:p w14:paraId="46413DE2" w14:textId="6DC51E42"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809" w:history="1">
        <w:r w:rsidRPr="00C1125D">
          <w:rPr>
            <w:rStyle w:val="Hyperlink"/>
          </w:rPr>
          <w:t>A1.2</w:t>
        </w:r>
        <w:r>
          <w:rPr>
            <w:rFonts w:asciiTheme="minorHAnsi" w:eastAsiaTheme="minorEastAsia" w:hAnsiTheme="minorHAnsi" w:cstheme="minorBidi"/>
            <w:kern w:val="2"/>
            <w:sz w:val="24"/>
            <w:szCs w:val="24"/>
            <w:lang w:eastAsia="en-AU"/>
            <w14:ligatures w14:val="standardContextual"/>
          </w:rPr>
          <w:tab/>
        </w:r>
        <w:r w:rsidRPr="00C1125D">
          <w:rPr>
            <w:rStyle w:val="Hyperlink"/>
          </w:rPr>
          <w:t>Class participation (self-reported)</w:t>
        </w:r>
        <w:r>
          <w:rPr>
            <w:webHidden/>
          </w:rPr>
          <w:tab/>
        </w:r>
        <w:r>
          <w:rPr>
            <w:webHidden/>
          </w:rPr>
          <w:fldChar w:fldCharType="begin"/>
        </w:r>
        <w:r>
          <w:rPr>
            <w:webHidden/>
          </w:rPr>
          <w:instrText xml:space="preserve"> PAGEREF _Toc239764809 \h </w:instrText>
        </w:r>
        <w:r>
          <w:rPr>
            <w:webHidden/>
          </w:rPr>
        </w:r>
        <w:r>
          <w:rPr>
            <w:webHidden/>
          </w:rPr>
          <w:fldChar w:fldCharType="separate"/>
        </w:r>
        <w:r w:rsidR="00764E61">
          <w:rPr>
            <w:webHidden/>
          </w:rPr>
          <w:t>61</w:t>
        </w:r>
        <w:r>
          <w:rPr>
            <w:webHidden/>
          </w:rPr>
          <w:fldChar w:fldCharType="end"/>
        </w:r>
      </w:hyperlink>
    </w:p>
    <w:p w14:paraId="4FEFE4D6" w14:textId="6F300F03" w:rsidR="00D15CEE" w:rsidRDefault="00D15CEE">
      <w:pPr>
        <w:pStyle w:val="TOC3"/>
        <w:rPr>
          <w:rFonts w:asciiTheme="minorHAnsi" w:eastAsiaTheme="minorEastAsia" w:hAnsiTheme="minorHAnsi" w:cstheme="minorBidi"/>
          <w:kern w:val="2"/>
          <w:sz w:val="24"/>
          <w:szCs w:val="24"/>
          <w:lang w:eastAsia="en-AU"/>
          <w14:ligatures w14:val="standardContextual"/>
        </w:rPr>
      </w:pPr>
      <w:hyperlink w:anchor="_Toc239764810" w:history="1">
        <w:r w:rsidRPr="00C1125D">
          <w:rPr>
            <w:rStyle w:val="Hyperlink"/>
          </w:rPr>
          <w:t>A1.2.1</w:t>
        </w:r>
        <w:r>
          <w:rPr>
            <w:rFonts w:asciiTheme="minorHAnsi" w:eastAsiaTheme="minorEastAsia" w:hAnsiTheme="minorHAnsi" w:cstheme="minorBidi"/>
            <w:kern w:val="2"/>
            <w:sz w:val="24"/>
            <w:szCs w:val="24"/>
            <w:lang w:eastAsia="en-AU"/>
            <w14:ligatures w14:val="standardContextual"/>
          </w:rPr>
          <w:tab/>
        </w:r>
        <w:r w:rsidRPr="00C1125D">
          <w:rPr>
            <w:rStyle w:val="Hyperlink"/>
          </w:rPr>
          <w:t>Class participation and citizenship status</w:t>
        </w:r>
        <w:r>
          <w:rPr>
            <w:webHidden/>
          </w:rPr>
          <w:tab/>
        </w:r>
        <w:r>
          <w:rPr>
            <w:webHidden/>
          </w:rPr>
          <w:fldChar w:fldCharType="begin"/>
        </w:r>
        <w:r>
          <w:rPr>
            <w:webHidden/>
          </w:rPr>
          <w:instrText xml:space="preserve"> PAGEREF _Toc239764810 \h </w:instrText>
        </w:r>
        <w:r>
          <w:rPr>
            <w:webHidden/>
          </w:rPr>
        </w:r>
        <w:r>
          <w:rPr>
            <w:webHidden/>
          </w:rPr>
          <w:fldChar w:fldCharType="separate"/>
        </w:r>
        <w:r w:rsidR="00764E61">
          <w:rPr>
            <w:webHidden/>
          </w:rPr>
          <w:t>62</w:t>
        </w:r>
        <w:r>
          <w:rPr>
            <w:webHidden/>
          </w:rPr>
          <w:fldChar w:fldCharType="end"/>
        </w:r>
      </w:hyperlink>
    </w:p>
    <w:p w14:paraId="412AC87F" w14:textId="65A24B2A" w:rsidR="00D15CEE" w:rsidRDefault="00D15CEE">
      <w:pPr>
        <w:pStyle w:val="TOC2"/>
        <w:rPr>
          <w:rFonts w:asciiTheme="minorHAnsi" w:eastAsiaTheme="minorEastAsia" w:hAnsiTheme="minorHAnsi" w:cstheme="minorBidi"/>
          <w:kern w:val="2"/>
          <w:sz w:val="24"/>
          <w:szCs w:val="24"/>
          <w:lang w:eastAsia="en-AU"/>
          <w14:ligatures w14:val="standardContextual"/>
        </w:rPr>
      </w:pPr>
      <w:hyperlink w:anchor="_Toc239764811" w:history="1">
        <w:r w:rsidRPr="00C1125D">
          <w:rPr>
            <w:rStyle w:val="Hyperlink"/>
          </w:rPr>
          <w:t>A1.3</w:t>
        </w:r>
        <w:r>
          <w:rPr>
            <w:rFonts w:asciiTheme="minorHAnsi" w:eastAsiaTheme="minorEastAsia" w:hAnsiTheme="minorHAnsi" w:cstheme="minorBidi"/>
            <w:kern w:val="2"/>
            <w:sz w:val="24"/>
            <w:szCs w:val="24"/>
            <w:lang w:eastAsia="en-AU"/>
            <w14:ligatures w14:val="standardContextual"/>
          </w:rPr>
          <w:tab/>
        </w:r>
        <w:r w:rsidRPr="00C1125D">
          <w:rPr>
            <w:rStyle w:val="Hyperlink"/>
          </w:rPr>
          <w:t>Relative proportions of international students over time</w:t>
        </w:r>
        <w:r>
          <w:rPr>
            <w:webHidden/>
          </w:rPr>
          <w:tab/>
        </w:r>
        <w:r>
          <w:rPr>
            <w:webHidden/>
          </w:rPr>
          <w:fldChar w:fldCharType="begin"/>
        </w:r>
        <w:r>
          <w:rPr>
            <w:webHidden/>
          </w:rPr>
          <w:instrText xml:space="preserve"> PAGEREF _Toc239764811 \h </w:instrText>
        </w:r>
        <w:r>
          <w:rPr>
            <w:webHidden/>
          </w:rPr>
        </w:r>
        <w:r>
          <w:rPr>
            <w:webHidden/>
          </w:rPr>
          <w:fldChar w:fldCharType="separate"/>
        </w:r>
        <w:r w:rsidR="00764E61">
          <w:rPr>
            <w:webHidden/>
          </w:rPr>
          <w:t>64</w:t>
        </w:r>
        <w:r>
          <w:rPr>
            <w:webHidden/>
          </w:rPr>
          <w:fldChar w:fldCharType="end"/>
        </w:r>
      </w:hyperlink>
    </w:p>
    <w:p w14:paraId="792A237F" w14:textId="215A996A" w:rsidR="00FE4D87" w:rsidRPr="000530B1" w:rsidRDefault="0033167C" w:rsidP="004D16B4">
      <w:pPr>
        <w:pStyle w:val="TOC1"/>
      </w:pPr>
      <w:r>
        <w:rPr>
          <w:rFonts w:cs="Arial"/>
        </w:rPr>
        <w:fldChar w:fldCharType="end"/>
      </w:r>
      <w:r w:rsidR="00FE4D87" w:rsidRPr="000530B1">
        <w:br w:type="page"/>
      </w:r>
    </w:p>
    <w:p w14:paraId="5E1E17BF" w14:textId="0639F9A0" w:rsidR="00D04504" w:rsidRPr="000530B1" w:rsidRDefault="00D04504" w:rsidP="00194EE0">
      <w:pPr>
        <w:pStyle w:val="MajorHeadingaccessible"/>
      </w:pPr>
      <w:bookmarkStart w:id="6" w:name="_Toc239764778"/>
      <w:r w:rsidRPr="000530B1">
        <w:lastRenderedPageBreak/>
        <w:t>List of tables</w:t>
      </w:r>
      <w:bookmarkEnd w:id="5"/>
      <w:bookmarkEnd w:id="6"/>
    </w:p>
    <w:p w14:paraId="0C4205C1" w14:textId="34165E2F" w:rsidR="004A6053" w:rsidRDefault="00D04504">
      <w:pPr>
        <w:pStyle w:val="TableofFigures"/>
        <w:tabs>
          <w:tab w:val="right" w:pos="10194"/>
        </w:tabs>
        <w:rPr>
          <w:rFonts w:asciiTheme="minorHAnsi" w:eastAsiaTheme="minorEastAsia" w:hAnsiTheme="minorHAnsi"/>
          <w:noProof/>
          <w:color w:val="auto"/>
          <w:kern w:val="2"/>
          <w:sz w:val="24"/>
          <w:szCs w:val="24"/>
          <w:lang w:eastAsia="en-AU"/>
          <w14:ligatures w14:val="standardContextual"/>
        </w:rPr>
      </w:pPr>
      <w:r w:rsidRPr="000530B1">
        <w:fldChar w:fldCharType="begin"/>
      </w:r>
      <w:r w:rsidRPr="000530B1">
        <w:instrText xml:space="preserve"> TOC \h \z \c "Table" </w:instrText>
      </w:r>
      <w:r w:rsidRPr="000530B1">
        <w:fldChar w:fldCharType="separate"/>
      </w:r>
      <w:hyperlink w:anchor="_Toc239764861" w:history="1">
        <w:r w:rsidR="004A6053" w:rsidRPr="00085468">
          <w:rPr>
            <w:rStyle w:val="Hyperlink"/>
            <w:noProof/>
          </w:rPr>
          <w:t>Table 1</w:t>
        </w:r>
        <w:r w:rsidR="004A6053">
          <w:rPr>
            <w:rFonts w:asciiTheme="minorHAnsi" w:eastAsiaTheme="minorEastAsia" w:hAnsiTheme="minorHAnsi"/>
            <w:noProof/>
            <w:color w:val="auto"/>
            <w:kern w:val="2"/>
            <w:sz w:val="24"/>
            <w:szCs w:val="24"/>
            <w:lang w:eastAsia="en-AU"/>
            <w14:ligatures w14:val="standardContextual"/>
          </w:rPr>
          <w:tab/>
        </w:r>
        <w:r w:rsidR="004A6053" w:rsidRPr="00085468">
          <w:rPr>
            <w:rStyle w:val="Hyperlink"/>
            <w:noProof/>
          </w:rPr>
          <w:t>Other aspects of the student experience by course level and disability status, 2025</w:t>
        </w:r>
        <w:r w:rsidR="004A6053">
          <w:rPr>
            <w:noProof/>
            <w:webHidden/>
          </w:rPr>
          <w:tab/>
        </w:r>
        <w:r w:rsidR="004A6053">
          <w:rPr>
            <w:noProof/>
            <w:webHidden/>
          </w:rPr>
          <w:fldChar w:fldCharType="begin"/>
        </w:r>
        <w:r w:rsidR="004A6053">
          <w:rPr>
            <w:noProof/>
            <w:webHidden/>
          </w:rPr>
          <w:instrText xml:space="preserve"> PAGEREF _Toc239764861 \h </w:instrText>
        </w:r>
        <w:r w:rsidR="004A6053">
          <w:rPr>
            <w:noProof/>
            <w:webHidden/>
          </w:rPr>
        </w:r>
        <w:r w:rsidR="004A6053">
          <w:rPr>
            <w:noProof/>
            <w:webHidden/>
          </w:rPr>
          <w:fldChar w:fldCharType="separate"/>
        </w:r>
        <w:r w:rsidR="00764E61">
          <w:rPr>
            <w:noProof/>
            <w:webHidden/>
          </w:rPr>
          <w:t>39</w:t>
        </w:r>
        <w:r w:rsidR="004A6053">
          <w:rPr>
            <w:noProof/>
            <w:webHidden/>
          </w:rPr>
          <w:fldChar w:fldCharType="end"/>
        </w:r>
      </w:hyperlink>
    </w:p>
    <w:p w14:paraId="5BE3827F" w14:textId="6CFE89CB" w:rsidR="004A6053" w:rsidRDefault="004A6053">
      <w:pPr>
        <w:pStyle w:val="TableofFigures"/>
        <w:tabs>
          <w:tab w:val="right" w:pos="10194"/>
        </w:tabs>
        <w:rPr>
          <w:rFonts w:asciiTheme="minorHAnsi" w:eastAsiaTheme="minorEastAsia" w:hAnsiTheme="minorHAnsi"/>
          <w:noProof/>
          <w:color w:val="auto"/>
          <w:kern w:val="2"/>
          <w:sz w:val="24"/>
          <w:szCs w:val="24"/>
          <w:lang w:eastAsia="en-AU"/>
          <w14:ligatures w14:val="standardContextual"/>
        </w:rPr>
      </w:pPr>
      <w:hyperlink w:anchor="_Toc239764862" w:history="1">
        <w:r w:rsidRPr="00085468">
          <w:rPr>
            <w:rStyle w:val="Hyperlink"/>
            <w:noProof/>
          </w:rPr>
          <w:t>Table 2</w:t>
        </w:r>
        <w:r>
          <w:rPr>
            <w:rFonts w:asciiTheme="minorHAnsi" w:eastAsiaTheme="minorEastAsia" w:hAnsiTheme="minorHAnsi"/>
            <w:noProof/>
            <w:color w:val="auto"/>
            <w:kern w:val="2"/>
            <w:sz w:val="24"/>
            <w:szCs w:val="24"/>
            <w:lang w:eastAsia="en-AU"/>
            <w14:ligatures w14:val="standardContextual"/>
          </w:rPr>
          <w:tab/>
        </w:r>
        <w:r w:rsidRPr="00085468">
          <w:rPr>
            <w:rStyle w:val="Hyperlink"/>
            <w:noProof/>
          </w:rPr>
          <w:t>Other aspects of the student experience by course level and First Nations status, 2025</w:t>
        </w:r>
        <w:r>
          <w:rPr>
            <w:noProof/>
            <w:webHidden/>
          </w:rPr>
          <w:tab/>
        </w:r>
        <w:r>
          <w:rPr>
            <w:noProof/>
            <w:webHidden/>
          </w:rPr>
          <w:fldChar w:fldCharType="begin"/>
        </w:r>
        <w:r>
          <w:rPr>
            <w:noProof/>
            <w:webHidden/>
          </w:rPr>
          <w:instrText xml:space="preserve"> PAGEREF _Toc239764862 \h </w:instrText>
        </w:r>
        <w:r>
          <w:rPr>
            <w:noProof/>
            <w:webHidden/>
          </w:rPr>
        </w:r>
        <w:r>
          <w:rPr>
            <w:noProof/>
            <w:webHidden/>
          </w:rPr>
          <w:fldChar w:fldCharType="separate"/>
        </w:r>
        <w:r w:rsidR="00764E61">
          <w:rPr>
            <w:noProof/>
            <w:webHidden/>
          </w:rPr>
          <w:t>43</w:t>
        </w:r>
        <w:r>
          <w:rPr>
            <w:noProof/>
            <w:webHidden/>
          </w:rPr>
          <w:fldChar w:fldCharType="end"/>
        </w:r>
      </w:hyperlink>
    </w:p>
    <w:p w14:paraId="4212239E" w14:textId="20CC5821" w:rsidR="004A6053" w:rsidRDefault="004A6053">
      <w:pPr>
        <w:pStyle w:val="TableofFigures"/>
        <w:tabs>
          <w:tab w:val="right" w:pos="10194"/>
        </w:tabs>
        <w:rPr>
          <w:rFonts w:asciiTheme="minorHAnsi" w:eastAsiaTheme="minorEastAsia" w:hAnsiTheme="minorHAnsi"/>
          <w:noProof/>
          <w:color w:val="auto"/>
          <w:kern w:val="2"/>
          <w:sz w:val="24"/>
          <w:szCs w:val="24"/>
          <w:lang w:eastAsia="en-AU"/>
          <w14:ligatures w14:val="standardContextual"/>
        </w:rPr>
      </w:pPr>
      <w:hyperlink w:anchor="_Toc239764863" w:history="1">
        <w:r w:rsidRPr="00085468">
          <w:rPr>
            <w:rStyle w:val="Hyperlink"/>
            <w:noProof/>
          </w:rPr>
          <w:t>Table 3</w:t>
        </w:r>
        <w:r>
          <w:rPr>
            <w:rFonts w:asciiTheme="minorHAnsi" w:eastAsiaTheme="minorEastAsia" w:hAnsiTheme="minorHAnsi"/>
            <w:noProof/>
            <w:color w:val="auto"/>
            <w:kern w:val="2"/>
            <w:sz w:val="24"/>
            <w:szCs w:val="24"/>
            <w:lang w:eastAsia="en-AU"/>
            <w14:ligatures w14:val="standardContextual"/>
          </w:rPr>
          <w:tab/>
        </w:r>
        <w:r w:rsidRPr="00085468">
          <w:rPr>
            <w:rStyle w:val="Hyperlink"/>
            <w:noProof/>
          </w:rPr>
          <w:t>Undergraduate student experience by study area, 2025 (% positive rating)</w:t>
        </w:r>
        <w:r>
          <w:rPr>
            <w:noProof/>
            <w:webHidden/>
          </w:rPr>
          <w:tab/>
        </w:r>
        <w:r>
          <w:rPr>
            <w:noProof/>
            <w:webHidden/>
          </w:rPr>
          <w:fldChar w:fldCharType="begin"/>
        </w:r>
        <w:r>
          <w:rPr>
            <w:noProof/>
            <w:webHidden/>
          </w:rPr>
          <w:instrText xml:space="preserve"> PAGEREF _Toc239764863 \h </w:instrText>
        </w:r>
        <w:r>
          <w:rPr>
            <w:noProof/>
            <w:webHidden/>
          </w:rPr>
        </w:r>
        <w:r>
          <w:rPr>
            <w:noProof/>
            <w:webHidden/>
          </w:rPr>
          <w:fldChar w:fldCharType="separate"/>
        </w:r>
        <w:r w:rsidR="00764E61">
          <w:rPr>
            <w:noProof/>
            <w:webHidden/>
          </w:rPr>
          <w:t>46</w:t>
        </w:r>
        <w:r>
          <w:rPr>
            <w:noProof/>
            <w:webHidden/>
          </w:rPr>
          <w:fldChar w:fldCharType="end"/>
        </w:r>
      </w:hyperlink>
    </w:p>
    <w:p w14:paraId="4CED4A4D" w14:textId="56689924" w:rsidR="004A6053" w:rsidRDefault="004A6053">
      <w:pPr>
        <w:pStyle w:val="TableofFigures"/>
        <w:tabs>
          <w:tab w:val="right" w:pos="10194"/>
        </w:tabs>
        <w:rPr>
          <w:rFonts w:asciiTheme="minorHAnsi" w:eastAsiaTheme="minorEastAsia" w:hAnsiTheme="minorHAnsi"/>
          <w:noProof/>
          <w:color w:val="auto"/>
          <w:kern w:val="2"/>
          <w:sz w:val="24"/>
          <w:szCs w:val="24"/>
          <w:lang w:eastAsia="en-AU"/>
          <w14:ligatures w14:val="standardContextual"/>
        </w:rPr>
      </w:pPr>
      <w:hyperlink w:anchor="_Toc239764864" w:history="1">
        <w:r w:rsidRPr="00085468">
          <w:rPr>
            <w:rStyle w:val="Hyperlink"/>
            <w:noProof/>
          </w:rPr>
          <w:t>Table 4</w:t>
        </w:r>
        <w:r>
          <w:rPr>
            <w:rFonts w:asciiTheme="minorHAnsi" w:eastAsiaTheme="minorEastAsia" w:hAnsiTheme="minorHAnsi"/>
            <w:noProof/>
            <w:color w:val="auto"/>
            <w:kern w:val="2"/>
            <w:sz w:val="24"/>
            <w:szCs w:val="24"/>
            <w:lang w:eastAsia="en-AU"/>
            <w14:ligatures w14:val="standardContextual"/>
          </w:rPr>
          <w:tab/>
        </w:r>
        <w:r w:rsidRPr="00085468">
          <w:rPr>
            <w:rStyle w:val="Hyperlink"/>
            <w:noProof/>
          </w:rPr>
          <w:t>Postgraduate coursework student experience by study area, 2025 (% positive rating)</w:t>
        </w:r>
        <w:r>
          <w:rPr>
            <w:noProof/>
            <w:webHidden/>
          </w:rPr>
          <w:tab/>
        </w:r>
        <w:r>
          <w:rPr>
            <w:noProof/>
            <w:webHidden/>
          </w:rPr>
          <w:fldChar w:fldCharType="begin"/>
        </w:r>
        <w:r>
          <w:rPr>
            <w:noProof/>
            <w:webHidden/>
          </w:rPr>
          <w:instrText xml:space="preserve"> PAGEREF _Toc239764864 \h </w:instrText>
        </w:r>
        <w:r>
          <w:rPr>
            <w:noProof/>
            <w:webHidden/>
          </w:rPr>
        </w:r>
        <w:r>
          <w:rPr>
            <w:noProof/>
            <w:webHidden/>
          </w:rPr>
          <w:fldChar w:fldCharType="separate"/>
        </w:r>
        <w:r w:rsidR="00764E61">
          <w:rPr>
            <w:noProof/>
            <w:webHidden/>
          </w:rPr>
          <w:t>48</w:t>
        </w:r>
        <w:r>
          <w:rPr>
            <w:noProof/>
            <w:webHidden/>
          </w:rPr>
          <w:fldChar w:fldCharType="end"/>
        </w:r>
      </w:hyperlink>
    </w:p>
    <w:p w14:paraId="48B87688" w14:textId="46484703" w:rsidR="007D61CF" w:rsidRPr="000530B1" w:rsidRDefault="00D04504" w:rsidP="007D61CF">
      <w:pPr>
        <w:tabs>
          <w:tab w:val="left" w:pos="1305"/>
        </w:tabs>
      </w:pPr>
      <w:r w:rsidRPr="000530B1">
        <w:fldChar w:fldCharType="end"/>
      </w:r>
      <w:bookmarkStart w:id="7" w:name="_Toc215068881"/>
    </w:p>
    <w:p w14:paraId="3079C4DA" w14:textId="33B8844E" w:rsidR="00D04504" w:rsidRPr="000530B1" w:rsidRDefault="00D04504" w:rsidP="00194EE0">
      <w:pPr>
        <w:pStyle w:val="MajorHeadingaccessible"/>
      </w:pPr>
      <w:bookmarkStart w:id="8" w:name="_Toc239764779"/>
      <w:r w:rsidRPr="000530B1">
        <w:lastRenderedPageBreak/>
        <w:t>List of figures</w:t>
      </w:r>
      <w:bookmarkEnd w:id="7"/>
      <w:bookmarkEnd w:id="8"/>
    </w:p>
    <w:p w14:paraId="74FC6484" w14:textId="72D52B21" w:rsidR="004A6053" w:rsidRDefault="00D04504">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r w:rsidRPr="000530B1">
        <w:fldChar w:fldCharType="begin"/>
      </w:r>
      <w:r w:rsidRPr="000530B1">
        <w:instrText xml:space="preserve"> TOC \h \z \c "Figure" </w:instrText>
      </w:r>
      <w:r w:rsidRPr="000530B1">
        <w:fldChar w:fldCharType="separate"/>
      </w:r>
      <w:hyperlink w:anchor="_Toc239764866" w:history="1">
        <w:r w:rsidR="004A6053" w:rsidRPr="00E0764F">
          <w:rPr>
            <w:rStyle w:val="Hyperlink"/>
            <w:noProof/>
          </w:rPr>
          <w:t>Figure 1</w:t>
        </w:r>
        <w:r w:rsidR="004A6053">
          <w:rPr>
            <w:rFonts w:asciiTheme="minorHAnsi" w:eastAsiaTheme="minorEastAsia" w:hAnsiTheme="minorHAnsi"/>
            <w:noProof/>
            <w:color w:val="auto"/>
            <w:kern w:val="2"/>
            <w:sz w:val="24"/>
            <w:szCs w:val="24"/>
            <w:lang w:eastAsia="en-AU"/>
            <w14:ligatures w14:val="standardContextual"/>
          </w:rPr>
          <w:tab/>
        </w:r>
        <w:r w:rsidR="004A6053" w:rsidRPr="00E0764F">
          <w:rPr>
            <w:rStyle w:val="Hyperlink"/>
            <w:noProof/>
          </w:rPr>
          <w:t>Undergraduate educational experience, 2017–25 (% positive rating)</w:t>
        </w:r>
        <w:r w:rsidR="004A6053">
          <w:rPr>
            <w:noProof/>
            <w:webHidden/>
          </w:rPr>
          <w:tab/>
        </w:r>
        <w:r w:rsidR="004A6053">
          <w:rPr>
            <w:noProof/>
            <w:webHidden/>
          </w:rPr>
          <w:fldChar w:fldCharType="begin"/>
        </w:r>
        <w:r w:rsidR="004A6053">
          <w:rPr>
            <w:noProof/>
            <w:webHidden/>
          </w:rPr>
          <w:instrText xml:space="preserve"> PAGEREF _Toc239764866 \h </w:instrText>
        </w:r>
        <w:r w:rsidR="004A6053">
          <w:rPr>
            <w:noProof/>
            <w:webHidden/>
          </w:rPr>
        </w:r>
        <w:r w:rsidR="004A6053">
          <w:rPr>
            <w:noProof/>
            <w:webHidden/>
          </w:rPr>
          <w:fldChar w:fldCharType="separate"/>
        </w:r>
        <w:r w:rsidR="00764E61">
          <w:rPr>
            <w:noProof/>
            <w:webHidden/>
          </w:rPr>
          <w:t>4</w:t>
        </w:r>
        <w:r w:rsidR="004A6053">
          <w:rPr>
            <w:noProof/>
            <w:webHidden/>
          </w:rPr>
          <w:fldChar w:fldCharType="end"/>
        </w:r>
      </w:hyperlink>
    </w:p>
    <w:p w14:paraId="11A919E9" w14:textId="3A830C76"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67" w:history="1">
        <w:r w:rsidRPr="00E0764F">
          <w:rPr>
            <w:rStyle w:val="Hyperlink"/>
            <w:noProof/>
          </w:rPr>
          <w:t>Figure 2</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Postgraduate coursework educational experience, 2017–25 (% positive rating)</w:t>
        </w:r>
        <w:r>
          <w:rPr>
            <w:noProof/>
            <w:webHidden/>
          </w:rPr>
          <w:tab/>
        </w:r>
        <w:r>
          <w:rPr>
            <w:noProof/>
            <w:webHidden/>
          </w:rPr>
          <w:fldChar w:fldCharType="begin"/>
        </w:r>
        <w:r>
          <w:rPr>
            <w:noProof/>
            <w:webHidden/>
          </w:rPr>
          <w:instrText xml:space="preserve"> PAGEREF _Toc239764867 \h </w:instrText>
        </w:r>
        <w:r>
          <w:rPr>
            <w:noProof/>
            <w:webHidden/>
          </w:rPr>
        </w:r>
        <w:r>
          <w:rPr>
            <w:noProof/>
            <w:webHidden/>
          </w:rPr>
          <w:fldChar w:fldCharType="separate"/>
        </w:r>
        <w:r w:rsidR="00764E61">
          <w:rPr>
            <w:noProof/>
            <w:webHidden/>
          </w:rPr>
          <w:t>5</w:t>
        </w:r>
        <w:r>
          <w:rPr>
            <w:noProof/>
            <w:webHidden/>
          </w:rPr>
          <w:fldChar w:fldCharType="end"/>
        </w:r>
      </w:hyperlink>
    </w:p>
    <w:p w14:paraId="1F53C029" w14:textId="20FF1323"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68" w:history="1">
        <w:r w:rsidRPr="00E0764F">
          <w:rPr>
            <w:rStyle w:val="Hyperlink"/>
            <w:noProof/>
          </w:rPr>
          <w:t>Figure 3</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Educational Experience by course level, 2017–25 (% positive rating)</w:t>
        </w:r>
        <w:r>
          <w:rPr>
            <w:noProof/>
            <w:webHidden/>
          </w:rPr>
          <w:tab/>
        </w:r>
        <w:r>
          <w:rPr>
            <w:noProof/>
            <w:webHidden/>
          </w:rPr>
          <w:fldChar w:fldCharType="begin"/>
        </w:r>
        <w:r>
          <w:rPr>
            <w:noProof/>
            <w:webHidden/>
          </w:rPr>
          <w:instrText xml:space="preserve"> PAGEREF _Toc239764868 \h </w:instrText>
        </w:r>
        <w:r>
          <w:rPr>
            <w:noProof/>
            <w:webHidden/>
          </w:rPr>
        </w:r>
        <w:r>
          <w:rPr>
            <w:noProof/>
            <w:webHidden/>
          </w:rPr>
          <w:fldChar w:fldCharType="separate"/>
        </w:r>
        <w:r w:rsidR="00764E61">
          <w:rPr>
            <w:noProof/>
            <w:webHidden/>
          </w:rPr>
          <w:t>7</w:t>
        </w:r>
        <w:r>
          <w:rPr>
            <w:noProof/>
            <w:webHidden/>
          </w:rPr>
          <w:fldChar w:fldCharType="end"/>
        </w:r>
      </w:hyperlink>
    </w:p>
    <w:p w14:paraId="6AFFA76E" w14:textId="02F9E5A5"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69" w:history="1">
        <w:r w:rsidRPr="00E0764F">
          <w:rPr>
            <w:rStyle w:val="Hyperlink"/>
            <w:noProof/>
          </w:rPr>
          <w:t>Figure 4</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Educational Experience by study mode, 2017–25 (% positive rating)</w:t>
        </w:r>
        <w:r>
          <w:rPr>
            <w:noProof/>
            <w:webHidden/>
          </w:rPr>
          <w:tab/>
        </w:r>
        <w:r>
          <w:rPr>
            <w:noProof/>
            <w:webHidden/>
          </w:rPr>
          <w:fldChar w:fldCharType="begin"/>
        </w:r>
        <w:r>
          <w:rPr>
            <w:noProof/>
            <w:webHidden/>
          </w:rPr>
          <w:instrText xml:space="preserve"> PAGEREF _Toc239764869 \h </w:instrText>
        </w:r>
        <w:r>
          <w:rPr>
            <w:noProof/>
            <w:webHidden/>
          </w:rPr>
        </w:r>
        <w:r>
          <w:rPr>
            <w:noProof/>
            <w:webHidden/>
          </w:rPr>
          <w:fldChar w:fldCharType="separate"/>
        </w:r>
        <w:r w:rsidR="00764E61">
          <w:rPr>
            <w:noProof/>
            <w:webHidden/>
          </w:rPr>
          <w:t>8</w:t>
        </w:r>
        <w:r>
          <w:rPr>
            <w:noProof/>
            <w:webHidden/>
          </w:rPr>
          <w:fldChar w:fldCharType="end"/>
        </w:r>
      </w:hyperlink>
    </w:p>
    <w:p w14:paraId="6CC70C30" w14:textId="3745A83C"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70" w:history="1">
        <w:r w:rsidRPr="00E0764F">
          <w:rPr>
            <w:rStyle w:val="Hyperlink"/>
            <w:noProof/>
          </w:rPr>
          <w:t>Figure 5</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Undergraduate Overall Educational Experience by class participation, enrolled internal/multi-mode, 2025 (% positive rating)</w:t>
        </w:r>
        <w:r>
          <w:rPr>
            <w:noProof/>
            <w:webHidden/>
          </w:rPr>
          <w:tab/>
        </w:r>
        <w:r>
          <w:rPr>
            <w:noProof/>
            <w:webHidden/>
          </w:rPr>
          <w:fldChar w:fldCharType="begin"/>
        </w:r>
        <w:r>
          <w:rPr>
            <w:noProof/>
            <w:webHidden/>
          </w:rPr>
          <w:instrText xml:space="preserve"> PAGEREF _Toc239764870 \h </w:instrText>
        </w:r>
        <w:r>
          <w:rPr>
            <w:noProof/>
            <w:webHidden/>
          </w:rPr>
        </w:r>
        <w:r>
          <w:rPr>
            <w:noProof/>
            <w:webHidden/>
          </w:rPr>
          <w:fldChar w:fldCharType="separate"/>
        </w:r>
        <w:r w:rsidR="00764E61">
          <w:rPr>
            <w:noProof/>
            <w:webHidden/>
          </w:rPr>
          <w:t>9</w:t>
        </w:r>
        <w:r>
          <w:rPr>
            <w:noProof/>
            <w:webHidden/>
          </w:rPr>
          <w:fldChar w:fldCharType="end"/>
        </w:r>
      </w:hyperlink>
    </w:p>
    <w:p w14:paraId="2B2B7690" w14:textId="57394A1B"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71" w:history="1">
        <w:r w:rsidRPr="00E0764F">
          <w:rPr>
            <w:rStyle w:val="Hyperlink"/>
            <w:noProof/>
          </w:rPr>
          <w:t>Figure 6</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Postgraduate coursework Overall Educational Experience by class participation, enrolled internal/multi-mode, 2025 (% positive rating)</w:t>
        </w:r>
        <w:r>
          <w:rPr>
            <w:noProof/>
            <w:webHidden/>
          </w:rPr>
          <w:tab/>
        </w:r>
        <w:r>
          <w:rPr>
            <w:noProof/>
            <w:webHidden/>
          </w:rPr>
          <w:fldChar w:fldCharType="begin"/>
        </w:r>
        <w:r>
          <w:rPr>
            <w:noProof/>
            <w:webHidden/>
          </w:rPr>
          <w:instrText xml:space="preserve"> PAGEREF _Toc239764871 \h </w:instrText>
        </w:r>
        <w:r>
          <w:rPr>
            <w:noProof/>
            <w:webHidden/>
          </w:rPr>
        </w:r>
        <w:r>
          <w:rPr>
            <w:noProof/>
            <w:webHidden/>
          </w:rPr>
          <w:fldChar w:fldCharType="separate"/>
        </w:r>
        <w:r w:rsidR="00764E61">
          <w:rPr>
            <w:noProof/>
            <w:webHidden/>
          </w:rPr>
          <w:t>10</w:t>
        </w:r>
        <w:r>
          <w:rPr>
            <w:noProof/>
            <w:webHidden/>
          </w:rPr>
          <w:fldChar w:fldCharType="end"/>
        </w:r>
      </w:hyperlink>
    </w:p>
    <w:p w14:paraId="3D704628" w14:textId="722B82B8"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72" w:history="1">
        <w:r w:rsidRPr="00E0764F">
          <w:rPr>
            <w:rStyle w:val="Hyperlink"/>
            <w:noProof/>
          </w:rPr>
          <w:t>Figure 7</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Teaching Quality and Engagement by course level, 2017–25 (% positive rating)</w:t>
        </w:r>
        <w:r>
          <w:rPr>
            <w:noProof/>
            <w:webHidden/>
          </w:rPr>
          <w:tab/>
        </w:r>
        <w:r>
          <w:rPr>
            <w:noProof/>
            <w:webHidden/>
          </w:rPr>
          <w:fldChar w:fldCharType="begin"/>
        </w:r>
        <w:r>
          <w:rPr>
            <w:noProof/>
            <w:webHidden/>
          </w:rPr>
          <w:instrText xml:space="preserve"> PAGEREF _Toc239764872 \h </w:instrText>
        </w:r>
        <w:r>
          <w:rPr>
            <w:noProof/>
            <w:webHidden/>
          </w:rPr>
        </w:r>
        <w:r>
          <w:rPr>
            <w:noProof/>
            <w:webHidden/>
          </w:rPr>
          <w:fldChar w:fldCharType="separate"/>
        </w:r>
        <w:r w:rsidR="00764E61">
          <w:rPr>
            <w:noProof/>
            <w:webHidden/>
          </w:rPr>
          <w:t>11</w:t>
        </w:r>
        <w:r>
          <w:rPr>
            <w:noProof/>
            <w:webHidden/>
          </w:rPr>
          <w:fldChar w:fldCharType="end"/>
        </w:r>
      </w:hyperlink>
    </w:p>
    <w:p w14:paraId="17405030" w14:textId="40CC6B01"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73" w:history="1">
        <w:r w:rsidRPr="00E0764F">
          <w:rPr>
            <w:rStyle w:val="Hyperlink"/>
            <w:noProof/>
          </w:rPr>
          <w:t>Figure 8</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Undergraduate Teaching Quality and Engagement by class participation, enrolled internal/multi-mode, 2025 (% positive rating)</w:t>
        </w:r>
        <w:r>
          <w:rPr>
            <w:noProof/>
            <w:webHidden/>
          </w:rPr>
          <w:tab/>
        </w:r>
        <w:r>
          <w:rPr>
            <w:noProof/>
            <w:webHidden/>
          </w:rPr>
          <w:fldChar w:fldCharType="begin"/>
        </w:r>
        <w:r>
          <w:rPr>
            <w:noProof/>
            <w:webHidden/>
          </w:rPr>
          <w:instrText xml:space="preserve"> PAGEREF _Toc239764873 \h </w:instrText>
        </w:r>
        <w:r>
          <w:rPr>
            <w:noProof/>
            <w:webHidden/>
          </w:rPr>
        </w:r>
        <w:r>
          <w:rPr>
            <w:noProof/>
            <w:webHidden/>
          </w:rPr>
          <w:fldChar w:fldCharType="separate"/>
        </w:r>
        <w:r w:rsidR="00764E61">
          <w:rPr>
            <w:noProof/>
            <w:webHidden/>
          </w:rPr>
          <w:t>12</w:t>
        </w:r>
        <w:r>
          <w:rPr>
            <w:noProof/>
            <w:webHidden/>
          </w:rPr>
          <w:fldChar w:fldCharType="end"/>
        </w:r>
      </w:hyperlink>
    </w:p>
    <w:p w14:paraId="19510B3F" w14:textId="7D49BFB0"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74" w:history="1">
        <w:r w:rsidRPr="00E0764F">
          <w:rPr>
            <w:rStyle w:val="Hyperlink"/>
            <w:noProof/>
          </w:rPr>
          <w:t>Figure 9</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Postgraduate coursework Teaching Quality and Engagement by class participation, enrolled internal/multi-mode, 2025 (% positive rating)</w:t>
        </w:r>
        <w:r>
          <w:rPr>
            <w:noProof/>
            <w:webHidden/>
          </w:rPr>
          <w:tab/>
        </w:r>
        <w:r>
          <w:rPr>
            <w:noProof/>
            <w:webHidden/>
          </w:rPr>
          <w:fldChar w:fldCharType="begin"/>
        </w:r>
        <w:r>
          <w:rPr>
            <w:noProof/>
            <w:webHidden/>
          </w:rPr>
          <w:instrText xml:space="preserve"> PAGEREF _Toc239764874 \h </w:instrText>
        </w:r>
        <w:r>
          <w:rPr>
            <w:noProof/>
            <w:webHidden/>
          </w:rPr>
        </w:r>
        <w:r>
          <w:rPr>
            <w:noProof/>
            <w:webHidden/>
          </w:rPr>
          <w:fldChar w:fldCharType="separate"/>
        </w:r>
        <w:r w:rsidR="00764E61">
          <w:rPr>
            <w:noProof/>
            <w:webHidden/>
          </w:rPr>
          <w:t>13</w:t>
        </w:r>
        <w:r>
          <w:rPr>
            <w:noProof/>
            <w:webHidden/>
          </w:rPr>
          <w:fldChar w:fldCharType="end"/>
        </w:r>
      </w:hyperlink>
    </w:p>
    <w:p w14:paraId="55292024" w14:textId="2319C75C"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75" w:history="1">
        <w:r w:rsidRPr="00E0764F">
          <w:rPr>
            <w:rStyle w:val="Hyperlink"/>
            <w:noProof/>
          </w:rPr>
          <w:t>Figure 10</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Skills Development by course level, 2017–25 (% positive rating)</w:t>
        </w:r>
        <w:r>
          <w:rPr>
            <w:noProof/>
            <w:webHidden/>
          </w:rPr>
          <w:tab/>
        </w:r>
        <w:r>
          <w:rPr>
            <w:noProof/>
            <w:webHidden/>
          </w:rPr>
          <w:fldChar w:fldCharType="begin"/>
        </w:r>
        <w:r>
          <w:rPr>
            <w:noProof/>
            <w:webHidden/>
          </w:rPr>
          <w:instrText xml:space="preserve"> PAGEREF _Toc239764875 \h </w:instrText>
        </w:r>
        <w:r>
          <w:rPr>
            <w:noProof/>
            <w:webHidden/>
          </w:rPr>
        </w:r>
        <w:r>
          <w:rPr>
            <w:noProof/>
            <w:webHidden/>
          </w:rPr>
          <w:fldChar w:fldCharType="separate"/>
        </w:r>
        <w:r w:rsidR="00764E61">
          <w:rPr>
            <w:noProof/>
            <w:webHidden/>
          </w:rPr>
          <w:t>14</w:t>
        </w:r>
        <w:r>
          <w:rPr>
            <w:noProof/>
            <w:webHidden/>
          </w:rPr>
          <w:fldChar w:fldCharType="end"/>
        </w:r>
      </w:hyperlink>
    </w:p>
    <w:p w14:paraId="25C2DE05" w14:textId="76F63F54"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76" w:history="1">
        <w:r w:rsidRPr="00E0764F">
          <w:rPr>
            <w:rStyle w:val="Hyperlink"/>
            <w:noProof/>
          </w:rPr>
          <w:t>Figure 11</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Undergraduate Skills Development by class participation, enrolled internal/multi-mode, 2025 (%</w:t>
        </w:r>
        <w:r>
          <w:rPr>
            <w:rStyle w:val="Hyperlink"/>
            <w:noProof/>
          </w:rPr>
          <w:t> </w:t>
        </w:r>
        <w:r w:rsidRPr="00E0764F">
          <w:rPr>
            <w:rStyle w:val="Hyperlink"/>
            <w:noProof/>
          </w:rPr>
          <w:t>positive rating)</w:t>
        </w:r>
        <w:r>
          <w:rPr>
            <w:noProof/>
            <w:webHidden/>
          </w:rPr>
          <w:tab/>
        </w:r>
        <w:r>
          <w:rPr>
            <w:noProof/>
            <w:webHidden/>
          </w:rPr>
          <w:fldChar w:fldCharType="begin"/>
        </w:r>
        <w:r>
          <w:rPr>
            <w:noProof/>
            <w:webHidden/>
          </w:rPr>
          <w:instrText xml:space="preserve"> PAGEREF _Toc239764876 \h </w:instrText>
        </w:r>
        <w:r>
          <w:rPr>
            <w:noProof/>
            <w:webHidden/>
          </w:rPr>
        </w:r>
        <w:r>
          <w:rPr>
            <w:noProof/>
            <w:webHidden/>
          </w:rPr>
          <w:fldChar w:fldCharType="separate"/>
        </w:r>
        <w:r w:rsidR="00764E61">
          <w:rPr>
            <w:noProof/>
            <w:webHidden/>
          </w:rPr>
          <w:t>15</w:t>
        </w:r>
        <w:r>
          <w:rPr>
            <w:noProof/>
            <w:webHidden/>
          </w:rPr>
          <w:fldChar w:fldCharType="end"/>
        </w:r>
      </w:hyperlink>
    </w:p>
    <w:p w14:paraId="3FCC3098" w14:textId="74DFF62C"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77" w:history="1">
        <w:r w:rsidRPr="00E0764F">
          <w:rPr>
            <w:rStyle w:val="Hyperlink"/>
            <w:noProof/>
          </w:rPr>
          <w:t>Figure 12</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Postgraduate coursework Skills Development by class participation, enrolled internal/multi-mode, 2025 (% positive rating)</w:t>
        </w:r>
        <w:r>
          <w:rPr>
            <w:noProof/>
            <w:webHidden/>
          </w:rPr>
          <w:tab/>
        </w:r>
        <w:r>
          <w:rPr>
            <w:noProof/>
            <w:webHidden/>
          </w:rPr>
          <w:fldChar w:fldCharType="begin"/>
        </w:r>
        <w:r>
          <w:rPr>
            <w:noProof/>
            <w:webHidden/>
          </w:rPr>
          <w:instrText xml:space="preserve"> PAGEREF _Toc239764877 \h </w:instrText>
        </w:r>
        <w:r>
          <w:rPr>
            <w:noProof/>
            <w:webHidden/>
          </w:rPr>
        </w:r>
        <w:r>
          <w:rPr>
            <w:noProof/>
            <w:webHidden/>
          </w:rPr>
          <w:fldChar w:fldCharType="separate"/>
        </w:r>
        <w:r w:rsidR="00764E61">
          <w:rPr>
            <w:noProof/>
            <w:webHidden/>
          </w:rPr>
          <w:t>16</w:t>
        </w:r>
        <w:r>
          <w:rPr>
            <w:noProof/>
            <w:webHidden/>
          </w:rPr>
          <w:fldChar w:fldCharType="end"/>
        </w:r>
      </w:hyperlink>
    </w:p>
    <w:p w14:paraId="17711BB3" w14:textId="7D10A599"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78" w:history="1">
        <w:r w:rsidRPr="00E0764F">
          <w:rPr>
            <w:rStyle w:val="Hyperlink"/>
            <w:noProof/>
          </w:rPr>
          <w:t>Figure 13</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Learning Resources by course level, 2017–25 (% positive rating)</w:t>
        </w:r>
        <w:r>
          <w:rPr>
            <w:noProof/>
            <w:webHidden/>
          </w:rPr>
          <w:tab/>
        </w:r>
        <w:r>
          <w:rPr>
            <w:noProof/>
            <w:webHidden/>
          </w:rPr>
          <w:fldChar w:fldCharType="begin"/>
        </w:r>
        <w:r>
          <w:rPr>
            <w:noProof/>
            <w:webHidden/>
          </w:rPr>
          <w:instrText xml:space="preserve"> PAGEREF _Toc239764878 \h </w:instrText>
        </w:r>
        <w:r>
          <w:rPr>
            <w:noProof/>
            <w:webHidden/>
          </w:rPr>
        </w:r>
        <w:r>
          <w:rPr>
            <w:noProof/>
            <w:webHidden/>
          </w:rPr>
          <w:fldChar w:fldCharType="separate"/>
        </w:r>
        <w:r w:rsidR="00764E61">
          <w:rPr>
            <w:noProof/>
            <w:webHidden/>
          </w:rPr>
          <w:t>17</w:t>
        </w:r>
        <w:r>
          <w:rPr>
            <w:noProof/>
            <w:webHidden/>
          </w:rPr>
          <w:fldChar w:fldCharType="end"/>
        </w:r>
      </w:hyperlink>
    </w:p>
    <w:p w14:paraId="69406BC1" w14:textId="609F557D"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79" w:history="1">
        <w:r w:rsidRPr="00E0764F">
          <w:rPr>
            <w:rStyle w:val="Hyperlink"/>
            <w:noProof/>
          </w:rPr>
          <w:t>Figure 14</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Undergraduate Learning Resources by class participation, enrolled internal/multi-mode, 2025 (% positive rating)</w:t>
        </w:r>
        <w:r>
          <w:rPr>
            <w:noProof/>
            <w:webHidden/>
          </w:rPr>
          <w:tab/>
        </w:r>
        <w:r>
          <w:rPr>
            <w:noProof/>
            <w:webHidden/>
          </w:rPr>
          <w:fldChar w:fldCharType="begin"/>
        </w:r>
        <w:r>
          <w:rPr>
            <w:noProof/>
            <w:webHidden/>
          </w:rPr>
          <w:instrText xml:space="preserve"> PAGEREF _Toc239764879 \h </w:instrText>
        </w:r>
        <w:r>
          <w:rPr>
            <w:noProof/>
            <w:webHidden/>
          </w:rPr>
        </w:r>
        <w:r>
          <w:rPr>
            <w:noProof/>
            <w:webHidden/>
          </w:rPr>
          <w:fldChar w:fldCharType="separate"/>
        </w:r>
        <w:r w:rsidR="00764E61">
          <w:rPr>
            <w:noProof/>
            <w:webHidden/>
          </w:rPr>
          <w:t>18</w:t>
        </w:r>
        <w:r>
          <w:rPr>
            <w:noProof/>
            <w:webHidden/>
          </w:rPr>
          <w:fldChar w:fldCharType="end"/>
        </w:r>
      </w:hyperlink>
    </w:p>
    <w:p w14:paraId="6772C120" w14:textId="14314842"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80" w:history="1">
        <w:r w:rsidRPr="00E0764F">
          <w:rPr>
            <w:rStyle w:val="Hyperlink"/>
            <w:noProof/>
          </w:rPr>
          <w:t>Figure 15</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Postgraduate coursework Learning Resources by class participation, enrolled internal/multi-mode, 2025 (% positive rating)</w:t>
        </w:r>
        <w:r>
          <w:rPr>
            <w:noProof/>
            <w:webHidden/>
          </w:rPr>
          <w:tab/>
        </w:r>
        <w:r>
          <w:rPr>
            <w:noProof/>
            <w:webHidden/>
          </w:rPr>
          <w:fldChar w:fldCharType="begin"/>
        </w:r>
        <w:r>
          <w:rPr>
            <w:noProof/>
            <w:webHidden/>
          </w:rPr>
          <w:instrText xml:space="preserve"> PAGEREF _Toc239764880 \h </w:instrText>
        </w:r>
        <w:r>
          <w:rPr>
            <w:noProof/>
            <w:webHidden/>
          </w:rPr>
        </w:r>
        <w:r>
          <w:rPr>
            <w:noProof/>
            <w:webHidden/>
          </w:rPr>
          <w:fldChar w:fldCharType="separate"/>
        </w:r>
        <w:r w:rsidR="00764E61">
          <w:rPr>
            <w:noProof/>
            <w:webHidden/>
          </w:rPr>
          <w:t>19</w:t>
        </w:r>
        <w:r>
          <w:rPr>
            <w:noProof/>
            <w:webHidden/>
          </w:rPr>
          <w:fldChar w:fldCharType="end"/>
        </w:r>
      </w:hyperlink>
    </w:p>
    <w:p w14:paraId="3867C5B0" w14:textId="42938B6F"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81" w:history="1">
        <w:r w:rsidRPr="00E0764F">
          <w:rPr>
            <w:rStyle w:val="Hyperlink"/>
            <w:noProof/>
          </w:rPr>
          <w:t>Figure 16</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Student Support and Services by course level, 2017–25 (% positive rating)</w:t>
        </w:r>
        <w:r>
          <w:rPr>
            <w:noProof/>
            <w:webHidden/>
          </w:rPr>
          <w:tab/>
        </w:r>
        <w:r>
          <w:rPr>
            <w:noProof/>
            <w:webHidden/>
          </w:rPr>
          <w:fldChar w:fldCharType="begin"/>
        </w:r>
        <w:r>
          <w:rPr>
            <w:noProof/>
            <w:webHidden/>
          </w:rPr>
          <w:instrText xml:space="preserve"> PAGEREF _Toc239764881 \h </w:instrText>
        </w:r>
        <w:r>
          <w:rPr>
            <w:noProof/>
            <w:webHidden/>
          </w:rPr>
        </w:r>
        <w:r>
          <w:rPr>
            <w:noProof/>
            <w:webHidden/>
          </w:rPr>
          <w:fldChar w:fldCharType="separate"/>
        </w:r>
        <w:r w:rsidR="00764E61">
          <w:rPr>
            <w:noProof/>
            <w:webHidden/>
          </w:rPr>
          <w:t>20</w:t>
        </w:r>
        <w:r>
          <w:rPr>
            <w:noProof/>
            <w:webHidden/>
          </w:rPr>
          <w:fldChar w:fldCharType="end"/>
        </w:r>
      </w:hyperlink>
    </w:p>
    <w:p w14:paraId="0017BB58" w14:textId="3AFC2AB6"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82" w:history="1">
        <w:r w:rsidRPr="00E0764F">
          <w:rPr>
            <w:rStyle w:val="Hyperlink"/>
            <w:noProof/>
          </w:rPr>
          <w:t>Figure 17</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Undergraduate Student Support and Services by class participation, enrolled internal/multi-mode, 2025 (% positive rating)</w:t>
        </w:r>
        <w:r>
          <w:rPr>
            <w:noProof/>
            <w:webHidden/>
          </w:rPr>
          <w:tab/>
        </w:r>
        <w:r>
          <w:rPr>
            <w:noProof/>
            <w:webHidden/>
          </w:rPr>
          <w:fldChar w:fldCharType="begin"/>
        </w:r>
        <w:r>
          <w:rPr>
            <w:noProof/>
            <w:webHidden/>
          </w:rPr>
          <w:instrText xml:space="preserve"> PAGEREF _Toc239764882 \h </w:instrText>
        </w:r>
        <w:r>
          <w:rPr>
            <w:noProof/>
            <w:webHidden/>
          </w:rPr>
        </w:r>
        <w:r>
          <w:rPr>
            <w:noProof/>
            <w:webHidden/>
          </w:rPr>
          <w:fldChar w:fldCharType="separate"/>
        </w:r>
        <w:r w:rsidR="00764E61">
          <w:rPr>
            <w:noProof/>
            <w:webHidden/>
          </w:rPr>
          <w:t>21</w:t>
        </w:r>
        <w:r>
          <w:rPr>
            <w:noProof/>
            <w:webHidden/>
          </w:rPr>
          <w:fldChar w:fldCharType="end"/>
        </w:r>
      </w:hyperlink>
    </w:p>
    <w:p w14:paraId="297AE09C" w14:textId="3BCE632A"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83" w:history="1">
        <w:r w:rsidRPr="00E0764F">
          <w:rPr>
            <w:rStyle w:val="Hyperlink"/>
            <w:noProof/>
          </w:rPr>
          <w:t>Figure 18</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Postgraduate coursework Student Support and Services by class participation, enrolled internal/multi-mode, 2025 (% positive rating)</w:t>
        </w:r>
        <w:r>
          <w:rPr>
            <w:noProof/>
            <w:webHidden/>
          </w:rPr>
          <w:tab/>
        </w:r>
        <w:r>
          <w:rPr>
            <w:noProof/>
            <w:webHidden/>
          </w:rPr>
          <w:fldChar w:fldCharType="begin"/>
        </w:r>
        <w:r>
          <w:rPr>
            <w:noProof/>
            <w:webHidden/>
          </w:rPr>
          <w:instrText xml:space="preserve"> PAGEREF _Toc239764883 \h </w:instrText>
        </w:r>
        <w:r>
          <w:rPr>
            <w:noProof/>
            <w:webHidden/>
          </w:rPr>
        </w:r>
        <w:r>
          <w:rPr>
            <w:noProof/>
            <w:webHidden/>
          </w:rPr>
          <w:fldChar w:fldCharType="separate"/>
        </w:r>
        <w:r w:rsidR="00764E61">
          <w:rPr>
            <w:noProof/>
            <w:webHidden/>
          </w:rPr>
          <w:t>22</w:t>
        </w:r>
        <w:r>
          <w:rPr>
            <w:noProof/>
            <w:webHidden/>
          </w:rPr>
          <w:fldChar w:fldCharType="end"/>
        </w:r>
      </w:hyperlink>
    </w:p>
    <w:p w14:paraId="6A0778A4" w14:textId="76AEDEE5"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84" w:history="1">
        <w:r w:rsidRPr="00E0764F">
          <w:rPr>
            <w:rStyle w:val="Hyperlink"/>
            <w:noProof/>
          </w:rPr>
          <w:t>Figure 19</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Peer Engagement by course level, 2017–25 (% positive rating)</w:t>
        </w:r>
        <w:r>
          <w:rPr>
            <w:noProof/>
            <w:webHidden/>
          </w:rPr>
          <w:tab/>
        </w:r>
        <w:r>
          <w:rPr>
            <w:noProof/>
            <w:webHidden/>
          </w:rPr>
          <w:fldChar w:fldCharType="begin"/>
        </w:r>
        <w:r>
          <w:rPr>
            <w:noProof/>
            <w:webHidden/>
          </w:rPr>
          <w:instrText xml:space="preserve"> PAGEREF _Toc239764884 \h </w:instrText>
        </w:r>
        <w:r>
          <w:rPr>
            <w:noProof/>
            <w:webHidden/>
          </w:rPr>
        </w:r>
        <w:r>
          <w:rPr>
            <w:noProof/>
            <w:webHidden/>
          </w:rPr>
          <w:fldChar w:fldCharType="separate"/>
        </w:r>
        <w:r w:rsidR="00764E61">
          <w:rPr>
            <w:noProof/>
            <w:webHidden/>
          </w:rPr>
          <w:t>23</w:t>
        </w:r>
        <w:r>
          <w:rPr>
            <w:noProof/>
            <w:webHidden/>
          </w:rPr>
          <w:fldChar w:fldCharType="end"/>
        </w:r>
      </w:hyperlink>
    </w:p>
    <w:p w14:paraId="3BAC2D5B" w14:textId="68CA5A5F"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85" w:history="1">
        <w:r w:rsidRPr="00E0764F">
          <w:rPr>
            <w:rStyle w:val="Hyperlink"/>
            <w:noProof/>
          </w:rPr>
          <w:t>Figure 20</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Undergraduate Peer Engagement items by class participation, enrolled internal/multi-mode, 2025 (% positive rating)</w:t>
        </w:r>
        <w:r>
          <w:rPr>
            <w:noProof/>
            <w:webHidden/>
          </w:rPr>
          <w:tab/>
        </w:r>
        <w:r>
          <w:rPr>
            <w:noProof/>
            <w:webHidden/>
          </w:rPr>
          <w:fldChar w:fldCharType="begin"/>
        </w:r>
        <w:r>
          <w:rPr>
            <w:noProof/>
            <w:webHidden/>
          </w:rPr>
          <w:instrText xml:space="preserve"> PAGEREF _Toc239764885 \h </w:instrText>
        </w:r>
        <w:r>
          <w:rPr>
            <w:noProof/>
            <w:webHidden/>
          </w:rPr>
        </w:r>
        <w:r>
          <w:rPr>
            <w:noProof/>
            <w:webHidden/>
          </w:rPr>
          <w:fldChar w:fldCharType="separate"/>
        </w:r>
        <w:r w:rsidR="00764E61">
          <w:rPr>
            <w:noProof/>
            <w:webHidden/>
          </w:rPr>
          <w:t>24</w:t>
        </w:r>
        <w:r>
          <w:rPr>
            <w:noProof/>
            <w:webHidden/>
          </w:rPr>
          <w:fldChar w:fldCharType="end"/>
        </w:r>
      </w:hyperlink>
    </w:p>
    <w:p w14:paraId="5754C69C" w14:textId="4F535F25"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86" w:history="1">
        <w:r w:rsidRPr="00E0764F">
          <w:rPr>
            <w:rStyle w:val="Hyperlink"/>
            <w:noProof/>
          </w:rPr>
          <w:t>Figure 21</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Sense of belonging to institution by course level, 2017–25 (% positive rating*)</w:t>
        </w:r>
        <w:r>
          <w:rPr>
            <w:noProof/>
            <w:webHidden/>
          </w:rPr>
          <w:tab/>
        </w:r>
        <w:r>
          <w:rPr>
            <w:noProof/>
            <w:webHidden/>
          </w:rPr>
          <w:fldChar w:fldCharType="begin"/>
        </w:r>
        <w:r>
          <w:rPr>
            <w:noProof/>
            <w:webHidden/>
          </w:rPr>
          <w:instrText xml:space="preserve"> PAGEREF _Toc239764886 \h </w:instrText>
        </w:r>
        <w:r>
          <w:rPr>
            <w:noProof/>
            <w:webHidden/>
          </w:rPr>
        </w:r>
        <w:r>
          <w:rPr>
            <w:noProof/>
            <w:webHidden/>
          </w:rPr>
          <w:fldChar w:fldCharType="separate"/>
        </w:r>
        <w:r w:rsidR="00764E61">
          <w:rPr>
            <w:noProof/>
            <w:webHidden/>
          </w:rPr>
          <w:t>26</w:t>
        </w:r>
        <w:r>
          <w:rPr>
            <w:noProof/>
            <w:webHidden/>
          </w:rPr>
          <w:fldChar w:fldCharType="end"/>
        </w:r>
      </w:hyperlink>
    </w:p>
    <w:p w14:paraId="6A54449B" w14:textId="630C3BF0"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87" w:history="1">
        <w:r w:rsidRPr="00E0764F">
          <w:rPr>
            <w:rStyle w:val="Hyperlink"/>
            <w:noProof/>
          </w:rPr>
          <w:t>Figure 22</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Undergraduate sense of belonging by class participation, enrolled internal/multi-mode, 2025 (%</w:t>
        </w:r>
        <w:r>
          <w:rPr>
            <w:rStyle w:val="Hyperlink"/>
            <w:noProof/>
          </w:rPr>
          <w:t> </w:t>
        </w:r>
        <w:r w:rsidRPr="00E0764F">
          <w:rPr>
            <w:rStyle w:val="Hyperlink"/>
            <w:noProof/>
          </w:rPr>
          <w:t>positive rating)</w:t>
        </w:r>
        <w:r>
          <w:rPr>
            <w:noProof/>
            <w:webHidden/>
          </w:rPr>
          <w:tab/>
        </w:r>
        <w:r>
          <w:rPr>
            <w:noProof/>
            <w:webHidden/>
          </w:rPr>
          <w:fldChar w:fldCharType="begin"/>
        </w:r>
        <w:r>
          <w:rPr>
            <w:noProof/>
            <w:webHidden/>
          </w:rPr>
          <w:instrText xml:space="preserve"> PAGEREF _Toc239764887 \h </w:instrText>
        </w:r>
        <w:r>
          <w:rPr>
            <w:noProof/>
            <w:webHidden/>
          </w:rPr>
        </w:r>
        <w:r>
          <w:rPr>
            <w:noProof/>
            <w:webHidden/>
          </w:rPr>
          <w:fldChar w:fldCharType="separate"/>
        </w:r>
        <w:r w:rsidR="00764E61">
          <w:rPr>
            <w:noProof/>
            <w:webHidden/>
          </w:rPr>
          <w:t>27</w:t>
        </w:r>
        <w:r>
          <w:rPr>
            <w:noProof/>
            <w:webHidden/>
          </w:rPr>
          <w:fldChar w:fldCharType="end"/>
        </w:r>
      </w:hyperlink>
    </w:p>
    <w:p w14:paraId="3DD8EAC4" w14:textId="0E7A2161"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88" w:history="1">
        <w:r w:rsidRPr="00E0764F">
          <w:rPr>
            <w:rStyle w:val="Hyperlink"/>
            <w:noProof/>
          </w:rPr>
          <w:t>Figure 23</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Proportion of students who considered early departure from institution by course level, 2017–25</w:t>
        </w:r>
        <w:r>
          <w:rPr>
            <w:noProof/>
            <w:webHidden/>
          </w:rPr>
          <w:tab/>
        </w:r>
        <w:r>
          <w:rPr>
            <w:noProof/>
            <w:webHidden/>
          </w:rPr>
          <w:fldChar w:fldCharType="begin"/>
        </w:r>
        <w:r>
          <w:rPr>
            <w:noProof/>
            <w:webHidden/>
          </w:rPr>
          <w:instrText xml:space="preserve"> PAGEREF _Toc239764888 \h </w:instrText>
        </w:r>
        <w:r>
          <w:rPr>
            <w:noProof/>
            <w:webHidden/>
          </w:rPr>
        </w:r>
        <w:r>
          <w:rPr>
            <w:noProof/>
            <w:webHidden/>
          </w:rPr>
          <w:fldChar w:fldCharType="separate"/>
        </w:r>
        <w:r w:rsidR="00764E61">
          <w:rPr>
            <w:noProof/>
            <w:webHidden/>
          </w:rPr>
          <w:t>28</w:t>
        </w:r>
        <w:r>
          <w:rPr>
            <w:noProof/>
            <w:webHidden/>
          </w:rPr>
          <w:fldChar w:fldCharType="end"/>
        </w:r>
      </w:hyperlink>
    </w:p>
    <w:p w14:paraId="45B32FBA" w14:textId="2666D0F5"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89" w:history="1">
        <w:r w:rsidRPr="00E0764F">
          <w:rPr>
            <w:rStyle w:val="Hyperlink"/>
            <w:noProof/>
          </w:rPr>
          <w:t>Figure 24</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Top reasons for considering early departure from institution by course level, 2025 (% of those who considered leaving)</w:t>
        </w:r>
        <w:r>
          <w:rPr>
            <w:noProof/>
            <w:webHidden/>
          </w:rPr>
          <w:tab/>
        </w:r>
        <w:r>
          <w:rPr>
            <w:noProof/>
            <w:webHidden/>
          </w:rPr>
          <w:fldChar w:fldCharType="begin"/>
        </w:r>
        <w:r>
          <w:rPr>
            <w:noProof/>
            <w:webHidden/>
          </w:rPr>
          <w:instrText xml:space="preserve"> PAGEREF _Toc239764889 \h </w:instrText>
        </w:r>
        <w:r>
          <w:rPr>
            <w:noProof/>
            <w:webHidden/>
          </w:rPr>
        </w:r>
        <w:r>
          <w:rPr>
            <w:noProof/>
            <w:webHidden/>
          </w:rPr>
          <w:fldChar w:fldCharType="separate"/>
        </w:r>
        <w:r w:rsidR="00764E61">
          <w:rPr>
            <w:noProof/>
            <w:webHidden/>
          </w:rPr>
          <w:t>29</w:t>
        </w:r>
        <w:r>
          <w:rPr>
            <w:noProof/>
            <w:webHidden/>
          </w:rPr>
          <w:fldChar w:fldCharType="end"/>
        </w:r>
      </w:hyperlink>
    </w:p>
    <w:p w14:paraId="063ADA33" w14:textId="1109877F"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90" w:history="1">
        <w:r w:rsidRPr="00E0764F">
          <w:rPr>
            <w:rStyle w:val="Hyperlink"/>
            <w:noProof/>
          </w:rPr>
          <w:t>Figure 25</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Negative effects on study by course level, 2017–25 (% negatively affected)</w:t>
        </w:r>
        <w:r>
          <w:rPr>
            <w:noProof/>
            <w:webHidden/>
          </w:rPr>
          <w:tab/>
        </w:r>
        <w:r>
          <w:rPr>
            <w:noProof/>
            <w:webHidden/>
          </w:rPr>
          <w:fldChar w:fldCharType="begin"/>
        </w:r>
        <w:r>
          <w:rPr>
            <w:noProof/>
            <w:webHidden/>
          </w:rPr>
          <w:instrText xml:space="preserve"> PAGEREF _Toc239764890 \h </w:instrText>
        </w:r>
        <w:r>
          <w:rPr>
            <w:noProof/>
            <w:webHidden/>
          </w:rPr>
        </w:r>
        <w:r>
          <w:rPr>
            <w:noProof/>
            <w:webHidden/>
          </w:rPr>
          <w:fldChar w:fldCharType="separate"/>
        </w:r>
        <w:r w:rsidR="00764E61">
          <w:rPr>
            <w:noProof/>
            <w:webHidden/>
          </w:rPr>
          <w:t>31</w:t>
        </w:r>
        <w:r>
          <w:rPr>
            <w:noProof/>
            <w:webHidden/>
          </w:rPr>
          <w:fldChar w:fldCharType="end"/>
        </w:r>
      </w:hyperlink>
    </w:p>
    <w:p w14:paraId="1AD19206" w14:textId="4D5F8909"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91" w:history="1">
        <w:r w:rsidRPr="00E0764F">
          <w:rPr>
            <w:rStyle w:val="Hyperlink"/>
            <w:noProof/>
          </w:rPr>
          <w:t>Figure 26</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Freedom of expression items by course level, 2025</w:t>
        </w:r>
        <w:r>
          <w:rPr>
            <w:noProof/>
            <w:webHidden/>
          </w:rPr>
          <w:tab/>
        </w:r>
        <w:r>
          <w:rPr>
            <w:noProof/>
            <w:webHidden/>
          </w:rPr>
          <w:fldChar w:fldCharType="begin"/>
        </w:r>
        <w:r>
          <w:rPr>
            <w:noProof/>
            <w:webHidden/>
          </w:rPr>
          <w:instrText xml:space="preserve"> PAGEREF _Toc239764891 \h </w:instrText>
        </w:r>
        <w:r>
          <w:rPr>
            <w:noProof/>
            <w:webHidden/>
          </w:rPr>
        </w:r>
        <w:r>
          <w:rPr>
            <w:noProof/>
            <w:webHidden/>
          </w:rPr>
          <w:fldChar w:fldCharType="separate"/>
        </w:r>
        <w:r w:rsidR="00764E61">
          <w:rPr>
            <w:noProof/>
            <w:webHidden/>
          </w:rPr>
          <w:t>32</w:t>
        </w:r>
        <w:r>
          <w:rPr>
            <w:noProof/>
            <w:webHidden/>
          </w:rPr>
          <w:fldChar w:fldCharType="end"/>
        </w:r>
      </w:hyperlink>
    </w:p>
    <w:p w14:paraId="74DBAC32" w14:textId="09802105"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92" w:history="1">
        <w:r w:rsidRPr="00E0764F">
          <w:rPr>
            <w:rStyle w:val="Hyperlink"/>
            <w:noProof/>
          </w:rPr>
          <w:t>Figure 27</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Freedom of Expression by course level, 2021–25 (% positive rating)</w:t>
        </w:r>
        <w:r>
          <w:rPr>
            <w:noProof/>
            <w:webHidden/>
          </w:rPr>
          <w:tab/>
        </w:r>
        <w:r>
          <w:rPr>
            <w:noProof/>
            <w:webHidden/>
          </w:rPr>
          <w:fldChar w:fldCharType="begin"/>
        </w:r>
        <w:r>
          <w:rPr>
            <w:noProof/>
            <w:webHidden/>
          </w:rPr>
          <w:instrText xml:space="preserve"> PAGEREF _Toc239764892 \h </w:instrText>
        </w:r>
        <w:r>
          <w:rPr>
            <w:noProof/>
            <w:webHidden/>
          </w:rPr>
        </w:r>
        <w:r>
          <w:rPr>
            <w:noProof/>
            <w:webHidden/>
          </w:rPr>
          <w:fldChar w:fldCharType="separate"/>
        </w:r>
        <w:r w:rsidR="00764E61">
          <w:rPr>
            <w:noProof/>
            <w:webHidden/>
          </w:rPr>
          <w:t>33</w:t>
        </w:r>
        <w:r>
          <w:rPr>
            <w:noProof/>
            <w:webHidden/>
          </w:rPr>
          <w:fldChar w:fldCharType="end"/>
        </w:r>
      </w:hyperlink>
    </w:p>
    <w:p w14:paraId="2A69E6F6" w14:textId="1CA76C0A"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93" w:history="1">
        <w:r w:rsidRPr="00E0764F">
          <w:rPr>
            <w:rStyle w:val="Hyperlink"/>
            <w:noProof/>
          </w:rPr>
          <w:t>Figure 28</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Educational Experience by course level and age, 2017–25 (% positive rating)</w:t>
        </w:r>
        <w:r>
          <w:rPr>
            <w:noProof/>
            <w:webHidden/>
          </w:rPr>
          <w:tab/>
        </w:r>
        <w:r>
          <w:rPr>
            <w:noProof/>
            <w:webHidden/>
          </w:rPr>
          <w:fldChar w:fldCharType="begin"/>
        </w:r>
        <w:r>
          <w:rPr>
            <w:noProof/>
            <w:webHidden/>
          </w:rPr>
          <w:instrText xml:space="preserve"> PAGEREF _Toc239764893 \h </w:instrText>
        </w:r>
        <w:r>
          <w:rPr>
            <w:noProof/>
            <w:webHidden/>
          </w:rPr>
        </w:r>
        <w:r>
          <w:rPr>
            <w:noProof/>
            <w:webHidden/>
          </w:rPr>
          <w:fldChar w:fldCharType="separate"/>
        </w:r>
        <w:r w:rsidR="00764E61">
          <w:rPr>
            <w:noProof/>
            <w:webHidden/>
          </w:rPr>
          <w:t>35</w:t>
        </w:r>
        <w:r>
          <w:rPr>
            <w:noProof/>
            <w:webHidden/>
          </w:rPr>
          <w:fldChar w:fldCharType="end"/>
        </w:r>
      </w:hyperlink>
    </w:p>
    <w:p w14:paraId="3BCE3B51" w14:textId="3ABBC2AB"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94" w:history="1">
        <w:r w:rsidRPr="00E0764F">
          <w:rPr>
            <w:rStyle w:val="Hyperlink"/>
            <w:noProof/>
          </w:rPr>
          <w:t>Figure 29</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Student experience by course level and stage of study, 2025 (% positive rating)</w:t>
        </w:r>
        <w:r>
          <w:rPr>
            <w:noProof/>
            <w:webHidden/>
          </w:rPr>
          <w:tab/>
        </w:r>
        <w:r>
          <w:rPr>
            <w:noProof/>
            <w:webHidden/>
          </w:rPr>
          <w:fldChar w:fldCharType="begin"/>
        </w:r>
        <w:r>
          <w:rPr>
            <w:noProof/>
            <w:webHidden/>
          </w:rPr>
          <w:instrText xml:space="preserve"> PAGEREF _Toc239764894 \h </w:instrText>
        </w:r>
        <w:r>
          <w:rPr>
            <w:noProof/>
            <w:webHidden/>
          </w:rPr>
        </w:r>
        <w:r>
          <w:rPr>
            <w:noProof/>
            <w:webHidden/>
          </w:rPr>
          <w:fldChar w:fldCharType="separate"/>
        </w:r>
        <w:r w:rsidR="00764E61">
          <w:rPr>
            <w:noProof/>
            <w:webHidden/>
          </w:rPr>
          <w:t>36</w:t>
        </w:r>
        <w:r>
          <w:rPr>
            <w:noProof/>
            <w:webHidden/>
          </w:rPr>
          <w:fldChar w:fldCharType="end"/>
        </w:r>
      </w:hyperlink>
    </w:p>
    <w:p w14:paraId="71C664FE" w14:textId="291A26C8"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95" w:history="1">
        <w:r w:rsidRPr="00E0764F">
          <w:rPr>
            <w:rStyle w:val="Hyperlink"/>
            <w:noProof/>
          </w:rPr>
          <w:t>Figure 30</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spacing w:val="-2"/>
          </w:rPr>
          <w:t>Overall Educational Experience by course level and disability status, 2017–25 (% positive rating)</w:t>
        </w:r>
        <w:r>
          <w:rPr>
            <w:noProof/>
            <w:webHidden/>
          </w:rPr>
          <w:tab/>
        </w:r>
        <w:r>
          <w:rPr>
            <w:noProof/>
            <w:webHidden/>
          </w:rPr>
          <w:fldChar w:fldCharType="begin"/>
        </w:r>
        <w:r>
          <w:rPr>
            <w:noProof/>
            <w:webHidden/>
          </w:rPr>
          <w:instrText xml:space="preserve"> PAGEREF _Toc239764895 \h </w:instrText>
        </w:r>
        <w:r>
          <w:rPr>
            <w:noProof/>
            <w:webHidden/>
          </w:rPr>
        </w:r>
        <w:r>
          <w:rPr>
            <w:noProof/>
            <w:webHidden/>
          </w:rPr>
          <w:fldChar w:fldCharType="separate"/>
        </w:r>
        <w:r w:rsidR="00764E61">
          <w:rPr>
            <w:noProof/>
            <w:webHidden/>
          </w:rPr>
          <w:t>37</w:t>
        </w:r>
        <w:r>
          <w:rPr>
            <w:noProof/>
            <w:webHidden/>
          </w:rPr>
          <w:fldChar w:fldCharType="end"/>
        </w:r>
      </w:hyperlink>
    </w:p>
    <w:p w14:paraId="631D6AEB" w14:textId="3E7C2755"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96" w:history="1">
        <w:r w:rsidRPr="00E0764F">
          <w:rPr>
            <w:rStyle w:val="Hyperlink"/>
            <w:noProof/>
          </w:rPr>
          <w:t>Figure 31</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Focus areas by course level and disability status, 2025 (% positive rating)</w:t>
        </w:r>
        <w:r>
          <w:rPr>
            <w:noProof/>
            <w:webHidden/>
          </w:rPr>
          <w:tab/>
        </w:r>
        <w:r>
          <w:rPr>
            <w:noProof/>
            <w:webHidden/>
          </w:rPr>
          <w:fldChar w:fldCharType="begin"/>
        </w:r>
        <w:r>
          <w:rPr>
            <w:noProof/>
            <w:webHidden/>
          </w:rPr>
          <w:instrText xml:space="preserve"> PAGEREF _Toc239764896 \h </w:instrText>
        </w:r>
        <w:r>
          <w:rPr>
            <w:noProof/>
            <w:webHidden/>
          </w:rPr>
        </w:r>
        <w:r>
          <w:rPr>
            <w:noProof/>
            <w:webHidden/>
          </w:rPr>
          <w:fldChar w:fldCharType="separate"/>
        </w:r>
        <w:r w:rsidR="00764E61">
          <w:rPr>
            <w:noProof/>
            <w:webHidden/>
          </w:rPr>
          <w:t>38</w:t>
        </w:r>
        <w:r>
          <w:rPr>
            <w:noProof/>
            <w:webHidden/>
          </w:rPr>
          <w:fldChar w:fldCharType="end"/>
        </w:r>
      </w:hyperlink>
    </w:p>
    <w:p w14:paraId="7A9BA2F1" w14:textId="0FDE0E74"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97" w:history="1">
        <w:r w:rsidRPr="00E0764F">
          <w:rPr>
            <w:rStyle w:val="Hyperlink"/>
            <w:noProof/>
          </w:rPr>
          <w:t xml:space="preserve">Figure 32 </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Educational Experience by course level and home language, 2017–25 (%</w:t>
        </w:r>
        <w:r>
          <w:rPr>
            <w:rStyle w:val="Hyperlink"/>
            <w:noProof/>
          </w:rPr>
          <w:t> </w:t>
        </w:r>
        <w:r w:rsidRPr="00E0764F">
          <w:rPr>
            <w:rStyle w:val="Hyperlink"/>
            <w:noProof/>
          </w:rPr>
          <w:t>positive</w:t>
        </w:r>
        <w:r>
          <w:rPr>
            <w:rStyle w:val="Hyperlink"/>
            <w:noProof/>
          </w:rPr>
          <w:t> </w:t>
        </w:r>
        <w:r w:rsidRPr="00E0764F">
          <w:rPr>
            <w:rStyle w:val="Hyperlink"/>
            <w:noProof/>
          </w:rPr>
          <w:t>rating)</w:t>
        </w:r>
        <w:r>
          <w:rPr>
            <w:noProof/>
            <w:webHidden/>
          </w:rPr>
          <w:tab/>
        </w:r>
        <w:r>
          <w:rPr>
            <w:noProof/>
            <w:webHidden/>
          </w:rPr>
          <w:fldChar w:fldCharType="begin"/>
        </w:r>
        <w:r>
          <w:rPr>
            <w:noProof/>
            <w:webHidden/>
          </w:rPr>
          <w:instrText xml:space="preserve"> PAGEREF _Toc239764897 \h </w:instrText>
        </w:r>
        <w:r>
          <w:rPr>
            <w:noProof/>
            <w:webHidden/>
          </w:rPr>
        </w:r>
        <w:r>
          <w:rPr>
            <w:noProof/>
            <w:webHidden/>
          </w:rPr>
          <w:fldChar w:fldCharType="separate"/>
        </w:r>
        <w:r w:rsidR="00764E61">
          <w:rPr>
            <w:noProof/>
            <w:webHidden/>
          </w:rPr>
          <w:t>40</w:t>
        </w:r>
        <w:r>
          <w:rPr>
            <w:noProof/>
            <w:webHidden/>
          </w:rPr>
          <w:fldChar w:fldCharType="end"/>
        </w:r>
      </w:hyperlink>
    </w:p>
    <w:p w14:paraId="3FC6F522" w14:textId="42526FEB"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98" w:history="1">
        <w:r w:rsidRPr="00E0764F">
          <w:rPr>
            <w:rStyle w:val="Hyperlink"/>
            <w:noProof/>
          </w:rPr>
          <w:t>Figure 33</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Focus areas by course level and home language, 2025 (% positive rating)</w:t>
        </w:r>
        <w:r>
          <w:rPr>
            <w:noProof/>
            <w:webHidden/>
          </w:rPr>
          <w:tab/>
        </w:r>
        <w:r>
          <w:rPr>
            <w:noProof/>
            <w:webHidden/>
          </w:rPr>
          <w:fldChar w:fldCharType="begin"/>
        </w:r>
        <w:r>
          <w:rPr>
            <w:noProof/>
            <w:webHidden/>
          </w:rPr>
          <w:instrText xml:space="preserve"> PAGEREF _Toc239764898 \h </w:instrText>
        </w:r>
        <w:r>
          <w:rPr>
            <w:noProof/>
            <w:webHidden/>
          </w:rPr>
        </w:r>
        <w:r>
          <w:rPr>
            <w:noProof/>
            <w:webHidden/>
          </w:rPr>
          <w:fldChar w:fldCharType="separate"/>
        </w:r>
        <w:r w:rsidR="00764E61">
          <w:rPr>
            <w:noProof/>
            <w:webHidden/>
          </w:rPr>
          <w:t>41</w:t>
        </w:r>
        <w:r>
          <w:rPr>
            <w:noProof/>
            <w:webHidden/>
          </w:rPr>
          <w:fldChar w:fldCharType="end"/>
        </w:r>
      </w:hyperlink>
    </w:p>
    <w:p w14:paraId="4EB6DD50" w14:textId="5CA949B4"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899" w:history="1">
        <w:r w:rsidRPr="00E0764F">
          <w:rPr>
            <w:rStyle w:val="Hyperlink"/>
            <w:noProof/>
          </w:rPr>
          <w:t>Figure 34</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Focus areas by course level and First Nations status, 2025 (% positive rating)</w:t>
        </w:r>
        <w:r>
          <w:rPr>
            <w:noProof/>
            <w:webHidden/>
          </w:rPr>
          <w:tab/>
        </w:r>
        <w:r>
          <w:rPr>
            <w:noProof/>
            <w:webHidden/>
          </w:rPr>
          <w:fldChar w:fldCharType="begin"/>
        </w:r>
        <w:r>
          <w:rPr>
            <w:noProof/>
            <w:webHidden/>
          </w:rPr>
          <w:instrText xml:space="preserve"> PAGEREF _Toc239764899 \h </w:instrText>
        </w:r>
        <w:r>
          <w:rPr>
            <w:noProof/>
            <w:webHidden/>
          </w:rPr>
        </w:r>
        <w:r>
          <w:rPr>
            <w:noProof/>
            <w:webHidden/>
          </w:rPr>
          <w:fldChar w:fldCharType="separate"/>
        </w:r>
        <w:r w:rsidR="00764E61">
          <w:rPr>
            <w:noProof/>
            <w:webHidden/>
          </w:rPr>
          <w:t>42</w:t>
        </w:r>
        <w:r>
          <w:rPr>
            <w:noProof/>
            <w:webHidden/>
          </w:rPr>
          <w:fldChar w:fldCharType="end"/>
        </w:r>
      </w:hyperlink>
    </w:p>
    <w:p w14:paraId="5855163C" w14:textId="166F0CEF"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00" w:history="1">
        <w:r w:rsidRPr="00E0764F">
          <w:rPr>
            <w:rStyle w:val="Hyperlink"/>
            <w:noProof/>
          </w:rPr>
          <w:t>Figure 35</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Educational Experience by study area, undergraduate, 2025 (% positive rating)</w:t>
        </w:r>
        <w:r>
          <w:rPr>
            <w:noProof/>
            <w:webHidden/>
          </w:rPr>
          <w:tab/>
        </w:r>
        <w:r>
          <w:rPr>
            <w:noProof/>
            <w:webHidden/>
          </w:rPr>
          <w:fldChar w:fldCharType="begin"/>
        </w:r>
        <w:r>
          <w:rPr>
            <w:noProof/>
            <w:webHidden/>
          </w:rPr>
          <w:instrText xml:space="preserve"> PAGEREF _Toc239764900 \h </w:instrText>
        </w:r>
        <w:r>
          <w:rPr>
            <w:noProof/>
            <w:webHidden/>
          </w:rPr>
        </w:r>
        <w:r>
          <w:rPr>
            <w:noProof/>
            <w:webHidden/>
          </w:rPr>
          <w:fldChar w:fldCharType="separate"/>
        </w:r>
        <w:r w:rsidR="00764E61">
          <w:rPr>
            <w:noProof/>
            <w:webHidden/>
          </w:rPr>
          <w:t>44</w:t>
        </w:r>
        <w:r>
          <w:rPr>
            <w:noProof/>
            <w:webHidden/>
          </w:rPr>
          <w:fldChar w:fldCharType="end"/>
        </w:r>
      </w:hyperlink>
    </w:p>
    <w:p w14:paraId="5342E346" w14:textId="3DAFEC62"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01" w:history="1">
        <w:r w:rsidRPr="00E0764F">
          <w:rPr>
            <w:rStyle w:val="Hyperlink"/>
            <w:noProof/>
          </w:rPr>
          <w:t>Figure 36</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Educational Experience by study area, postgraduate coursework, 2025 (%</w:t>
        </w:r>
        <w:r>
          <w:rPr>
            <w:rStyle w:val="Hyperlink"/>
            <w:noProof/>
          </w:rPr>
          <w:t> </w:t>
        </w:r>
        <w:r w:rsidRPr="00E0764F">
          <w:rPr>
            <w:rStyle w:val="Hyperlink"/>
            <w:noProof/>
          </w:rPr>
          <w:t>positive</w:t>
        </w:r>
        <w:r>
          <w:rPr>
            <w:rStyle w:val="Hyperlink"/>
            <w:noProof/>
          </w:rPr>
          <w:t> </w:t>
        </w:r>
        <w:r w:rsidRPr="00E0764F">
          <w:rPr>
            <w:rStyle w:val="Hyperlink"/>
            <w:noProof/>
          </w:rPr>
          <w:t>rating)</w:t>
        </w:r>
        <w:r>
          <w:rPr>
            <w:noProof/>
            <w:webHidden/>
          </w:rPr>
          <w:tab/>
        </w:r>
        <w:r>
          <w:rPr>
            <w:noProof/>
            <w:webHidden/>
          </w:rPr>
          <w:fldChar w:fldCharType="begin"/>
        </w:r>
        <w:r>
          <w:rPr>
            <w:noProof/>
            <w:webHidden/>
          </w:rPr>
          <w:instrText xml:space="preserve"> PAGEREF _Toc239764901 \h </w:instrText>
        </w:r>
        <w:r>
          <w:rPr>
            <w:noProof/>
            <w:webHidden/>
          </w:rPr>
        </w:r>
        <w:r>
          <w:rPr>
            <w:noProof/>
            <w:webHidden/>
          </w:rPr>
          <w:fldChar w:fldCharType="separate"/>
        </w:r>
        <w:r w:rsidR="00764E61">
          <w:rPr>
            <w:noProof/>
            <w:webHidden/>
          </w:rPr>
          <w:t>47</w:t>
        </w:r>
        <w:r>
          <w:rPr>
            <w:noProof/>
            <w:webHidden/>
          </w:rPr>
          <w:fldChar w:fldCharType="end"/>
        </w:r>
      </w:hyperlink>
    </w:p>
    <w:p w14:paraId="4815C859" w14:textId="709CBD07"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02" w:history="1">
        <w:r w:rsidRPr="00E0764F">
          <w:rPr>
            <w:rStyle w:val="Hyperlink"/>
            <w:noProof/>
          </w:rPr>
          <w:t>Figure 37</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Student experience by institution type and course level, 2025 (% positive rating)</w:t>
        </w:r>
        <w:r>
          <w:rPr>
            <w:noProof/>
            <w:webHidden/>
          </w:rPr>
          <w:tab/>
        </w:r>
        <w:r>
          <w:rPr>
            <w:noProof/>
            <w:webHidden/>
          </w:rPr>
          <w:fldChar w:fldCharType="begin"/>
        </w:r>
        <w:r>
          <w:rPr>
            <w:noProof/>
            <w:webHidden/>
          </w:rPr>
          <w:instrText xml:space="preserve"> PAGEREF _Toc239764902 \h </w:instrText>
        </w:r>
        <w:r>
          <w:rPr>
            <w:noProof/>
            <w:webHidden/>
          </w:rPr>
        </w:r>
        <w:r>
          <w:rPr>
            <w:noProof/>
            <w:webHidden/>
          </w:rPr>
          <w:fldChar w:fldCharType="separate"/>
        </w:r>
        <w:r w:rsidR="00764E61">
          <w:rPr>
            <w:noProof/>
            <w:webHidden/>
          </w:rPr>
          <w:t>50</w:t>
        </w:r>
        <w:r>
          <w:rPr>
            <w:noProof/>
            <w:webHidden/>
          </w:rPr>
          <w:fldChar w:fldCharType="end"/>
        </w:r>
      </w:hyperlink>
    </w:p>
    <w:p w14:paraId="06B3E8F5" w14:textId="297FFF54"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03" w:history="1">
        <w:r w:rsidRPr="00E0764F">
          <w:rPr>
            <w:rStyle w:val="Hyperlink"/>
            <w:noProof/>
          </w:rPr>
          <w:t>Figure 38</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Demographic differences between universities and NUHEIs, 2025 (% based on responses to the 2025 SES)</w:t>
        </w:r>
        <w:r>
          <w:rPr>
            <w:noProof/>
            <w:webHidden/>
          </w:rPr>
          <w:tab/>
        </w:r>
        <w:r>
          <w:rPr>
            <w:noProof/>
            <w:webHidden/>
          </w:rPr>
          <w:fldChar w:fldCharType="begin"/>
        </w:r>
        <w:r>
          <w:rPr>
            <w:noProof/>
            <w:webHidden/>
          </w:rPr>
          <w:instrText xml:space="preserve"> PAGEREF _Toc239764903 \h </w:instrText>
        </w:r>
        <w:r>
          <w:rPr>
            <w:noProof/>
            <w:webHidden/>
          </w:rPr>
        </w:r>
        <w:r>
          <w:rPr>
            <w:noProof/>
            <w:webHidden/>
          </w:rPr>
          <w:fldChar w:fldCharType="separate"/>
        </w:r>
        <w:r w:rsidR="00764E61">
          <w:rPr>
            <w:noProof/>
            <w:webHidden/>
          </w:rPr>
          <w:t>51</w:t>
        </w:r>
        <w:r>
          <w:rPr>
            <w:noProof/>
            <w:webHidden/>
          </w:rPr>
          <w:fldChar w:fldCharType="end"/>
        </w:r>
      </w:hyperlink>
    </w:p>
    <w:p w14:paraId="3EFCC4B0" w14:textId="0AB5758B"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04" w:history="1">
        <w:r w:rsidRPr="00E0764F">
          <w:rPr>
            <w:rStyle w:val="Hyperlink"/>
            <w:noProof/>
          </w:rPr>
          <w:t>Figure 39</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Educational Experience for undergraduate university students, 2025 (% positive rating, with 90 per cent confidence intervals)</w:t>
        </w:r>
        <w:r>
          <w:rPr>
            <w:noProof/>
            <w:webHidden/>
          </w:rPr>
          <w:tab/>
        </w:r>
        <w:r>
          <w:rPr>
            <w:noProof/>
            <w:webHidden/>
          </w:rPr>
          <w:fldChar w:fldCharType="begin"/>
        </w:r>
        <w:r>
          <w:rPr>
            <w:noProof/>
            <w:webHidden/>
          </w:rPr>
          <w:instrText xml:space="preserve"> PAGEREF _Toc239764904 \h </w:instrText>
        </w:r>
        <w:r>
          <w:rPr>
            <w:noProof/>
            <w:webHidden/>
          </w:rPr>
        </w:r>
        <w:r>
          <w:rPr>
            <w:noProof/>
            <w:webHidden/>
          </w:rPr>
          <w:fldChar w:fldCharType="separate"/>
        </w:r>
        <w:r w:rsidR="00764E61">
          <w:rPr>
            <w:noProof/>
            <w:webHidden/>
          </w:rPr>
          <w:t>53</w:t>
        </w:r>
        <w:r>
          <w:rPr>
            <w:noProof/>
            <w:webHidden/>
          </w:rPr>
          <w:fldChar w:fldCharType="end"/>
        </w:r>
      </w:hyperlink>
    </w:p>
    <w:p w14:paraId="02126AEF" w14:textId="1B4CA9BE"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05" w:history="1">
        <w:r w:rsidRPr="00E0764F">
          <w:rPr>
            <w:rStyle w:val="Hyperlink"/>
            <w:noProof/>
          </w:rPr>
          <w:t>Figure 40</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Educational Experience for postgraduate coursework university students, 2025 (%</w:t>
        </w:r>
        <w:r>
          <w:rPr>
            <w:rStyle w:val="Hyperlink"/>
            <w:noProof/>
          </w:rPr>
          <w:t> </w:t>
        </w:r>
        <w:r w:rsidRPr="00E0764F">
          <w:rPr>
            <w:rStyle w:val="Hyperlink"/>
            <w:noProof/>
          </w:rPr>
          <w:t>positive rating, with 90 per cent confidence intervals)</w:t>
        </w:r>
        <w:r>
          <w:rPr>
            <w:noProof/>
            <w:webHidden/>
          </w:rPr>
          <w:tab/>
        </w:r>
        <w:r>
          <w:rPr>
            <w:noProof/>
            <w:webHidden/>
          </w:rPr>
          <w:fldChar w:fldCharType="begin"/>
        </w:r>
        <w:r>
          <w:rPr>
            <w:noProof/>
            <w:webHidden/>
          </w:rPr>
          <w:instrText xml:space="preserve"> PAGEREF _Toc239764905 \h </w:instrText>
        </w:r>
        <w:r>
          <w:rPr>
            <w:noProof/>
            <w:webHidden/>
          </w:rPr>
        </w:r>
        <w:r>
          <w:rPr>
            <w:noProof/>
            <w:webHidden/>
          </w:rPr>
          <w:fldChar w:fldCharType="separate"/>
        </w:r>
        <w:r w:rsidR="00764E61">
          <w:rPr>
            <w:noProof/>
            <w:webHidden/>
          </w:rPr>
          <w:t>54</w:t>
        </w:r>
        <w:r>
          <w:rPr>
            <w:noProof/>
            <w:webHidden/>
          </w:rPr>
          <w:fldChar w:fldCharType="end"/>
        </w:r>
      </w:hyperlink>
    </w:p>
    <w:p w14:paraId="179D01E2" w14:textId="3869C0F1"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06" w:history="1">
        <w:r w:rsidRPr="00E0764F">
          <w:rPr>
            <w:rStyle w:val="Hyperlink"/>
            <w:noProof/>
          </w:rPr>
          <w:t>Figure 41</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Educational Experience for undergraduate non-university higher education institution (NUHEI) students, pooled 2024–25 (% positive rating, with 90 per cent confidence intervals)</w:t>
        </w:r>
        <w:r>
          <w:rPr>
            <w:noProof/>
            <w:webHidden/>
          </w:rPr>
          <w:tab/>
        </w:r>
        <w:r>
          <w:rPr>
            <w:noProof/>
            <w:webHidden/>
          </w:rPr>
          <w:fldChar w:fldCharType="begin"/>
        </w:r>
        <w:r>
          <w:rPr>
            <w:noProof/>
            <w:webHidden/>
          </w:rPr>
          <w:instrText xml:space="preserve"> PAGEREF _Toc239764906 \h </w:instrText>
        </w:r>
        <w:r>
          <w:rPr>
            <w:noProof/>
            <w:webHidden/>
          </w:rPr>
        </w:r>
        <w:r>
          <w:rPr>
            <w:noProof/>
            <w:webHidden/>
          </w:rPr>
          <w:fldChar w:fldCharType="separate"/>
        </w:r>
        <w:r w:rsidR="00764E61">
          <w:rPr>
            <w:noProof/>
            <w:webHidden/>
          </w:rPr>
          <w:t>56</w:t>
        </w:r>
        <w:r>
          <w:rPr>
            <w:noProof/>
            <w:webHidden/>
          </w:rPr>
          <w:fldChar w:fldCharType="end"/>
        </w:r>
      </w:hyperlink>
    </w:p>
    <w:p w14:paraId="7D5DF146" w14:textId="5FC73872"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07" w:history="1">
        <w:r w:rsidRPr="00E0764F">
          <w:rPr>
            <w:rStyle w:val="Hyperlink"/>
            <w:noProof/>
          </w:rPr>
          <w:t>Figure 42</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Overall Educational Experience for postgraduate coursework non-university higher education institution (NUHEI) students, pooled 2024–25 (% positive rating, with 90 per cent confidence</w:t>
        </w:r>
        <w:r>
          <w:rPr>
            <w:rStyle w:val="Hyperlink"/>
            <w:noProof/>
          </w:rPr>
          <w:t> </w:t>
        </w:r>
        <w:r w:rsidRPr="00E0764F">
          <w:rPr>
            <w:rStyle w:val="Hyperlink"/>
            <w:noProof/>
          </w:rPr>
          <w:t>intervals)</w:t>
        </w:r>
        <w:r>
          <w:rPr>
            <w:noProof/>
            <w:webHidden/>
          </w:rPr>
          <w:tab/>
        </w:r>
        <w:r>
          <w:rPr>
            <w:noProof/>
            <w:webHidden/>
          </w:rPr>
          <w:fldChar w:fldCharType="begin"/>
        </w:r>
        <w:r>
          <w:rPr>
            <w:noProof/>
            <w:webHidden/>
          </w:rPr>
          <w:instrText xml:space="preserve"> PAGEREF _Toc239764907 \h </w:instrText>
        </w:r>
        <w:r>
          <w:rPr>
            <w:noProof/>
            <w:webHidden/>
          </w:rPr>
        </w:r>
        <w:r>
          <w:rPr>
            <w:noProof/>
            <w:webHidden/>
          </w:rPr>
          <w:fldChar w:fldCharType="separate"/>
        </w:r>
        <w:r w:rsidR="00764E61">
          <w:rPr>
            <w:noProof/>
            <w:webHidden/>
          </w:rPr>
          <w:t>57</w:t>
        </w:r>
        <w:r>
          <w:rPr>
            <w:noProof/>
            <w:webHidden/>
          </w:rPr>
          <w:fldChar w:fldCharType="end"/>
        </w:r>
      </w:hyperlink>
    </w:p>
    <w:p w14:paraId="17FE07CA" w14:textId="77920A81"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08" w:history="1">
        <w:r w:rsidRPr="00E0764F">
          <w:rPr>
            <w:rStyle w:val="Hyperlink"/>
            <w:noProof/>
          </w:rPr>
          <w:t>Figure 43</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Study mode profile by course level, 2017–25 (based on responses to the SES)</w:t>
        </w:r>
        <w:r>
          <w:rPr>
            <w:noProof/>
            <w:webHidden/>
          </w:rPr>
          <w:tab/>
        </w:r>
        <w:r>
          <w:rPr>
            <w:noProof/>
            <w:webHidden/>
          </w:rPr>
          <w:fldChar w:fldCharType="begin"/>
        </w:r>
        <w:r>
          <w:rPr>
            <w:noProof/>
            <w:webHidden/>
          </w:rPr>
          <w:instrText xml:space="preserve"> PAGEREF _Toc239764908 \h </w:instrText>
        </w:r>
        <w:r>
          <w:rPr>
            <w:noProof/>
            <w:webHidden/>
          </w:rPr>
        </w:r>
        <w:r>
          <w:rPr>
            <w:noProof/>
            <w:webHidden/>
          </w:rPr>
          <w:fldChar w:fldCharType="separate"/>
        </w:r>
        <w:r w:rsidR="00764E61">
          <w:rPr>
            <w:noProof/>
            <w:webHidden/>
          </w:rPr>
          <w:t>59</w:t>
        </w:r>
        <w:r>
          <w:rPr>
            <w:noProof/>
            <w:webHidden/>
          </w:rPr>
          <w:fldChar w:fldCharType="end"/>
        </w:r>
      </w:hyperlink>
    </w:p>
    <w:p w14:paraId="077D7F84" w14:textId="6ACBA0AE"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09" w:history="1">
        <w:r w:rsidRPr="00E0764F">
          <w:rPr>
            <w:rStyle w:val="Hyperlink"/>
            <w:noProof/>
          </w:rPr>
          <w:t>Figure 44</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Domestic study mode profile by course level, 2017–25 (based on responses to the SES)</w:t>
        </w:r>
        <w:r>
          <w:rPr>
            <w:noProof/>
            <w:webHidden/>
          </w:rPr>
          <w:tab/>
        </w:r>
        <w:r>
          <w:rPr>
            <w:noProof/>
            <w:webHidden/>
          </w:rPr>
          <w:fldChar w:fldCharType="begin"/>
        </w:r>
        <w:r>
          <w:rPr>
            <w:noProof/>
            <w:webHidden/>
          </w:rPr>
          <w:instrText xml:space="preserve"> PAGEREF _Toc239764909 \h </w:instrText>
        </w:r>
        <w:r>
          <w:rPr>
            <w:noProof/>
            <w:webHidden/>
          </w:rPr>
        </w:r>
        <w:r>
          <w:rPr>
            <w:noProof/>
            <w:webHidden/>
          </w:rPr>
          <w:fldChar w:fldCharType="separate"/>
        </w:r>
        <w:r w:rsidR="00764E61">
          <w:rPr>
            <w:noProof/>
            <w:webHidden/>
          </w:rPr>
          <w:t>60</w:t>
        </w:r>
        <w:r>
          <w:rPr>
            <w:noProof/>
            <w:webHidden/>
          </w:rPr>
          <w:fldChar w:fldCharType="end"/>
        </w:r>
      </w:hyperlink>
    </w:p>
    <w:p w14:paraId="7491A817" w14:textId="51EAF4CE"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10" w:history="1">
        <w:r w:rsidRPr="00E0764F">
          <w:rPr>
            <w:rStyle w:val="Hyperlink"/>
            <w:noProof/>
          </w:rPr>
          <w:t>Figure 45</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Class participation by enrolled study mode and course level, 2025</w:t>
        </w:r>
        <w:r>
          <w:rPr>
            <w:noProof/>
            <w:webHidden/>
          </w:rPr>
          <w:tab/>
        </w:r>
        <w:r>
          <w:rPr>
            <w:noProof/>
            <w:webHidden/>
          </w:rPr>
          <w:fldChar w:fldCharType="begin"/>
        </w:r>
        <w:r>
          <w:rPr>
            <w:noProof/>
            <w:webHidden/>
          </w:rPr>
          <w:instrText xml:space="preserve"> PAGEREF _Toc239764910 \h </w:instrText>
        </w:r>
        <w:r>
          <w:rPr>
            <w:noProof/>
            <w:webHidden/>
          </w:rPr>
        </w:r>
        <w:r>
          <w:rPr>
            <w:noProof/>
            <w:webHidden/>
          </w:rPr>
          <w:fldChar w:fldCharType="separate"/>
        </w:r>
        <w:r w:rsidR="00764E61">
          <w:rPr>
            <w:noProof/>
            <w:webHidden/>
          </w:rPr>
          <w:t>61</w:t>
        </w:r>
        <w:r>
          <w:rPr>
            <w:noProof/>
            <w:webHidden/>
          </w:rPr>
          <w:fldChar w:fldCharType="end"/>
        </w:r>
      </w:hyperlink>
    </w:p>
    <w:p w14:paraId="12EA82F4" w14:textId="4DEA2882"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11" w:history="1">
        <w:r w:rsidRPr="00E0764F">
          <w:rPr>
            <w:rStyle w:val="Hyperlink"/>
            <w:noProof/>
          </w:rPr>
          <w:t>Figure 46</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Undergraduate study mode and age profile by citizenship status, 2025</w:t>
        </w:r>
        <w:r>
          <w:rPr>
            <w:noProof/>
            <w:webHidden/>
          </w:rPr>
          <w:tab/>
        </w:r>
        <w:r>
          <w:rPr>
            <w:noProof/>
            <w:webHidden/>
          </w:rPr>
          <w:fldChar w:fldCharType="begin"/>
        </w:r>
        <w:r>
          <w:rPr>
            <w:noProof/>
            <w:webHidden/>
          </w:rPr>
          <w:instrText xml:space="preserve"> PAGEREF _Toc239764911 \h </w:instrText>
        </w:r>
        <w:r>
          <w:rPr>
            <w:noProof/>
            <w:webHidden/>
          </w:rPr>
        </w:r>
        <w:r>
          <w:rPr>
            <w:noProof/>
            <w:webHidden/>
          </w:rPr>
          <w:fldChar w:fldCharType="separate"/>
        </w:r>
        <w:r w:rsidR="00764E61">
          <w:rPr>
            <w:noProof/>
            <w:webHidden/>
          </w:rPr>
          <w:t>62</w:t>
        </w:r>
        <w:r>
          <w:rPr>
            <w:noProof/>
            <w:webHidden/>
          </w:rPr>
          <w:fldChar w:fldCharType="end"/>
        </w:r>
      </w:hyperlink>
    </w:p>
    <w:p w14:paraId="49AE8336" w14:textId="2549984F"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12" w:history="1">
        <w:r w:rsidRPr="00E0764F">
          <w:rPr>
            <w:rStyle w:val="Hyperlink"/>
            <w:noProof/>
          </w:rPr>
          <w:t>Figure 47</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Undergraduate class participation for internal/multi-mode students by citizenship status, 2025</w:t>
        </w:r>
        <w:r>
          <w:rPr>
            <w:noProof/>
            <w:webHidden/>
          </w:rPr>
          <w:tab/>
        </w:r>
        <w:r>
          <w:rPr>
            <w:noProof/>
            <w:webHidden/>
          </w:rPr>
          <w:fldChar w:fldCharType="begin"/>
        </w:r>
        <w:r>
          <w:rPr>
            <w:noProof/>
            <w:webHidden/>
          </w:rPr>
          <w:instrText xml:space="preserve"> PAGEREF _Toc239764912 \h </w:instrText>
        </w:r>
        <w:r>
          <w:rPr>
            <w:noProof/>
            <w:webHidden/>
          </w:rPr>
        </w:r>
        <w:r>
          <w:rPr>
            <w:noProof/>
            <w:webHidden/>
          </w:rPr>
          <w:fldChar w:fldCharType="separate"/>
        </w:r>
        <w:r w:rsidR="00764E61">
          <w:rPr>
            <w:noProof/>
            <w:webHidden/>
          </w:rPr>
          <w:t>63</w:t>
        </w:r>
        <w:r>
          <w:rPr>
            <w:noProof/>
            <w:webHidden/>
          </w:rPr>
          <w:fldChar w:fldCharType="end"/>
        </w:r>
      </w:hyperlink>
    </w:p>
    <w:p w14:paraId="46EC8DC7" w14:textId="1E4B8990"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13" w:history="1">
        <w:r w:rsidRPr="00E0764F">
          <w:rPr>
            <w:rStyle w:val="Hyperlink"/>
            <w:noProof/>
          </w:rPr>
          <w:t>Figure 48</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Postgraduate coursework study mode and age profile by citizenship status, 2025</w:t>
        </w:r>
        <w:r>
          <w:rPr>
            <w:noProof/>
            <w:webHidden/>
          </w:rPr>
          <w:tab/>
        </w:r>
        <w:r>
          <w:rPr>
            <w:noProof/>
            <w:webHidden/>
          </w:rPr>
          <w:fldChar w:fldCharType="begin"/>
        </w:r>
        <w:r>
          <w:rPr>
            <w:noProof/>
            <w:webHidden/>
          </w:rPr>
          <w:instrText xml:space="preserve"> PAGEREF _Toc239764913 \h </w:instrText>
        </w:r>
        <w:r>
          <w:rPr>
            <w:noProof/>
            <w:webHidden/>
          </w:rPr>
        </w:r>
        <w:r>
          <w:rPr>
            <w:noProof/>
            <w:webHidden/>
          </w:rPr>
          <w:fldChar w:fldCharType="separate"/>
        </w:r>
        <w:r w:rsidR="00764E61">
          <w:rPr>
            <w:noProof/>
            <w:webHidden/>
          </w:rPr>
          <w:t>64</w:t>
        </w:r>
        <w:r>
          <w:rPr>
            <w:noProof/>
            <w:webHidden/>
          </w:rPr>
          <w:fldChar w:fldCharType="end"/>
        </w:r>
      </w:hyperlink>
    </w:p>
    <w:p w14:paraId="7C07D8FE" w14:textId="51C1D15F" w:rsidR="004A6053" w:rsidRDefault="004A6053">
      <w:pPr>
        <w:pStyle w:val="TableofFigures"/>
        <w:tabs>
          <w:tab w:val="right" w:leader="dot" w:pos="10194"/>
        </w:tabs>
        <w:rPr>
          <w:rFonts w:asciiTheme="minorHAnsi" w:eastAsiaTheme="minorEastAsia" w:hAnsiTheme="minorHAnsi"/>
          <w:noProof/>
          <w:color w:val="auto"/>
          <w:kern w:val="2"/>
          <w:sz w:val="24"/>
          <w:szCs w:val="24"/>
          <w:lang w:eastAsia="en-AU"/>
          <w14:ligatures w14:val="standardContextual"/>
        </w:rPr>
      </w:pPr>
      <w:hyperlink w:anchor="_Toc239764914" w:history="1">
        <w:r w:rsidRPr="00E0764F">
          <w:rPr>
            <w:rStyle w:val="Hyperlink"/>
            <w:noProof/>
          </w:rPr>
          <w:t>Figure 49</w:t>
        </w:r>
        <w:r>
          <w:rPr>
            <w:rFonts w:asciiTheme="minorHAnsi" w:eastAsiaTheme="minorEastAsia" w:hAnsiTheme="minorHAnsi"/>
            <w:noProof/>
            <w:color w:val="auto"/>
            <w:kern w:val="2"/>
            <w:sz w:val="24"/>
            <w:szCs w:val="24"/>
            <w:lang w:eastAsia="en-AU"/>
            <w14:ligatures w14:val="standardContextual"/>
          </w:rPr>
          <w:tab/>
        </w:r>
        <w:r w:rsidRPr="00E0764F">
          <w:rPr>
            <w:rStyle w:val="Hyperlink"/>
            <w:noProof/>
          </w:rPr>
          <w:t>Proportion of responses to the SES by citizenship status and course level, 2017–25 SES</w:t>
        </w:r>
        <w:r>
          <w:rPr>
            <w:noProof/>
            <w:webHidden/>
          </w:rPr>
          <w:tab/>
        </w:r>
        <w:r>
          <w:rPr>
            <w:noProof/>
            <w:webHidden/>
          </w:rPr>
          <w:fldChar w:fldCharType="begin"/>
        </w:r>
        <w:r>
          <w:rPr>
            <w:noProof/>
            <w:webHidden/>
          </w:rPr>
          <w:instrText xml:space="preserve"> PAGEREF _Toc239764914 \h </w:instrText>
        </w:r>
        <w:r>
          <w:rPr>
            <w:noProof/>
            <w:webHidden/>
          </w:rPr>
        </w:r>
        <w:r>
          <w:rPr>
            <w:noProof/>
            <w:webHidden/>
          </w:rPr>
          <w:fldChar w:fldCharType="separate"/>
        </w:r>
        <w:r w:rsidR="00764E61">
          <w:rPr>
            <w:noProof/>
            <w:webHidden/>
          </w:rPr>
          <w:t>65</w:t>
        </w:r>
        <w:r>
          <w:rPr>
            <w:noProof/>
            <w:webHidden/>
          </w:rPr>
          <w:fldChar w:fldCharType="end"/>
        </w:r>
      </w:hyperlink>
    </w:p>
    <w:p w14:paraId="4ED77D41" w14:textId="541C6FF9" w:rsidR="00D75F34" w:rsidRPr="000530B1" w:rsidRDefault="00D04504" w:rsidP="00FC2781">
      <w:pPr>
        <w:spacing w:after="160" w:line="259" w:lineRule="auto"/>
      </w:pPr>
      <w:r w:rsidRPr="000530B1">
        <w:fldChar w:fldCharType="end"/>
      </w:r>
      <w:bookmarkEnd w:id="0"/>
    </w:p>
    <w:p w14:paraId="3BED0E04" w14:textId="77777777" w:rsidR="00D75F34" w:rsidRPr="000530B1" w:rsidRDefault="00D75F34" w:rsidP="00D75F34">
      <w:pPr>
        <w:sectPr w:rsidR="00D75F34" w:rsidRPr="000530B1" w:rsidSect="002D7A52">
          <w:pgSz w:w="11906" w:h="16838" w:code="9"/>
          <w:pgMar w:top="1134" w:right="851" w:bottom="1134" w:left="851" w:header="567" w:footer="567" w:gutter="0"/>
          <w:pgNumType w:fmt="lowerRoman"/>
          <w:cols w:space="708"/>
          <w:docGrid w:linePitch="360"/>
        </w:sectPr>
      </w:pPr>
    </w:p>
    <w:p w14:paraId="5CD2532F" w14:textId="23D8AC04" w:rsidR="00B453F0" w:rsidRPr="000530B1" w:rsidRDefault="00AB7F78" w:rsidP="00FC2781">
      <w:pPr>
        <w:pStyle w:val="Heading1numaccessible"/>
        <w:rPr>
          <w:b/>
          <w:bCs/>
        </w:rPr>
      </w:pPr>
      <w:bookmarkStart w:id="9" w:name="_Toc239764780"/>
      <w:r w:rsidRPr="000530B1">
        <w:lastRenderedPageBreak/>
        <w:t>About the SES</w:t>
      </w:r>
      <w:bookmarkEnd w:id="9"/>
    </w:p>
    <w:p w14:paraId="363B259C" w14:textId="618ED97F" w:rsidR="00B453F0" w:rsidRPr="000530B1" w:rsidRDefault="00B453F0" w:rsidP="004E5CA6">
      <w:pPr>
        <w:pStyle w:val="Body"/>
      </w:pPr>
      <w:r w:rsidRPr="000530B1">
        <w:t xml:space="preserve">The Student Experience Survey (SES) provides a national framework for collecting data on key aspects of the higher education student experience. It focuses on measurable aspects linked to learning outcomes </w:t>
      </w:r>
      <w:r w:rsidR="0025377C" w:rsidRPr="000530B1">
        <w:t>which can be</w:t>
      </w:r>
      <w:r w:rsidRPr="000530B1">
        <w:t xml:space="preserve"> influenced by institutions.</w:t>
      </w:r>
    </w:p>
    <w:p w14:paraId="51D9EE78" w14:textId="77777777" w:rsidR="00A130F1" w:rsidRPr="00FC2781" w:rsidRDefault="00A130F1" w:rsidP="00FC2781">
      <w:pPr>
        <w:pStyle w:val="Heading2"/>
      </w:pPr>
      <w:bookmarkStart w:id="10" w:name="_Toc239764781"/>
      <w:r w:rsidRPr="00FC2781">
        <w:t>Participation</w:t>
      </w:r>
      <w:bookmarkEnd w:id="10"/>
    </w:p>
    <w:p w14:paraId="5E1C265D" w14:textId="0E5D6856" w:rsidR="00FE3B4B" w:rsidRPr="000530B1" w:rsidRDefault="00FE3B4B" w:rsidP="00CE234E">
      <w:pPr>
        <w:pStyle w:val="Body"/>
      </w:pPr>
      <w:r w:rsidRPr="000530B1">
        <w:t xml:space="preserve">The 2025 SES </w:t>
      </w:r>
      <w:r w:rsidR="005B6A56" w:rsidRPr="000530B1">
        <w:t>was conducted as a national online survey among 153 higher education institutions, including 43 universities</w:t>
      </w:r>
      <w:r w:rsidR="00163AD7" w:rsidRPr="000530B1">
        <w:t xml:space="preserve"> and 110 </w:t>
      </w:r>
      <w:r w:rsidR="00EF343B" w:rsidRPr="000530B1">
        <w:t>non-university higher education institutions (NUHEIs). A total of 324,547</w:t>
      </w:r>
      <w:r w:rsidR="00704931" w:rsidRPr="000530B1">
        <w:t xml:space="preserve"> valid survey responses were collected</w:t>
      </w:r>
      <w:r w:rsidR="00CB0D52" w:rsidRPr="000530B1">
        <w:t>, representing a response rate of 43.2 per cent, which</w:t>
      </w:r>
      <w:r w:rsidR="002C27B4" w:rsidRPr="000530B1">
        <w:t xml:space="preserve"> was</w:t>
      </w:r>
      <w:r w:rsidR="00830D14" w:rsidRPr="000530B1">
        <w:t xml:space="preserve"> an increase from the </w:t>
      </w:r>
      <w:r w:rsidR="001D111F" w:rsidRPr="000530B1">
        <w:t>37.2 per cent achieved in 2024.</w:t>
      </w:r>
    </w:p>
    <w:tbl>
      <w:tblPr>
        <w:tblStyle w:val="TableGrid"/>
        <w:tblW w:w="0" w:type="auto"/>
        <w:jc w:val="center"/>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3685"/>
      </w:tblGrid>
      <w:tr w:rsidR="00DC1A7C" w14:paraId="258FC4EE" w14:textId="77777777" w:rsidTr="005536F9">
        <w:trPr>
          <w:cnfStyle w:val="100000000000" w:firstRow="1" w:lastRow="0" w:firstColumn="0" w:lastColumn="0" w:oddVBand="0" w:evenVBand="0" w:oddHBand="0" w:evenHBand="0" w:firstRowFirstColumn="0" w:firstRowLastColumn="0" w:lastRowFirstColumn="0" w:lastRowLastColumn="0"/>
          <w:trHeight w:val="1696"/>
          <w:jc w:val="center"/>
        </w:trPr>
        <w:tc>
          <w:tcPr>
            <w:tcW w:w="3685" w:type="dxa"/>
            <w:vAlign w:val="top"/>
          </w:tcPr>
          <w:p w14:paraId="382120EE" w14:textId="523CF82A" w:rsidR="00DC1A7C" w:rsidRPr="00DC1A7C" w:rsidRDefault="00DC1A7C" w:rsidP="005536F9">
            <w:pPr>
              <w:spacing w:before="120" w:after="120" w:line="25" w:lineRule="atLeast"/>
              <w:ind w:left="567"/>
              <w:rPr>
                <w:b w:val="0"/>
                <w:bCs/>
                <w:sz w:val="22"/>
              </w:rPr>
            </w:pPr>
            <w:r w:rsidRPr="00DC1A7C">
              <w:rPr>
                <w:bCs/>
                <w:sz w:val="22"/>
              </w:rPr>
              <w:t>2025 participation</w:t>
            </w:r>
          </w:p>
          <w:p w14:paraId="69F92772" w14:textId="77777777" w:rsidR="00DC1A7C" w:rsidRPr="00422E6F" w:rsidRDefault="00DC1A7C" w:rsidP="00C627D8">
            <w:pPr>
              <w:pStyle w:val="Bullets-noindent"/>
              <w:spacing w:line="25" w:lineRule="atLeast"/>
              <w:ind w:left="567"/>
              <w:rPr>
                <w:b w:val="0"/>
                <w:bCs/>
                <w:sz w:val="22"/>
                <w:szCs w:val="22"/>
              </w:rPr>
            </w:pPr>
            <w:r w:rsidRPr="00422E6F">
              <w:rPr>
                <w:b w:val="0"/>
                <w:bCs/>
                <w:sz w:val="22"/>
                <w:szCs w:val="22"/>
              </w:rPr>
              <w:t>153 institutions</w:t>
            </w:r>
          </w:p>
          <w:p w14:paraId="166B2A37" w14:textId="77777777" w:rsidR="00DC1A7C" w:rsidRPr="00422E6F" w:rsidRDefault="00DC1A7C" w:rsidP="00C627D8">
            <w:pPr>
              <w:pStyle w:val="Bullets-noindent"/>
              <w:spacing w:line="25" w:lineRule="atLeast"/>
              <w:ind w:left="567"/>
              <w:rPr>
                <w:b w:val="0"/>
                <w:bCs/>
                <w:sz w:val="22"/>
                <w:szCs w:val="22"/>
              </w:rPr>
            </w:pPr>
            <w:r w:rsidRPr="00422E6F">
              <w:rPr>
                <w:b w:val="0"/>
                <w:bCs/>
                <w:sz w:val="22"/>
                <w:szCs w:val="22"/>
              </w:rPr>
              <w:t>824,073 invitations sent</w:t>
            </w:r>
          </w:p>
          <w:p w14:paraId="283F45BE" w14:textId="77777777" w:rsidR="00DC1A7C" w:rsidRPr="00422E6F" w:rsidRDefault="00DC1A7C" w:rsidP="00C627D8">
            <w:pPr>
              <w:pStyle w:val="Bullets-noindent"/>
              <w:spacing w:line="25" w:lineRule="atLeast"/>
              <w:ind w:left="567"/>
              <w:rPr>
                <w:b w:val="0"/>
                <w:bCs/>
                <w:sz w:val="22"/>
                <w:szCs w:val="22"/>
              </w:rPr>
            </w:pPr>
            <w:r w:rsidRPr="00422E6F">
              <w:rPr>
                <w:b w:val="0"/>
                <w:bCs/>
                <w:sz w:val="22"/>
                <w:szCs w:val="22"/>
              </w:rPr>
              <w:t>324,547 completed surveys</w:t>
            </w:r>
          </w:p>
          <w:p w14:paraId="4FDE7DDF" w14:textId="1B7D1CD5" w:rsidR="00DC1A7C" w:rsidRPr="00DC1A7C" w:rsidRDefault="00DC1A7C" w:rsidP="005536F9">
            <w:pPr>
              <w:pStyle w:val="Bullets-noindent"/>
              <w:spacing w:after="120" w:line="25" w:lineRule="atLeast"/>
              <w:ind w:left="567"/>
              <w:rPr>
                <w:b w:val="0"/>
                <w:bCs/>
              </w:rPr>
            </w:pPr>
            <w:r w:rsidRPr="00422E6F">
              <w:rPr>
                <w:b w:val="0"/>
                <w:bCs/>
                <w:sz w:val="22"/>
                <w:szCs w:val="22"/>
              </w:rPr>
              <w:t>43.2% response rate</w:t>
            </w:r>
          </w:p>
        </w:tc>
      </w:tr>
    </w:tbl>
    <w:p w14:paraId="5044A60B" w14:textId="59968EF9" w:rsidR="004038F0" w:rsidRPr="00FC2781" w:rsidRDefault="004038F0" w:rsidP="00FC2781">
      <w:pPr>
        <w:pStyle w:val="Heading2"/>
      </w:pPr>
      <w:bookmarkStart w:id="11" w:name="_Toc195645853"/>
      <w:bookmarkStart w:id="12" w:name="_Toc239764782"/>
      <w:r w:rsidRPr="00FC2781">
        <w:t>Series history</w:t>
      </w:r>
      <w:bookmarkEnd w:id="12"/>
    </w:p>
    <w:p w14:paraId="749B91C4" w14:textId="0E6DB310" w:rsidR="00BA2664" w:rsidRPr="000530B1" w:rsidRDefault="00BA2664" w:rsidP="00BA2664">
      <w:pPr>
        <w:pStyle w:val="Body"/>
      </w:pPr>
      <w:r w:rsidRPr="000530B1">
        <w:t>Originally developed as the University Experience Survey (UES) in 2011, the SES was renamed in 2015 to include NUHEIs. Initially focused on undergraduates, the survey expanded to include postgraduate coursework students in</w:t>
      </w:r>
      <w:r w:rsidR="00564696">
        <w:t> </w:t>
      </w:r>
      <w:r w:rsidRPr="000530B1">
        <w:t>2017.</w:t>
      </w:r>
    </w:p>
    <w:p w14:paraId="0F340ECE" w14:textId="77777777" w:rsidR="00BA2664" w:rsidRPr="000530B1" w:rsidRDefault="00BA2664" w:rsidP="00BA2664">
      <w:pPr>
        <w:pStyle w:val="Body"/>
      </w:pPr>
      <w:r w:rsidRPr="000530B1">
        <w:t>From 2014 to 2019, the survey remained largely unchanged, with minor wording adjustments. In 2020, an international student module was added to measure broader aspects of their experience. In 2021, items on freedom of expression were included.</w:t>
      </w:r>
    </w:p>
    <w:p w14:paraId="5B28BF63" w14:textId="17EEAEBD" w:rsidR="00BA2664" w:rsidRPr="000530B1" w:rsidRDefault="00BA2664" w:rsidP="00BA2664">
      <w:pPr>
        <w:pStyle w:val="Body"/>
      </w:pPr>
      <w:r w:rsidRPr="000530B1">
        <w:t>A 2022 review led to several changes in the 2023 SES</w:t>
      </w:r>
      <w:r w:rsidR="00874FB0" w:rsidRPr="00874FB0">
        <w:t>, including the renaming of three focus areas (Learner Engagement to Peer Engagement, Student Support to Student Support and Services, and Teaching Quality to Teaching Quality and Engagement), the establishment of the sense of belonging item as a stand-alone measure, and the addition of a set of items related to student participation in classes. Additionally, there were changes to the underlying items which comprise the Peer Engagement and Student Support and Services focus areas, meaning that caution should be exercised when comparing ratings for these focus areas between 2023 and prior years.</w:t>
      </w:r>
      <w:r w:rsidR="00150656" w:rsidRPr="000530B1">
        <w:t xml:space="preserve"> Further information about these changes is detailed in Appendix 2 of the 2023 SES National Report available on the </w:t>
      </w:r>
      <w:hyperlink r:id="rId27" w:history="1">
        <w:r w:rsidR="0040388C" w:rsidRPr="000530B1">
          <w:rPr>
            <w:rStyle w:val="Hyperlink"/>
          </w:rPr>
          <w:t>QILT website</w:t>
        </w:r>
      </w:hyperlink>
    </w:p>
    <w:p w14:paraId="58E735CE" w14:textId="270B89C9" w:rsidR="00504E0D" w:rsidRPr="00FC2781" w:rsidRDefault="00970AAB" w:rsidP="00FC2781">
      <w:pPr>
        <w:pStyle w:val="Heading2"/>
      </w:pPr>
      <w:bookmarkStart w:id="13" w:name="_Toc239764783"/>
      <w:r w:rsidRPr="00FC2781">
        <w:t xml:space="preserve">Further </w:t>
      </w:r>
      <w:r w:rsidR="00504E0D" w:rsidRPr="00FC2781">
        <w:t>detail</w:t>
      </w:r>
      <w:bookmarkEnd w:id="13"/>
    </w:p>
    <w:bookmarkEnd w:id="11"/>
    <w:p w14:paraId="490D3B35" w14:textId="16477E94" w:rsidR="00E168B7" w:rsidRPr="000530B1" w:rsidRDefault="00E168B7" w:rsidP="00E168B7">
      <w:pPr>
        <w:pStyle w:val="Body"/>
      </w:pPr>
      <w:r w:rsidRPr="000530B1" w:rsidDel="00EB16F6">
        <w:t>T</w:t>
      </w:r>
      <w:r w:rsidRPr="000530B1">
        <w:t xml:space="preserve">his report is supported by a </w:t>
      </w:r>
      <w:hyperlink r:id="rId28" w:history="1">
        <w:r w:rsidRPr="000530B1">
          <w:rPr>
            <w:rStyle w:val="Hyperlink"/>
          </w:rPr>
          <w:t>Power BI workboo</w:t>
        </w:r>
        <w:r w:rsidR="00013DD1" w:rsidRPr="000530B1">
          <w:rPr>
            <w:rStyle w:val="Hyperlink"/>
          </w:rPr>
          <w:t>k</w:t>
        </w:r>
      </w:hyperlink>
      <w:r w:rsidR="00013DD1" w:rsidRPr="000530B1">
        <w:t>,</w:t>
      </w:r>
      <w:r w:rsidRPr="000530B1">
        <w:t xml:space="preserve"> which allows readers to further explore the data. Static Excel tables also provide additional data and detail that may be of interest.</w:t>
      </w:r>
    </w:p>
    <w:p w14:paraId="5D3406C0" w14:textId="771C972D" w:rsidR="001C7A9E" w:rsidRPr="000530B1" w:rsidRDefault="001C7A9E" w:rsidP="001C7A9E">
      <w:pPr>
        <w:pStyle w:val="Body"/>
      </w:pPr>
      <w:r w:rsidRPr="000530B1">
        <w:t xml:space="preserve">Methodological information previously included in </w:t>
      </w:r>
      <w:r w:rsidR="00BD28D1" w:rsidRPr="000530B1">
        <w:t>the appendices</w:t>
      </w:r>
      <w:r w:rsidRPr="000530B1">
        <w:t xml:space="preserve"> of earlier</w:t>
      </w:r>
      <w:r w:rsidR="006B4C67" w:rsidRPr="000530B1">
        <w:t xml:space="preserve"> SES National</w:t>
      </w:r>
      <w:r w:rsidRPr="000530B1">
        <w:t xml:space="preserve"> reports is now available in the </w:t>
      </w:r>
      <w:hyperlink r:id="rId29" w:history="1">
        <w:r w:rsidRPr="000530B1">
          <w:rPr>
            <w:rStyle w:val="Hyperlink"/>
          </w:rPr>
          <w:t>202</w:t>
        </w:r>
        <w:r w:rsidR="00D24AB6" w:rsidRPr="000530B1">
          <w:rPr>
            <w:rStyle w:val="Hyperlink"/>
          </w:rPr>
          <w:t>5</w:t>
        </w:r>
        <w:r w:rsidRPr="000530B1">
          <w:rPr>
            <w:rStyle w:val="Hyperlink"/>
          </w:rPr>
          <w:t xml:space="preserve"> SES Methodological Report</w:t>
        </w:r>
      </w:hyperlink>
      <w:r w:rsidRPr="000530B1">
        <w:t>. Additional technical details</w:t>
      </w:r>
      <w:r w:rsidR="00DA7D02" w:rsidRPr="000530B1">
        <w:t xml:space="preserve">, </w:t>
      </w:r>
      <w:r w:rsidRPr="000530B1">
        <w:t xml:space="preserve">such as the </w:t>
      </w:r>
      <w:r w:rsidR="00D24AB6" w:rsidRPr="000530B1">
        <w:t>survey instrument</w:t>
      </w:r>
      <w:r w:rsidRPr="000530B1">
        <w:t xml:space="preserve">, the construction of focus area </w:t>
      </w:r>
      <w:r w:rsidR="00B13CEA" w:rsidRPr="000530B1">
        <w:t>rating</w:t>
      </w:r>
      <w:r w:rsidRPr="000530B1">
        <w:t>s and confidence intervals, and the study area concordance</w:t>
      </w:r>
      <w:r w:rsidR="00DA7D02" w:rsidRPr="000530B1">
        <w:t>,</w:t>
      </w:r>
      <w:r w:rsidR="00B06EB1" w:rsidRPr="000530B1">
        <w:t xml:space="preserve"> </w:t>
      </w:r>
      <w:r w:rsidRPr="000530B1">
        <w:t xml:space="preserve">can be found on the </w:t>
      </w:r>
      <w:r w:rsidR="00B02689" w:rsidRPr="000530B1">
        <w:t>QILT website</w:t>
      </w:r>
      <w:r w:rsidR="00E168B7" w:rsidRPr="000530B1">
        <w:t>.</w:t>
      </w:r>
    </w:p>
    <w:p w14:paraId="0D76BC2B" w14:textId="4FCFA871" w:rsidR="00B136A9" w:rsidRPr="000530B1" w:rsidRDefault="002826F2" w:rsidP="000958DC">
      <w:pPr>
        <w:pStyle w:val="Body"/>
      </w:pPr>
      <w:r w:rsidRPr="000530B1">
        <w:t xml:space="preserve">Results from the </w:t>
      </w:r>
      <w:r w:rsidR="009C07A0" w:rsidRPr="000530B1">
        <w:t>SES</w:t>
      </w:r>
      <w:r w:rsidRPr="000530B1">
        <w:t xml:space="preserve"> for international </w:t>
      </w:r>
      <w:r w:rsidR="0030152B" w:rsidRPr="000530B1">
        <w:t>students</w:t>
      </w:r>
      <w:r w:rsidRPr="000530B1">
        <w:t xml:space="preserve"> are</w:t>
      </w:r>
      <w:r w:rsidR="00E168B7" w:rsidRPr="000530B1">
        <w:t xml:space="preserve"> also</w:t>
      </w:r>
      <w:r w:rsidRPr="000530B1">
        <w:t xml:space="preserve"> published in an international report on the QILT website.</w:t>
      </w:r>
    </w:p>
    <w:p w14:paraId="5BE7C904" w14:textId="70398F61" w:rsidR="00E168B7" w:rsidRPr="000530B1" w:rsidRDefault="00E168B7" w:rsidP="000958DC">
      <w:pPr>
        <w:pStyle w:val="Body"/>
      </w:pPr>
      <w:r w:rsidRPr="000530B1">
        <w:t>Visit</w:t>
      </w:r>
      <w:r w:rsidR="005A76F5" w:rsidRPr="000530B1">
        <w:t xml:space="preserve"> the </w:t>
      </w:r>
      <w:hyperlink r:id="rId30" w:history="1">
        <w:r w:rsidR="005A76F5" w:rsidRPr="000530B1">
          <w:rPr>
            <w:rStyle w:val="Hyperlink"/>
          </w:rPr>
          <w:t>qilt.edu.au/surveys/student-experience-survey-(</w:t>
        </w:r>
        <w:proofErr w:type="spellStart"/>
        <w:r w:rsidR="005A76F5" w:rsidRPr="000530B1">
          <w:rPr>
            <w:rStyle w:val="Hyperlink"/>
          </w:rPr>
          <w:t>ses</w:t>
        </w:r>
        <w:proofErr w:type="spellEnd"/>
        <w:r w:rsidR="005A76F5" w:rsidRPr="000530B1">
          <w:rPr>
            <w:rStyle w:val="Hyperlink"/>
          </w:rPr>
          <w:t>)</w:t>
        </w:r>
      </w:hyperlink>
      <w:r w:rsidR="00F86EED" w:rsidRPr="000530B1">
        <w:t xml:space="preserve"> to access these resources.</w:t>
      </w:r>
    </w:p>
    <w:p w14:paraId="264765C1" w14:textId="12FDC8FE" w:rsidR="00AF3D76" w:rsidRPr="00FC2781" w:rsidRDefault="00AF3D76" w:rsidP="00FC2781">
      <w:pPr>
        <w:pStyle w:val="Heading2"/>
      </w:pPr>
      <w:bookmarkStart w:id="14" w:name="_Understanding_student_experience"/>
      <w:bookmarkStart w:id="15" w:name="_Toc239764784"/>
      <w:bookmarkEnd w:id="14"/>
      <w:r w:rsidRPr="00FC2781">
        <w:lastRenderedPageBreak/>
        <w:t>About this report</w:t>
      </w:r>
      <w:bookmarkEnd w:id="15"/>
    </w:p>
    <w:p w14:paraId="05FAB02F" w14:textId="4E127423" w:rsidR="003A1A59" w:rsidRPr="000530B1" w:rsidRDefault="00AF3D76" w:rsidP="00AF3D76">
      <w:pPr>
        <w:pStyle w:val="Body"/>
        <w:rPr>
          <w:noProof/>
        </w:rPr>
      </w:pPr>
      <w:r w:rsidRPr="000530B1">
        <w:rPr>
          <w:noProof/>
        </w:rPr>
        <w:t>The SES National Report provides an analysis of</w:t>
      </w:r>
      <w:r w:rsidR="003A1A59" w:rsidRPr="000530B1">
        <w:rPr>
          <w:noProof/>
        </w:rPr>
        <w:t xml:space="preserve"> the various </w:t>
      </w:r>
      <w:r w:rsidR="00741798" w:rsidRPr="000530B1">
        <w:rPr>
          <w:noProof/>
        </w:rPr>
        <w:t>aspects of the student experience</w:t>
      </w:r>
      <w:r w:rsidR="003A1A59" w:rsidRPr="000530B1">
        <w:rPr>
          <w:noProof/>
        </w:rPr>
        <w:t xml:space="preserve"> </w:t>
      </w:r>
      <w:r w:rsidR="008E7500" w:rsidRPr="000530B1">
        <w:rPr>
          <w:noProof/>
        </w:rPr>
        <w:t>measured</w:t>
      </w:r>
      <w:r w:rsidR="003A1A59" w:rsidRPr="000530B1">
        <w:rPr>
          <w:noProof/>
        </w:rPr>
        <w:t xml:space="preserve"> in the SES, </w:t>
      </w:r>
      <w:r w:rsidR="00717DF7" w:rsidRPr="000530B1">
        <w:rPr>
          <w:noProof/>
        </w:rPr>
        <w:t>disaggregated by groups of interest</w:t>
      </w:r>
      <w:r w:rsidR="000E5F71" w:rsidRPr="000530B1">
        <w:rPr>
          <w:noProof/>
        </w:rPr>
        <w:t>.</w:t>
      </w:r>
    </w:p>
    <w:p w14:paraId="5F1DDEBD" w14:textId="4887AFF1" w:rsidR="00B47A65" w:rsidRPr="000530B1" w:rsidRDefault="00D45210" w:rsidP="0006277A">
      <w:pPr>
        <w:pStyle w:val="Body"/>
        <w:rPr>
          <w:noProof/>
        </w:rPr>
      </w:pPr>
      <w:r w:rsidRPr="000530B1">
        <w:rPr>
          <w:noProof/>
        </w:rPr>
        <w:t xml:space="preserve">Section </w:t>
      </w:r>
      <w:r w:rsidR="00E91331" w:rsidRPr="000530B1">
        <w:rPr>
          <w:noProof/>
        </w:rPr>
        <w:t xml:space="preserve">2 presents an overview of </w:t>
      </w:r>
      <w:r w:rsidR="00AB67A5" w:rsidRPr="000530B1">
        <w:rPr>
          <w:noProof/>
        </w:rPr>
        <w:t xml:space="preserve">results </w:t>
      </w:r>
      <w:r w:rsidR="00C91DB2" w:rsidRPr="000530B1">
        <w:rPr>
          <w:noProof/>
        </w:rPr>
        <w:t>from</w:t>
      </w:r>
      <w:r w:rsidR="00AB67A5" w:rsidRPr="000530B1">
        <w:rPr>
          <w:noProof/>
        </w:rPr>
        <w:t xml:space="preserve"> 2017</w:t>
      </w:r>
      <w:r w:rsidR="00EE3B7F" w:rsidRPr="000530B1">
        <w:rPr>
          <w:noProof/>
        </w:rPr>
        <w:t xml:space="preserve"> up to 2025</w:t>
      </w:r>
      <w:r w:rsidR="00AB67A5" w:rsidRPr="000530B1">
        <w:rPr>
          <w:noProof/>
        </w:rPr>
        <w:t xml:space="preserve"> for the</w:t>
      </w:r>
      <w:r w:rsidR="002840C6" w:rsidRPr="000530B1">
        <w:rPr>
          <w:noProof/>
        </w:rPr>
        <w:t xml:space="preserve"> 5</w:t>
      </w:r>
      <w:r w:rsidR="00E91331" w:rsidRPr="000530B1">
        <w:rPr>
          <w:noProof/>
        </w:rPr>
        <w:t xml:space="preserve"> key focus areas of the SES</w:t>
      </w:r>
      <w:r w:rsidR="001E4135" w:rsidRPr="000530B1">
        <w:rPr>
          <w:noProof/>
        </w:rPr>
        <w:t xml:space="preserve"> </w:t>
      </w:r>
      <w:r w:rsidR="00BE3E03" w:rsidRPr="000530B1">
        <w:rPr>
          <w:noProof/>
        </w:rPr>
        <w:t xml:space="preserve">and </w:t>
      </w:r>
      <w:r w:rsidR="001E4135" w:rsidRPr="000530B1">
        <w:rPr>
          <w:noProof/>
        </w:rPr>
        <w:t>Overall Educational Experience</w:t>
      </w:r>
      <w:r w:rsidR="00D7796F" w:rsidRPr="000530B1">
        <w:rPr>
          <w:noProof/>
        </w:rPr>
        <w:t xml:space="preserve"> across undergraduate and postgraduate coursework students.</w:t>
      </w:r>
    </w:p>
    <w:p w14:paraId="3F551E29" w14:textId="6E904FD5" w:rsidR="006026E8" w:rsidRPr="000530B1" w:rsidRDefault="006026E8" w:rsidP="0006277A">
      <w:pPr>
        <w:pStyle w:val="Body"/>
        <w:rPr>
          <w:noProof/>
        </w:rPr>
      </w:pPr>
      <w:r w:rsidRPr="000530B1">
        <w:rPr>
          <w:noProof/>
        </w:rPr>
        <w:t xml:space="preserve">Section 3 explores additional </w:t>
      </w:r>
      <w:r w:rsidR="001848D7" w:rsidRPr="000530B1">
        <w:rPr>
          <w:noProof/>
        </w:rPr>
        <w:t>aspects</w:t>
      </w:r>
      <w:r w:rsidRPr="000530B1">
        <w:rPr>
          <w:noProof/>
        </w:rPr>
        <w:t xml:space="preserve"> of the student experience, including sense of belonging, </w:t>
      </w:r>
      <w:r w:rsidR="00FF3458" w:rsidRPr="000530B1">
        <w:rPr>
          <w:noProof/>
        </w:rPr>
        <w:t>likelihood of considering leaving an institution,</w:t>
      </w:r>
      <w:r w:rsidR="00307BC3" w:rsidRPr="000530B1">
        <w:rPr>
          <w:noProof/>
        </w:rPr>
        <w:t xml:space="preserve"> the extent to which circumstances negatively affect study and </w:t>
      </w:r>
      <w:r w:rsidR="00E34A47" w:rsidRPr="000530B1">
        <w:rPr>
          <w:noProof/>
        </w:rPr>
        <w:t>student freedom of</w:t>
      </w:r>
      <w:r w:rsidR="00477B2E">
        <w:rPr>
          <w:noProof/>
        </w:rPr>
        <w:t> </w:t>
      </w:r>
      <w:r w:rsidR="00E34A47" w:rsidRPr="000530B1">
        <w:rPr>
          <w:noProof/>
        </w:rPr>
        <w:t>expression.</w:t>
      </w:r>
    </w:p>
    <w:p w14:paraId="3B390C05" w14:textId="77777777" w:rsidR="00564696" w:rsidRDefault="00E34A47" w:rsidP="0006277A">
      <w:pPr>
        <w:pStyle w:val="Body"/>
        <w:rPr>
          <w:noProof/>
        </w:rPr>
        <w:sectPr w:rsidR="00564696" w:rsidSect="002D7A52">
          <w:footerReference w:type="default" r:id="rId31"/>
          <w:pgSz w:w="11906" w:h="16838" w:code="9"/>
          <w:pgMar w:top="1134" w:right="851" w:bottom="1134" w:left="851" w:header="567" w:footer="567" w:gutter="0"/>
          <w:pgNumType w:start="1"/>
          <w:cols w:space="708"/>
          <w:docGrid w:linePitch="360"/>
        </w:sectPr>
      </w:pPr>
      <w:r w:rsidRPr="000530B1">
        <w:rPr>
          <w:noProof/>
        </w:rPr>
        <w:t>Section</w:t>
      </w:r>
      <w:r w:rsidR="00DE2732" w:rsidRPr="000530B1">
        <w:rPr>
          <w:noProof/>
        </w:rPr>
        <w:t xml:space="preserve">s 4, 5 and 6 provide results for </w:t>
      </w:r>
      <w:r w:rsidR="00C26301" w:rsidRPr="000530B1">
        <w:rPr>
          <w:noProof/>
        </w:rPr>
        <w:t>students across the 5 key focus areas</w:t>
      </w:r>
      <w:r w:rsidR="00016A2D" w:rsidRPr="000530B1">
        <w:rPr>
          <w:noProof/>
        </w:rPr>
        <w:t xml:space="preserve"> and Overall Educational Experience</w:t>
      </w:r>
      <w:r w:rsidR="00C26301" w:rsidRPr="000530B1">
        <w:rPr>
          <w:noProof/>
        </w:rPr>
        <w:t xml:space="preserve"> disaggregated by demographic and equity groups, study areas and institutions.</w:t>
      </w:r>
    </w:p>
    <w:p w14:paraId="529B8EBF" w14:textId="5384C82D" w:rsidR="0008451F" w:rsidRPr="000530B1" w:rsidRDefault="0079521A" w:rsidP="00FC2781">
      <w:pPr>
        <w:pStyle w:val="Heading1numaccessible"/>
      </w:pPr>
      <w:bookmarkStart w:id="16" w:name="_Toc195645856"/>
      <w:bookmarkStart w:id="17" w:name="_Ref167916523"/>
      <w:bookmarkStart w:id="18" w:name="_Ref167916527"/>
      <w:bookmarkStart w:id="19" w:name="_Toc239764785"/>
      <w:r w:rsidRPr="000530B1">
        <w:lastRenderedPageBreak/>
        <w:t>The e</w:t>
      </w:r>
      <w:r w:rsidR="0008451F" w:rsidRPr="000530B1">
        <w:t>ducational experience</w:t>
      </w:r>
      <w:bookmarkEnd w:id="19"/>
    </w:p>
    <w:p w14:paraId="1FC8F264" w14:textId="2AB8FD56" w:rsidR="00F73403" w:rsidRPr="000530B1" w:rsidRDefault="00F73403" w:rsidP="00F73403">
      <w:pPr>
        <w:pStyle w:val="Body"/>
      </w:pPr>
      <w:r w:rsidRPr="000530B1">
        <w:t xml:space="preserve">The SES measures </w:t>
      </w:r>
      <w:r w:rsidR="00BA79A3" w:rsidRPr="000530B1">
        <w:t>5</w:t>
      </w:r>
      <w:r w:rsidRPr="000530B1">
        <w:t xml:space="preserve"> key focus areas of the student experience, each comprising related survey items that capture students’ perceptions of their study environment:</w:t>
      </w:r>
    </w:p>
    <w:p w14:paraId="252989CA" w14:textId="77777777" w:rsidR="00110639" w:rsidRPr="005D3CE8" w:rsidRDefault="00110639" w:rsidP="005D3CE8">
      <w:pPr>
        <w:pStyle w:val="Bullets-noindent"/>
      </w:pPr>
      <w:r w:rsidRPr="005D3CE8">
        <w:rPr>
          <w:b/>
          <w:bCs/>
        </w:rPr>
        <w:t>Teaching Quality and Engagement</w:t>
      </w:r>
      <w:r w:rsidRPr="005D3CE8">
        <w:t>: Evaluates the quality, relevance and organisation of teaching, as well as how effectively academic staff engage students and provide constructive feedback.</w:t>
      </w:r>
    </w:p>
    <w:p w14:paraId="7B07AB2F" w14:textId="77777777" w:rsidR="00F73403" w:rsidRPr="005D3CE8" w:rsidRDefault="00F73403" w:rsidP="005D3CE8">
      <w:pPr>
        <w:pStyle w:val="Bullets-noindent"/>
      </w:pPr>
      <w:r w:rsidRPr="005D3CE8">
        <w:rPr>
          <w:b/>
          <w:bCs/>
        </w:rPr>
        <w:t>Skills Development</w:t>
      </w:r>
      <w:r w:rsidRPr="005D3CE8">
        <w:t>: Assesses the extent to which students have developed a broad set of capabilities, including foundational, collaborative and adaptive skills.</w:t>
      </w:r>
    </w:p>
    <w:p w14:paraId="05C776BC" w14:textId="611D6A68" w:rsidR="00110639" w:rsidRPr="005D3CE8" w:rsidRDefault="00110639" w:rsidP="005D3CE8">
      <w:pPr>
        <w:pStyle w:val="Bullets-noindent"/>
      </w:pPr>
      <w:r w:rsidRPr="005D3CE8">
        <w:rPr>
          <w:b/>
          <w:bCs/>
        </w:rPr>
        <w:t>Learning Resources</w:t>
      </w:r>
      <w:r w:rsidRPr="005D3CE8">
        <w:t xml:space="preserve">: Evaluates </w:t>
      </w:r>
      <w:r w:rsidR="00793E3B" w:rsidRPr="005D3CE8">
        <w:t>l</w:t>
      </w:r>
      <w:r w:rsidRPr="005D3CE8">
        <w:t>earning resources such as teaching spaces, equipment, library services and learning materials.</w:t>
      </w:r>
    </w:p>
    <w:p w14:paraId="289608B6" w14:textId="4E3E8666" w:rsidR="00110639" w:rsidRPr="005D3CE8" w:rsidRDefault="00F73403" w:rsidP="005D3CE8">
      <w:pPr>
        <w:pStyle w:val="Bullets-noindent"/>
      </w:pPr>
      <w:r w:rsidRPr="005D3CE8">
        <w:rPr>
          <w:b/>
          <w:bCs/>
        </w:rPr>
        <w:t>Student Support and Services</w:t>
      </w:r>
      <w:r w:rsidRPr="005D3CE8">
        <w:t xml:space="preserve">: Measures the </w:t>
      </w:r>
      <w:r w:rsidR="00A409F2" w:rsidRPr="005D3CE8">
        <w:t>helpfulness</w:t>
      </w:r>
      <w:r w:rsidRPr="005D3CE8">
        <w:t xml:space="preserve"> of institutional supports and services, including academic, administrative, wellbeing, financial and career development services.</w:t>
      </w:r>
    </w:p>
    <w:p w14:paraId="17749B7C" w14:textId="7B81408B" w:rsidR="00F73403" w:rsidRPr="005D3CE8" w:rsidRDefault="00110639" w:rsidP="005D3CE8">
      <w:pPr>
        <w:pStyle w:val="Bullets-noindent"/>
      </w:pPr>
      <w:r w:rsidRPr="005D3CE8">
        <w:rPr>
          <w:b/>
          <w:bCs/>
        </w:rPr>
        <w:t>Peer Engagement</w:t>
      </w:r>
      <w:r w:rsidRPr="005D3CE8">
        <w:t>: Examines how frequently students interact and collaborate with their peers, both within and outside formal study settings.</w:t>
      </w:r>
    </w:p>
    <w:p w14:paraId="41E84D4E" w14:textId="0E26ADC3" w:rsidR="00F73403" w:rsidRPr="000530B1" w:rsidRDefault="00F73403" w:rsidP="00F73403">
      <w:pPr>
        <w:pStyle w:val="Body"/>
      </w:pPr>
      <w:r w:rsidRPr="000530B1">
        <w:t xml:space="preserve">The SES also includes a stand-alone measure of </w:t>
      </w:r>
      <w:r w:rsidRPr="000530B1">
        <w:rPr>
          <w:b/>
          <w:bCs/>
        </w:rPr>
        <w:t>Overall Educational Experience</w:t>
      </w:r>
      <w:r w:rsidRPr="000530B1">
        <w:t xml:space="preserve">, which provides a </w:t>
      </w:r>
      <w:r w:rsidR="001A0C06" w:rsidRPr="000530B1">
        <w:t xml:space="preserve">view of </w:t>
      </w:r>
      <w:r w:rsidRPr="000530B1">
        <w:t xml:space="preserve">students’ </w:t>
      </w:r>
      <w:r w:rsidR="00FE3D1A" w:rsidRPr="000530B1">
        <w:t xml:space="preserve">perceptions of the </w:t>
      </w:r>
      <w:r w:rsidR="00362B10" w:rsidRPr="000530B1">
        <w:t>overall</w:t>
      </w:r>
      <w:r w:rsidR="00FE3D1A" w:rsidRPr="000530B1">
        <w:t xml:space="preserve"> quality of their</w:t>
      </w:r>
      <w:r w:rsidRPr="000530B1">
        <w:t xml:space="preserve"> studies. Although reported separately, Overall Educational Experience is closely linked to students’ perceptions of Teaching Quality and Engagement, Skills Development and broader elements of their learning environment, such as sense of belonging.</w:t>
      </w:r>
    </w:p>
    <w:p w14:paraId="3E735F37" w14:textId="11A3FA4A" w:rsidR="00E168B7" w:rsidRPr="000530B1" w:rsidRDefault="00F73403" w:rsidP="00F73403">
      <w:pPr>
        <w:pStyle w:val="Body"/>
      </w:pPr>
      <w:r w:rsidRPr="000530B1">
        <w:t xml:space="preserve">Responses to items within each focus area are classified as positive or negative, and </w:t>
      </w:r>
      <w:r w:rsidR="00B13CEA" w:rsidRPr="000530B1">
        <w:t>rating</w:t>
      </w:r>
      <w:r w:rsidRPr="000530B1">
        <w:t>s represent the proportion of students who responded positively to the items within that focus area.</w:t>
      </w:r>
      <w:r w:rsidR="00362B10" w:rsidRPr="000530B1">
        <w:t xml:space="preserve"> Further information on the construction </w:t>
      </w:r>
      <w:r w:rsidR="008559F1" w:rsidRPr="000530B1">
        <w:t xml:space="preserve">of the focus area </w:t>
      </w:r>
      <w:r w:rsidR="00B13CEA" w:rsidRPr="000530B1">
        <w:t>rating</w:t>
      </w:r>
      <w:r w:rsidR="008559F1" w:rsidRPr="000530B1">
        <w:t xml:space="preserve">s is available on the </w:t>
      </w:r>
      <w:hyperlink r:id="rId32" w:history="1">
        <w:r w:rsidR="008559F1" w:rsidRPr="000530B1">
          <w:rPr>
            <w:rStyle w:val="Hyperlink"/>
          </w:rPr>
          <w:t>QILT website</w:t>
        </w:r>
      </w:hyperlink>
      <w:r w:rsidR="008559F1" w:rsidRPr="000530B1">
        <w:t>.</w:t>
      </w:r>
    </w:p>
    <w:p w14:paraId="202B671C" w14:textId="77777777" w:rsidR="002D340B" w:rsidRPr="00FC2781" w:rsidRDefault="002D340B" w:rsidP="00FC2781">
      <w:pPr>
        <w:pStyle w:val="Heading2"/>
      </w:pPr>
      <w:bookmarkStart w:id="20" w:name="_Toc195645855"/>
      <w:bookmarkStart w:id="21" w:name="_Toc239764786"/>
      <w:r w:rsidRPr="00FC2781">
        <w:t>Context of changes in student experience since 2019</w:t>
      </w:r>
      <w:bookmarkEnd w:id="20"/>
      <w:bookmarkEnd w:id="21"/>
    </w:p>
    <w:p w14:paraId="3C1F542B" w14:textId="0580BF39" w:rsidR="002D340B" w:rsidRPr="000530B1" w:rsidRDefault="002D340B" w:rsidP="002D340B">
      <w:pPr>
        <w:pStyle w:val="Body"/>
      </w:pPr>
      <w:r w:rsidRPr="000530B1">
        <w:t>The higher education sector faced significant challenges due to the COVID-19 pandemic, leading to a rapid shift to online learning. In the post-pandemic period, many institutions have retained hybrid delivery modes, combining online and on-campus classes. At the same time, the expansion of flexible learning options has increased the complexity of how students engage with their courses, making it more difficult to capture individual participation patterns through a single administrative indicator.</w:t>
      </w:r>
    </w:p>
    <w:p w14:paraId="432173BC" w14:textId="77777777" w:rsidR="00564696" w:rsidRDefault="00D11EBF" w:rsidP="00564696">
      <w:pPr>
        <w:pStyle w:val="Body"/>
      </w:pPr>
      <w:r w:rsidRPr="000530B1">
        <w:rPr>
          <w:b/>
          <w:bCs/>
        </w:rPr>
        <w:fldChar w:fldCharType="begin"/>
      </w:r>
      <w:r w:rsidRPr="000530B1">
        <w:rPr>
          <w:b/>
          <w:bCs/>
        </w:rPr>
        <w:instrText xml:space="preserve"> REF _Ref220052913 \h  \* MERGEFORMAT </w:instrText>
      </w:r>
      <w:r w:rsidRPr="000530B1">
        <w:rPr>
          <w:b/>
          <w:bCs/>
        </w:rPr>
      </w:r>
      <w:r w:rsidRPr="000530B1">
        <w:rPr>
          <w:b/>
          <w:bCs/>
        </w:rPr>
        <w:fldChar w:fldCharType="separate"/>
      </w:r>
      <w:r w:rsidR="001D28FB" w:rsidRPr="000530B1">
        <w:rPr>
          <w:b/>
          <w:bCs/>
        </w:rPr>
        <w:t xml:space="preserve">Figure </w:t>
      </w:r>
      <w:r w:rsidR="001D28FB" w:rsidRPr="000530B1">
        <w:rPr>
          <w:b/>
          <w:bCs/>
          <w:noProof/>
        </w:rPr>
        <w:t>1</w:t>
      </w:r>
      <w:r w:rsidRPr="000530B1">
        <w:rPr>
          <w:b/>
          <w:bCs/>
        </w:rPr>
        <w:fldChar w:fldCharType="end"/>
      </w:r>
      <w:r w:rsidRPr="000530B1">
        <w:rPr>
          <w:b/>
          <w:bCs/>
        </w:rPr>
        <w:t xml:space="preserve"> </w:t>
      </w:r>
      <w:r w:rsidR="00E44749" w:rsidRPr="000530B1">
        <w:t xml:space="preserve">and </w:t>
      </w:r>
      <w:r w:rsidR="00E44749" w:rsidRPr="000530B1">
        <w:rPr>
          <w:b/>
          <w:bCs/>
        </w:rPr>
        <w:fldChar w:fldCharType="begin"/>
      </w:r>
      <w:r w:rsidR="00E44749" w:rsidRPr="000530B1">
        <w:rPr>
          <w:b/>
          <w:bCs/>
        </w:rPr>
        <w:instrText xml:space="preserve"> REF _Ref217251170 \h  \* MERGEFORMAT </w:instrText>
      </w:r>
      <w:r w:rsidR="00E44749" w:rsidRPr="000530B1">
        <w:rPr>
          <w:b/>
          <w:bCs/>
        </w:rPr>
      </w:r>
      <w:r w:rsidR="00E44749" w:rsidRPr="000530B1">
        <w:rPr>
          <w:b/>
          <w:bCs/>
        </w:rPr>
        <w:fldChar w:fldCharType="separate"/>
      </w:r>
      <w:r w:rsidR="001D28FB" w:rsidRPr="000530B1">
        <w:rPr>
          <w:b/>
          <w:bCs/>
        </w:rPr>
        <w:t xml:space="preserve">Figure </w:t>
      </w:r>
      <w:r w:rsidR="001D28FB" w:rsidRPr="000530B1">
        <w:rPr>
          <w:b/>
          <w:bCs/>
          <w:noProof/>
        </w:rPr>
        <w:t>2</w:t>
      </w:r>
      <w:r w:rsidR="00E44749" w:rsidRPr="000530B1">
        <w:rPr>
          <w:b/>
          <w:bCs/>
        </w:rPr>
        <w:fldChar w:fldCharType="end"/>
      </w:r>
      <w:r w:rsidR="00E44749" w:rsidRPr="000530B1">
        <w:rPr>
          <w:b/>
          <w:bCs/>
        </w:rPr>
        <w:t xml:space="preserve"> </w:t>
      </w:r>
      <w:r w:rsidR="00E44749" w:rsidRPr="000530B1">
        <w:t>show that while undergraduate student ratings remain below or on par with student ratings seen prior to the pandemic (2017</w:t>
      </w:r>
      <w:r w:rsidR="00E44749" w:rsidRPr="000530B1">
        <w:rPr>
          <w:rFonts w:cs="Arial"/>
        </w:rPr>
        <w:t>–</w:t>
      </w:r>
      <w:r w:rsidR="00E44749" w:rsidRPr="000530B1">
        <w:t xml:space="preserve">19), postgraduate coursework ratings </w:t>
      </w:r>
      <w:r w:rsidR="006F0B93" w:rsidRPr="000530B1">
        <w:t xml:space="preserve">have </w:t>
      </w:r>
      <w:r w:rsidR="00E44749" w:rsidRPr="000530B1">
        <w:t xml:space="preserve">not only recovered but </w:t>
      </w:r>
      <w:r w:rsidR="006F0B93" w:rsidRPr="000530B1">
        <w:t>have been higher across all aspects since 2023</w:t>
      </w:r>
      <w:r w:rsidR="00E44749" w:rsidRPr="000530B1">
        <w:t xml:space="preserve"> than they were pre-2020. These findings </w:t>
      </w:r>
      <w:r w:rsidR="002B0AE9" w:rsidRPr="000530B1">
        <w:t>are influenced</w:t>
      </w:r>
      <w:r w:rsidR="00E44749" w:rsidRPr="000530B1">
        <w:t xml:space="preserve"> </w:t>
      </w:r>
      <w:r w:rsidR="00B55A00" w:rsidRPr="000530B1">
        <w:t xml:space="preserve">by </w:t>
      </w:r>
      <w:r w:rsidR="00E44749" w:rsidRPr="000530B1">
        <w:t xml:space="preserve">the relative proportions of international and domestic students </w:t>
      </w:r>
      <w:r w:rsidR="00985F01" w:rsidRPr="000530B1">
        <w:t>at each</w:t>
      </w:r>
      <w:r w:rsidR="00E44749" w:rsidRPr="000530B1">
        <w:t xml:space="preserve"> course level</w:t>
      </w:r>
      <w:r w:rsidR="002B0AE9" w:rsidRPr="000530B1">
        <w:t>, and differences in how these cohorts engag</w:t>
      </w:r>
      <w:r w:rsidR="008B1E06" w:rsidRPr="000530B1">
        <w:t xml:space="preserve">e </w:t>
      </w:r>
      <w:r w:rsidR="002B0AE9" w:rsidRPr="000530B1">
        <w:t>in their studies</w:t>
      </w:r>
      <w:r w:rsidR="005D792D" w:rsidRPr="000530B1">
        <w:t>.</w:t>
      </w:r>
    </w:p>
    <w:p w14:paraId="1CA231CA" w14:textId="610CCD00" w:rsidR="008A4BA1" w:rsidRPr="000530B1" w:rsidRDefault="008A4BA1" w:rsidP="00564696">
      <w:pPr>
        <w:pStyle w:val="Body"/>
        <w:sectPr w:rsidR="008A4BA1" w:rsidRPr="000530B1" w:rsidSect="00764E61">
          <w:pgSz w:w="11906" w:h="16838" w:code="9"/>
          <w:pgMar w:top="1134" w:right="851" w:bottom="1134" w:left="851" w:header="567" w:footer="567" w:gutter="0"/>
          <w:cols w:space="708"/>
          <w:docGrid w:linePitch="360"/>
        </w:sectPr>
      </w:pPr>
      <w:r w:rsidRPr="000530B1">
        <w:rPr>
          <w:noProof/>
        </w:rPr>
        <w:t xml:space="preserve"> </w:t>
      </w:r>
    </w:p>
    <w:p w14:paraId="50D3578B" w14:textId="38B3D008" w:rsidR="0040388C" w:rsidRPr="000530B1" w:rsidRDefault="0040388C" w:rsidP="00194EE0">
      <w:pPr>
        <w:pStyle w:val="Captionaccessible"/>
      </w:pPr>
      <w:bookmarkStart w:id="22" w:name="_Ref220052913"/>
      <w:bookmarkStart w:id="23" w:name="_Toc239764866"/>
      <w:r w:rsidRPr="000530B1">
        <w:lastRenderedPageBreak/>
        <w:t xml:space="preserve">Figure </w:t>
      </w:r>
      <w:r w:rsidR="00955601">
        <w:fldChar w:fldCharType="begin"/>
      </w:r>
      <w:r w:rsidR="00955601">
        <w:instrText xml:space="preserve"> SEQ Figure \* ARABIC </w:instrText>
      </w:r>
      <w:r w:rsidR="00955601">
        <w:fldChar w:fldCharType="separate"/>
      </w:r>
      <w:r w:rsidR="00955601" w:rsidRPr="000530B1">
        <w:rPr>
          <w:noProof/>
        </w:rPr>
        <w:t>1</w:t>
      </w:r>
      <w:r w:rsidR="00955601">
        <w:rPr>
          <w:noProof/>
        </w:rPr>
        <w:fldChar w:fldCharType="end"/>
      </w:r>
      <w:bookmarkEnd w:id="22"/>
      <w:r w:rsidR="009D4528" w:rsidRPr="000530B1">
        <w:tab/>
      </w:r>
      <w:r w:rsidR="005D741F" w:rsidRPr="000530B1">
        <w:t>U</w:t>
      </w:r>
      <w:r w:rsidRPr="000530B1">
        <w:t>ndergraduate educational experience, 2017–25 (% positive rating)</w:t>
      </w:r>
      <w:bookmarkEnd w:id="23"/>
    </w:p>
    <w:p w14:paraId="7261C6DC" w14:textId="65A159EF" w:rsidR="00B241CA" w:rsidRDefault="005536F9" w:rsidP="005536F9">
      <w:pPr>
        <w:pStyle w:val="Body"/>
        <w:spacing w:before="60" w:after="60"/>
      </w:pPr>
      <w:r>
        <w:rPr>
          <w:noProof/>
        </w:rPr>
        <w:drawing>
          <wp:inline distT="0" distB="0" distL="0" distR="0" wp14:anchorId="3368E5C7" wp14:editId="212B8E31">
            <wp:extent cx="9252000" cy="5656328"/>
            <wp:effectExtent l="0" t="0" r="6350" b="1905"/>
            <wp:docPr id="11572740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52000" cy="5656328"/>
                    </a:xfrm>
                    <a:prstGeom prst="rect">
                      <a:avLst/>
                    </a:prstGeom>
                    <a:noFill/>
                  </pic:spPr>
                </pic:pic>
              </a:graphicData>
            </a:graphic>
          </wp:inline>
        </w:drawing>
      </w:r>
    </w:p>
    <w:p w14:paraId="33E5D724" w14:textId="12F92C67" w:rsidR="00686A4E" w:rsidRPr="000530B1" w:rsidRDefault="00B6176A" w:rsidP="00B241CA">
      <w:pPr>
        <w:pStyle w:val="BaseFigureNotes"/>
        <w:spacing w:before="60" w:after="60"/>
        <w:sectPr w:rsidR="00686A4E" w:rsidRPr="000530B1" w:rsidSect="002D7A52">
          <w:pgSz w:w="16838" w:h="11906" w:orient="landscape" w:code="9"/>
          <w:pgMar w:top="851" w:right="1134" w:bottom="851" w:left="1134" w:header="567" w:footer="567" w:gutter="0"/>
          <w:cols w:space="708"/>
          <w:docGrid w:linePitch="360"/>
        </w:sectPr>
      </w:pPr>
      <w:r w:rsidRPr="00C40B5A">
        <w:rPr>
          <w:b/>
          <w:bCs/>
        </w:rPr>
        <w:t>Note</w:t>
      </w:r>
      <w:r w:rsidRPr="00B6176A">
        <w:t xml:space="preserve"> that t</w:t>
      </w:r>
      <w:r w:rsidRPr="000530B1">
        <w:t xml:space="preserve">he dotted lines </w:t>
      </w:r>
      <w:r w:rsidR="00686A4E" w:rsidRPr="00B241CA">
        <w:rPr>
          <w:lang w:val="en-GB"/>
        </w:rPr>
        <w:t>between 2022 and 2023 indicate the change in underlying items of the Peer Engagement and Student Support and Services focus areas. When comparing year-on-year changes, it is recommended that modifications to underlying questionnaire items be taken into consideration when interpreting results. For more information about these changes, refer to the 2023 SES National Report</w:t>
      </w:r>
      <w:r w:rsidR="00B241CA">
        <w:rPr>
          <w:lang w:val="en-GB"/>
        </w:rPr>
        <w:t>.</w:t>
      </w:r>
    </w:p>
    <w:p w14:paraId="137B3FFF" w14:textId="00FB4D03" w:rsidR="00686A4E" w:rsidRPr="000530B1" w:rsidRDefault="00686A4E" w:rsidP="00194EE0">
      <w:pPr>
        <w:pStyle w:val="Captionaccessible"/>
      </w:pPr>
      <w:bookmarkStart w:id="24" w:name="_Ref217251170"/>
      <w:bookmarkStart w:id="25" w:name="_Toc217223150"/>
      <w:bookmarkStart w:id="26" w:name="_Toc239764867"/>
      <w:r w:rsidRPr="000530B1">
        <w:lastRenderedPageBreak/>
        <w:t xml:space="preserve">Figure </w:t>
      </w:r>
      <w:r w:rsidR="00955601">
        <w:fldChar w:fldCharType="begin"/>
      </w:r>
      <w:r w:rsidR="00955601">
        <w:instrText xml:space="preserve"> SEQ Figure \* ARABIC </w:instrText>
      </w:r>
      <w:r w:rsidR="00955601">
        <w:fldChar w:fldCharType="separate"/>
      </w:r>
      <w:r w:rsidR="00955601" w:rsidRPr="000530B1">
        <w:rPr>
          <w:noProof/>
        </w:rPr>
        <w:t>2</w:t>
      </w:r>
      <w:r w:rsidR="00955601">
        <w:rPr>
          <w:noProof/>
        </w:rPr>
        <w:fldChar w:fldCharType="end"/>
      </w:r>
      <w:bookmarkEnd w:id="24"/>
      <w:r w:rsidR="009D4528" w:rsidRPr="000530B1">
        <w:tab/>
      </w:r>
      <w:r w:rsidR="005D741F" w:rsidRPr="000530B1">
        <w:t>P</w:t>
      </w:r>
      <w:r w:rsidRPr="000530B1">
        <w:t>ostgraduate coursework educational experience, 2017–25 (% positive rating)</w:t>
      </w:r>
      <w:bookmarkEnd w:id="25"/>
      <w:bookmarkEnd w:id="26"/>
    </w:p>
    <w:p w14:paraId="3DD41DDD" w14:textId="2CA2AB60" w:rsidR="00414C54" w:rsidRDefault="005536F9" w:rsidP="005536F9">
      <w:pPr>
        <w:pStyle w:val="BaseFigureNotes"/>
        <w:spacing w:before="60" w:after="60"/>
      </w:pPr>
      <w:r>
        <w:rPr>
          <w:noProof/>
        </w:rPr>
        <w:drawing>
          <wp:inline distT="0" distB="0" distL="0" distR="0" wp14:anchorId="6D055EFB" wp14:editId="74168B81">
            <wp:extent cx="9252000" cy="5692513"/>
            <wp:effectExtent l="0" t="0" r="6350" b="3810"/>
            <wp:docPr id="2822594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252000" cy="5692513"/>
                    </a:xfrm>
                    <a:prstGeom prst="rect">
                      <a:avLst/>
                    </a:prstGeom>
                    <a:noFill/>
                  </pic:spPr>
                </pic:pic>
              </a:graphicData>
            </a:graphic>
          </wp:inline>
        </w:drawing>
      </w:r>
    </w:p>
    <w:p w14:paraId="7A52CAC9" w14:textId="72B2ED78" w:rsidR="00686A4E" w:rsidRPr="000530B1" w:rsidRDefault="00686A4E" w:rsidP="00F54D4E">
      <w:pPr>
        <w:pStyle w:val="BaseFigureNotes"/>
        <w:spacing w:before="60"/>
        <w:sectPr w:rsidR="00686A4E" w:rsidRPr="000530B1" w:rsidSect="002D7A52">
          <w:pgSz w:w="16838" w:h="11906" w:orient="landscape" w:code="9"/>
          <w:pgMar w:top="851" w:right="1134" w:bottom="851" w:left="1134" w:header="567" w:footer="567" w:gutter="0"/>
          <w:cols w:space="708"/>
          <w:docGrid w:linePitch="360"/>
        </w:sectPr>
      </w:pPr>
      <w:r w:rsidRPr="00C40B5A">
        <w:rPr>
          <w:b/>
          <w:bCs/>
        </w:rPr>
        <w:t>Note</w:t>
      </w:r>
      <w:r w:rsidR="00B6176A" w:rsidRPr="00B6176A">
        <w:t xml:space="preserve"> that t</w:t>
      </w:r>
      <w:r w:rsidRPr="000530B1">
        <w:t xml:space="preserve">he dotted lines between 2022 and 2023 indicate the change in underlying items of the Peer Engagement and Student Support and Services focus areas. </w:t>
      </w:r>
      <w:r w:rsidRPr="000530B1">
        <w:rPr>
          <w:rStyle w:val="ui-provider"/>
        </w:rPr>
        <w:t>When comparing year-on-year changes, it is recommended that modifications to underlying questionnaire items be taken into consideration when interpreting results.</w:t>
      </w:r>
      <w:r w:rsidRPr="000530B1">
        <w:t xml:space="preserve"> For more information about these changes, refer to the 2023 SES National Report.</w:t>
      </w:r>
    </w:p>
    <w:p w14:paraId="6B978DC5" w14:textId="6A929F33" w:rsidR="008867AB" w:rsidRPr="000530B1" w:rsidRDefault="008867AB" w:rsidP="00893545">
      <w:pPr>
        <w:pStyle w:val="Heading3numaccessible"/>
      </w:pPr>
      <w:bookmarkStart w:id="27" w:name="_Ref224124107"/>
      <w:bookmarkStart w:id="28" w:name="_Toc239764787"/>
      <w:r w:rsidRPr="000530B1">
        <w:lastRenderedPageBreak/>
        <w:t>Citizenship status and mode of study</w:t>
      </w:r>
      <w:bookmarkEnd w:id="27"/>
      <w:bookmarkEnd w:id="28"/>
    </w:p>
    <w:p w14:paraId="3026B4A8" w14:textId="3D34FF8F" w:rsidR="008867AB" w:rsidRPr="000530B1" w:rsidRDefault="008867AB" w:rsidP="008867AB">
      <w:pPr>
        <w:pStyle w:val="Body"/>
      </w:pPr>
      <w:r w:rsidRPr="000530B1">
        <w:t>International student ratings at both the undergraduate and postgraduate coursework levels have been higher since 2023 than they were prior to the pandemic. Conversely, domestic student ratings h</w:t>
      </w:r>
      <w:r w:rsidR="002B0AE9" w:rsidRPr="000530B1">
        <w:t>ad</w:t>
      </w:r>
      <w:r w:rsidRPr="000530B1">
        <w:t xml:space="preserve"> </w:t>
      </w:r>
      <w:r w:rsidR="002B0AE9" w:rsidRPr="000530B1">
        <w:t>been</w:t>
      </w:r>
      <w:r w:rsidRPr="000530B1">
        <w:t xml:space="preserve"> either below or close to (but not exceeded) ratings seen prior to the pandemic</w:t>
      </w:r>
      <w:r w:rsidR="002B0AE9" w:rsidRPr="000530B1">
        <w:t>.</w:t>
      </w:r>
      <w:r w:rsidRPr="000530B1">
        <w:t xml:space="preserve"> </w:t>
      </w:r>
      <w:r w:rsidR="004048FA" w:rsidRPr="000530B1">
        <w:t>Note i</w:t>
      </w:r>
      <w:r w:rsidR="002B0AE9" w:rsidRPr="000530B1">
        <w:t xml:space="preserve">n 2025, </w:t>
      </w:r>
      <w:r w:rsidRPr="000530B1">
        <w:t>domestic postgraduate coursework Skills Development, Teaching Quality and Engagement, and Overall Educational Experience ratings did</w:t>
      </w:r>
      <w:r w:rsidR="002B0AE9" w:rsidRPr="000530B1">
        <w:t xml:space="preserve"> fully recover or surpass pre-2020 lev</w:t>
      </w:r>
      <w:r w:rsidR="004048FA" w:rsidRPr="000530B1">
        <w:t>e</w:t>
      </w:r>
      <w:r w:rsidR="002B0AE9" w:rsidRPr="000530B1">
        <w:t>l</w:t>
      </w:r>
      <w:r w:rsidR="004048FA" w:rsidRPr="000530B1">
        <w:t>s</w:t>
      </w:r>
      <w:r w:rsidRPr="000530B1">
        <w:t xml:space="preserve">. </w:t>
      </w:r>
      <w:r w:rsidR="004F18BF" w:rsidRPr="000530B1">
        <w:t xml:space="preserve">Refer to the </w:t>
      </w:r>
      <w:r w:rsidR="004F18BF" w:rsidRPr="000530B1">
        <w:rPr>
          <w:b/>
          <w:bCs/>
        </w:rPr>
        <w:t>2025 SES International Report</w:t>
      </w:r>
      <w:r w:rsidR="004F18BF" w:rsidRPr="000530B1">
        <w:t xml:space="preserve"> </w:t>
      </w:r>
      <w:r w:rsidR="00BE31EE" w:rsidRPr="000530B1">
        <w:t>to view these results</w:t>
      </w:r>
      <w:r w:rsidR="004F18BF" w:rsidRPr="000530B1">
        <w:t>.</w:t>
      </w:r>
    </w:p>
    <w:p w14:paraId="57ED4EB2" w14:textId="74CE1859" w:rsidR="008867AB" w:rsidRDefault="008867AB" w:rsidP="008867AB">
      <w:pPr>
        <w:pStyle w:val="Body"/>
        <w:rPr>
          <w:rFonts w:cs="Arial"/>
        </w:rPr>
      </w:pPr>
      <w:r w:rsidRPr="000530B1">
        <w:rPr>
          <w:rFonts w:cs="Arial"/>
        </w:rPr>
        <w:t>International students represent a much larger proportion of the postgraduate coursework population than they do of the undergraduate population, which explains the greater improvement in aggregated postgraduate coursework results compared to undergraduate results</w:t>
      </w:r>
      <w:r w:rsidR="004048FA" w:rsidRPr="000530B1">
        <w:rPr>
          <w:rFonts w:cs="Arial"/>
        </w:rPr>
        <w:t xml:space="preserve"> seen in </w:t>
      </w:r>
      <w:r w:rsidR="004048FA" w:rsidRPr="000530B1">
        <w:rPr>
          <w:rFonts w:cs="Arial"/>
          <w:b/>
          <w:bCs/>
        </w:rPr>
        <w:fldChar w:fldCharType="begin"/>
      </w:r>
      <w:r w:rsidR="004048FA" w:rsidRPr="000530B1">
        <w:rPr>
          <w:rFonts w:cs="Arial"/>
          <w:b/>
          <w:bCs/>
        </w:rPr>
        <w:instrText xml:space="preserve"> REF _Ref220052913 \h  \* MERGEFORMAT </w:instrText>
      </w:r>
      <w:r w:rsidR="004048FA" w:rsidRPr="000530B1">
        <w:rPr>
          <w:rFonts w:cs="Arial"/>
          <w:b/>
          <w:bCs/>
        </w:rPr>
      </w:r>
      <w:r w:rsidR="004048FA" w:rsidRPr="000530B1">
        <w:rPr>
          <w:rFonts w:cs="Arial"/>
          <w:b/>
          <w:bCs/>
        </w:rPr>
        <w:fldChar w:fldCharType="separate"/>
      </w:r>
      <w:r w:rsidR="00F60603" w:rsidRPr="000530B1">
        <w:rPr>
          <w:rFonts w:cs="Arial"/>
          <w:b/>
          <w:bCs/>
        </w:rPr>
        <w:t xml:space="preserve">Figure </w:t>
      </w:r>
      <w:r w:rsidR="00F60603" w:rsidRPr="000530B1">
        <w:rPr>
          <w:rFonts w:cs="Arial"/>
          <w:b/>
          <w:bCs/>
          <w:noProof/>
        </w:rPr>
        <w:t>1</w:t>
      </w:r>
      <w:r w:rsidR="004048FA" w:rsidRPr="000530B1">
        <w:rPr>
          <w:rFonts w:cs="Arial"/>
          <w:b/>
          <w:bCs/>
        </w:rPr>
        <w:fldChar w:fldCharType="end"/>
      </w:r>
      <w:r w:rsidR="004048FA" w:rsidRPr="000530B1">
        <w:rPr>
          <w:rFonts w:cs="Arial"/>
        </w:rPr>
        <w:t xml:space="preserve"> and </w:t>
      </w:r>
      <w:r w:rsidR="004048FA" w:rsidRPr="000530B1">
        <w:rPr>
          <w:rFonts w:cs="Arial"/>
          <w:b/>
          <w:bCs/>
        </w:rPr>
        <w:fldChar w:fldCharType="begin"/>
      </w:r>
      <w:r w:rsidR="004048FA" w:rsidRPr="000530B1">
        <w:rPr>
          <w:rFonts w:cs="Arial"/>
          <w:b/>
          <w:bCs/>
        </w:rPr>
        <w:instrText xml:space="preserve"> REF _Ref217251170 \h  \* MERGEFORMAT </w:instrText>
      </w:r>
      <w:r w:rsidR="004048FA" w:rsidRPr="000530B1">
        <w:rPr>
          <w:rFonts w:cs="Arial"/>
          <w:b/>
          <w:bCs/>
        </w:rPr>
      </w:r>
      <w:r w:rsidR="004048FA" w:rsidRPr="000530B1">
        <w:rPr>
          <w:rFonts w:cs="Arial"/>
          <w:b/>
          <w:bCs/>
        </w:rPr>
        <w:fldChar w:fldCharType="separate"/>
      </w:r>
      <w:r w:rsidR="00F60603" w:rsidRPr="000530B1">
        <w:rPr>
          <w:rFonts w:cs="Arial"/>
          <w:b/>
          <w:bCs/>
        </w:rPr>
        <w:t xml:space="preserve">Figure </w:t>
      </w:r>
      <w:r w:rsidR="00F60603" w:rsidRPr="000530B1">
        <w:rPr>
          <w:rFonts w:cs="Arial"/>
          <w:b/>
          <w:bCs/>
          <w:noProof/>
        </w:rPr>
        <w:t>2</w:t>
      </w:r>
      <w:r w:rsidR="004048FA" w:rsidRPr="000530B1">
        <w:rPr>
          <w:rFonts w:cs="Arial"/>
          <w:b/>
          <w:bCs/>
        </w:rPr>
        <w:fldChar w:fldCharType="end"/>
      </w:r>
      <w:r w:rsidRPr="000530B1">
        <w:rPr>
          <w:rFonts w:cs="Arial"/>
        </w:rPr>
        <w:t>.</w:t>
      </w:r>
    </w:p>
    <w:p w14:paraId="0D9CD963" w14:textId="361B177E" w:rsidR="00440631" w:rsidRDefault="00E52230" w:rsidP="00440631">
      <w:pPr>
        <w:pStyle w:val="Body"/>
        <w:rPr>
          <w:rFonts w:eastAsia="Calibri"/>
          <w:color w:val="000000" w:themeColor="text1"/>
          <w:lang w:val="en-GB" w:eastAsia="en-GB"/>
        </w:rPr>
      </w:pPr>
      <w:r w:rsidRPr="00E52230">
        <w:rPr>
          <w:rFonts w:eastAsia="Calibri"/>
          <w:noProof/>
          <w:color w:val="000000" w:themeColor="text1"/>
          <w:lang w:val="en-GB" w:eastAsia="en-GB"/>
        </w:rPr>
        <w:drawing>
          <wp:inline distT="0" distB="0" distL="0" distR="0" wp14:anchorId="48610CDF" wp14:editId="5EB0BAC0">
            <wp:extent cx="6408000" cy="3041979"/>
            <wp:effectExtent l="0" t="0" r="0" b="6350"/>
            <wp:docPr id="1283543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43856" name=""/>
                    <pic:cNvPicPr/>
                  </pic:nvPicPr>
                  <pic:blipFill>
                    <a:blip r:embed="rId35"/>
                    <a:stretch>
                      <a:fillRect/>
                    </a:stretch>
                  </pic:blipFill>
                  <pic:spPr>
                    <a:xfrm>
                      <a:off x="0" y="0"/>
                      <a:ext cx="6408000" cy="3041979"/>
                    </a:xfrm>
                    <a:prstGeom prst="rect">
                      <a:avLst/>
                    </a:prstGeom>
                  </pic:spPr>
                </pic:pic>
              </a:graphicData>
            </a:graphic>
          </wp:inline>
        </w:drawing>
      </w:r>
    </w:p>
    <w:p w14:paraId="1673253B" w14:textId="36E0921D" w:rsidR="009A0528" w:rsidRPr="000530B1" w:rsidRDefault="00766B8E" w:rsidP="008867AB">
      <w:pPr>
        <w:pStyle w:val="Body"/>
      </w:pPr>
      <w:r w:rsidRPr="000530B1">
        <w:t xml:space="preserve">There are clear study mode and </w:t>
      </w:r>
      <w:r w:rsidR="00CA41C6" w:rsidRPr="000530B1">
        <w:t>age differences between domestic and international postgraduate coursework students</w:t>
      </w:r>
      <w:r w:rsidR="008A120A" w:rsidRPr="000530B1">
        <w:t xml:space="preserve"> (</w:t>
      </w:r>
      <w:r w:rsidR="008A120A" w:rsidRPr="000530B1">
        <w:rPr>
          <w:b/>
          <w:bCs/>
        </w:rPr>
        <w:fldChar w:fldCharType="begin"/>
      </w:r>
      <w:r w:rsidR="008A120A" w:rsidRPr="000530B1">
        <w:rPr>
          <w:b/>
          <w:bCs/>
        </w:rPr>
        <w:instrText xml:space="preserve"> REF _Ref220485111 \h  \* MERGEFORMAT </w:instrText>
      </w:r>
      <w:r w:rsidR="008A120A" w:rsidRPr="000530B1">
        <w:rPr>
          <w:b/>
          <w:bCs/>
        </w:rPr>
      </w:r>
      <w:r w:rsidR="008A120A" w:rsidRPr="000530B1">
        <w:rPr>
          <w:b/>
          <w:bCs/>
        </w:rPr>
        <w:fldChar w:fldCharType="separate"/>
      </w:r>
      <w:r w:rsidR="00F60603" w:rsidRPr="000530B1">
        <w:rPr>
          <w:b/>
          <w:bCs/>
        </w:rPr>
        <w:t xml:space="preserve">Figure </w:t>
      </w:r>
      <w:r w:rsidR="00F60603" w:rsidRPr="000530B1">
        <w:rPr>
          <w:b/>
          <w:bCs/>
          <w:noProof/>
        </w:rPr>
        <w:t>48</w:t>
      </w:r>
      <w:r w:rsidR="008A120A" w:rsidRPr="000530B1">
        <w:rPr>
          <w:b/>
          <w:bCs/>
        </w:rPr>
        <w:fldChar w:fldCharType="end"/>
      </w:r>
      <w:r w:rsidR="008A120A" w:rsidRPr="000530B1">
        <w:t>)</w:t>
      </w:r>
      <w:r w:rsidR="00E86EA4" w:rsidRPr="000530B1">
        <w:t>. These differences coupled with the higher proportion of international students at the postgraduate coursework level can help explain</w:t>
      </w:r>
      <w:r w:rsidR="00E028DD" w:rsidRPr="000530B1">
        <w:t xml:space="preserve"> recent trends in student experience ratings</w:t>
      </w:r>
      <w:r w:rsidR="0062409D" w:rsidRPr="000530B1">
        <w:t xml:space="preserve"> for this cohort</w:t>
      </w:r>
      <w:r w:rsidR="00E028DD" w:rsidRPr="000530B1">
        <w:t>.</w:t>
      </w:r>
    </w:p>
    <w:p w14:paraId="09AA8FEB" w14:textId="4110AD71" w:rsidR="002801D2" w:rsidRPr="000530B1" w:rsidRDefault="005C6AA6" w:rsidP="008867AB">
      <w:pPr>
        <w:pStyle w:val="Body"/>
      </w:pPr>
      <w:r w:rsidRPr="000530B1">
        <w:t>S</w:t>
      </w:r>
      <w:r w:rsidR="009A0528" w:rsidRPr="000530B1">
        <w:t>tudy mode and age differences at the undergraduate level are less pronounced</w:t>
      </w:r>
      <w:r w:rsidR="00A37BD6" w:rsidRPr="000530B1">
        <w:t xml:space="preserve">, suggesting other factors are influencing </w:t>
      </w:r>
      <w:r w:rsidR="00945173" w:rsidRPr="000530B1">
        <w:t>the divergence in domestic and international student ratings</w:t>
      </w:r>
      <w:r w:rsidR="00F3394B" w:rsidRPr="000530B1">
        <w:t xml:space="preserve"> observed in the post-pandemic period</w:t>
      </w:r>
      <w:r w:rsidR="00B21D8B" w:rsidRPr="000530B1">
        <w:t xml:space="preserve"> </w:t>
      </w:r>
      <w:r w:rsidR="00A63EA8" w:rsidRPr="000530B1">
        <w:t>(</w:t>
      </w:r>
      <w:r w:rsidR="00F076BD" w:rsidRPr="000530B1">
        <w:rPr>
          <w:b/>
          <w:bCs/>
        </w:rPr>
        <w:fldChar w:fldCharType="begin"/>
      </w:r>
      <w:r w:rsidR="00F076BD" w:rsidRPr="000530B1">
        <w:rPr>
          <w:b/>
          <w:bCs/>
        </w:rPr>
        <w:instrText xml:space="preserve"> REF _Ref230792912 \h  \* MERGEFORMAT </w:instrText>
      </w:r>
      <w:r w:rsidR="00F076BD" w:rsidRPr="000530B1">
        <w:rPr>
          <w:b/>
          <w:bCs/>
        </w:rPr>
      </w:r>
      <w:r w:rsidR="00F076BD" w:rsidRPr="000530B1">
        <w:rPr>
          <w:b/>
          <w:bCs/>
        </w:rPr>
        <w:fldChar w:fldCharType="separate"/>
      </w:r>
      <w:r w:rsidR="00F076BD" w:rsidRPr="000530B1">
        <w:rPr>
          <w:b/>
          <w:bCs/>
        </w:rPr>
        <w:t xml:space="preserve">Figure </w:t>
      </w:r>
      <w:r w:rsidR="00F076BD" w:rsidRPr="000530B1">
        <w:rPr>
          <w:b/>
          <w:bCs/>
          <w:noProof/>
        </w:rPr>
        <w:t>46</w:t>
      </w:r>
      <w:r w:rsidR="00F076BD" w:rsidRPr="000530B1">
        <w:rPr>
          <w:b/>
          <w:bCs/>
        </w:rPr>
        <w:fldChar w:fldCharType="end"/>
      </w:r>
      <w:r w:rsidR="00A63EA8" w:rsidRPr="000530B1">
        <w:t>)</w:t>
      </w:r>
      <w:r w:rsidR="00F3394B" w:rsidRPr="000530B1">
        <w:t xml:space="preserve">. </w:t>
      </w:r>
      <w:r w:rsidR="008867AB" w:rsidRPr="000530B1">
        <w:t xml:space="preserve">However, examining class participation as reported by </w:t>
      </w:r>
      <w:r w:rsidR="00341441" w:rsidRPr="000530B1">
        <w:t>students</w:t>
      </w:r>
      <w:r w:rsidR="008867AB" w:rsidRPr="000530B1">
        <w:t>, highlights some further differences in how domestic and international students engage in their studies.</w:t>
      </w:r>
    </w:p>
    <w:p w14:paraId="3B05BDB7" w14:textId="36BFC287" w:rsidR="008867AB" w:rsidRPr="000530B1" w:rsidRDefault="002801D2" w:rsidP="008867AB">
      <w:pPr>
        <w:pStyle w:val="Body"/>
      </w:pPr>
      <w:r w:rsidRPr="000530B1">
        <w:t xml:space="preserve">In general, international students enrolled as internal/multi-mode are more likely to report participating in their classes </w:t>
      </w:r>
      <w:r w:rsidR="00A669CF">
        <w:t>‘</w:t>
      </w:r>
      <w:r w:rsidR="00AB2807" w:rsidRPr="00A669CF">
        <w:t>all online</w:t>
      </w:r>
      <w:r w:rsidR="00A669CF">
        <w:t>’</w:t>
      </w:r>
      <w:r w:rsidRPr="000530B1">
        <w:t xml:space="preserve"> or only </w:t>
      </w:r>
      <w:r w:rsidR="00A669CF">
        <w:t>‘</w:t>
      </w:r>
      <w:r w:rsidR="00AB2807" w:rsidRPr="00A669CF">
        <w:t>some</w:t>
      </w:r>
      <w:r w:rsidR="00A669CF">
        <w:t>’</w:t>
      </w:r>
      <w:r w:rsidRPr="000530B1">
        <w:t xml:space="preserve"> online. In contrast, domestic students enrolled as internal/multi-mode are more likely to report participating in </w:t>
      </w:r>
      <w:r w:rsidR="00D227EE">
        <w:t>‘</w:t>
      </w:r>
      <w:r w:rsidR="005C5D33" w:rsidRPr="00D227EE">
        <w:t>about half</w:t>
      </w:r>
      <w:r w:rsidR="00D227EE">
        <w:t>’</w:t>
      </w:r>
      <w:r w:rsidRPr="000530B1">
        <w:t xml:space="preserve"> online, or</w:t>
      </w:r>
      <w:r w:rsidR="00A669CF">
        <w:t xml:space="preserve"> ‘mostly’ </w:t>
      </w:r>
      <w:r w:rsidRPr="000530B1">
        <w:t xml:space="preserve">online. See </w:t>
      </w:r>
      <w:r w:rsidRPr="000530B1">
        <w:rPr>
          <w:b/>
          <w:bCs/>
        </w:rPr>
        <w:t xml:space="preserve">Appendix 1 </w:t>
      </w:r>
      <w:r w:rsidRPr="000530B1">
        <w:t>for more information on domestic and international students’ modes of study and self-reported class participation.</w:t>
      </w:r>
    </w:p>
    <w:p w14:paraId="7732AF93" w14:textId="466A6BF7" w:rsidR="008F21DD" w:rsidRPr="000530B1" w:rsidRDefault="004048FA" w:rsidP="008F21DD">
      <w:pPr>
        <w:pStyle w:val="Body"/>
      </w:pPr>
      <w:r w:rsidRPr="000530B1">
        <w:t xml:space="preserve">Internal/multi-mode students, regardless of citizenship status, report higher positive ratings of their student experience the more they participate in classes on-campus, whether that be </w:t>
      </w:r>
      <w:r w:rsidR="00D227EE">
        <w:t>‘</w:t>
      </w:r>
      <w:r w:rsidR="00AB2807" w:rsidRPr="00D227EE">
        <w:t>all on-campus</w:t>
      </w:r>
      <w:r w:rsidR="00D227EE">
        <w:t>’</w:t>
      </w:r>
      <w:r w:rsidRPr="000530B1">
        <w:t xml:space="preserve">, or only </w:t>
      </w:r>
      <w:r w:rsidR="00D227EE">
        <w:t>‘</w:t>
      </w:r>
      <w:r w:rsidR="00AB2807" w:rsidRPr="00D227EE">
        <w:t>some</w:t>
      </w:r>
      <w:r w:rsidR="00D227EE">
        <w:t>’</w:t>
      </w:r>
      <w:r w:rsidRPr="000530B1">
        <w:t xml:space="preserve"> online.</w:t>
      </w:r>
      <w:r w:rsidR="008F21DD" w:rsidRPr="000530B1">
        <w:t xml:space="preserve"> This finding provides further explanation as to why international student ratings have recovered much quicker than domestic ratings since the pandemic. </w:t>
      </w:r>
    </w:p>
    <w:p w14:paraId="3B9E6A87" w14:textId="055A2275" w:rsidR="008867AB" w:rsidRPr="000530B1" w:rsidRDefault="008867AB" w:rsidP="008867AB">
      <w:pPr>
        <w:pStyle w:val="Body"/>
      </w:pPr>
      <w:r w:rsidRPr="000530B1">
        <w:t>The 2025 SES National Report examines differences in student experience outcomes by self-reported class participation</w:t>
      </w:r>
      <w:r w:rsidR="002801D2" w:rsidRPr="000530B1">
        <w:t xml:space="preserve"> (regardless of citizenship status)</w:t>
      </w:r>
      <w:r w:rsidRPr="000530B1">
        <w:t xml:space="preserve">, in addition to the traditional mode of study categories </w:t>
      </w:r>
      <w:r w:rsidR="001B5B04" w:rsidRPr="000530B1">
        <w:t xml:space="preserve">(internal/multi-mode and external) </w:t>
      </w:r>
      <w:r w:rsidR="00D60348" w:rsidRPr="000530B1">
        <w:t>which</w:t>
      </w:r>
      <w:r w:rsidR="001B5B04" w:rsidRPr="000530B1">
        <w:t xml:space="preserve"> have</w:t>
      </w:r>
      <w:r w:rsidRPr="000530B1">
        <w:t xml:space="preserve"> historically been used in QILT reporting.</w:t>
      </w:r>
    </w:p>
    <w:p w14:paraId="7322E7F8" w14:textId="330B59EC" w:rsidR="00595BCA" w:rsidRDefault="00595BCA" w:rsidP="00B65D45">
      <w:pPr>
        <w:pStyle w:val="Heading2"/>
      </w:pPr>
      <w:bookmarkStart w:id="29" w:name="_Toc239764788"/>
      <w:r w:rsidRPr="000530B1">
        <w:lastRenderedPageBreak/>
        <w:t>Overall Educational Experience</w:t>
      </w:r>
      <w:bookmarkEnd w:id="29"/>
    </w:p>
    <w:tbl>
      <w:tblPr>
        <w:tblStyle w:val="TableGrid"/>
        <w:tblW w:w="0" w:type="auto"/>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10158"/>
      </w:tblGrid>
      <w:tr w:rsidR="00C627D8" w14:paraId="788696EF" w14:textId="77777777" w:rsidTr="009575BF">
        <w:trPr>
          <w:cnfStyle w:val="100000000000" w:firstRow="1" w:lastRow="0" w:firstColumn="0" w:lastColumn="0" w:oddVBand="0" w:evenVBand="0" w:oddHBand="0" w:evenHBand="0" w:firstRowFirstColumn="0" w:firstRowLastColumn="0" w:lastRowFirstColumn="0" w:lastRowLastColumn="0"/>
        </w:trPr>
        <w:tc>
          <w:tcPr>
            <w:tcW w:w="10194" w:type="dxa"/>
            <w:vAlign w:val="top"/>
          </w:tcPr>
          <w:p w14:paraId="5EFD1683" w14:textId="77777777" w:rsidR="00C627D8" w:rsidRPr="00C627D8" w:rsidRDefault="00C627D8" w:rsidP="00C627D8">
            <w:pPr>
              <w:pStyle w:val="Body"/>
              <w:rPr>
                <w:b w:val="0"/>
              </w:rPr>
            </w:pPr>
            <w:r w:rsidRPr="00C627D8">
              <w:rPr>
                <w:bCs/>
              </w:rPr>
              <w:t>Overall Educational Experience</w:t>
            </w:r>
            <w:r w:rsidRPr="00C627D8">
              <w:rPr>
                <w:b w:val="0"/>
              </w:rPr>
              <w:t xml:space="preserve"> provides a broad, high-level rating of the quality of students’ educational experience during the year. It reflects students’ holistic impressions of their studies and may draw on a range of academic and non-academic aspects of their course.</w:t>
            </w:r>
          </w:p>
          <w:p w14:paraId="410F06D9" w14:textId="2F3FD7C9" w:rsidR="00C627D8" w:rsidRPr="00C627D8" w:rsidRDefault="00C627D8" w:rsidP="00C627D8">
            <w:pPr>
              <w:pStyle w:val="Body"/>
              <w:spacing w:line="276" w:lineRule="auto"/>
              <w:rPr>
                <w:bCs/>
              </w:rPr>
            </w:pPr>
            <w:r w:rsidRPr="00C627D8">
              <w:rPr>
                <w:bCs/>
              </w:rPr>
              <w:t>Undergraduate Overall Educational Experience</w:t>
            </w:r>
            <w:r w:rsidRPr="00C627D8">
              <w:rPr>
                <w:b w:val="0"/>
              </w:rPr>
              <w:t xml:space="preserve"> ratings have not returned to the levels seen prior to the pandemic, suggesting a sustained shift in how students evaluate the quality of their educational experience.</w:t>
            </w:r>
          </w:p>
        </w:tc>
      </w:tr>
    </w:tbl>
    <w:p w14:paraId="5D8AEC65" w14:textId="7377ABAA" w:rsidR="007F44DF" w:rsidRPr="000530B1" w:rsidRDefault="00B14285" w:rsidP="002D4522">
      <w:pPr>
        <w:pStyle w:val="Body"/>
      </w:pPr>
      <w:r w:rsidRPr="000530B1">
        <w:t>Undergraduate student ratings of Overall Educational Experience</w:t>
      </w:r>
      <w:r w:rsidR="00D819C4" w:rsidRPr="000530B1">
        <w:t xml:space="preserve"> remained stable </w:t>
      </w:r>
      <w:r w:rsidR="000F2D3B" w:rsidRPr="000530B1">
        <w:t>for the third consecutive year, with 76.5 per cent of students rating it positively in 2025</w:t>
      </w:r>
      <w:r w:rsidR="00DF31C9" w:rsidRPr="000530B1">
        <w:t xml:space="preserve"> (</w:t>
      </w:r>
      <w:r w:rsidR="000E1156" w:rsidRPr="000530B1">
        <w:rPr>
          <w:b/>
          <w:bCs/>
        </w:rPr>
        <w:fldChar w:fldCharType="begin"/>
      </w:r>
      <w:r w:rsidR="000E1156" w:rsidRPr="000530B1">
        <w:rPr>
          <w:b/>
          <w:bCs/>
        </w:rPr>
        <w:instrText xml:space="preserve"> REF _Ref217254896 \h  \* MERGEFORMAT </w:instrText>
      </w:r>
      <w:r w:rsidR="000E1156" w:rsidRPr="000530B1">
        <w:rPr>
          <w:b/>
          <w:bCs/>
        </w:rPr>
      </w:r>
      <w:r w:rsidR="000E1156" w:rsidRPr="000530B1">
        <w:rPr>
          <w:b/>
          <w:bCs/>
        </w:rPr>
        <w:fldChar w:fldCharType="separate"/>
      </w:r>
      <w:r w:rsidR="00102846" w:rsidRPr="000530B1">
        <w:rPr>
          <w:b/>
          <w:bCs/>
        </w:rPr>
        <w:t xml:space="preserve">Figure </w:t>
      </w:r>
      <w:r w:rsidR="00102846" w:rsidRPr="000530B1">
        <w:rPr>
          <w:b/>
          <w:bCs/>
          <w:noProof/>
        </w:rPr>
        <w:t>3</w:t>
      </w:r>
      <w:r w:rsidR="000E1156" w:rsidRPr="000530B1">
        <w:rPr>
          <w:b/>
          <w:bCs/>
        </w:rPr>
        <w:fldChar w:fldCharType="end"/>
      </w:r>
      <w:r w:rsidR="00DF31C9" w:rsidRPr="000530B1">
        <w:t>).</w:t>
      </w:r>
      <w:r w:rsidR="00495E14" w:rsidRPr="000530B1">
        <w:t xml:space="preserve"> </w:t>
      </w:r>
      <w:r w:rsidR="00463880" w:rsidRPr="000530B1">
        <w:t xml:space="preserve">Undergraduate Overall Educational Experience </w:t>
      </w:r>
      <w:r w:rsidR="00997BF5" w:rsidRPr="000530B1">
        <w:t xml:space="preserve">ratings </w:t>
      </w:r>
      <w:r w:rsidR="00463880" w:rsidRPr="000530B1">
        <w:t xml:space="preserve">declined sharply in 2020, reflecting the disruption associated with the COVID-19 pandemic. </w:t>
      </w:r>
      <w:r w:rsidR="00641810" w:rsidRPr="000530B1">
        <w:t>However, despite student ratings stab</w:t>
      </w:r>
      <w:r w:rsidR="007E777B" w:rsidRPr="000530B1">
        <w:t>i</w:t>
      </w:r>
      <w:r w:rsidR="00641810" w:rsidRPr="000530B1">
        <w:t>lising s</w:t>
      </w:r>
      <w:r w:rsidR="00463880" w:rsidRPr="000530B1">
        <w:t xml:space="preserve">ince 2023, results have not returned to the </w:t>
      </w:r>
      <w:r w:rsidR="007E777B" w:rsidRPr="000530B1">
        <w:t>same</w:t>
      </w:r>
      <w:r w:rsidR="00463880" w:rsidRPr="000530B1">
        <w:t xml:space="preserve"> levels observed prior to the pandemic (2017</w:t>
      </w:r>
      <w:r w:rsidR="00CF2464" w:rsidRPr="000530B1">
        <w:rPr>
          <w:rFonts w:cs="Arial"/>
        </w:rPr>
        <w:t>–</w:t>
      </w:r>
      <w:r w:rsidR="00463880" w:rsidRPr="000530B1">
        <w:t xml:space="preserve">19). This pattern suggests </w:t>
      </w:r>
      <w:bookmarkStart w:id="30" w:name="_Ref216695518"/>
      <w:r w:rsidR="002D4522" w:rsidRPr="000530B1">
        <w:t xml:space="preserve">a sustained shift in how undergraduates evaluate their </w:t>
      </w:r>
      <w:r w:rsidR="00F207B0" w:rsidRPr="000530B1">
        <w:t>O</w:t>
      </w:r>
      <w:r w:rsidR="002D4522" w:rsidRPr="000530B1">
        <w:t xml:space="preserve">verall </w:t>
      </w:r>
      <w:r w:rsidR="00F207B0" w:rsidRPr="000530B1">
        <w:t>E</w:t>
      </w:r>
      <w:r w:rsidR="002D4522" w:rsidRPr="000530B1">
        <w:t xml:space="preserve">ducational </w:t>
      </w:r>
      <w:r w:rsidR="00F207B0" w:rsidRPr="000530B1">
        <w:t>E</w:t>
      </w:r>
      <w:r w:rsidR="002D4522" w:rsidRPr="000530B1">
        <w:t>xperience.</w:t>
      </w:r>
    </w:p>
    <w:p w14:paraId="4C3BAA09" w14:textId="6C9FBBD4" w:rsidR="00645CC7" w:rsidRPr="000530B1" w:rsidRDefault="00645CC7" w:rsidP="002D4522">
      <w:pPr>
        <w:pStyle w:val="Body"/>
      </w:pPr>
      <w:r w:rsidRPr="000530B1">
        <w:t xml:space="preserve">In contrast, </w:t>
      </w:r>
      <w:r w:rsidR="006E322D" w:rsidRPr="000530B1">
        <w:t>postgraduate coursework ratings of Overall Educational Experience</w:t>
      </w:r>
      <w:r w:rsidR="00F83D0A" w:rsidRPr="000530B1">
        <w:t xml:space="preserve"> rose to 77.8 per cent in 2025</w:t>
      </w:r>
      <w:r w:rsidR="00C74B47" w:rsidRPr="000530B1">
        <w:t xml:space="preserve"> and remained above </w:t>
      </w:r>
      <w:r w:rsidR="00467096" w:rsidRPr="000530B1">
        <w:t>the levels observed prior to the pandemic for the fourth consecutive year.</w:t>
      </w:r>
      <w:r w:rsidR="00DE25B8" w:rsidRPr="000530B1">
        <w:t xml:space="preserve"> In addition, </w:t>
      </w:r>
      <w:r w:rsidR="00F7045B" w:rsidRPr="000530B1">
        <w:t>postgraduate coursework students rated Overall Educational Experience</w:t>
      </w:r>
      <w:r w:rsidR="00FB6FCD" w:rsidRPr="000530B1">
        <w:t xml:space="preserve"> 1.3 percentage points higher than undergraduates in 2025 – the largest</w:t>
      </w:r>
      <w:r w:rsidR="00333022" w:rsidRPr="000530B1">
        <w:t xml:space="preserve"> difference </w:t>
      </w:r>
      <w:r w:rsidR="008568E4" w:rsidRPr="000530B1">
        <w:t>observed since the ratings gap narrowed in 2020</w:t>
      </w:r>
      <w:r w:rsidR="00FB2A71" w:rsidRPr="000530B1">
        <w:t>.</w:t>
      </w:r>
    </w:p>
    <w:p w14:paraId="74004A29" w14:textId="26411BD3" w:rsidR="00BB31F2" w:rsidRPr="000530B1" w:rsidRDefault="00BB31F2" w:rsidP="00194EE0">
      <w:pPr>
        <w:pStyle w:val="Captionaccessible"/>
      </w:pPr>
      <w:bookmarkStart w:id="31" w:name="_Ref217254896"/>
      <w:bookmarkStart w:id="32" w:name="_Toc239764868"/>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3</w:t>
      </w:r>
      <w:r w:rsidR="00955601">
        <w:rPr>
          <w:noProof/>
        </w:rPr>
        <w:fldChar w:fldCharType="end"/>
      </w:r>
      <w:bookmarkEnd w:id="30"/>
      <w:bookmarkEnd w:id="31"/>
      <w:r w:rsidR="009D4528" w:rsidRPr="000530B1">
        <w:tab/>
      </w:r>
      <w:r w:rsidRPr="000530B1">
        <w:t>Overall Educational Experience by course level, 2017–25 (% positive rating)</w:t>
      </w:r>
      <w:bookmarkEnd w:id="32"/>
    </w:p>
    <w:p w14:paraId="32A3FBFC" w14:textId="5BC1B602" w:rsidR="009342ED" w:rsidRPr="009342ED" w:rsidRDefault="005536F9" w:rsidP="00595BCA">
      <w:pPr>
        <w:pStyle w:val="Body"/>
      </w:pPr>
      <w:r>
        <w:rPr>
          <w:noProof/>
        </w:rPr>
        <w:drawing>
          <wp:inline distT="0" distB="0" distL="0" distR="0" wp14:anchorId="04831AD0" wp14:editId="0051C365">
            <wp:extent cx="6407150" cy="3206750"/>
            <wp:effectExtent l="0" t="0" r="0" b="0"/>
            <wp:docPr id="8569953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07150" cy="3206750"/>
                    </a:xfrm>
                    <a:prstGeom prst="rect">
                      <a:avLst/>
                    </a:prstGeom>
                    <a:noFill/>
                  </pic:spPr>
                </pic:pic>
              </a:graphicData>
            </a:graphic>
          </wp:inline>
        </w:drawing>
      </w:r>
    </w:p>
    <w:p w14:paraId="176C5FA4" w14:textId="0B03ABA0" w:rsidR="00783703" w:rsidRPr="000530B1" w:rsidRDefault="00F36677" w:rsidP="00D12C76">
      <w:pPr>
        <w:pStyle w:val="Body"/>
      </w:pPr>
      <w:r w:rsidRPr="000530B1">
        <w:t>Th</w:t>
      </w:r>
      <w:r w:rsidR="00481927" w:rsidRPr="000530B1">
        <w:t xml:space="preserve">is shifting pattern </w:t>
      </w:r>
      <w:r w:rsidR="00597457">
        <w:t xml:space="preserve">may be </w:t>
      </w:r>
      <w:r w:rsidR="00481927" w:rsidRPr="000530B1">
        <w:t>related to the</w:t>
      </w:r>
      <w:r w:rsidR="00783703" w:rsidRPr="000530B1">
        <w:t xml:space="preserve"> post-pandemic </w:t>
      </w:r>
      <w:r w:rsidR="00481927" w:rsidRPr="000530B1">
        <w:t>study mode dynamics</w:t>
      </w:r>
      <w:r w:rsidR="003F5375">
        <w:t>, as students have increasing</w:t>
      </w:r>
      <w:r w:rsidR="00597457">
        <w:t>ly</w:t>
      </w:r>
      <w:r w:rsidR="003F5375">
        <w:t xml:space="preserve"> shifted to online modes of study</w:t>
      </w:r>
      <w:r w:rsidR="00F10766" w:rsidRPr="000530B1">
        <w:t xml:space="preserve"> (s</w:t>
      </w:r>
      <w:r w:rsidR="00783703" w:rsidRPr="000530B1">
        <w:t xml:space="preserve">ee </w:t>
      </w:r>
      <w:r w:rsidR="00CE62F2" w:rsidRPr="000530B1">
        <w:rPr>
          <w:b/>
          <w:bCs/>
          <w:u w:val="single"/>
        </w:rPr>
        <w:t>Appendix 1</w:t>
      </w:r>
      <w:r w:rsidR="00CE62F2" w:rsidRPr="000530B1">
        <w:rPr>
          <w:u w:val="single"/>
        </w:rPr>
        <w:t>).</w:t>
      </w:r>
    </w:p>
    <w:p w14:paraId="077F8984" w14:textId="486D4DE9" w:rsidR="00D12C76" w:rsidRPr="000530B1" w:rsidRDefault="00D12C76" w:rsidP="00D12C76">
      <w:pPr>
        <w:pStyle w:val="Body"/>
      </w:pPr>
      <w:r w:rsidRPr="000530B1">
        <w:t>At both undergraduate and postgraduate coursework levels</w:t>
      </w:r>
      <w:r w:rsidR="000547C2" w:rsidRPr="000530B1">
        <w:t>,</w:t>
      </w:r>
      <w:r w:rsidRPr="000530B1">
        <w:t xml:space="preserve"> external students (those studying fully off-campus including online) have tended to rate their Overall Educational Experience more positively than internal/multi-mode students (those studying fully on-campus or a mix of internal and external modes) (</w:t>
      </w:r>
      <w:r w:rsidRPr="000530B1">
        <w:rPr>
          <w:b/>
          <w:bCs/>
        </w:rPr>
        <w:fldChar w:fldCharType="begin"/>
      </w:r>
      <w:r w:rsidRPr="000530B1">
        <w:rPr>
          <w:b/>
          <w:bCs/>
        </w:rPr>
        <w:instrText xml:space="preserve"> REF _Ref195570658 \h  \* MERGEFORMAT </w:instrText>
      </w:r>
      <w:r w:rsidRPr="000530B1">
        <w:rPr>
          <w:b/>
          <w:bCs/>
        </w:rPr>
      </w:r>
      <w:r w:rsidRPr="000530B1">
        <w:rPr>
          <w:b/>
          <w:bCs/>
        </w:rPr>
        <w:fldChar w:fldCharType="separate"/>
      </w:r>
      <w:r w:rsidR="009D4528" w:rsidRPr="000530B1">
        <w:rPr>
          <w:b/>
          <w:bCs/>
        </w:rPr>
        <w:t xml:space="preserve">Figure </w:t>
      </w:r>
      <w:r w:rsidR="009D4528" w:rsidRPr="000530B1">
        <w:rPr>
          <w:b/>
          <w:bCs/>
          <w:noProof/>
        </w:rPr>
        <w:t>4</w:t>
      </w:r>
      <w:r w:rsidRPr="000530B1">
        <w:rPr>
          <w:b/>
          <w:bCs/>
        </w:rPr>
        <w:fldChar w:fldCharType="end"/>
      </w:r>
      <w:r w:rsidRPr="000530B1">
        <w:t>).</w:t>
      </w:r>
    </w:p>
    <w:p w14:paraId="42CB4AEB" w14:textId="77FCDD43" w:rsidR="000156C2" w:rsidRPr="000530B1" w:rsidRDefault="00D12C76" w:rsidP="00D12C76">
      <w:pPr>
        <w:pStyle w:val="Body"/>
      </w:pPr>
      <w:r w:rsidRPr="000530B1">
        <w:t>In 202</w:t>
      </w:r>
      <w:r w:rsidR="006A29F3" w:rsidRPr="000530B1">
        <w:t>5</w:t>
      </w:r>
      <w:r w:rsidRPr="000530B1">
        <w:t>, undergraduate external students rated their Overall Educational Experience 3.</w:t>
      </w:r>
      <w:r w:rsidR="007960BE" w:rsidRPr="000530B1">
        <w:t>6</w:t>
      </w:r>
      <w:r w:rsidRPr="000530B1">
        <w:t xml:space="preserve"> percentage points higher than internal/multi-mode students (79.8 per cent and 76.</w:t>
      </w:r>
      <w:r w:rsidR="007960BE" w:rsidRPr="000530B1">
        <w:t>2</w:t>
      </w:r>
      <w:r w:rsidRPr="000530B1">
        <w:t xml:space="preserve"> per cent respectively). Similarly, postgraduate coursework students rated it </w:t>
      </w:r>
      <w:r w:rsidR="00FF6A6F" w:rsidRPr="000530B1">
        <w:t>3</w:t>
      </w:r>
      <w:r w:rsidRPr="000530B1">
        <w:t>.4 percentage points higher (</w:t>
      </w:r>
      <w:r w:rsidR="00FF6A6F" w:rsidRPr="000530B1">
        <w:t>80.4</w:t>
      </w:r>
      <w:r w:rsidRPr="000530B1">
        <w:t xml:space="preserve"> per cent and 7</w:t>
      </w:r>
      <w:r w:rsidR="00FF6A6F" w:rsidRPr="000530B1">
        <w:t>7.0</w:t>
      </w:r>
      <w:r w:rsidRPr="000530B1">
        <w:t xml:space="preserve"> per cent respectively).</w:t>
      </w:r>
    </w:p>
    <w:p w14:paraId="7C15AC6C" w14:textId="714CE57A" w:rsidR="00E218E8" w:rsidRDefault="00D12C76" w:rsidP="003C3BEF">
      <w:pPr>
        <w:pStyle w:val="Captionaccessible"/>
      </w:pPr>
      <w:bookmarkStart w:id="33" w:name="_Ref195570658"/>
      <w:bookmarkStart w:id="34" w:name="_Toc199513066"/>
      <w:bookmarkStart w:id="35" w:name="_Toc239764869"/>
      <w:r w:rsidRPr="003C3BEF">
        <w:lastRenderedPageBreak/>
        <w:t xml:space="preserve">Figure </w:t>
      </w:r>
      <w:r w:rsidR="00955601" w:rsidRPr="003C3BEF">
        <w:fldChar w:fldCharType="begin"/>
      </w:r>
      <w:r w:rsidR="00955601" w:rsidRPr="003C3BEF">
        <w:instrText xml:space="preserve"> SEQ Figure \* ARABIC </w:instrText>
      </w:r>
      <w:r w:rsidR="00955601" w:rsidRPr="003C3BEF">
        <w:fldChar w:fldCharType="separate"/>
      </w:r>
      <w:r w:rsidR="00955601" w:rsidRPr="003C3BEF">
        <w:t>4</w:t>
      </w:r>
      <w:r w:rsidR="00955601" w:rsidRPr="003C3BEF">
        <w:fldChar w:fldCharType="end"/>
      </w:r>
      <w:bookmarkEnd w:id="33"/>
      <w:r w:rsidR="009D4528" w:rsidRPr="003C3BEF">
        <w:tab/>
      </w:r>
      <w:r w:rsidRPr="003C3BEF">
        <w:t>Overall Educational Experience by study</w:t>
      </w:r>
      <w:r w:rsidR="005D7B0F" w:rsidRPr="003C3BEF">
        <w:t xml:space="preserve"> mode</w:t>
      </w:r>
      <w:r w:rsidRPr="003C3BEF">
        <w:t>, 2017–2</w:t>
      </w:r>
      <w:r w:rsidR="005D7B0F" w:rsidRPr="003C3BEF">
        <w:t>5</w:t>
      </w:r>
      <w:r w:rsidRPr="003C3BEF">
        <w:t xml:space="preserve"> (% positive rating)</w:t>
      </w:r>
      <w:bookmarkEnd w:id="34"/>
      <w:bookmarkEnd w:id="35"/>
    </w:p>
    <w:p w14:paraId="5A61ADBE" w14:textId="6A0D8BFF" w:rsidR="00E13526" w:rsidRPr="000530B1" w:rsidRDefault="003C3BEF" w:rsidP="003C3BEF">
      <w:pPr>
        <w:spacing w:before="60" w:after="360"/>
      </w:pPr>
      <w:r>
        <w:rPr>
          <w:noProof/>
        </w:rPr>
        <w:drawing>
          <wp:inline distT="0" distB="0" distL="0" distR="0" wp14:anchorId="66DC6D75" wp14:editId="24B949B9">
            <wp:extent cx="6258560" cy="6944995"/>
            <wp:effectExtent l="0" t="0" r="8890" b="8255"/>
            <wp:docPr id="2585814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58560" cy="6944995"/>
                    </a:xfrm>
                    <a:prstGeom prst="rect">
                      <a:avLst/>
                    </a:prstGeom>
                    <a:noFill/>
                  </pic:spPr>
                </pic:pic>
              </a:graphicData>
            </a:graphic>
          </wp:inline>
        </w:drawing>
      </w:r>
    </w:p>
    <w:tbl>
      <w:tblPr>
        <w:tblStyle w:val="TableGrid"/>
        <w:tblW w:w="0" w:type="auto"/>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10158"/>
      </w:tblGrid>
      <w:tr w:rsidR="00E13526" w14:paraId="43258EAE" w14:textId="77777777" w:rsidTr="00E13526">
        <w:trPr>
          <w:cnfStyle w:val="100000000000" w:firstRow="1" w:lastRow="0" w:firstColumn="0" w:lastColumn="0" w:oddVBand="0" w:evenVBand="0" w:oddHBand="0" w:evenHBand="0" w:firstRowFirstColumn="0" w:firstRowLastColumn="0" w:lastRowFirstColumn="0" w:lastRowLastColumn="0"/>
        </w:trPr>
        <w:tc>
          <w:tcPr>
            <w:tcW w:w="10158" w:type="dxa"/>
            <w:vAlign w:val="top"/>
          </w:tcPr>
          <w:p w14:paraId="1D117E43" w14:textId="73EC8E0D" w:rsidR="00E13526" w:rsidRPr="00E13526" w:rsidRDefault="00E13526" w:rsidP="009575BF">
            <w:pPr>
              <w:pStyle w:val="Body"/>
              <w:spacing w:line="276" w:lineRule="auto"/>
              <w:rPr>
                <w:b w:val="0"/>
                <w:bCs/>
              </w:rPr>
            </w:pPr>
            <w:r w:rsidRPr="00E13526">
              <w:rPr>
                <w:b w:val="0"/>
                <w:bCs/>
              </w:rPr>
              <w:t xml:space="preserve">Undergraduates enrolled in internal/multi-mode studies rated their Overall Educational Experience highest when they participated in their classes ‘all </w:t>
            </w:r>
            <w:proofErr w:type="gramStart"/>
            <w:r w:rsidRPr="00E13526">
              <w:rPr>
                <w:b w:val="0"/>
                <w:bCs/>
              </w:rPr>
              <w:t>on-campus</w:t>
            </w:r>
            <w:proofErr w:type="gramEnd"/>
            <w:r w:rsidRPr="00E13526">
              <w:rPr>
                <w:b w:val="0"/>
                <w:bCs/>
              </w:rPr>
              <w:t>’ or only did ‘some’ online.</w:t>
            </w:r>
          </w:p>
        </w:tc>
      </w:tr>
    </w:tbl>
    <w:p w14:paraId="4AD4F5C3" w14:textId="328B21E4" w:rsidR="004D1CA8" w:rsidRPr="000530B1" w:rsidRDefault="002077EE" w:rsidP="00E13526">
      <w:pPr>
        <w:pStyle w:val="Body"/>
      </w:pPr>
      <w:r w:rsidRPr="000530B1">
        <w:t>Notably</w:t>
      </w:r>
      <w:r w:rsidR="000F221D" w:rsidRPr="000530B1">
        <w:t>, undergraduates who were enrolled in internal/</w:t>
      </w:r>
      <w:r w:rsidR="004914C7" w:rsidRPr="000530B1">
        <w:t>multi-mode</w:t>
      </w:r>
      <w:r w:rsidR="000F221D" w:rsidRPr="000530B1">
        <w:t xml:space="preserve"> </w:t>
      </w:r>
      <w:proofErr w:type="gramStart"/>
      <w:r w:rsidR="000F221D" w:rsidRPr="000530B1">
        <w:t>studies</w:t>
      </w:r>
      <w:r w:rsidR="00C267C3" w:rsidRPr="000530B1">
        <w:t>, and</w:t>
      </w:r>
      <w:proofErr w:type="gramEnd"/>
      <w:r w:rsidR="00C267C3" w:rsidRPr="000530B1">
        <w:t xml:space="preserve"> therefore would have expected to undertake at least some of their studies on-campus, </w:t>
      </w:r>
      <w:r w:rsidR="00EB58FC" w:rsidRPr="000530B1">
        <w:t xml:space="preserve">rated their Overall Educational Experience more positively if they </w:t>
      </w:r>
      <w:r w:rsidR="00EB58FC" w:rsidRPr="00A5670E">
        <w:rPr>
          <w:i/>
          <w:iCs/>
        </w:rPr>
        <w:t>did</w:t>
      </w:r>
      <w:r w:rsidR="00EB58FC" w:rsidRPr="000530B1">
        <w:t xml:space="preserve"> participat</w:t>
      </w:r>
      <w:r w:rsidR="00EF245C" w:rsidRPr="000530B1">
        <w:t>e</w:t>
      </w:r>
      <w:r w:rsidR="00EB58FC" w:rsidRPr="000530B1">
        <w:t xml:space="preserve"> in </w:t>
      </w:r>
      <w:r w:rsidR="00175FFE" w:rsidRPr="000530B1">
        <w:t xml:space="preserve">all of </w:t>
      </w:r>
      <w:r w:rsidR="00EB58FC" w:rsidRPr="000530B1">
        <w:t xml:space="preserve">their classes on-campus, compared to those </w:t>
      </w:r>
      <w:r w:rsidR="004811C2" w:rsidRPr="000530B1">
        <w:t xml:space="preserve">who </w:t>
      </w:r>
      <w:r w:rsidR="004811C2" w:rsidRPr="00A5670E">
        <w:t xml:space="preserve">took a </w:t>
      </w:r>
      <w:r w:rsidR="007D0B9D" w:rsidRPr="00A5670E">
        <w:t>‘</w:t>
      </w:r>
      <w:r w:rsidR="004811C2" w:rsidRPr="00A5670E">
        <w:t>blended/hybrid</w:t>
      </w:r>
      <w:r w:rsidR="007D0B9D" w:rsidRPr="00A5670E">
        <w:t>’</w:t>
      </w:r>
      <w:r w:rsidR="004811C2" w:rsidRPr="00A5670E">
        <w:t xml:space="preserve"> </w:t>
      </w:r>
      <w:r w:rsidR="004811C2" w:rsidRPr="000530B1">
        <w:t xml:space="preserve">approach </w:t>
      </w:r>
      <w:r w:rsidR="00EB58FC" w:rsidRPr="000530B1">
        <w:t>or all classes online</w:t>
      </w:r>
      <w:r w:rsidR="00931CA1" w:rsidRPr="000530B1">
        <w:t xml:space="preserve"> (</w:t>
      </w:r>
      <w:r w:rsidR="00283885" w:rsidRPr="000530B1">
        <w:rPr>
          <w:b/>
          <w:bCs/>
        </w:rPr>
        <w:fldChar w:fldCharType="begin"/>
      </w:r>
      <w:r w:rsidR="00283885" w:rsidRPr="000530B1">
        <w:rPr>
          <w:b/>
          <w:bCs/>
        </w:rPr>
        <w:instrText xml:space="preserve"> REF _Ref217307731 \h  \* MERGEFORMAT </w:instrText>
      </w:r>
      <w:r w:rsidR="00283885" w:rsidRPr="000530B1">
        <w:rPr>
          <w:b/>
          <w:bCs/>
        </w:rPr>
      </w:r>
      <w:r w:rsidR="00283885" w:rsidRPr="000530B1">
        <w:rPr>
          <w:b/>
          <w:bCs/>
        </w:rPr>
        <w:fldChar w:fldCharType="separate"/>
      </w:r>
      <w:r w:rsidR="00F02A83" w:rsidRPr="000530B1">
        <w:rPr>
          <w:b/>
          <w:bCs/>
        </w:rPr>
        <w:t xml:space="preserve">Figure </w:t>
      </w:r>
      <w:r w:rsidR="00F02A83" w:rsidRPr="000530B1">
        <w:rPr>
          <w:b/>
          <w:bCs/>
          <w:noProof/>
        </w:rPr>
        <w:t>5</w:t>
      </w:r>
      <w:r w:rsidR="00283885" w:rsidRPr="000530B1">
        <w:rPr>
          <w:b/>
          <w:bCs/>
        </w:rPr>
        <w:fldChar w:fldCharType="end"/>
      </w:r>
      <w:r w:rsidR="00283885" w:rsidRPr="000530B1">
        <w:t>)</w:t>
      </w:r>
      <w:r w:rsidR="00EB58FC" w:rsidRPr="000530B1">
        <w:t>.</w:t>
      </w:r>
      <w:r w:rsidR="009A5074" w:rsidRPr="000530B1">
        <w:t xml:space="preserve"> Furthermore, internal/</w:t>
      </w:r>
      <w:r w:rsidR="00327CDE" w:rsidRPr="000530B1">
        <w:t>multi-mode</w:t>
      </w:r>
      <w:r w:rsidR="009A5074" w:rsidRPr="000530B1">
        <w:t xml:space="preserve"> students who participated in </w:t>
      </w:r>
      <w:r w:rsidR="00573140" w:rsidRPr="000530B1">
        <w:t xml:space="preserve">all classes </w:t>
      </w:r>
      <w:proofErr w:type="gramStart"/>
      <w:r w:rsidR="00573140" w:rsidRPr="000530B1">
        <w:t>on-campus</w:t>
      </w:r>
      <w:proofErr w:type="gramEnd"/>
      <w:r w:rsidR="00573140" w:rsidRPr="000530B1">
        <w:t xml:space="preserve"> rated their Overall Educational Experience closer to the ratings </w:t>
      </w:r>
      <w:r w:rsidR="00B90DEE" w:rsidRPr="000530B1">
        <w:t>seen prior to 2020.</w:t>
      </w:r>
    </w:p>
    <w:p w14:paraId="6B2ACDC1" w14:textId="57F8D1D6" w:rsidR="000828F8" w:rsidRPr="00BA701A" w:rsidRDefault="000828F8" w:rsidP="000828F8">
      <w:pPr>
        <w:pStyle w:val="Body"/>
        <w:rPr>
          <w:spacing w:val="-2"/>
        </w:rPr>
      </w:pPr>
      <w:r w:rsidRPr="00BA701A">
        <w:rPr>
          <w:spacing w:val="-2"/>
        </w:rPr>
        <w:lastRenderedPageBreak/>
        <w:t>In addition, undergraduates enrolled in internal/</w:t>
      </w:r>
      <w:r w:rsidR="004914C7" w:rsidRPr="00BA701A">
        <w:rPr>
          <w:spacing w:val="-2"/>
        </w:rPr>
        <w:t>multi-mode</w:t>
      </w:r>
      <w:r w:rsidRPr="00BA701A">
        <w:rPr>
          <w:spacing w:val="-2"/>
        </w:rPr>
        <w:t xml:space="preserve"> studies who reported </w:t>
      </w:r>
      <w:r w:rsidR="001A7A35" w:rsidRPr="00BA701A">
        <w:rPr>
          <w:spacing w:val="-2"/>
        </w:rPr>
        <w:t xml:space="preserve">taking a </w:t>
      </w:r>
      <w:r w:rsidR="00B65D45" w:rsidRPr="00BA701A">
        <w:rPr>
          <w:spacing w:val="-2"/>
        </w:rPr>
        <w:t>‘</w:t>
      </w:r>
      <w:r w:rsidR="001A7A35" w:rsidRPr="00BA701A">
        <w:rPr>
          <w:spacing w:val="-2"/>
        </w:rPr>
        <w:t>blended/hybrid</w:t>
      </w:r>
      <w:r w:rsidR="00B65D45" w:rsidRPr="00BA701A">
        <w:rPr>
          <w:spacing w:val="-2"/>
        </w:rPr>
        <w:t>’</w:t>
      </w:r>
      <w:r w:rsidR="00F63F9F" w:rsidRPr="00BA701A">
        <w:rPr>
          <w:spacing w:val="-2"/>
        </w:rPr>
        <w:t xml:space="preserve"> approach to participation, </w:t>
      </w:r>
      <w:r w:rsidR="002E6C2C" w:rsidRPr="00BA701A">
        <w:rPr>
          <w:spacing w:val="-2"/>
        </w:rPr>
        <w:t xml:space="preserve">had </w:t>
      </w:r>
      <w:r w:rsidRPr="00BA701A">
        <w:rPr>
          <w:spacing w:val="-2"/>
        </w:rPr>
        <w:t xml:space="preserve">the highest positive Overall Educational Experience ratings </w:t>
      </w:r>
      <w:r w:rsidR="00726B57" w:rsidRPr="00BA701A">
        <w:rPr>
          <w:spacing w:val="-2"/>
        </w:rPr>
        <w:t>if they did</w:t>
      </w:r>
      <w:r w:rsidRPr="00BA701A">
        <w:rPr>
          <w:spacing w:val="-2"/>
        </w:rPr>
        <w:t xml:space="preserve"> </w:t>
      </w:r>
      <w:r w:rsidR="00A669CF" w:rsidRPr="00BA701A">
        <w:rPr>
          <w:spacing w:val="-2"/>
        </w:rPr>
        <w:t>‘</w:t>
      </w:r>
      <w:r w:rsidRPr="00BA701A">
        <w:rPr>
          <w:spacing w:val="-2"/>
        </w:rPr>
        <w:t>some</w:t>
      </w:r>
      <w:r w:rsidR="00A669CF" w:rsidRPr="00BA701A">
        <w:rPr>
          <w:spacing w:val="-2"/>
        </w:rPr>
        <w:t>’</w:t>
      </w:r>
      <w:r w:rsidRPr="00BA701A">
        <w:rPr>
          <w:spacing w:val="-2"/>
        </w:rPr>
        <w:t xml:space="preserve"> of their classes online</w:t>
      </w:r>
      <w:r w:rsidR="00726B57" w:rsidRPr="00BA701A">
        <w:rPr>
          <w:spacing w:val="-2"/>
        </w:rPr>
        <w:t xml:space="preserve"> (as opposed to </w:t>
      </w:r>
      <w:r w:rsidR="00B65D45" w:rsidRPr="00BA701A">
        <w:rPr>
          <w:spacing w:val="-2"/>
        </w:rPr>
        <w:t>‘</w:t>
      </w:r>
      <w:r w:rsidR="00726B57" w:rsidRPr="00BA701A">
        <w:rPr>
          <w:spacing w:val="-2"/>
        </w:rPr>
        <w:t>about half</w:t>
      </w:r>
      <w:r w:rsidR="00B65D45" w:rsidRPr="00BA701A">
        <w:rPr>
          <w:spacing w:val="-2"/>
        </w:rPr>
        <w:t>’</w:t>
      </w:r>
      <w:r w:rsidR="00726B57" w:rsidRPr="00BA701A">
        <w:rPr>
          <w:spacing w:val="-2"/>
        </w:rPr>
        <w:t xml:space="preserve"> or </w:t>
      </w:r>
      <w:r w:rsidR="00B65D45" w:rsidRPr="00BA701A">
        <w:rPr>
          <w:spacing w:val="-2"/>
        </w:rPr>
        <w:t>‘</w:t>
      </w:r>
      <w:r w:rsidR="00726B57" w:rsidRPr="00BA701A">
        <w:rPr>
          <w:spacing w:val="-2"/>
        </w:rPr>
        <w:t>most</w:t>
      </w:r>
      <w:r w:rsidR="00B65D45" w:rsidRPr="00BA701A">
        <w:rPr>
          <w:spacing w:val="-2"/>
        </w:rPr>
        <w:t>’</w:t>
      </w:r>
      <w:r w:rsidR="00726B57" w:rsidRPr="00BA701A">
        <w:rPr>
          <w:spacing w:val="-2"/>
        </w:rPr>
        <w:t xml:space="preserve"> online)</w:t>
      </w:r>
      <w:r w:rsidRPr="00BA701A">
        <w:rPr>
          <w:spacing w:val="-2"/>
        </w:rPr>
        <w:t>. These findings suggest there may be an inverse relationship between online studies and Overall Educational Experience for students who enrolled in an internal/</w:t>
      </w:r>
      <w:r w:rsidR="004914C7" w:rsidRPr="00BA701A">
        <w:rPr>
          <w:spacing w:val="-2"/>
        </w:rPr>
        <w:t>multi-mode</w:t>
      </w:r>
      <w:r w:rsidRPr="00BA701A">
        <w:rPr>
          <w:spacing w:val="-2"/>
        </w:rPr>
        <w:t xml:space="preserve"> course.</w:t>
      </w:r>
    </w:p>
    <w:p w14:paraId="3CB92692" w14:textId="53DF9F2D" w:rsidR="00B90DEE" w:rsidRPr="000530B1" w:rsidRDefault="00B90DEE" w:rsidP="000828F8">
      <w:pPr>
        <w:pStyle w:val="Body"/>
      </w:pPr>
      <w:r w:rsidRPr="000530B1">
        <w:t xml:space="preserve">It is important to note that students enrolled in external courses, and therefore intended to study </w:t>
      </w:r>
      <w:r w:rsidR="00645E8B" w:rsidRPr="000530B1">
        <w:t xml:space="preserve">remotely or </w:t>
      </w:r>
      <w:r w:rsidRPr="000530B1">
        <w:t xml:space="preserve">online, </w:t>
      </w:r>
      <w:r w:rsidR="00A66B4C" w:rsidRPr="000530B1">
        <w:t xml:space="preserve">continued to rate their experience highly. This suggests that </w:t>
      </w:r>
      <w:r w:rsidR="00D4014D" w:rsidRPr="000530B1">
        <w:t xml:space="preserve">students’ expectations regarding their mode of attendance and what they </w:t>
      </w:r>
      <w:proofErr w:type="gramStart"/>
      <w:r w:rsidR="00D4014D" w:rsidRPr="000530B1">
        <w:t>actually did</w:t>
      </w:r>
      <w:proofErr w:type="gramEnd"/>
      <w:r w:rsidR="00D4014D" w:rsidRPr="000530B1">
        <w:t xml:space="preserve"> do influence results.</w:t>
      </w:r>
    </w:p>
    <w:p w14:paraId="7BEB9BEF" w14:textId="00E6EEF0" w:rsidR="00B67C43" w:rsidRPr="000530B1" w:rsidRDefault="00B67C43" w:rsidP="00194EE0">
      <w:pPr>
        <w:pStyle w:val="Captionaccessible"/>
      </w:pPr>
      <w:bookmarkStart w:id="36" w:name="_Ref217307731"/>
      <w:bookmarkStart w:id="37" w:name="_Toc239764870"/>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5</w:t>
      </w:r>
      <w:r w:rsidR="00955601">
        <w:rPr>
          <w:noProof/>
        </w:rPr>
        <w:fldChar w:fldCharType="end"/>
      </w:r>
      <w:bookmarkEnd w:id="36"/>
      <w:r w:rsidR="00F02A83" w:rsidRPr="000530B1">
        <w:tab/>
      </w:r>
      <w:r w:rsidRPr="000530B1">
        <w:t xml:space="preserve">Undergraduate </w:t>
      </w:r>
      <w:r w:rsidR="006F6ECA" w:rsidRPr="000530B1">
        <w:t>Overall Educational Experience</w:t>
      </w:r>
      <w:r w:rsidRPr="000530B1">
        <w:t xml:space="preserve"> by class participation, enrolled internal/</w:t>
      </w:r>
      <w:r w:rsidR="004914C7" w:rsidRPr="000530B1">
        <w:t>multi-mode</w:t>
      </w:r>
      <w:r w:rsidRPr="000530B1">
        <w:t>, 2025 (% positive rating)</w:t>
      </w:r>
      <w:bookmarkEnd w:id="37"/>
    </w:p>
    <w:p w14:paraId="7376244C" w14:textId="10F83FC9" w:rsidR="00876ED2" w:rsidRDefault="00262D2C" w:rsidP="00D93EE5">
      <w:pPr>
        <w:spacing w:before="60" w:after="240"/>
        <w:rPr>
          <w:rFonts w:ascii="Times New Roman" w:eastAsia="Times New Roman" w:hAnsi="Times New Roman" w:cs="Times New Roman"/>
          <w:sz w:val="24"/>
          <w:szCs w:val="24"/>
          <w:lang w:eastAsia="en-AU"/>
        </w:rPr>
      </w:pPr>
      <w:r w:rsidRPr="000530B1">
        <w:rPr>
          <w:rFonts w:ascii="Times New Roman" w:eastAsia="Times New Roman" w:hAnsi="Times New Roman" w:cs="Times New Roman"/>
          <w:sz w:val="24"/>
          <w:szCs w:val="24"/>
          <w:lang w:eastAsia="en-AU"/>
        </w:rPr>
        <w:t xml:space="preserve"> </w:t>
      </w:r>
      <w:r w:rsidR="00D93EE5">
        <w:rPr>
          <w:rFonts w:ascii="Times New Roman" w:eastAsia="Times New Roman" w:hAnsi="Times New Roman" w:cs="Times New Roman"/>
          <w:noProof/>
          <w:sz w:val="24"/>
          <w:szCs w:val="24"/>
          <w:lang w:eastAsia="en-AU"/>
        </w:rPr>
        <w:drawing>
          <wp:inline distT="0" distB="0" distL="0" distR="0" wp14:anchorId="726ACA79" wp14:editId="12B032CD">
            <wp:extent cx="6408000" cy="6836313"/>
            <wp:effectExtent l="0" t="0" r="0" b="3175"/>
            <wp:docPr id="3870214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08000" cy="6836313"/>
                    </a:xfrm>
                    <a:prstGeom prst="rect">
                      <a:avLst/>
                    </a:prstGeom>
                    <a:noFill/>
                  </pic:spPr>
                </pic:pic>
              </a:graphicData>
            </a:graphic>
          </wp:inline>
        </w:drawing>
      </w:r>
    </w:p>
    <w:p w14:paraId="3D463DE2" w14:textId="63382306" w:rsidR="004D0106" w:rsidRPr="004D0106" w:rsidRDefault="004D0106" w:rsidP="004D0106">
      <w:pPr>
        <w:spacing w:after="240"/>
        <w:rPr>
          <w:rFonts w:ascii="Times New Roman" w:eastAsia="Times New Roman" w:hAnsi="Times New Roman" w:cs="Times New Roman"/>
          <w:sz w:val="24"/>
          <w:szCs w:val="24"/>
          <w:lang w:eastAsia="en-AU"/>
        </w:rPr>
      </w:pPr>
    </w:p>
    <w:p w14:paraId="6187D864" w14:textId="0472A590" w:rsidR="005F4EF2" w:rsidRPr="000530B1" w:rsidRDefault="005F4EF2" w:rsidP="00FE1EC3">
      <w:pPr>
        <w:pStyle w:val="Body"/>
        <w:spacing w:before="60"/>
      </w:pPr>
      <w:r w:rsidRPr="000530B1">
        <w:lastRenderedPageBreak/>
        <w:t xml:space="preserve">Results varied at the postgraduate coursework level, with Overall Educational Experience ratings consistent between internal/multi-mode students who did </w:t>
      </w:r>
      <w:r w:rsidR="00B65D45">
        <w:t>‘</w:t>
      </w:r>
      <w:r w:rsidR="00AB2807" w:rsidRPr="00B65D45">
        <w:t xml:space="preserve">all </w:t>
      </w:r>
      <w:proofErr w:type="gramStart"/>
      <w:r w:rsidR="0096380B" w:rsidRPr="00B65D45">
        <w:t>on-campus</w:t>
      </w:r>
      <w:proofErr w:type="gramEnd"/>
      <w:r w:rsidR="00B65D45">
        <w:t>’</w:t>
      </w:r>
      <w:r w:rsidR="0096380B" w:rsidRPr="000530B1">
        <w:t xml:space="preserve"> </w:t>
      </w:r>
      <w:r w:rsidRPr="000530B1">
        <w:t>and</w:t>
      </w:r>
      <w:r w:rsidRPr="00B65D45">
        <w:t xml:space="preserve"> </w:t>
      </w:r>
      <w:r w:rsidR="00B65D45" w:rsidRPr="00B65D45">
        <w:t>‘</w:t>
      </w:r>
      <w:r w:rsidRPr="00B65D45">
        <w:t xml:space="preserve">all </w:t>
      </w:r>
      <w:proofErr w:type="gramStart"/>
      <w:r w:rsidRPr="00B65D45">
        <w:t>online</w:t>
      </w:r>
      <w:r w:rsidR="00B65D45" w:rsidRPr="00B65D45">
        <w:t xml:space="preserve">‘ </w:t>
      </w:r>
      <w:r w:rsidRPr="000530B1">
        <w:t>(</w:t>
      </w:r>
      <w:proofErr w:type="gramEnd"/>
      <w:r w:rsidRPr="000530B1">
        <w:rPr>
          <w:b/>
          <w:bCs/>
        </w:rPr>
        <w:fldChar w:fldCharType="begin"/>
      </w:r>
      <w:r w:rsidRPr="000530B1">
        <w:rPr>
          <w:b/>
          <w:bCs/>
        </w:rPr>
        <w:instrText xml:space="preserve"> REF _Ref217401458 \h  \* MERGEFORMAT </w:instrText>
      </w:r>
      <w:r w:rsidRPr="000530B1">
        <w:rPr>
          <w:b/>
          <w:bCs/>
        </w:rPr>
      </w:r>
      <w:r w:rsidRPr="000530B1">
        <w:rPr>
          <w:b/>
          <w:bCs/>
        </w:rPr>
        <w:fldChar w:fldCharType="separate"/>
      </w:r>
      <w:r w:rsidR="00F02A83" w:rsidRPr="000530B1">
        <w:rPr>
          <w:b/>
          <w:bCs/>
        </w:rPr>
        <w:t xml:space="preserve">Figure </w:t>
      </w:r>
      <w:r w:rsidR="00F02A83" w:rsidRPr="000530B1">
        <w:rPr>
          <w:b/>
          <w:bCs/>
          <w:noProof/>
        </w:rPr>
        <w:t>6</w:t>
      </w:r>
      <w:r w:rsidRPr="000530B1">
        <w:rPr>
          <w:b/>
          <w:bCs/>
        </w:rPr>
        <w:fldChar w:fldCharType="end"/>
      </w:r>
      <w:r w:rsidRPr="000530B1">
        <w:t xml:space="preserve">). However, consistent with undergraduate results, those who </w:t>
      </w:r>
      <w:r w:rsidR="00BE0FC7" w:rsidRPr="000530B1">
        <w:t xml:space="preserve">took a </w:t>
      </w:r>
      <w:r w:rsidR="00B65D45">
        <w:t>‘</w:t>
      </w:r>
      <w:r w:rsidR="00BE0FC7" w:rsidRPr="00B65D45">
        <w:t>blended/hybrid</w:t>
      </w:r>
      <w:r w:rsidR="00B65D45">
        <w:t>’</w:t>
      </w:r>
      <w:r w:rsidR="00BE0FC7" w:rsidRPr="000530B1">
        <w:t xml:space="preserve"> approach to participation</w:t>
      </w:r>
      <w:r w:rsidRPr="000530B1">
        <w:t xml:space="preserve"> reported the highest ratings when they did only </w:t>
      </w:r>
      <w:r w:rsidR="00B65D45">
        <w:t>‘</w:t>
      </w:r>
      <w:r w:rsidRPr="00B65D45">
        <w:t>some</w:t>
      </w:r>
      <w:r w:rsidR="00B65D45">
        <w:t>’</w:t>
      </w:r>
      <w:r w:rsidRPr="000530B1">
        <w:t xml:space="preserve"> of their classes online.</w:t>
      </w:r>
    </w:p>
    <w:p w14:paraId="26381C39" w14:textId="78A79FC9" w:rsidR="005B6AF8" w:rsidRPr="000530B1" w:rsidRDefault="005B6AF8" w:rsidP="00194EE0">
      <w:pPr>
        <w:pStyle w:val="Captionaccessible"/>
      </w:pPr>
      <w:bookmarkStart w:id="38" w:name="_Ref217401458"/>
      <w:bookmarkStart w:id="39" w:name="_Toc239764871"/>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6</w:t>
      </w:r>
      <w:r w:rsidR="00955601">
        <w:rPr>
          <w:noProof/>
        </w:rPr>
        <w:fldChar w:fldCharType="end"/>
      </w:r>
      <w:bookmarkEnd w:id="38"/>
      <w:r w:rsidR="00F02A83" w:rsidRPr="000530B1">
        <w:tab/>
      </w:r>
      <w:r w:rsidRPr="000530B1">
        <w:t>Postgraduate coursework Overall Educational Experience by class participation, enrolled internal/</w:t>
      </w:r>
      <w:r w:rsidR="004914C7" w:rsidRPr="000530B1">
        <w:t>multi-mode</w:t>
      </w:r>
      <w:r w:rsidRPr="000530B1">
        <w:t>, 2025 (% positive rating)</w:t>
      </w:r>
      <w:bookmarkEnd w:id="39"/>
    </w:p>
    <w:p w14:paraId="4EB3A860" w14:textId="32DDFC6F" w:rsidR="006F13EB" w:rsidRPr="000530B1" w:rsidRDefault="000500F9" w:rsidP="000500F9">
      <w:pPr>
        <w:spacing w:after="200"/>
      </w:pPr>
      <w:r>
        <w:rPr>
          <w:noProof/>
        </w:rPr>
        <w:drawing>
          <wp:inline distT="0" distB="0" distL="0" distR="0" wp14:anchorId="179940DC" wp14:editId="7457C25A">
            <wp:extent cx="6408000" cy="7218216"/>
            <wp:effectExtent l="0" t="0" r="0" b="1905"/>
            <wp:docPr id="12708498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08000" cy="7218216"/>
                    </a:xfrm>
                    <a:prstGeom prst="rect">
                      <a:avLst/>
                    </a:prstGeom>
                    <a:noFill/>
                  </pic:spPr>
                </pic:pic>
              </a:graphicData>
            </a:graphic>
          </wp:inline>
        </w:drawing>
      </w:r>
    </w:p>
    <w:p w14:paraId="71B97D1E" w14:textId="77777777" w:rsidR="002F0BB6" w:rsidRPr="000530B1" w:rsidRDefault="002F0BB6" w:rsidP="004D0106">
      <w:pPr>
        <w:pStyle w:val="Heading2"/>
        <w:spacing w:before="200"/>
      </w:pPr>
      <w:bookmarkStart w:id="40" w:name="_Toc239764789"/>
      <w:r w:rsidRPr="000530B1">
        <w:lastRenderedPageBreak/>
        <w:t>Teaching Quality and Engagement</w:t>
      </w:r>
      <w:bookmarkEnd w:id="40"/>
    </w:p>
    <w:tbl>
      <w:tblPr>
        <w:tblStyle w:val="TableGrid"/>
        <w:tblW w:w="10206" w:type="dxa"/>
        <w:tblInd w:w="-23" w:type="dxa"/>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10206"/>
      </w:tblGrid>
      <w:tr w:rsidR="00341441" w:rsidRPr="00341441" w14:paraId="505E0C2F" w14:textId="77777777" w:rsidTr="00FE1EC3">
        <w:trPr>
          <w:cnfStyle w:val="100000000000" w:firstRow="1" w:lastRow="0" w:firstColumn="0" w:lastColumn="0" w:oddVBand="0" w:evenVBand="0" w:oddHBand="0" w:evenHBand="0" w:firstRowFirstColumn="0" w:firstRowLastColumn="0" w:lastRowFirstColumn="0" w:lastRowLastColumn="0"/>
        </w:trPr>
        <w:tc>
          <w:tcPr>
            <w:tcW w:w="10206" w:type="dxa"/>
          </w:tcPr>
          <w:p w14:paraId="1705DE54" w14:textId="77777777" w:rsidR="00341441" w:rsidRDefault="00341441" w:rsidP="00653EF4">
            <w:pPr>
              <w:pStyle w:val="Body"/>
              <w:spacing w:after="60"/>
              <w:rPr>
                <w:bCs/>
              </w:rPr>
            </w:pPr>
            <w:r w:rsidRPr="002B0BA8">
              <w:rPr>
                <w:b w:val="0"/>
                <w:bCs/>
              </w:rPr>
              <w:t>The Teaching Quality and Engagement focus area captures students’ perceptions of the quality of the teaching they experienced during the year. It reflects students’ overarching evaluations of teaching in their course as well as their impressions of specific teaching practices and course organisation. Together, these measures provide a broad view of teaching quality, drawing on both students’ overall judgements and their reported exposure to key teaching and learning practices.</w:t>
            </w:r>
          </w:p>
          <w:p w14:paraId="71CBB803" w14:textId="3A8E686D" w:rsidR="002B0BA8" w:rsidRPr="002B0BA8" w:rsidRDefault="00341441" w:rsidP="004D0106">
            <w:pPr>
              <w:pStyle w:val="Bullets-noindent"/>
              <w:spacing w:before="40" w:after="40"/>
              <w:ind w:left="708"/>
              <w:rPr>
                <w:b w:val="0"/>
                <w:bCs/>
              </w:rPr>
            </w:pPr>
            <w:r w:rsidRPr="002B0BA8">
              <w:rPr>
                <w:b w:val="0"/>
                <w:bCs/>
              </w:rPr>
              <w:t>Course well-structured and focused</w:t>
            </w:r>
          </w:p>
          <w:p w14:paraId="247FD74F" w14:textId="0296E494" w:rsidR="00341441" w:rsidRPr="002B0BA8" w:rsidRDefault="00341441" w:rsidP="004D0106">
            <w:pPr>
              <w:pStyle w:val="Bullets-noindent"/>
              <w:spacing w:before="40" w:after="40"/>
              <w:ind w:left="708"/>
              <w:rPr>
                <w:b w:val="0"/>
                <w:bCs/>
              </w:rPr>
            </w:pPr>
            <w:r w:rsidRPr="002B0BA8">
              <w:rPr>
                <w:b w:val="0"/>
                <w:bCs/>
              </w:rPr>
              <w:t>Course relevant to education as a whole</w:t>
            </w:r>
          </w:p>
          <w:p w14:paraId="5773AD57" w14:textId="7FEFE258" w:rsidR="00341441" w:rsidRPr="002B0BA8" w:rsidRDefault="00341441" w:rsidP="004D0106">
            <w:pPr>
              <w:pStyle w:val="Bullets-noindent"/>
              <w:spacing w:before="40" w:after="40"/>
              <w:ind w:left="708"/>
              <w:rPr>
                <w:b w:val="0"/>
                <w:bCs/>
              </w:rPr>
            </w:pPr>
            <w:r w:rsidRPr="002B0BA8">
              <w:rPr>
                <w:b w:val="0"/>
                <w:bCs/>
              </w:rPr>
              <w:t>Teachers engaged you actively in learning</w:t>
            </w:r>
          </w:p>
          <w:p w14:paraId="0BCDD2ED" w14:textId="030B9E99" w:rsidR="00341441" w:rsidRPr="002B0BA8" w:rsidRDefault="00341441" w:rsidP="004D0106">
            <w:pPr>
              <w:pStyle w:val="Bullets-noindent"/>
              <w:spacing w:before="40" w:after="40"/>
              <w:ind w:left="708"/>
              <w:rPr>
                <w:b w:val="0"/>
                <w:bCs/>
              </w:rPr>
            </w:pPr>
            <w:r w:rsidRPr="002B0BA8">
              <w:rPr>
                <w:b w:val="0"/>
                <w:bCs/>
              </w:rPr>
              <w:t>Teachers demonstrated concern for student learning</w:t>
            </w:r>
          </w:p>
          <w:p w14:paraId="72218C49" w14:textId="1B77B2F2" w:rsidR="00341441" w:rsidRPr="002B0BA8" w:rsidRDefault="00341441" w:rsidP="004D0106">
            <w:pPr>
              <w:pStyle w:val="Bullets-noindent"/>
              <w:spacing w:before="40" w:after="40"/>
              <w:ind w:left="708"/>
              <w:rPr>
                <w:b w:val="0"/>
                <w:bCs/>
              </w:rPr>
            </w:pPr>
            <w:r w:rsidRPr="002B0BA8">
              <w:rPr>
                <w:b w:val="0"/>
                <w:bCs/>
              </w:rPr>
              <w:t>Teachers provided clear explanations on coursework and assessment</w:t>
            </w:r>
          </w:p>
          <w:p w14:paraId="0C0FC396" w14:textId="7DBACD95" w:rsidR="00341441" w:rsidRPr="002B0BA8" w:rsidRDefault="00341441" w:rsidP="004D0106">
            <w:pPr>
              <w:pStyle w:val="Bullets-noindent"/>
              <w:spacing w:before="40" w:after="40"/>
              <w:ind w:left="708"/>
              <w:rPr>
                <w:b w:val="0"/>
                <w:bCs/>
              </w:rPr>
            </w:pPr>
            <w:r w:rsidRPr="002B0BA8">
              <w:rPr>
                <w:b w:val="0"/>
                <w:bCs/>
              </w:rPr>
              <w:t>Teachers stimulated you intellectually</w:t>
            </w:r>
          </w:p>
          <w:p w14:paraId="53CEF6BB" w14:textId="4A343E93" w:rsidR="00341441" w:rsidRPr="002B0BA8" w:rsidRDefault="00341441" w:rsidP="004D0106">
            <w:pPr>
              <w:pStyle w:val="Bullets-noindent"/>
              <w:spacing w:before="40" w:after="40"/>
              <w:ind w:left="708"/>
              <w:rPr>
                <w:b w:val="0"/>
                <w:bCs/>
              </w:rPr>
            </w:pPr>
            <w:r w:rsidRPr="002B0BA8">
              <w:rPr>
                <w:b w:val="0"/>
                <w:bCs/>
              </w:rPr>
              <w:t>Teachers commented on your work in ways that help you learn</w:t>
            </w:r>
          </w:p>
          <w:p w14:paraId="45DC4856" w14:textId="38F01559" w:rsidR="00341441" w:rsidRPr="002B0BA8" w:rsidRDefault="00341441" w:rsidP="004D0106">
            <w:pPr>
              <w:pStyle w:val="Bullets-noindent"/>
              <w:spacing w:before="40" w:after="40"/>
              <w:ind w:left="708"/>
              <w:rPr>
                <w:b w:val="0"/>
                <w:bCs/>
              </w:rPr>
            </w:pPr>
            <w:r w:rsidRPr="002B0BA8">
              <w:rPr>
                <w:b w:val="0"/>
                <w:bCs/>
              </w:rPr>
              <w:t>Teachers seemed helpful and approachable</w:t>
            </w:r>
          </w:p>
          <w:p w14:paraId="2ECFF45E" w14:textId="759B97F2" w:rsidR="00341441" w:rsidRPr="002B0BA8" w:rsidRDefault="00341441" w:rsidP="004D0106">
            <w:pPr>
              <w:pStyle w:val="Bullets-noindent"/>
              <w:spacing w:before="40" w:after="40"/>
              <w:ind w:left="708"/>
              <w:rPr>
                <w:b w:val="0"/>
                <w:bCs/>
              </w:rPr>
            </w:pPr>
            <w:r w:rsidRPr="002B0BA8">
              <w:rPr>
                <w:b w:val="0"/>
                <w:bCs/>
              </w:rPr>
              <w:t>Teachers set assessment tasks that challenge you to learn</w:t>
            </w:r>
          </w:p>
          <w:p w14:paraId="41F0B4AE" w14:textId="77777777" w:rsidR="002B0BA8" w:rsidRPr="002B0BA8" w:rsidRDefault="00341441" w:rsidP="004D0106">
            <w:pPr>
              <w:pStyle w:val="Bullets-noindent"/>
              <w:spacing w:before="40" w:after="40"/>
              <w:ind w:left="708"/>
              <w:rPr>
                <w:b w:val="0"/>
                <w:bCs/>
              </w:rPr>
            </w:pPr>
            <w:r w:rsidRPr="002B0BA8">
              <w:rPr>
                <w:b w:val="0"/>
                <w:bCs/>
              </w:rPr>
              <w:t>Overall quality of teaching</w:t>
            </w:r>
          </w:p>
          <w:p w14:paraId="773BE8C7" w14:textId="726FB146" w:rsidR="00341441" w:rsidRPr="002B0BA8" w:rsidRDefault="00341441" w:rsidP="00653EF4">
            <w:pPr>
              <w:pStyle w:val="Bullets-noindent"/>
              <w:spacing w:before="40"/>
              <w:ind w:left="708"/>
              <w:rPr>
                <w:b w:val="0"/>
                <w:bCs/>
              </w:rPr>
            </w:pPr>
            <w:r w:rsidRPr="002B0BA8">
              <w:rPr>
                <w:b w:val="0"/>
                <w:bCs/>
              </w:rPr>
              <w:t>Overall quality of entire educational experience.</w:t>
            </w:r>
          </w:p>
        </w:tc>
      </w:tr>
    </w:tbl>
    <w:p w14:paraId="49C68763" w14:textId="282D541A" w:rsidR="00E6718E" w:rsidRPr="000530B1" w:rsidRDefault="00BC4037" w:rsidP="00F869AF">
      <w:pPr>
        <w:spacing w:before="160" w:after="120" w:line="300" w:lineRule="auto"/>
        <w:rPr>
          <w:rFonts w:eastAsia="Times New Roman" w:cs="Times New Roman"/>
          <w:szCs w:val="20"/>
        </w:rPr>
      </w:pPr>
      <w:r w:rsidRPr="000530B1">
        <w:rPr>
          <w:rFonts w:eastAsia="Times New Roman" w:cs="Times New Roman"/>
          <w:szCs w:val="20"/>
        </w:rPr>
        <w:t xml:space="preserve">The </w:t>
      </w:r>
      <w:r w:rsidR="00537B00" w:rsidRPr="000530B1">
        <w:rPr>
          <w:rFonts w:eastAsia="Times New Roman" w:cs="Times New Roman"/>
          <w:szCs w:val="20"/>
        </w:rPr>
        <w:t>Teaching Quality and Engagement focus area</w:t>
      </w:r>
      <w:r w:rsidR="007734A9" w:rsidRPr="000530B1">
        <w:rPr>
          <w:rFonts w:eastAsia="Times New Roman" w:cs="Times New Roman"/>
          <w:szCs w:val="20"/>
        </w:rPr>
        <w:t xml:space="preserve"> </w:t>
      </w:r>
      <w:r w:rsidR="00813581" w:rsidRPr="000530B1">
        <w:rPr>
          <w:rFonts w:eastAsia="Times New Roman" w:cs="Times New Roman"/>
          <w:szCs w:val="20"/>
        </w:rPr>
        <w:t>is highly correlated</w:t>
      </w:r>
      <w:r w:rsidR="00DE3FA5" w:rsidRPr="000530B1">
        <w:rPr>
          <w:rFonts w:eastAsia="Times New Roman" w:cs="Times New Roman"/>
          <w:szCs w:val="20"/>
        </w:rPr>
        <w:t xml:space="preserve"> </w:t>
      </w:r>
      <w:r w:rsidR="00C60259" w:rsidRPr="000530B1">
        <w:rPr>
          <w:rFonts w:eastAsia="Times New Roman" w:cs="Times New Roman"/>
          <w:szCs w:val="20"/>
        </w:rPr>
        <w:t xml:space="preserve">with Overall Educational Experience – that is, </w:t>
      </w:r>
      <w:r w:rsidR="006C3D02" w:rsidRPr="000530B1">
        <w:rPr>
          <w:rFonts w:eastAsia="Times New Roman" w:cs="Times New Roman"/>
          <w:szCs w:val="20"/>
        </w:rPr>
        <w:t xml:space="preserve">student ratings of Overall Educational Experience are </w:t>
      </w:r>
      <w:r w:rsidR="00813581" w:rsidRPr="000530B1">
        <w:rPr>
          <w:rFonts w:eastAsia="Times New Roman" w:cs="Times New Roman"/>
          <w:szCs w:val="20"/>
        </w:rPr>
        <w:t>related to student</w:t>
      </w:r>
      <w:r w:rsidR="006C3D02" w:rsidRPr="000530B1">
        <w:rPr>
          <w:rFonts w:eastAsia="Times New Roman" w:cs="Times New Roman"/>
          <w:szCs w:val="20"/>
        </w:rPr>
        <w:t xml:space="preserve"> experiences </w:t>
      </w:r>
      <w:r w:rsidR="00363293" w:rsidRPr="000530B1">
        <w:rPr>
          <w:rFonts w:eastAsia="Times New Roman" w:cs="Times New Roman"/>
          <w:szCs w:val="20"/>
        </w:rPr>
        <w:t xml:space="preserve">with </w:t>
      </w:r>
      <w:r w:rsidR="00BE6598" w:rsidRPr="000530B1">
        <w:rPr>
          <w:rFonts w:eastAsia="Times New Roman" w:cs="Times New Roman"/>
          <w:szCs w:val="20"/>
        </w:rPr>
        <w:t>the different aspects of this focus area.</w:t>
      </w:r>
    </w:p>
    <w:p w14:paraId="2A008583" w14:textId="006425E8" w:rsidR="008D279B" w:rsidRPr="000530B1" w:rsidRDefault="008D279B" w:rsidP="00F02A83">
      <w:pPr>
        <w:spacing w:line="300" w:lineRule="auto"/>
        <w:rPr>
          <w:b/>
          <w:bCs/>
          <w:noProof/>
        </w:rPr>
      </w:pPr>
      <w:r w:rsidRPr="000530B1">
        <w:rPr>
          <w:rFonts w:eastAsia="Times New Roman" w:cs="Times New Roman"/>
          <w:szCs w:val="20"/>
        </w:rPr>
        <w:t>Like Overall Educational Experience, undergraduate ratings of Teaching Quality and Engagement</w:t>
      </w:r>
      <w:r w:rsidR="003C16A4" w:rsidRPr="000530B1">
        <w:rPr>
          <w:rFonts w:eastAsia="Times New Roman" w:cs="Times New Roman"/>
          <w:szCs w:val="20"/>
        </w:rPr>
        <w:t xml:space="preserve"> declined in 2020</w:t>
      </w:r>
      <w:r w:rsidR="008049AE" w:rsidRPr="000530B1">
        <w:rPr>
          <w:rFonts w:eastAsia="Times New Roman" w:cs="Times New Roman"/>
          <w:szCs w:val="20"/>
        </w:rPr>
        <w:t xml:space="preserve"> and only partially recovered to the levels seen prior to the pandemic</w:t>
      </w:r>
      <w:r w:rsidR="00680E96" w:rsidRPr="000530B1">
        <w:rPr>
          <w:rFonts w:eastAsia="Times New Roman" w:cs="Times New Roman"/>
          <w:szCs w:val="20"/>
        </w:rPr>
        <w:t xml:space="preserve"> (</w:t>
      </w:r>
      <w:r w:rsidR="00BE6145" w:rsidRPr="000530B1">
        <w:rPr>
          <w:rFonts w:eastAsia="Times New Roman" w:cs="Times New Roman"/>
          <w:b/>
          <w:bCs/>
          <w:szCs w:val="20"/>
        </w:rPr>
        <w:fldChar w:fldCharType="begin"/>
      </w:r>
      <w:r w:rsidR="00BE6145" w:rsidRPr="000530B1">
        <w:rPr>
          <w:rFonts w:eastAsia="Times New Roman" w:cs="Times New Roman"/>
          <w:b/>
          <w:bCs/>
          <w:szCs w:val="20"/>
        </w:rPr>
        <w:instrText xml:space="preserve"> REF _Ref216859392 \h  \* MERGEFORMAT </w:instrText>
      </w:r>
      <w:r w:rsidR="00BE6145" w:rsidRPr="000530B1">
        <w:rPr>
          <w:rFonts w:eastAsia="Times New Roman" w:cs="Times New Roman"/>
          <w:b/>
          <w:bCs/>
          <w:szCs w:val="20"/>
        </w:rPr>
      </w:r>
      <w:r w:rsidR="00BE6145" w:rsidRPr="000530B1">
        <w:rPr>
          <w:rFonts w:eastAsia="Times New Roman" w:cs="Times New Roman"/>
          <w:b/>
          <w:bCs/>
          <w:szCs w:val="20"/>
        </w:rPr>
        <w:fldChar w:fldCharType="separate"/>
      </w:r>
      <w:r w:rsidR="00BE6145" w:rsidRPr="000530B1">
        <w:rPr>
          <w:b/>
          <w:bCs/>
        </w:rPr>
        <w:t xml:space="preserve">Figure </w:t>
      </w:r>
      <w:r w:rsidR="00BE6145" w:rsidRPr="000530B1">
        <w:rPr>
          <w:b/>
          <w:bCs/>
          <w:noProof/>
        </w:rPr>
        <w:t>7</w:t>
      </w:r>
      <w:r w:rsidR="00BE6145" w:rsidRPr="000530B1">
        <w:rPr>
          <w:rFonts w:eastAsia="Times New Roman" w:cs="Times New Roman"/>
          <w:b/>
          <w:bCs/>
          <w:szCs w:val="20"/>
        </w:rPr>
        <w:fldChar w:fldCharType="end"/>
      </w:r>
      <w:r w:rsidR="00E850AD" w:rsidRPr="000530B1">
        <w:rPr>
          <w:rFonts w:eastAsia="Times New Roman" w:cs="Times New Roman"/>
          <w:b/>
          <w:bCs/>
          <w:szCs w:val="20"/>
        </w:rPr>
        <w:fldChar w:fldCharType="begin"/>
      </w:r>
      <w:r w:rsidR="00E850AD" w:rsidRPr="000530B1">
        <w:rPr>
          <w:rFonts w:eastAsia="Times New Roman" w:cs="Times New Roman"/>
          <w:b/>
          <w:bCs/>
          <w:szCs w:val="20"/>
        </w:rPr>
        <w:instrText xml:space="preserve"> REF _Ref216859392 \h  \* MERGEFORMAT </w:instrText>
      </w:r>
      <w:r w:rsidR="00E850AD" w:rsidRPr="000530B1">
        <w:rPr>
          <w:rFonts w:eastAsia="Times New Roman" w:cs="Times New Roman"/>
          <w:b/>
          <w:bCs/>
          <w:szCs w:val="20"/>
        </w:rPr>
      </w:r>
      <w:r w:rsidR="00E850AD" w:rsidRPr="000530B1">
        <w:rPr>
          <w:rFonts w:eastAsia="Times New Roman" w:cs="Times New Roman"/>
          <w:b/>
          <w:bCs/>
          <w:szCs w:val="20"/>
        </w:rPr>
        <w:fldChar w:fldCharType="separate"/>
      </w:r>
      <w:r w:rsidR="00E850AD" w:rsidRPr="000530B1">
        <w:rPr>
          <w:rFonts w:eastAsia="Times New Roman" w:cs="Times New Roman"/>
          <w:b/>
          <w:bCs/>
          <w:szCs w:val="20"/>
        </w:rPr>
        <w:fldChar w:fldCharType="end"/>
      </w:r>
      <w:r w:rsidR="00E850AD" w:rsidRPr="000530B1">
        <w:rPr>
          <w:rFonts w:eastAsia="Times New Roman" w:cs="Times New Roman"/>
          <w:szCs w:val="20"/>
        </w:rPr>
        <w:t>)</w:t>
      </w:r>
      <w:r w:rsidR="008049AE" w:rsidRPr="000530B1">
        <w:rPr>
          <w:rFonts w:eastAsia="Times New Roman" w:cs="Times New Roman"/>
          <w:szCs w:val="20"/>
        </w:rPr>
        <w:t>.</w:t>
      </w:r>
      <w:r w:rsidR="00E850AD" w:rsidRPr="000530B1">
        <w:rPr>
          <w:rFonts w:eastAsia="Times New Roman" w:cs="Times New Roman"/>
          <w:szCs w:val="20"/>
        </w:rPr>
        <w:t xml:space="preserve"> In 2025, </w:t>
      </w:r>
      <w:r w:rsidR="008603B7" w:rsidRPr="000530B1">
        <w:rPr>
          <w:rFonts w:eastAsia="Times New Roman" w:cs="Times New Roman"/>
          <w:szCs w:val="20"/>
        </w:rPr>
        <w:t>80.5 per cent of undergraduate students rated Teaching Quality and Engagement positively</w:t>
      </w:r>
      <w:r w:rsidR="00464AD8" w:rsidRPr="000530B1">
        <w:rPr>
          <w:rFonts w:eastAsia="Times New Roman" w:cs="Times New Roman"/>
          <w:szCs w:val="20"/>
        </w:rPr>
        <w:t xml:space="preserve">, and while this is </w:t>
      </w:r>
      <w:r w:rsidR="00715B69" w:rsidRPr="000530B1">
        <w:rPr>
          <w:rFonts w:eastAsia="Times New Roman" w:cs="Times New Roman"/>
          <w:szCs w:val="20"/>
        </w:rPr>
        <w:t>still a relatively high number</w:t>
      </w:r>
      <w:r w:rsidR="00A817B0" w:rsidRPr="000530B1">
        <w:rPr>
          <w:rFonts w:eastAsia="Times New Roman" w:cs="Times New Roman"/>
          <w:szCs w:val="20"/>
        </w:rPr>
        <w:t>, it is below the 81.4 and 81.0 per cent recorded in 2018 and 2019 respectively.</w:t>
      </w:r>
    </w:p>
    <w:p w14:paraId="40EE5514" w14:textId="15AA5D98" w:rsidR="008025DD" w:rsidRPr="00A669CF" w:rsidRDefault="00261233" w:rsidP="004D0106">
      <w:pPr>
        <w:spacing w:before="120" w:after="120" w:line="300" w:lineRule="auto"/>
        <w:rPr>
          <w:rFonts w:eastAsia="Times New Roman" w:cs="Times New Roman"/>
          <w:szCs w:val="20"/>
        </w:rPr>
      </w:pPr>
      <w:r w:rsidRPr="000530B1">
        <w:rPr>
          <w:rFonts w:eastAsia="Times New Roman" w:cs="Times New Roman"/>
          <w:szCs w:val="20"/>
        </w:rPr>
        <w:t xml:space="preserve">As with other aspects of student experience for postgraduate coursework level students, ratings continued to </w:t>
      </w:r>
      <w:r w:rsidR="004E0473" w:rsidRPr="000530B1">
        <w:rPr>
          <w:rFonts w:eastAsia="Times New Roman" w:cs="Times New Roman"/>
          <w:szCs w:val="20"/>
        </w:rPr>
        <w:t xml:space="preserve">increase in 2025, remaining above the levels seen prior to the pandemic. In 2025, </w:t>
      </w:r>
      <w:r w:rsidR="00A772FA" w:rsidRPr="000530B1">
        <w:rPr>
          <w:rFonts w:eastAsia="Times New Roman" w:cs="Times New Roman"/>
          <w:szCs w:val="20"/>
        </w:rPr>
        <w:t>83.7 per cent of postgraduate coursework students rated Teaching Quality and Engagement positively</w:t>
      </w:r>
      <w:r w:rsidR="00BC2523" w:rsidRPr="000530B1">
        <w:rPr>
          <w:rFonts w:eastAsia="Times New Roman" w:cs="Times New Roman"/>
          <w:szCs w:val="20"/>
        </w:rPr>
        <w:t>, further widening the gap between undergraduate and postgraduate coursework</w:t>
      </w:r>
      <w:r w:rsidR="00D278AA" w:rsidRPr="000530B1">
        <w:rPr>
          <w:rFonts w:eastAsia="Times New Roman" w:cs="Times New Roman"/>
          <w:szCs w:val="20"/>
        </w:rPr>
        <w:t xml:space="preserve"> ratings </w:t>
      </w:r>
      <w:r w:rsidR="00181E39" w:rsidRPr="000530B1">
        <w:rPr>
          <w:rFonts w:eastAsia="Times New Roman" w:cs="Times New Roman"/>
          <w:szCs w:val="20"/>
        </w:rPr>
        <w:t>to 3.2 percentage points.</w:t>
      </w:r>
      <w:bookmarkStart w:id="41" w:name="_Ref216859392"/>
    </w:p>
    <w:p w14:paraId="1BA584E5" w14:textId="667DD1B8" w:rsidR="00BB31F2" w:rsidRPr="000530B1" w:rsidRDefault="00BB31F2" w:rsidP="00653EF4">
      <w:pPr>
        <w:pStyle w:val="Captionaccessible"/>
        <w:spacing w:after="20"/>
      </w:pPr>
      <w:bookmarkStart w:id="42" w:name="_Toc239764872"/>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7</w:t>
      </w:r>
      <w:r w:rsidR="00955601">
        <w:rPr>
          <w:noProof/>
        </w:rPr>
        <w:fldChar w:fldCharType="end"/>
      </w:r>
      <w:bookmarkEnd w:id="41"/>
      <w:r w:rsidR="00F02A83" w:rsidRPr="000530B1">
        <w:tab/>
      </w:r>
      <w:r w:rsidRPr="000530B1">
        <w:t>Teaching Quality and Engagement by course level, 2017–25 (% positive rating)</w:t>
      </w:r>
      <w:bookmarkEnd w:id="42"/>
    </w:p>
    <w:p w14:paraId="730533BD" w14:textId="54213DAD" w:rsidR="004D0106" w:rsidRPr="004D0106" w:rsidRDefault="000500F9" w:rsidP="00F869AF">
      <w:pPr>
        <w:pStyle w:val="Body"/>
        <w:spacing w:before="60"/>
      </w:pPr>
      <w:r>
        <w:rPr>
          <w:noProof/>
        </w:rPr>
        <w:drawing>
          <wp:inline distT="0" distB="0" distL="0" distR="0" wp14:anchorId="525F0D69" wp14:editId="7EF33ABC">
            <wp:extent cx="6407150" cy="2877820"/>
            <wp:effectExtent l="0" t="0" r="0" b="0"/>
            <wp:docPr id="43926379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07150" cy="2877820"/>
                    </a:xfrm>
                    <a:prstGeom prst="rect">
                      <a:avLst/>
                    </a:prstGeom>
                    <a:noFill/>
                  </pic:spPr>
                </pic:pic>
              </a:graphicData>
            </a:graphic>
          </wp:inline>
        </w:drawing>
      </w:r>
    </w:p>
    <w:p w14:paraId="1F3906F3" w14:textId="3D6FC948" w:rsidR="00217D1F" w:rsidRPr="000530B1" w:rsidRDefault="00217D1F" w:rsidP="008F72C2">
      <w:pPr>
        <w:pStyle w:val="Body"/>
      </w:pPr>
      <w:r w:rsidRPr="000530B1">
        <w:rPr>
          <w:b/>
          <w:bCs/>
        </w:rPr>
        <w:lastRenderedPageBreak/>
        <w:fldChar w:fldCharType="begin"/>
      </w:r>
      <w:r w:rsidRPr="000530B1">
        <w:rPr>
          <w:b/>
          <w:bCs/>
        </w:rPr>
        <w:instrText xml:space="preserve"> REF _Ref217401966 \h </w:instrText>
      </w:r>
      <w:r w:rsidR="00880E10" w:rsidRPr="000530B1">
        <w:rPr>
          <w:b/>
          <w:bCs/>
        </w:rPr>
        <w:instrText xml:space="preserve"> \* MERGEFORMAT </w:instrText>
      </w:r>
      <w:r w:rsidRPr="000530B1">
        <w:rPr>
          <w:b/>
          <w:bCs/>
        </w:rPr>
      </w:r>
      <w:r w:rsidRPr="000530B1">
        <w:rPr>
          <w:b/>
          <w:bCs/>
        </w:rPr>
        <w:fldChar w:fldCharType="separate"/>
      </w:r>
      <w:r w:rsidR="00BE6145" w:rsidRPr="000530B1">
        <w:rPr>
          <w:b/>
          <w:bCs/>
        </w:rPr>
        <w:t xml:space="preserve">Figure </w:t>
      </w:r>
      <w:r w:rsidR="00BE6145" w:rsidRPr="000530B1">
        <w:rPr>
          <w:b/>
          <w:bCs/>
          <w:noProof/>
        </w:rPr>
        <w:t>8</w:t>
      </w:r>
      <w:r w:rsidRPr="000530B1">
        <w:rPr>
          <w:b/>
          <w:bCs/>
        </w:rPr>
        <w:fldChar w:fldCharType="end"/>
      </w:r>
      <w:r w:rsidRPr="000530B1">
        <w:t xml:space="preserve"> shows clear differences in Teaching Q</w:t>
      </w:r>
      <w:r w:rsidR="005126E4" w:rsidRPr="000530B1">
        <w:t>uality and Engagement ratings by class participation type for internal/multi-mode students</w:t>
      </w:r>
      <w:r w:rsidR="00275457" w:rsidRPr="000530B1">
        <w:t>:</w:t>
      </w:r>
      <w:r w:rsidR="005126E4" w:rsidRPr="000530B1">
        <w:t xml:space="preserve"> 82.3 per cent </w:t>
      </w:r>
      <w:r w:rsidR="00275457" w:rsidRPr="000530B1">
        <w:t xml:space="preserve">positive for those who </w:t>
      </w:r>
      <w:r w:rsidR="005126E4" w:rsidRPr="000530B1">
        <w:t xml:space="preserve">participated </w:t>
      </w:r>
      <w:r w:rsidR="00A669CF">
        <w:t>‘</w:t>
      </w:r>
      <w:r w:rsidR="005126E4" w:rsidRPr="00A669CF">
        <w:t xml:space="preserve">all </w:t>
      </w:r>
      <w:proofErr w:type="gramStart"/>
      <w:r w:rsidR="005126E4" w:rsidRPr="00A669CF">
        <w:t>on-campus</w:t>
      </w:r>
      <w:proofErr w:type="gramEnd"/>
      <w:r w:rsidR="00A669CF">
        <w:t>’</w:t>
      </w:r>
      <w:r w:rsidR="00275457" w:rsidRPr="000530B1">
        <w:t xml:space="preserve">, down to 75.1 per cent who participated </w:t>
      </w:r>
      <w:r w:rsidR="00A669CF">
        <w:t>‘</w:t>
      </w:r>
      <w:r w:rsidR="00275457" w:rsidRPr="00A669CF">
        <w:t>all online</w:t>
      </w:r>
      <w:r w:rsidR="00A669CF">
        <w:t>’</w:t>
      </w:r>
      <w:r w:rsidR="00275457" w:rsidRPr="000530B1">
        <w:t>.</w:t>
      </w:r>
      <w:r w:rsidR="002857F0" w:rsidRPr="000530B1">
        <w:t xml:space="preserve"> Additionally, students who </w:t>
      </w:r>
      <w:r w:rsidR="00F05107" w:rsidRPr="000530B1">
        <w:t xml:space="preserve">took a </w:t>
      </w:r>
      <w:r w:rsidR="00A669CF">
        <w:t>‘</w:t>
      </w:r>
      <w:r w:rsidR="00F05107" w:rsidRPr="00A669CF">
        <w:t>blended/hybrid</w:t>
      </w:r>
      <w:r w:rsidR="00A669CF">
        <w:t>’</w:t>
      </w:r>
      <w:r w:rsidR="00F05107" w:rsidRPr="000530B1">
        <w:t xml:space="preserve"> approach to</w:t>
      </w:r>
      <w:r w:rsidR="00972246" w:rsidRPr="000530B1">
        <w:t xml:space="preserve"> class participation </w:t>
      </w:r>
      <w:r w:rsidR="002857F0" w:rsidRPr="000530B1">
        <w:t xml:space="preserve">rated Teaching Quality and Engagement highest if they did only </w:t>
      </w:r>
      <w:r w:rsidR="002857F0" w:rsidRPr="000530B1">
        <w:rPr>
          <w:i/>
          <w:iCs/>
        </w:rPr>
        <w:t xml:space="preserve">some </w:t>
      </w:r>
      <w:r w:rsidR="002857F0" w:rsidRPr="000530B1">
        <w:t>of their classes online.</w:t>
      </w:r>
      <w:r w:rsidR="00275457" w:rsidRPr="000530B1">
        <w:t xml:space="preserve"> </w:t>
      </w:r>
    </w:p>
    <w:p w14:paraId="00840564" w14:textId="40D704BA" w:rsidR="002857F0" w:rsidRPr="000530B1" w:rsidRDefault="002857F0" w:rsidP="002857F0">
      <w:pPr>
        <w:pStyle w:val="Body"/>
      </w:pPr>
      <w:r w:rsidRPr="000530B1">
        <w:t>As</w:t>
      </w:r>
      <w:r w:rsidR="00522279" w:rsidRPr="000530B1">
        <w:t xml:space="preserve"> presented in </w:t>
      </w:r>
      <w:r w:rsidR="00522279" w:rsidRPr="000530B1">
        <w:rPr>
          <w:b/>
          <w:bCs/>
        </w:rPr>
        <w:t>Appendix 1</w:t>
      </w:r>
      <w:r w:rsidRPr="000530B1">
        <w:t>, 89.0 per cent of undergraduate</w:t>
      </w:r>
      <w:r w:rsidR="00431F7E" w:rsidRPr="000530B1">
        <w:t xml:space="preserve"> respondents</w:t>
      </w:r>
      <w:r w:rsidRPr="000530B1">
        <w:t xml:space="preserve"> were enrolled in internal/multi-mode studies in 2025 and domestic students accounted for 77.3 per cent of undergraduate responses</w:t>
      </w:r>
      <w:r w:rsidR="00CB4A4E" w:rsidRPr="000530B1">
        <w:t xml:space="preserve"> (se</w:t>
      </w:r>
      <w:r w:rsidR="00A669CF">
        <w:t>e</w:t>
      </w:r>
      <w:r w:rsidR="00653EF4">
        <w:t xml:space="preserve"> </w:t>
      </w:r>
      <w:r w:rsidR="00FF5C13" w:rsidRPr="00653EF4">
        <w:rPr>
          <w:u w:val="single"/>
        </w:rPr>
        <w:fldChar w:fldCharType="begin"/>
      </w:r>
      <w:r w:rsidR="00FF5C13" w:rsidRPr="00653EF4">
        <w:rPr>
          <w:u w:val="single"/>
        </w:rPr>
        <w:instrText xml:space="preserve"> REF _Ref224124107 \h  \* MERGEFORMAT </w:instrText>
      </w:r>
      <w:r w:rsidR="00FF5C13" w:rsidRPr="00653EF4">
        <w:rPr>
          <w:u w:val="single"/>
        </w:rPr>
      </w:r>
      <w:r w:rsidR="00FF5C13" w:rsidRPr="00653EF4">
        <w:rPr>
          <w:u w:val="single"/>
        </w:rPr>
        <w:fldChar w:fldCharType="separate"/>
      </w:r>
      <w:r w:rsidR="00FF5C13" w:rsidRPr="00653EF4">
        <w:rPr>
          <w:u w:val="single"/>
        </w:rPr>
        <w:t>Citizenship status and mode of study</w:t>
      </w:r>
      <w:r w:rsidR="00FF5C13" w:rsidRPr="00653EF4">
        <w:rPr>
          <w:u w:val="single"/>
        </w:rPr>
        <w:fldChar w:fldCharType="end"/>
      </w:r>
      <w:r w:rsidR="00CB4A4E" w:rsidRPr="000530B1">
        <w:t>)</w:t>
      </w:r>
      <w:r w:rsidRPr="000530B1">
        <w:t>.</w:t>
      </w:r>
      <w:r w:rsidR="00653EF4">
        <w:t xml:space="preserve"> </w:t>
      </w:r>
      <w:r w:rsidR="008A6641" w:rsidRPr="000530B1">
        <w:t>Internal/multi-mode d</w:t>
      </w:r>
      <w:r w:rsidRPr="000530B1">
        <w:t xml:space="preserve">omestic students’ </w:t>
      </w:r>
      <w:r w:rsidR="008A6641" w:rsidRPr="000530B1">
        <w:t xml:space="preserve">greater </w:t>
      </w:r>
      <w:r w:rsidRPr="000530B1">
        <w:t xml:space="preserve">tendency to </w:t>
      </w:r>
      <w:r w:rsidR="008A6641" w:rsidRPr="000530B1">
        <w:t xml:space="preserve">participate in </w:t>
      </w:r>
      <w:r w:rsidR="008C4B84" w:rsidRPr="000530B1">
        <w:t xml:space="preserve">all online, or a mix of online and </w:t>
      </w:r>
      <w:proofErr w:type="gramStart"/>
      <w:r w:rsidR="008C4B84" w:rsidRPr="000530B1">
        <w:t>on-campus</w:t>
      </w:r>
      <w:proofErr w:type="gramEnd"/>
      <w:r w:rsidRPr="000530B1">
        <w:t xml:space="preserve"> </w:t>
      </w:r>
      <w:r w:rsidR="00E92982" w:rsidRPr="000530B1">
        <w:t>may explain why undergraduate ratings have not returned to the same levels seen prior to 2020.</w:t>
      </w:r>
    </w:p>
    <w:p w14:paraId="0CDF7E36" w14:textId="60D79D00" w:rsidR="00A27BF1" w:rsidRDefault="00590A1D" w:rsidP="00937703">
      <w:pPr>
        <w:pStyle w:val="Captionaccessible"/>
      </w:pPr>
      <w:bookmarkStart w:id="43" w:name="_Ref217401966"/>
      <w:bookmarkStart w:id="44" w:name="_Toc239764873"/>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8</w:t>
      </w:r>
      <w:r w:rsidR="00955601">
        <w:rPr>
          <w:noProof/>
        </w:rPr>
        <w:fldChar w:fldCharType="end"/>
      </w:r>
      <w:bookmarkEnd w:id="43"/>
      <w:r w:rsidR="00BE6145" w:rsidRPr="000530B1">
        <w:tab/>
      </w:r>
      <w:r w:rsidRPr="000530B1">
        <w:t>Undergraduate Teaching Quality and Engagement by class participation, enrolled internal/multi-mode, 2025 (% positive rating)</w:t>
      </w:r>
      <w:bookmarkEnd w:id="44"/>
    </w:p>
    <w:p w14:paraId="45F3946D" w14:textId="623EFCBD" w:rsidR="00D85FD4" w:rsidRPr="000530B1" w:rsidRDefault="00937703" w:rsidP="00A27BF1">
      <w:pPr>
        <w:pStyle w:val="Body"/>
        <w:spacing w:after="240"/>
        <w:rPr>
          <w:lang w:eastAsia="en-AU"/>
        </w:rPr>
      </w:pPr>
      <w:r>
        <w:rPr>
          <w:noProof/>
          <w:lang w:eastAsia="en-AU"/>
        </w:rPr>
        <w:drawing>
          <wp:inline distT="0" distB="0" distL="0" distR="0" wp14:anchorId="23277049" wp14:editId="031BF2D1">
            <wp:extent cx="6277610" cy="6887845"/>
            <wp:effectExtent l="0" t="0" r="8890" b="8255"/>
            <wp:docPr id="25466479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77610" cy="6887845"/>
                    </a:xfrm>
                    <a:prstGeom prst="rect">
                      <a:avLst/>
                    </a:prstGeom>
                    <a:noFill/>
                  </pic:spPr>
                </pic:pic>
              </a:graphicData>
            </a:graphic>
          </wp:inline>
        </w:drawing>
      </w:r>
    </w:p>
    <w:p w14:paraId="15042F1D" w14:textId="33243974" w:rsidR="00CB4A4E" w:rsidRPr="000530B1" w:rsidRDefault="00CB4A4E" w:rsidP="008F72C2">
      <w:pPr>
        <w:pStyle w:val="Body"/>
        <w:rPr>
          <w:lang w:eastAsia="en-AU"/>
        </w:rPr>
      </w:pPr>
      <w:r w:rsidRPr="000530B1">
        <w:lastRenderedPageBreak/>
        <w:t xml:space="preserve">Similar patterns in </w:t>
      </w:r>
      <w:r w:rsidR="00F41205" w:rsidRPr="000530B1">
        <w:t xml:space="preserve">internal/multi-mode </w:t>
      </w:r>
      <w:r w:rsidRPr="000530B1">
        <w:t>student ratings at the postgraduate coursework</w:t>
      </w:r>
      <w:r w:rsidR="005A7C5A" w:rsidRPr="000530B1">
        <w:t xml:space="preserve"> </w:t>
      </w:r>
      <w:r w:rsidR="006B0F7C" w:rsidRPr="000530B1">
        <w:t xml:space="preserve">level </w:t>
      </w:r>
      <w:r w:rsidR="005A7C5A" w:rsidRPr="000530B1">
        <w:t xml:space="preserve">were observed, with those </w:t>
      </w:r>
      <w:r w:rsidR="006B0F7C" w:rsidRPr="000530B1">
        <w:t xml:space="preserve">who participated </w:t>
      </w:r>
      <w:r w:rsidR="00653EF4">
        <w:t>‘</w:t>
      </w:r>
      <w:r w:rsidR="006B0F7C" w:rsidRPr="00653EF4">
        <w:t>all on-campus</w:t>
      </w:r>
      <w:r w:rsidR="00653EF4">
        <w:t>'</w:t>
      </w:r>
      <w:r w:rsidR="006B0F7C" w:rsidRPr="000530B1">
        <w:t xml:space="preserve"> or did only </w:t>
      </w:r>
      <w:r w:rsidR="00653EF4">
        <w:t>‘</w:t>
      </w:r>
      <w:r w:rsidR="006B0F7C" w:rsidRPr="00653EF4">
        <w:t>some</w:t>
      </w:r>
      <w:r w:rsidR="00653EF4">
        <w:t>’</w:t>
      </w:r>
      <w:r w:rsidR="006B0F7C" w:rsidRPr="000530B1">
        <w:t xml:space="preserve"> online</w:t>
      </w:r>
      <w:r w:rsidR="0009028A" w:rsidRPr="000530B1">
        <w:t xml:space="preserve"> rating Teaching Quality and Engagement highest</w:t>
      </w:r>
      <w:r w:rsidR="0058199D" w:rsidRPr="000530B1">
        <w:t xml:space="preserve"> (</w:t>
      </w:r>
      <w:r w:rsidR="0058199D" w:rsidRPr="000530B1">
        <w:rPr>
          <w:b/>
          <w:bCs/>
        </w:rPr>
        <w:fldChar w:fldCharType="begin"/>
      </w:r>
      <w:r w:rsidR="0058199D" w:rsidRPr="000530B1">
        <w:rPr>
          <w:b/>
          <w:bCs/>
        </w:rPr>
        <w:instrText xml:space="preserve"> REF _Ref223639788 \h  \* MERGEFORMAT </w:instrText>
      </w:r>
      <w:r w:rsidR="0058199D" w:rsidRPr="000530B1">
        <w:rPr>
          <w:b/>
          <w:bCs/>
        </w:rPr>
      </w:r>
      <w:r w:rsidR="0058199D" w:rsidRPr="000530B1">
        <w:rPr>
          <w:b/>
          <w:bCs/>
        </w:rPr>
        <w:fldChar w:fldCharType="separate"/>
      </w:r>
      <w:r w:rsidR="0058199D" w:rsidRPr="000530B1">
        <w:rPr>
          <w:b/>
          <w:bCs/>
        </w:rPr>
        <w:t xml:space="preserve">Figure </w:t>
      </w:r>
      <w:r w:rsidR="0058199D" w:rsidRPr="000530B1">
        <w:rPr>
          <w:b/>
          <w:bCs/>
          <w:noProof/>
        </w:rPr>
        <w:t>9</w:t>
      </w:r>
      <w:r w:rsidR="0058199D" w:rsidRPr="000530B1">
        <w:rPr>
          <w:b/>
          <w:bCs/>
        </w:rPr>
        <w:fldChar w:fldCharType="end"/>
      </w:r>
      <w:r w:rsidR="0058199D" w:rsidRPr="000530B1">
        <w:t>)</w:t>
      </w:r>
      <w:r w:rsidR="0009028A" w:rsidRPr="000530B1">
        <w:t>.</w:t>
      </w:r>
    </w:p>
    <w:p w14:paraId="4EDBE1B9" w14:textId="1D41A1C6" w:rsidR="005F4EF2" w:rsidRPr="000530B1" w:rsidRDefault="005F4EF2" w:rsidP="00FA42D1">
      <w:pPr>
        <w:pStyle w:val="Captionaccessible"/>
        <w:spacing w:after="40"/>
      </w:pPr>
      <w:bookmarkStart w:id="45" w:name="_Ref223639788"/>
      <w:bookmarkStart w:id="46" w:name="_Toc239764874"/>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9</w:t>
      </w:r>
      <w:r w:rsidR="00955601">
        <w:rPr>
          <w:noProof/>
        </w:rPr>
        <w:fldChar w:fldCharType="end"/>
      </w:r>
      <w:bookmarkEnd w:id="45"/>
      <w:r w:rsidR="00BE6145" w:rsidRPr="000530B1">
        <w:tab/>
      </w:r>
      <w:r w:rsidRPr="000530B1">
        <w:t xml:space="preserve">Postgraduate coursework </w:t>
      </w:r>
      <w:r w:rsidR="00590A1D" w:rsidRPr="000530B1">
        <w:t>Teaching Quality and Engagement</w:t>
      </w:r>
      <w:r w:rsidRPr="000530B1">
        <w:t xml:space="preserve"> by class participation, enrolled internal/multi-mode, 2025 (% positive rating)</w:t>
      </w:r>
      <w:bookmarkEnd w:id="46"/>
    </w:p>
    <w:p w14:paraId="527B0929" w14:textId="2F75A6E4" w:rsidR="00277D78" w:rsidRDefault="00CA3E2A" w:rsidP="00CA3E2A">
      <w:pPr>
        <w:pStyle w:val="Body"/>
        <w:spacing w:after="0"/>
      </w:pPr>
      <w:r>
        <w:rPr>
          <w:noProof/>
        </w:rPr>
        <w:drawing>
          <wp:inline distT="0" distB="0" distL="0" distR="0" wp14:anchorId="5B37C6E6" wp14:editId="6B36C487">
            <wp:extent cx="6408000" cy="7321256"/>
            <wp:effectExtent l="0" t="0" r="0" b="0"/>
            <wp:docPr id="161783793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08000" cy="7321256"/>
                    </a:xfrm>
                    <a:prstGeom prst="rect">
                      <a:avLst/>
                    </a:prstGeom>
                    <a:noFill/>
                  </pic:spPr>
                </pic:pic>
              </a:graphicData>
            </a:graphic>
          </wp:inline>
        </w:drawing>
      </w:r>
      <w:r w:rsidR="00277D78">
        <w:br w:type="page"/>
      </w:r>
    </w:p>
    <w:p w14:paraId="7401C9D4" w14:textId="79C058F7" w:rsidR="002F0BB6" w:rsidRPr="000530B1" w:rsidRDefault="002F0BB6" w:rsidP="0048651D">
      <w:pPr>
        <w:pStyle w:val="Heading2"/>
      </w:pPr>
      <w:bookmarkStart w:id="47" w:name="_Toc239764790"/>
      <w:r w:rsidRPr="000530B1">
        <w:lastRenderedPageBreak/>
        <w:t xml:space="preserve">Skills </w:t>
      </w:r>
      <w:r w:rsidR="003F5541">
        <w:t>D</w:t>
      </w:r>
      <w:r w:rsidRPr="000530B1">
        <w:t>evelopment</w:t>
      </w:r>
      <w:bookmarkEnd w:id="47"/>
    </w:p>
    <w:tbl>
      <w:tblPr>
        <w:tblStyle w:val="TableGrid"/>
        <w:tblW w:w="0" w:type="auto"/>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10158"/>
      </w:tblGrid>
      <w:tr w:rsidR="00FE1EC3" w14:paraId="73417C00" w14:textId="77777777" w:rsidTr="002E10DC">
        <w:trPr>
          <w:cnfStyle w:val="100000000000" w:firstRow="1" w:lastRow="0" w:firstColumn="0" w:lastColumn="0" w:oddVBand="0" w:evenVBand="0" w:oddHBand="0" w:evenHBand="0" w:firstRowFirstColumn="0" w:firstRowLastColumn="0" w:lastRowFirstColumn="0" w:lastRowLastColumn="0"/>
        </w:trPr>
        <w:tc>
          <w:tcPr>
            <w:tcW w:w="10194" w:type="dxa"/>
            <w:vAlign w:val="top"/>
          </w:tcPr>
          <w:p w14:paraId="323F0888" w14:textId="77777777" w:rsidR="00FE1EC3" w:rsidRPr="00FE1EC3" w:rsidRDefault="00FE1EC3" w:rsidP="00277D78">
            <w:pPr>
              <w:spacing w:before="120" w:after="60" w:line="25" w:lineRule="atLeast"/>
              <w:ind w:left="113" w:right="113"/>
              <w:rPr>
                <w:b w:val="0"/>
                <w:bCs/>
              </w:rPr>
            </w:pPr>
            <w:bookmarkStart w:id="48" w:name="_Ref217409722"/>
            <w:r w:rsidRPr="00FE1EC3">
              <w:rPr>
                <w:rStyle w:val="BodyChar"/>
                <w:rFonts w:eastAsiaTheme="minorHAnsi"/>
                <w:b w:val="0"/>
                <w:bCs/>
              </w:rPr>
              <w:t>The Skills Development focus area captures students’ perceptions of the extent to which their course helped them develop key academic, professional and transferable skills during the year. It reflects students’ views on how their studies contributed to building capabilities that support disciplinary knowledge, communication, independent learning, problem solving and preparation for future work. Together, these measures provide an indication of the skills students felt they gained through their course.</w:t>
            </w:r>
          </w:p>
          <w:p w14:paraId="37371F0D" w14:textId="77777777" w:rsidR="00FE1EC3" w:rsidRPr="002E10DC" w:rsidRDefault="00FE1EC3" w:rsidP="00CA3E2A">
            <w:pPr>
              <w:pStyle w:val="Bullets-noindent"/>
              <w:spacing w:before="40" w:line="25" w:lineRule="atLeast"/>
              <w:ind w:left="708"/>
              <w:rPr>
                <w:b w:val="0"/>
                <w:bCs/>
              </w:rPr>
            </w:pPr>
            <w:r w:rsidRPr="002E10DC">
              <w:rPr>
                <w:b w:val="0"/>
                <w:bCs/>
              </w:rPr>
              <w:t>Critical thinking skills</w:t>
            </w:r>
          </w:p>
          <w:p w14:paraId="58AF00CD" w14:textId="77777777" w:rsidR="00FE1EC3" w:rsidRPr="002E10DC" w:rsidRDefault="00FE1EC3" w:rsidP="00CA3E2A">
            <w:pPr>
              <w:pStyle w:val="Bullets-noindent"/>
              <w:spacing w:before="40" w:line="25" w:lineRule="atLeast"/>
              <w:ind w:left="708"/>
              <w:rPr>
                <w:b w:val="0"/>
                <w:bCs/>
              </w:rPr>
            </w:pPr>
            <w:r w:rsidRPr="002E10DC">
              <w:rPr>
                <w:b w:val="0"/>
                <w:bCs/>
              </w:rPr>
              <w:t>Ability to solve complex problems</w:t>
            </w:r>
          </w:p>
          <w:p w14:paraId="4CBE9276" w14:textId="77777777" w:rsidR="00FE1EC3" w:rsidRPr="002E10DC" w:rsidRDefault="00FE1EC3" w:rsidP="00CA3E2A">
            <w:pPr>
              <w:pStyle w:val="Bullets-noindent"/>
              <w:spacing w:before="40" w:line="25" w:lineRule="atLeast"/>
              <w:ind w:left="708"/>
              <w:rPr>
                <w:b w:val="0"/>
                <w:bCs/>
              </w:rPr>
            </w:pPr>
            <w:r w:rsidRPr="002E10DC">
              <w:rPr>
                <w:b w:val="0"/>
                <w:bCs/>
              </w:rPr>
              <w:t>Ability to work with others</w:t>
            </w:r>
          </w:p>
          <w:p w14:paraId="4605987A" w14:textId="77777777" w:rsidR="00FE1EC3" w:rsidRPr="002E10DC" w:rsidRDefault="00FE1EC3" w:rsidP="00CA3E2A">
            <w:pPr>
              <w:pStyle w:val="Bullets-noindent"/>
              <w:spacing w:before="40" w:line="25" w:lineRule="atLeast"/>
              <w:ind w:left="708"/>
              <w:rPr>
                <w:b w:val="0"/>
                <w:bCs/>
              </w:rPr>
            </w:pPr>
            <w:r w:rsidRPr="002E10DC">
              <w:rPr>
                <w:b w:val="0"/>
                <w:bCs/>
              </w:rPr>
              <w:t xml:space="preserve">Confidence to learn independently </w:t>
            </w:r>
          </w:p>
          <w:p w14:paraId="5FB75177" w14:textId="77777777" w:rsidR="00FE1EC3" w:rsidRPr="002E10DC" w:rsidRDefault="00FE1EC3" w:rsidP="00CA3E2A">
            <w:pPr>
              <w:pStyle w:val="Bullets-noindent"/>
              <w:spacing w:before="40" w:line="25" w:lineRule="atLeast"/>
              <w:ind w:left="708"/>
              <w:rPr>
                <w:b w:val="0"/>
                <w:bCs/>
              </w:rPr>
            </w:pPr>
            <w:r w:rsidRPr="002E10DC">
              <w:rPr>
                <w:b w:val="0"/>
                <w:bCs/>
              </w:rPr>
              <w:t>Written communication skills</w:t>
            </w:r>
          </w:p>
          <w:p w14:paraId="16BD3792" w14:textId="77777777" w:rsidR="00FE1EC3" w:rsidRPr="002E10DC" w:rsidRDefault="00FE1EC3" w:rsidP="00CA3E2A">
            <w:pPr>
              <w:pStyle w:val="Bullets-noindent"/>
              <w:spacing w:before="40" w:line="25" w:lineRule="atLeast"/>
              <w:ind w:left="708"/>
              <w:rPr>
                <w:b w:val="0"/>
                <w:bCs/>
              </w:rPr>
            </w:pPr>
            <w:r w:rsidRPr="002E10DC">
              <w:rPr>
                <w:b w:val="0"/>
                <w:bCs/>
              </w:rPr>
              <w:t>Spoken communication skills</w:t>
            </w:r>
          </w:p>
          <w:p w14:paraId="7409A0BF" w14:textId="77777777" w:rsidR="00FE1EC3" w:rsidRPr="002E10DC" w:rsidRDefault="00FE1EC3" w:rsidP="00CA3E2A">
            <w:pPr>
              <w:pStyle w:val="Bullets-noindent"/>
              <w:spacing w:before="40" w:line="25" w:lineRule="atLeast"/>
              <w:ind w:left="708"/>
              <w:rPr>
                <w:b w:val="0"/>
                <w:bCs/>
              </w:rPr>
            </w:pPr>
            <w:r w:rsidRPr="002E10DC">
              <w:rPr>
                <w:b w:val="0"/>
                <w:bCs/>
              </w:rPr>
              <w:t>Knowledge of field(s) studying</w:t>
            </w:r>
          </w:p>
          <w:p w14:paraId="3D1BEC35" w14:textId="7958B6F1" w:rsidR="00FE1EC3" w:rsidRPr="00FE1EC3" w:rsidRDefault="00FE1EC3" w:rsidP="00CA3E2A">
            <w:pPr>
              <w:pStyle w:val="Bullets-noindent"/>
              <w:spacing w:before="40" w:after="120" w:line="25" w:lineRule="atLeast"/>
              <w:ind w:left="708"/>
            </w:pPr>
            <w:r w:rsidRPr="002E10DC">
              <w:rPr>
                <w:b w:val="0"/>
                <w:bCs/>
              </w:rPr>
              <w:t>Development of work-related knowledge and skills.</w:t>
            </w:r>
          </w:p>
        </w:tc>
      </w:tr>
    </w:tbl>
    <w:p w14:paraId="39CD1BBC" w14:textId="3AC759A2" w:rsidR="003D1BD9" w:rsidRPr="000530B1" w:rsidRDefault="00005B3B" w:rsidP="00E13526">
      <w:pPr>
        <w:pStyle w:val="Body"/>
        <w:spacing w:before="160"/>
      </w:pPr>
      <w:r w:rsidRPr="000530B1">
        <w:t>Undergraduate ratings of Skills Development</w:t>
      </w:r>
      <w:r w:rsidR="0075716A" w:rsidRPr="000530B1">
        <w:t xml:space="preserve"> rose slightly in 2025 to 81.4 per cent positive</w:t>
      </w:r>
      <w:r w:rsidR="00BC6ACA" w:rsidRPr="000530B1">
        <w:t xml:space="preserve"> (</w:t>
      </w:r>
      <w:r w:rsidR="00BC6ACA" w:rsidRPr="000530B1">
        <w:rPr>
          <w:b/>
          <w:bCs/>
        </w:rPr>
        <w:fldChar w:fldCharType="begin"/>
      </w:r>
      <w:r w:rsidR="00BC6ACA" w:rsidRPr="000530B1">
        <w:rPr>
          <w:b/>
          <w:bCs/>
        </w:rPr>
        <w:instrText xml:space="preserve"> REF _Ref221094330 \h  \* MERGEFORMAT </w:instrText>
      </w:r>
      <w:r w:rsidR="00BC6ACA" w:rsidRPr="000530B1">
        <w:rPr>
          <w:b/>
          <w:bCs/>
        </w:rPr>
      </w:r>
      <w:r w:rsidR="00BC6ACA" w:rsidRPr="000530B1">
        <w:rPr>
          <w:b/>
          <w:bCs/>
        </w:rPr>
        <w:fldChar w:fldCharType="separate"/>
      </w:r>
      <w:r w:rsidR="0058199D" w:rsidRPr="000530B1">
        <w:rPr>
          <w:b/>
          <w:bCs/>
        </w:rPr>
        <w:t xml:space="preserve">Figure </w:t>
      </w:r>
      <w:r w:rsidR="0058199D" w:rsidRPr="000530B1">
        <w:rPr>
          <w:b/>
          <w:bCs/>
          <w:noProof/>
        </w:rPr>
        <w:t>10</w:t>
      </w:r>
      <w:r w:rsidR="00BC6ACA" w:rsidRPr="000530B1">
        <w:rPr>
          <w:b/>
          <w:bCs/>
        </w:rPr>
        <w:fldChar w:fldCharType="end"/>
      </w:r>
      <w:r w:rsidR="00BC6ACA" w:rsidRPr="000530B1">
        <w:t>)</w:t>
      </w:r>
      <w:r w:rsidR="0075716A" w:rsidRPr="000530B1">
        <w:t>.</w:t>
      </w:r>
      <w:r w:rsidR="00213337" w:rsidRPr="000530B1">
        <w:t xml:space="preserve"> Postgraduate coursework ratings have </w:t>
      </w:r>
      <w:r w:rsidR="006B2859" w:rsidRPr="000530B1">
        <w:t>increased consistently since the pandemic</w:t>
      </w:r>
      <w:r w:rsidR="005C4DA4" w:rsidRPr="000530B1">
        <w:t xml:space="preserve">, surpassing pre-pandemic levels are now higher than undergraduate ratings </w:t>
      </w:r>
      <w:r w:rsidR="00087EE6" w:rsidRPr="000530B1">
        <w:t>–</w:t>
      </w:r>
      <w:r w:rsidR="005C4DA4" w:rsidRPr="000530B1">
        <w:t xml:space="preserve"> </w:t>
      </w:r>
      <w:r w:rsidR="00087EE6" w:rsidRPr="000530B1">
        <w:t>84.1 per cent positive in 2025.</w:t>
      </w:r>
    </w:p>
    <w:p w14:paraId="3CBF954C" w14:textId="22DEF4E1" w:rsidR="00177732" w:rsidRPr="000530B1" w:rsidRDefault="00177732" w:rsidP="00277D78">
      <w:pPr>
        <w:pStyle w:val="Captionaccessible"/>
      </w:pPr>
      <w:bookmarkStart w:id="49" w:name="_Ref221094330"/>
      <w:bookmarkStart w:id="50" w:name="_Toc239764875"/>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10</w:t>
      </w:r>
      <w:r w:rsidR="00955601">
        <w:rPr>
          <w:noProof/>
        </w:rPr>
        <w:fldChar w:fldCharType="end"/>
      </w:r>
      <w:bookmarkEnd w:id="48"/>
      <w:bookmarkEnd w:id="49"/>
      <w:r w:rsidR="0058199D" w:rsidRPr="000530B1">
        <w:tab/>
      </w:r>
      <w:r w:rsidR="00750535" w:rsidRPr="000530B1">
        <w:t>Skills Development</w:t>
      </w:r>
      <w:r w:rsidRPr="000530B1">
        <w:t xml:space="preserve"> by course level, 2017–25 (% positive rating)</w:t>
      </w:r>
      <w:bookmarkEnd w:id="50"/>
    </w:p>
    <w:p w14:paraId="6EC0DCE3" w14:textId="554A1027" w:rsidR="00277D78" w:rsidRDefault="00CA3E2A" w:rsidP="00277D78">
      <w:pPr>
        <w:pStyle w:val="Body"/>
        <w:spacing w:before="0" w:after="60"/>
      </w:pPr>
      <w:r>
        <w:rPr>
          <w:noProof/>
        </w:rPr>
        <w:drawing>
          <wp:inline distT="0" distB="0" distL="0" distR="0" wp14:anchorId="1B84EDE4" wp14:editId="137D9F04">
            <wp:extent cx="6407150" cy="3932555"/>
            <wp:effectExtent l="0" t="0" r="0" b="0"/>
            <wp:docPr id="719719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07150" cy="3932555"/>
                    </a:xfrm>
                    <a:prstGeom prst="rect">
                      <a:avLst/>
                    </a:prstGeom>
                    <a:noFill/>
                  </pic:spPr>
                </pic:pic>
              </a:graphicData>
            </a:graphic>
          </wp:inline>
        </w:drawing>
      </w:r>
    </w:p>
    <w:p w14:paraId="533CE0DF" w14:textId="77777777" w:rsidR="00A753CB" w:rsidRDefault="00A753CB" w:rsidP="004D0106">
      <w:pPr>
        <w:pStyle w:val="Body"/>
      </w:pPr>
      <w:r>
        <w:br w:type="page"/>
      </w:r>
    </w:p>
    <w:p w14:paraId="58A62749" w14:textId="7790B1F9" w:rsidR="00597669" w:rsidRPr="000530B1" w:rsidRDefault="00597669" w:rsidP="004D0106">
      <w:pPr>
        <w:pStyle w:val="Body"/>
      </w:pPr>
      <w:r w:rsidRPr="000530B1">
        <w:lastRenderedPageBreak/>
        <w:t xml:space="preserve">At </w:t>
      </w:r>
      <w:r w:rsidR="000C762B" w:rsidRPr="000530B1">
        <w:t>the undergraduate level</w:t>
      </w:r>
      <w:r w:rsidRPr="000530B1">
        <w:t xml:space="preserve">, </w:t>
      </w:r>
      <w:r w:rsidR="00E52CBE" w:rsidRPr="000530B1">
        <w:t>students enrolled in internal/multi-mode studies who participated in classes all on-campus</w:t>
      </w:r>
      <w:r w:rsidR="00783901" w:rsidRPr="000530B1">
        <w:t xml:space="preserve">, or who only did </w:t>
      </w:r>
      <w:r w:rsidR="00653EF4">
        <w:t>‘</w:t>
      </w:r>
      <w:r w:rsidR="00783901" w:rsidRPr="00653EF4">
        <w:t>some</w:t>
      </w:r>
      <w:r w:rsidR="00653EF4">
        <w:t>’</w:t>
      </w:r>
      <w:r w:rsidR="00783901" w:rsidRPr="000530B1">
        <w:t xml:space="preserve"> online, reported higher Skills Development ratings than those </w:t>
      </w:r>
      <w:r w:rsidR="00985420" w:rsidRPr="000530B1">
        <w:t xml:space="preserve">who took a </w:t>
      </w:r>
      <w:r w:rsidR="00653EF4">
        <w:t>‘</w:t>
      </w:r>
      <w:r w:rsidR="00985420" w:rsidRPr="00653EF4">
        <w:t>blended/hybrid</w:t>
      </w:r>
      <w:r w:rsidR="00653EF4">
        <w:t>’</w:t>
      </w:r>
      <w:r w:rsidR="00985420" w:rsidRPr="00653EF4">
        <w:t xml:space="preserve"> </w:t>
      </w:r>
      <w:r w:rsidR="00985420" w:rsidRPr="000530B1">
        <w:t xml:space="preserve">approach or did </w:t>
      </w:r>
      <w:r w:rsidR="00653EF4">
        <w:t>‘</w:t>
      </w:r>
      <w:r w:rsidR="00985420" w:rsidRPr="00653EF4">
        <w:t>all</w:t>
      </w:r>
      <w:r w:rsidR="00653EF4">
        <w:t>’</w:t>
      </w:r>
      <w:r w:rsidR="00985420" w:rsidRPr="00653EF4">
        <w:t xml:space="preserve"> </w:t>
      </w:r>
      <w:r w:rsidR="00985420" w:rsidRPr="000530B1">
        <w:t xml:space="preserve">or </w:t>
      </w:r>
      <w:r w:rsidR="00653EF4">
        <w:t>‘</w:t>
      </w:r>
      <w:r w:rsidR="00985420" w:rsidRPr="00653EF4">
        <w:t>most</w:t>
      </w:r>
      <w:r w:rsidR="00653EF4">
        <w:t>’</w:t>
      </w:r>
      <w:r w:rsidR="00985420" w:rsidRPr="000530B1">
        <w:t xml:space="preserve"> online</w:t>
      </w:r>
      <w:r w:rsidR="00E24E7A" w:rsidRPr="000530B1">
        <w:t xml:space="preserve"> (</w:t>
      </w:r>
      <w:r w:rsidR="00E24E7A" w:rsidRPr="000530B1">
        <w:rPr>
          <w:b/>
          <w:bCs/>
        </w:rPr>
        <w:fldChar w:fldCharType="begin"/>
      </w:r>
      <w:r w:rsidR="00E24E7A" w:rsidRPr="000530B1">
        <w:rPr>
          <w:b/>
          <w:bCs/>
        </w:rPr>
        <w:instrText xml:space="preserve"> REF _Ref221094302 \h  \* MERGEFORMAT </w:instrText>
      </w:r>
      <w:r w:rsidR="00E24E7A" w:rsidRPr="000530B1">
        <w:rPr>
          <w:b/>
          <w:bCs/>
        </w:rPr>
      </w:r>
      <w:r w:rsidR="00E24E7A" w:rsidRPr="000530B1">
        <w:rPr>
          <w:b/>
          <w:bCs/>
        </w:rPr>
        <w:fldChar w:fldCharType="separate"/>
      </w:r>
      <w:r w:rsidR="0058199D" w:rsidRPr="000530B1">
        <w:rPr>
          <w:b/>
          <w:bCs/>
        </w:rPr>
        <w:t xml:space="preserve">Figure </w:t>
      </w:r>
      <w:r w:rsidR="0058199D" w:rsidRPr="000530B1">
        <w:rPr>
          <w:b/>
          <w:bCs/>
          <w:noProof/>
        </w:rPr>
        <w:t>11</w:t>
      </w:r>
      <w:r w:rsidR="00E24E7A" w:rsidRPr="000530B1">
        <w:rPr>
          <w:b/>
          <w:bCs/>
        </w:rPr>
        <w:fldChar w:fldCharType="end"/>
      </w:r>
      <w:r w:rsidR="00E24E7A" w:rsidRPr="000530B1">
        <w:t>)</w:t>
      </w:r>
      <w:r w:rsidR="00985420" w:rsidRPr="000530B1">
        <w:t>.</w:t>
      </w:r>
    </w:p>
    <w:p w14:paraId="5EB84FBA" w14:textId="7C6E0CBA" w:rsidR="00F80B82" w:rsidRPr="000530B1" w:rsidRDefault="00240929" w:rsidP="00F80B82">
      <w:pPr>
        <w:pStyle w:val="Captionaccessible"/>
      </w:pPr>
      <w:bookmarkStart w:id="51" w:name="_Ref221094302"/>
      <w:bookmarkStart w:id="52" w:name="_Toc239764876"/>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11</w:t>
      </w:r>
      <w:r w:rsidR="00955601">
        <w:rPr>
          <w:noProof/>
        </w:rPr>
        <w:fldChar w:fldCharType="end"/>
      </w:r>
      <w:bookmarkEnd w:id="51"/>
      <w:r w:rsidR="0058199D" w:rsidRPr="000530B1">
        <w:tab/>
      </w:r>
      <w:r w:rsidRPr="000530B1">
        <w:t>Undergraduate Skills Development by class participation, enrolled internal/multi-mode, 2025 (% positive rating)</w:t>
      </w:r>
      <w:bookmarkEnd w:id="52"/>
    </w:p>
    <w:p w14:paraId="300E5597" w14:textId="24EB41FE" w:rsidR="00A753CB" w:rsidRDefault="00F80B82" w:rsidP="00A669CF">
      <w:pPr>
        <w:pStyle w:val="Body"/>
      </w:pPr>
      <w:r>
        <w:rPr>
          <w:noProof/>
        </w:rPr>
        <w:drawing>
          <wp:inline distT="0" distB="0" distL="0" distR="0" wp14:anchorId="15E95756" wp14:editId="068F9CB2">
            <wp:extent cx="6408000" cy="7611272"/>
            <wp:effectExtent l="0" t="0" r="0" b="8890"/>
            <wp:docPr id="2964993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08000" cy="7611272"/>
                    </a:xfrm>
                    <a:prstGeom prst="rect">
                      <a:avLst/>
                    </a:prstGeom>
                    <a:noFill/>
                  </pic:spPr>
                </pic:pic>
              </a:graphicData>
            </a:graphic>
          </wp:inline>
        </w:drawing>
      </w:r>
    </w:p>
    <w:p w14:paraId="618AB2E1" w14:textId="77777777" w:rsidR="00F80B82" w:rsidRDefault="00F80B82">
      <w:pPr>
        <w:spacing w:before="60" w:after="60"/>
        <w:rPr>
          <w:rFonts w:eastAsia="Times New Roman" w:cs="Times New Roman"/>
          <w:szCs w:val="20"/>
        </w:rPr>
      </w:pPr>
      <w:r>
        <w:br w:type="page"/>
      </w:r>
    </w:p>
    <w:p w14:paraId="6D9E5DF7" w14:textId="4E7B0C10" w:rsidR="00013DD1" w:rsidRPr="00A669CF" w:rsidRDefault="004D46FA" w:rsidP="00A669CF">
      <w:pPr>
        <w:pStyle w:val="Body"/>
      </w:pPr>
      <w:r w:rsidRPr="000530B1">
        <w:lastRenderedPageBreak/>
        <w:t>A similar pattern was observed a</w:t>
      </w:r>
      <w:r w:rsidR="00FF6CF1" w:rsidRPr="000530B1">
        <w:t>t the postgraduate coursework level</w:t>
      </w:r>
      <w:r w:rsidRPr="000530B1">
        <w:t xml:space="preserve">, however, </w:t>
      </w:r>
      <w:r w:rsidR="00D87A6C" w:rsidRPr="000530B1">
        <w:t xml:space="preserve">there was no difference in Skills Development ratings between those who </w:t>
      </w:r>
      <w:r w:rsidR="0008019B" w:rsidRPr="000530B1">
        <w:t>partic</w:t>
      </w:r>
      <w:r w:rsidR="00D87A6C" w:rsidRPr="000530B1">
        <w:t>ipat</w:t>
      </w:r>
      <w:r w:rsidR="0008019B" w:rsidRPr="000530B1">
        <w:t>ed</w:t>
      </w:r>
      <w:r w:rsidR="00D87A6C" w:rsidRPr="000530B1">
        <w:t xml:space="preserve"> </w:t>
      </w:r>
      <w:r w:rsidR="006673A3">
        <w:t>‘</w:t>
      </w:r>
      <w:r w:rsidR="00D87A6C" w:rsidRPr="006673A3">
        <w:t>about half</w:t>
      </w:r>
      <w:r w:rsidR="006673A3">
        <w:t>’</w:t>
      </w:r>
      <w:r w:rsidR="0008019B" w:rsidRPr="000530B1">
        <w:rPr>
          <w:i/>
          <w:iCs/>
        </w:rPr>
        <w:t xml:space="preserve"> </w:t>
      </w:r>
      <w:r w:rsidR="0008019B" w:rsidRPr="000530B1">
        <w:t xml:space="preserve">or </w:t>
      </w:r>
      <w:r w:rsidR="006673A3">
        <w:t>‘</w:t>
      </w:r>
      <w:r w:rsidR="0008019B" w:rsidRPr="006673A3">
        <w:t>most</w:t>
      </w:r>
      <w:r w:rsidR="006673A3">
        <w:t>’</w:t>
      </w:r>
      <w:r w:rsidR="0008019B" w:rsidRPr="000530B1">
        <w:t xml:space="preserve"> online</w:t>
      </w:r>
      <w:r w:rsidR="00672A93">
        <w:t xml:space="preserve"> </w:t>
      </w:r>
      <w:r w:rsidR="00672A93" w:rsidRPr="000530B1">
        <w:t>(</w:t>
      </w:r>
      <w:r w:rsidR="00672A93" w:rsidRPr="000530B1">
        <w:rPr>
          <w:b/>
          <w:bCs/>
        </w:rPr>
        <w:fldChar w:fldCharType="begin"/>
      </w:r>
      <w:r w:rsidR="00672A93" w:rsidRPr="000530B1">
        <w:rPr>
          <w:b/>
          <w:bCs/>
        </w:rPr>
        <w:instrText xml:space="preserve"> REF _Ref221094302 \h  \* MERGEFORMAT </w:instrText>
      </w:r>
      <w:r w:rsidR="00672A93" w:rsidRPr="000530B1">
        <w:rPr>
          <w:b/>
          <w:bCs/>
        </w:rPr>
      </w:r>
      <w:r w:rsidR="00672A93" w:rsidRPr="000530B1">
        <w:rPr>
          <w:b/>
          <w:bCs/>
        </w:rPr>
        <w:fldChar w:fldCharType="separate"/>
      </w:r>
      <w:r w:rsidR="00672A93" w:rsidRPr="000530B1">
        <w:rPr>
          <w:b/>
          <w:bCs/>
        </w:rPr>
        <w:t xml:space="preserve">Figure </w:t>
      </w:r>
      <w:r w:rsidR="00672A93">
        <w:rPr>
          <w:b/>
          <w:bCs/>
          <w:noProof/>
        </w:rPr>
        <w:t>12</w:t>
      </w:r>
      <w:r w:rsidR="00672A93" w:rsidRPr="00D565C9">
        <w:rPr>
          <w:noProof/>
        </w:rPr>
        <w:t>)</w:t>
      </w:r>
      <w:r w:rsidR="00672A93" w:rsidRPr="000530B1">
        <w:rPr>
          <w:b/>
          <w:bCs/>
        </w:rPr>
        <w:fldChar w:fldCharType="end"/>
      </w:r>
      <w:r w:rsidR="00A669CF" w:rsidRPr="00A669CF">
        <w:t>.</w:t>
      </w:r>
    </w:p>
    <w:p w14:paraId="7A1B04BC" w14:textId="657038C3" w:rsidR="00E57317" w:rsidRDefault="00240929" w:rsidP="00627EC7">
      <w:pPr>
        <w:pStyle w:val="Captionaccessible"/>
      </w:pPr>
      <w:bookmarkStart w:id="53" w:name="_Toc239764877"/>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12</w:t>
      </w:r>
      <w:r w:rsidR="00955601">
        <w:rPr>
          <w:noProof/>
        </w:rPr>
        <w:fldChar w:fldCharType="end"/>
      </w:r>
      <w:r w:rsidR="005E4886" w:rsidRPr="000530B1">
        <w:tab/>
      </w:r>
      <w:r w:rsidRPr="000530B1">
        <w:t>Postgraduate coursework Skills Development by class participation, enrolled internal/multi-mode, 2025 (% positive rating)</w:t>
      </w:r>
      <w:bookmarkEnd w:id="53"/>
    </w:p>
    <w:p w14:paraId="5D246FA5" w14:textId="77777777" w:rsidR="00627EC7" w:rsidRDefault="00627EC7" w:rsidP="00627EC7">
      <w:pPr>
        <w:pStyle w:val="Body"/>
        <w:jc w:val="center"/>
      </w:pPr>
      <w:r>
        <w:rPr>
          <w:noProof/>
        </w:rPr>
        <w:drawing>
          <wp:inline distT="0" distB="0" distL="0" distR="0" wp14:anchorId="36622CFC" wp14:editId="6F75E84A">
            <wp:extent cx="6249035" cy="7449820"/>
            <wp:effectExtent l="0" t="0" r="0" b="0"/>
            <wp:docPr id="1986957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49035" cy="7449820"/>
                    </a:xfrm>
                    <a:prstGeom prst="rect">
                      <a:avLst/>
                    </a:prstGeom>
                    <a:noFill/>
                  </pic:spPr>
                </pic:pic>
              </a:graphicData>
            </a:graphic>
          </wp:inline>
        </w:drawing>
      </w:r>
    </w:p>
    <w:p w14:paraId="0F42FD80" w14:textId="6207B7D6" w:rsidR="00627EC7" w:rsidRDefault="00627EC7" w:rsidP="00627EC7">
      <w:pPr>
        <w:pStyle w:val="Body"/>
      </w:pPr>
      <w:r>
        <w:br w:type="page"/>
      </w:r>
    </w:p>
    <w:p w14:paraId="0BACCDDA" w14:textId="1A944E70" w:rsidR="003D1BD9" w:rsidRPr="000530B1" w:rsidRDefault="002F0BB6" w:rsidP="003D1BD9">
      <w:pPr>
        <w:pStyle w:val="Heading2"/>
      </w:pPr>
      <w:bookmarkStart w:id="54" w:name="_Learning_Resources"/>
      <w:bookmarkStart w:id="55" w:name="_Toc239764791"/>
      <w:bookmarkEnd w:id="54"/>
      <w:r w:rsidRPr="000530B1">
        <w:lastRenderedPageBreak/>
        <w:t>Learning Resources</w:t>
      </w:r>
      <w:bookmarkEnd w:id="55"/>
    </w:p>
    <w:tbl>
      <w:tblPr>
        <w:tblStyle w:val="TableGrid"/>
        <w:tblW w:w="0" w:type="auto"/>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10158"/>
      </w:tblGrid>
      <w:tr w:rsidR="003D1BD9" w14:paraId="442AFE2D" w14:textId="77777777" w:rsidTr="009575BF">
        <w:trPr>
          <w:cnfStyle w:val="100000000000" w:firstRow="1" w:lastRow="0" w:firstColumn="0" w:lastColumn="0" w:oddVBand="0" w:evenVBand="0" w:oddHBand="0" w:evenHBand="0" w:firstRowFirstColumn="0" w:firstRowLastColumn="0" w:lastRowFirstColumn="0" w:lastRowLastColumn="0"/>
        </w:trPr>
        <w:tc>
          <w:tcPr>
            <w:tcW w:w="10194" w:type="dxa"/>
            <w:vAlign w:val="top"/>
          </w:tcPr>
          <w:p w14:paraId="7D3366DE" w14:textId="77777777" w:rsidR="003D1BD9" w:rsidRPr="003D1BD9" w:rsidRDefault="003D1BD9" w:rsidP="003D1BD9">
            <w:pPr>
              <w:pStyle w:val="Body"/>
              <w:spacing w:after="40"/>
              <w:rPr>
                <w:b w:val="0"/>
                <w:bCs/>
              </w:rPr>
            </w:pPr>
            <w:r w:rsidRPr="003D1BD9">
              <w:rPr>
                <w:b w:val="0"/>
                <w:bCs/>
              </w:rPr>
              <w:t>The Learning Resources focus area captures students’ perceptions of the learning resources provided in their course during the year. It reflects students’ ratings of the physical, digital and academic resources that support their study, including:</w:t>
            </w:r>
          </w:p>
          <w:p w14:paraId="37FE52DA" w14:textId="77777777" w:rsidR="003D1BD9" w:rsidRPr="003D1BD9" w:rsidRDefault="003D1BD9" w:rsidP="00627EC7">
            <w:pPr>
              <w:pStyle w:val="Bullets-noindent"/>
              <w:rPr>
                <w:b w:val="0"/>
                <w:bCs/>
              </w:rPr>
            </w:pPr>
            <w:r w:rsidRPr="003D1BD9">
              <w:rPr>
                <w:b w:val="0"/>
                <w:bCs/>
              </w:rPr>
              <w:t>teaching spaces</w:t>
            </w:r>
          </w:p>
          <w:p w14:paraId="32BD46F1" w14:textId="77777777" w:rsidR="003D1BD9" w:rsidRPr="003D1BD9" w:rsidRDefault="003D1BD9" w:rsidP="00627EC7">
            <w:pPr>
              <w:pStyle w:val="Bullets-noindent"/>
              <w:rPr>
                <w:b w:val="0"/>
                <w:bCs/>
              </w:rPr>
            </w:pPr>
            <w:r w:rsidRPr="003D1BD9">
              <w:rPr>
                <w:b w:val="0"/>
                <w:bCs/>
              </w:rPr>
              <w:t>student spaces and common areas</w:t>
            </w:r>
          </w:p>
          <w:p w14:paraId="22576BE9" w14:textId="77777777" w:rsidR="003D1BD9" w:rsidRPr="003D1BD9" w:rsidRDefault="003D1BD9" w:rsidP="00627EC7">
            <w:pPr>
              <w:pStyle w:val="Bullets-noindent"/>
              <w:rPr>
                <w:b w:val="0"/>
                <w:bCs/>
              </w:rPr>
            </w:pPr>
            <w:r w:rsidRPr="003D1BD9">
              <w:rPr>
                <w:b w:val="0"/>
                <w:bCs/>
              </w:rPr>
              <w:t>online learning materials</w:t>
            </w:r>
          </w:p>
          <w:p w14:paraId="0ED393C0" w14:textId="77777777" w:rsidR="003D1BD9" w:rsidRPr="003D1BD9" w:rsidRDefault="003D1BD9" w:rsidP="00627EC7">
            <w:pPr>
              <w:pStyle w:val="Bullets-noindent"/>
              <w:rPr>
                <w:b w:val="0"/>
                <w:bCs/>
              </w:rPr>
            </w:pPr>
            <w:r w:rsidRPr="003D1BD9">
              <w:rPr>
                <w:b w:val="0"/>
                <w:bCs/>
              </w:rPr>
              <w:t>computing/IT resources</w:t>
            </w:r>
          </w:p>
          <w:p w14:paraId="65D7F8E0" w14:textId="77777777" w:rsidR="003D1BD9" w:rsidRPr="003D1BD9" w:rsidRDefault="003D1BD9" w:rsidP="00627EC7">
            <w:pPr>
              <w:pStyle w:val="Bullets-noindent"/>
              <w:rPr>
                <w:b w:val="0"/>
                <w:bCs/>
              </w:rPr>
            </w:pPr>
            <w:r w:rsidRPr="003D1BD9">
              <w:rPr>
                <w:b w:val="0"/>
                <w:bCs/>
              </w:rPr>
              <w:t>assigned books, notes and resources</w:t>
            </w:r>
          </w:p>
          <w:p w14:paraId="6BBA482C" w14:textId="77777777" w:rsidR="003D1BD9" w:rsidRPr="003D1BD9" w:rsidRDefault="003D1BD9" w:rsidP="00627EC7">
            <w:pPr>
              <w:pStyle w:val="Bullets-noindent"/>
              <w:rPr>
                <w:b w:val="0"/>
                <w:bCs/>
              </w:rPr>
            </w:pPr>
            <w:r w:rsidRPr="003D1BD9">
              <w:rPr>
                <w:b w:val="0"/>
                <w:bCs/>
              </w:rPr>
              <w:t>laboratory or studio equipment</w:t>
            </w:r>
          </w:p>
          <w:p w14:paraId="67DA7E45" w14:textId="28309B15" w:rsidR="003D1BD9" w:rsidRPr="003D1BD9" w:rsidRDefault="003D1BD9" w:rsidP="00627EC7">
            <w:pPr>
              <w:pStyle w:val="Bullets-noindent"/>
              <w:spacing w:after="120"/>
              <w:rPr>
                <w:b w:val="0"/>
                <w:bCs/>
              </w:rPr>
            </w:pPr>
            <w:r w:rsidRPr="003D1BD9">
              <w:rPr>
                <w:b w:val="0"/>
                <w:bCs/>
              </w:rPr>
              <w:t>library resources and facilities.</w:t>
            </w:r>
          </w:p>
        </w:tc>
      </w:tr>
    </w:tbl>
    <w:p w14:paraId="1DA20ABC" w14:textId="39AC17EB" w:rsidR="00981750" w:rsidRPr="00115E06" w:rsidRDefault="008A005A" w:rsidP="00E13526">
      <w:pPr>
        <w:pStyle w:val="Body"/>
        <w:spacing w:before="160"/>
        <w:rPr>
          <w:spacing w:val="-2"/>
        </w:rPr>
      </w:pPr>
      <w:r w:rsidRPr="00115E06">
        <w:rPr>
          <w:spacing w:val="-2"/>
        </w:rPr>
        <w:t xml:space="preserve">Like most aspects of the student experience, ratings of Learning Resources were affected by changing </w:t>
      </w:r>
      <w:r w:rsidR="00270B09" w:rsidRPr="00115E06">
        <w:rPr>
          <w:spacing w:val="-2"/>
        </w:rPr>
        <w:t>study</w:t>
      </w:r>
      <w:r w:rsidR="00D9472B" w:rsidRPr="00115E06">
        <w:rPr>
          <w:spacing w:val="-2"/>
        </w:rPr>
        <w:t> </w:t>
      </w:r>
      <w:r w:rsidR="00270B09" w:rsidRPr="00115E06">
        <w:rPr>
          <w:spacing w:val="-2"/>
        </w:rPr>
        <w:t>conditions in 2020, but unlike some other focus areas, ratings had mostly returned to pre-2020 levels by</w:t>
      </w:r>
      <w:r w:rsidR="00115E06" w:rsidRPr="00115E06">
        <w:rPr>
          <w:spacing w:val="-2"/>
        </w:rPr>
        <w:t xml:space="preserve"> </w:t>
      </w:r>
      <w:r w:rsidR="00270B09" w:rsidRPr="00115E06">
        <w:rPr>
          <w:spacing w:val="-2"/>
        </w:rPr>
        <w:t>2022.</w:t>
      </w:r>
    </w:p>
    <w:p w14:paraId="05D15385" w14:textId="5501BBB3" w:rsidR="003F0214" w:rsidRPr="000530B1" w:rsidRDefault="00981750" w:rsidP="008A005A">
      <w:pPr>
        <w:pStyle w:val="Body"/>
      </w:pPr>
      <w:r w:rsidRPr="000530B1">
        <w:t>Undergraduate ratings of Learning Resources rose slightly in 2025 to 83.3 per cent positive (</w:t>
      </w:r>
      <w:r w:rsidRPr="000530B1">
        <w:fldChar w:fldCharType="begin"/>
      </w:r>
      <w:r w:rsidRPr="000530B1">
        <w:instrText xml:space="preserve"> REF _Ref223639974 \h </w:instrText>
      </w:r>
      <w:r w:rsidR="000530B1">
        <w:instrText xml:space="preserve"> \* MERGEFORMAT </w:instrText>
      </w:r>
      <w:r w:rsidRPr="000530B1">
        <w:fldChar w:fldCharType="separate"/>
      </w:r>
      <w:r w:rsidRPr="000530B1">
        <w:t xml:space="preserve">Figure </w:t>
      </w:r>
      <w:r w:rsidRPr="000530B1">
        <w:rPr>
          <w:noProof/>
        </w:rPr>
        <w:t>13</w:t>
      </w:r>
      <w:r w:rsidRPr="000530B1">
        <w:fldChar w:fldCharType="end"/>
      </w:r>
      <w:r w:rsidRPr="000530B1">
        <w:t>). Postgraduate coursework ratings have increased consistently since the pandemic, surpassing pre-pandemic levels</w:t>
      </w:r>
      <w:r w:rsidR="00601D8A" w:rsidRPr="000530B1">
        <w:t>, and</w:t>
      </w:r>
      <w:r w:rsidRPr="000530B1">
        <w:t xml:space="preserve"> are now higher than undergraduate ratings – 85.5 per cent positive in 2025.</w:t>
      </w:r>
    </w:p>
    <w:p w14:paraId="15EE15D6" w14:textId="78448419" w:rsidR="00D85BE4" w:rsidRPr="000530B1" w:rsidRDefault="00D85BE4" w:rsidP="004F0E18">
      <w:pPr>
        <w:pStyle w:val="Captionaccessible"/>
        <w:spacing w:after="40"/>
      </w:pPr>
      <w:bookmarkStart w:id="56" w:name="_Ref223639974"/>
      <w:bookmarkStart w:id="57" w:name="_Toc239764878"/>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13</w:t>
      </w:r>
      <w:r w:rsidR="00955601">
        <w:rPr>
          <w:noProof/>
        </w:rPr>
        <w:fldChar w:fldCharType="end"/>
      </w:r>
      <w:bookmarkEnd w:id="56"/>
      <w:r w:rsidR="005E4886" w:rsidRPr="000530B1">
        <w:tab/>
      </w:r>
      <w:r w:rsidRPr="000530B1">
        <w:t>Learning Resources by course level, 2017–25 (% positive rating)</w:t>
      </w:r>
      <w:bookmarkEnd w:id="57"/>
    </w:p>
    <w:p w14:paraId="34125D6B" w14:textId="3CEB6794" w:rsidR="00214C52" w:rsidRPr="000530B1" w:rsidRDefault="00627EC7" w:rsidP="004F0E18">
      <w:pPr>
        <w:spacing w:before="60" w:line="300" w:lineRule="auto"/>
        <w:rPr>
          <w:rFonts w:eastAsia="Times New Roman" w:cs="Times New Roman"/>
          <w:szCs w:val="20"/>
        </w:rPr>
      </w:pPr>
      <w:r>
        <w:rPr>
          <w:rFonts w:eastAsia="Times New Roman" w:cs="Times New Roman"/>
          <w:noProof/>
          <w:szCs w:val="20"/>
        </w:rPr>
        <w:drawing>
          <wp:inline distT="0" distB="0" distL="0" distR="0" wp14:anchorId="07B03FED" wp14:editId="76D0A233">
            <wp:extent cx="6407150" cy="3780155"/>
            <wp:effectExtent l="0" t="0" r="0" b="0"/>
            <wp:docPr id="21409865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07150" cy="3780155"/>
                    </a:xfrm>
                    <a:prstGeom prst="rect">
                      <a:avLst/>
                    </a:prstGeom>
                    <a:noFill/>
                  </pic:spPr>
                </pic:pic>
              </a:graphicData>
            </a:graphic>
          </wp:inline>
        </w:drawing>
      </w:r>
    </w:p>
    <w:p w14:paraId="2E55FF69" w14:textId="1E5DAAE6" w:rsidR="008B294E" w:rsidRPr="000530B1" w:rsidRDefault="00CA0F53" w:rsidP="00446700">
      <w:pPr>
        <w:pStyle w:val="Body"/>
      </w:pPr>
      <w:r w:rsidRPr="000530B1">
        <w:t xml:space="preserve">Ratings </w:t>
      </w:r>
      <w:r w:rsidR="006C720B" w:rsidRPr="000530B1">
        <w:t xml:space="preserve">of Learning Resources </w:t>
      </w:r>
      <w:r w:rsidRPr="000530B1">
        <w:t xml:space="preserve">are also influenced by students’ participation in </w:t>
      </w:r>
      <w:r w:rsidR="00042A43" w:rsidRPr="000530B1">
        <w:t>classes;</w:t>
      </w:r>
      <w:r w:rsidRPr="000530B1">
        <w:t xml:space="preserve"> however, </w:t>
      </w:r>
      <w:r w:rsidR="003F590A" w:rsidRPr="000530B1">
        <w:t xml:space="preserve">it appears that there is less variation between those who did </w:t>
      </w:r>
      <w:r w:rsidR="007B4DC6">
        <w:t>‘</w:t>
      </w:r>
      <w:r w:rsidR="003F590A" w:rsidRPr="007B4DC6">
        <w:t>all on-campus</w:t>
      </w:r>
      <w:r w:rsidR="007B4DC6">
        <w:t>’</w:t>
      </w:r>
      <w:r w:rsidR="003F590A" w:rsidRPr="000530B1">
        <w:t xml:space="preserve"> or </w:t>
      </w:r>
      <w:r w:rsidR="007B4DC6">
        <w:t>‘</w:t>
      </w:r>
      <w:r w:rsidR="0003483A" w:rsidRPr="007B4DC6">
        <w:t>blended/hybrid</w:t>
      </w:r>
      <w:r w:rsidR="007B4DC6">
        <w:t>’</w:t>
      </w:r>
      <w:r w:rsidR="003F590A" w:rsidRPr="000530B1">
        <w:t>, and even</w:t>
      </w:r>
      <w:r w:rsidR="004F7854" w:rsidRPr="000530B1">
        <w:t xml:space="preserve"> those who did </w:t>
      </w:r>
      <w:r w:rsidR="007B4DC6">
        <w:t>‘</w:t>
      </w:r>
      <w:r w:rsidR="004F7854" w:rsidRPr="007B4DC6">
        <w:t>some</w:t>
      </w:r>
      <w:r w:rsidR="007B4DC6">
        <w:t>’</w:t>
      </w:r>
      <w:r w:rsidR="004F7854" w:rsidRPr="000530B1">
        <w:t xml:space="preserve"> versus those who did about </w:t>
      </w:r>
      <w:r w:rsidR="007B4DC6">
        <w:t>‘</w:t>
      </w:r>
      <w:r w:rsidR="004F7854" w:rsidRPr="007B4DC6">
        <w:rPr>
          <w:iCs/>
        </w:rPr>
        <w:t>half</w:t>
      </w:r>
      <w:r w:rsidR="007B4DC6">
        <w:rPr>
          <w:iCs/>
        </w:rPr>
        <w:t>’</w:t>
      </w:r>
      <w:r w:rsidR="004F7854" w:rsidRPr="000530B1">
        <w:t xml:space="preserve"> online.</w:t>
      </w:r>
    </w:p>
    <w:p w14:paraId="61243202" w14:textId="64A2CEBF" w:rsidR="00CA0F53" w:rsidRPr="000530B1" w:rsidRDefault="00981750" w:rsidP="00446700">
      <w:pPr>
        <w:pStyle w:val="Body"/>
      </w:pPr>
      <w:r w:rsidRPr="000530B1">
        <w:rPr>
          <w:b/>
          <w:bCs/>
        </w:rPr>
        <w:fldChar w:fldCharType="begin"/>
      </w:r>
      <w:r w:rsidRPr="000530B1">
        <w:rPr>
          <w:b/>
          <w:bCs/>
        </w:rPr>
        <w:instrText xml:space="preserve"> REF _Ref223640140 \h </w:instrText>
      </w:r>
      <w:r w:rsidR="00601D8A" w:rsidRPr="000530B1">
        <w:rPr>
          <w:b/>
          <w:bCs/>
        </w:rPr>
        <w:instrText xml:space="preserve"> \* MERGEFORMAT </w:instrText>
      </w:r>
      <w:r w:rsidRPr="000530B1">
        <w:rPr>
          <w:b/>
          <w:bCs/>
        </w:rPr>
      </w:r>
      <w:r w:rsidRPr="000530B1">
        <w:rPr>
          <w:b/>
          <w:bCs/>
        </w:rPr>
        <w:fldChar w:fldCharType="separate"/>
      </w:r>
      <w:r w:rsidRPr="000530B1">
        <w:rPr>
          <w:b/>
          <w:bCs/>
        </w:rPr>
        <w:t xml:space="preserve">Figure </w:t>
      </w:r>
      <w:r w:rsidRPr="000530B1">
        <w:rPr>
          <w:b/>
          <w:bCs/>
          <w:noProof/>
        </w:rPr>
        <w:t>14</w:t>
      </w:r>
      <w:r w:rsidRPr="000530B1">
        <w:rPr>
          <w:b/>
          <w:bCs/>
        </w:rPr>
        <w:fldChar w:fldCharType="end"/>
      </w:r>
      <w:r w:rsidR="004F7854" w:rsidRPr="000530B1">
        <w:rPr>
          <w:b/>
          <w:bCs/>
        </w:rPr>
        <w:t xml:space="preserve"> </w:t>
      </w:r>
      <w:r w:rsidR="004F7854" w:rsidRPr="000530B1">
        <w:t xml:space="preserve">shows ratings of Learning Resources </w:t>
      </w:r>
      <w:r w:rsidR="00B41E1F" w:rsidRPr="000530B1">
        <w:t>were</w:t>
      </w:r>
      <w:r w:rsidR="00E14C3E" w:rsidRPr="000530B1">
        <w:t xml:space="preserve"> lower for those who did </w:t>
      </w:r>
      <w:r w:rsidR="00653EF4">
        <w:t>‘</w:t>
      </w:r>
      <w:r w:rsidR="00E14C3E" w:rsidRPr="00653EF4">
        <w:t>all</w:t>
      </w:r>
      <w:r w:rsidR="00653EF4">
        <w:t>’</w:t>
      </w:r>
      <w:r w:rsidR="00E14C3E" w:rsidRPr="000530B1">
        <w:rPr>
          <w:i/>
          <w:iCs/>
        </w:rPr>
        <w:t xml:space="preserve"> </w:t>
      </w:r>
      <w:r w:rsidR="00E14C3E" w:rsidRPr="000530B1">
        <w:t xml:space="preserve">online or </w:t>
      </w:r>
      <w:r w:rsidR="00653EF4">
        <w:t>‘</w:t>
      </w:r>
      <w:r w:rsidR="00E14C3E" w:rsidRPr="00653EF4">
        <w:t>most</w:t>
      </w:r>
      <w:r w:rsidR="00653EF4">
        <w:t>’</w:t>
      </w:r>
      <w:r w:rsidR="00B41E1F" w:rsidRPr="000530B1">
        <w:rPr>
          <w:i/>
          <w:iCs/>
        </w:rPr>
        <w:t xml:space="preserve"> </w:t>
      </w:r>
      <w:r w:rsidR="00B41E1F" w:rsidRPr="000530B1">
        <w:t>online</w:t>
      </w:r>
      <w:r w:rsidR="009B09D1" w:rsidRPr="000530B1">
        <w:t xml:space="preserve">. </w:t>
      </w:r>
      <w:r w:rsidR="00AA2C58" w:rsidRPr="000530B1">
        <w:t>These findings</w:t>
      </w:r>
      <w:r w:rsidR="00E14C3E" w:rsidRPr="000530B1">
        <w:t xml:space="preserve"> </w:t>
      </w:r>
      <w:r w:rsidR="00042C77" w:rsidRPr="000530B1">
        <w:t xml:space="preserve">suggest that </w:t>
      </w:r>
      <w:r w:rsidR="0049566B" w:rsidRPr="000530B1">
        <w:t xml:space="preserve">having </w:t>
      </w:r>
      <w:r w:rsidR="00A31299" w:rsidRPr="000530B1">
        <w:t xml:space="preserve">at least some on-campus participation in classes for </w:t>
      </w:r>
      <w:r w:rsidR="001A2E67" w:rsidRPr="000530B1">
        <w:t xml:space="preserve">internal/multi-mode students </w:t>
      </w:r>
      <w:r w:rsidR="00A31299" w:rsidRPr="000530B1">
        <w:t xml:space="preserve">has </w:t>
      </w:r>
      <w:r w:rsidR="00A31299" w:rsidRPr="000530B1">
        <w:lastRenderedPageBreak/>
        <w:t xml:space="preserve">a positive effect on Learning Resources ratings. </w:t>
      </w:r>
      <w:r w:rsidR="003975F1" w:rsidRPr="000530B1">
        <w:t xml:space="preserve">This </w:t>
      </w:r>
      <w:r w:rsidR="00570B5B" w:rsidRPr="000530B1">
        <w:t>may also explain why Learning Resources ratings were quick to recover in 2022, as restrictions eased.</w:t>
      </w:r>
    </w:p>
    <w:p w14:paraId="6CE59CDA" w14:textId="5F3108E2" w:rsidR="00AC4C5F" w:rsidRPr="000530B1" w:rsidRDefault="00AC4C5F" w:rsidP="00B956C6">
      <w:pPr>
        <w:pStyle w:val="Captionaccessible"/>
      </w:pPr>
      <w:bookmarkStart w:id="58" w:name="_Ref223640140"/>
      <w:bookmarkStart w:id="59" w:name="_Toc239764879"/>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14</w:t>
      </w:r>
      <w:r w:rsidR="00955601">
        <w:rPr>
          <w:noProof/>
        </w:rPr>
        <w:fldChar w:fldCharType="end"/>
      </w:r>
      <w:bookmarkEnd w:id="58"/>
      <w:r w:rsidR="00981750" w:rsidRPr="000530B1">
        <w:tab/>
      </w:r>
      <w:r w:rsidRPr="000530B1">
        <w:t>Undergraduate Learning Resources by class participation, enrolled internal/multi-mode, 2025 (% positive rating)</w:t>
      </w:r>
      <w:bookmarkEnd w:id="59"/>
    </w:p>
    <w:p w14:paraId="453931FF" w14:textId="354C1AB1" w:rsidR="00627144" w:rsidRDefault="00B956C6" w:rsidP="00B956C6">
      <w:pPr>
        <w:pStyle w:val="Body"/>
        <w:spacing w:before="60" w:after="240"/>
        <w:jc w:val="center"/>
        <w:rPr>
          <w:lang w:eastAsia="en-AU"/>
        </w:rPr>
      </w:pPr>
      <w:r>
        <w:rPr>
          <w:noProof/>
          <w:lang w:eastAsia="en-AU"/>
        </w:rPr>
        <w:drawing>
          <wp:inline distT="0" distB="0" distL="0" distR="0" wp14:anchorId="11223926" wp14:editId="79732957">
            <wp:extent cx="6408000" cy="7578941"/>
            <wp:effectExtent l="0" t="0" r="0" b="3175"/>
            <wp:docPr id="13439810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08000" cy="7578941"/>
                    </a:xfrm>
                    <a:prstGeom prst="rect">
                      <a:avLst/>
                    </a:prstGeom>
                    <a:noFill/>
                  </pic:spPr>
                </pic:pic>
              </a:graphicData>
            </a:graphic>
          </wp:inline>
        </w:drawing>
      </w:r>
    </w:p>
    <w:p w14:paraId="428559D5" w14:textId="51B1EE98" w:rsidR="00D76047" w:rsidRPr="000530B1" w:rsidRDefault="00C93674" w:rsidP="00627EC7">
      <w:pPr>
        <w:pStyle w:val="Body"/>
      </w:pPr>
      <w:r w:rsidRPr="000530B1">
        <w:t xml:space="preserve">Differences in Learning Resources ratings at the postgraduate coursework level did appear to </w:t>
      </w:r>
      <w:r w:rsidR="00F738B4" w:rsidRPr="000530B1">
        <w:t>be more pronounced than for undergraduates</w:t>
      </w:r>
      <w:r w:rsidR="00235E6F" w:rsidRPr="000530B1">
        <w:t xml:space="preserve"> and more consistent with differences observed for other focus areas. </w:t>
      </w:r>
      <w:r w:rsidR="00990827" w:rsidRPr="000530B1">
        <w:t>Internal/multi-mode postgraduate coursework students who participated in</w:t>
      </w:r>
      <w:r w:rsidR="007B4DC6">
        <w:t xml:space="preserve"> </w:t>
      </w:r>
      <w:r w:rsidR="00990827" w:rsidRPr="000530B1">
        <w:t xml:space="preserve">their classes </w:t>
      </w:r>
      <w:r w:rsidR="007B4DC6">
        <w:t>‘</w:t>
      </w:r>
      <w:r w:rsidR="00990827" w:rsidRPr="007B4DC6">
        <w:t xml:space="preserve">all </w:t>
      </w:r>
      <w:proofErr w:type="gramStart"/>
      <w:r w:rsidR="00990827" w:rsidRPr="007B4DC6">
        <w:t>on-campus</w:t>
      </w:r>
      <w:proofErr w:type="gramEnd"/>
      <w:r w:rsidR="007B4DC6">
        <w:t>’</w:t>
      </w:r>
      <w:r w:rsidR="00640239" w:rsidRPr="000530B1">
        <w:t xml:space="preserve"> reported higher positive ratings </w:t>
      </w:r>
      <w:r w:rsidR="00640239" w:rsidRPr="000530B1">
        <w:lastRenderedPageBreak/>
        <w:t xml:space="preserve">than those who did </w:t>
      </w:r>
      <w:r w:rsidR="00653EF4">
        <w:t>‘</w:t>
      </w:r>
      <w:r w:rsidR="00640239" w:rsidRPr="00653EF4">
        <w:t>all online</w:t>
      </w:r>
      <w:r w:rsidR="00653EF4">
        <w:t>’</w:t>
      </w:r>
      <w:r w:rsidR="00F738B4" w:rsidRPr="000530B1">
        <w:t xml:space="preserve"> (</w:t>
      </w:r>
      <w:r w:rsidR="00F738B4" w:rsidRPr="000530B1">
        <w:rPr>
          <w:b/>
          <w:bCs/>
        </w:rPr>
        <w:fldChar w:fldCharType="begin"/>
      </w:r>
      <w:r w:rsidR="00F738B4" w:rsidRPr="000530B1">
        <w:rPr>
          <w:b/>
          <w:bCs/>
        </w:rPr>
        <w:instrText xml:space="preserve"> REF _Ref221036637 \h  \* MERGEFORMAT </w:instrText>
      </w:r>
      <w:r w:rsidR="00F738B4" w:rsidRPr="000530B1">
        <w:rPr>
          <w:b/>
          <w:bCs/>
        </w:rPr>
      </w:r>
      <w:r w:rsidR="00F738B4" w:rsidRPr="000530B1">
        <w:rPr>
          <w:b/>
          <w:bCs/>
        </w:rPr>
        <w:fldChar w:fldCharType="separate"/>
      </w:r>
      <w:r w:rsidR="000457AD" w:rsidRPr="000530B1">
        <w:rPr>
          <w:b/>
          <w:bCs/>
        </w:rPr>
        <w:t xml:space="preserve">Figure </w:t>
      </w:r>
      <w:r w:rsidR="000457AD" w:rsidRPr="000530B1">
        <w:rPr>
          <w:b/>
          <w:bCs/>
          <w:noProof/>
        </w:rPr>
        <w:t>15</w:t>
      </w:r>
      <w:r w:rsidR="00F738B4" w:rsidRPr="000530B1">
        <w:rPr>
          <w:b/>
          <w:bCs/>
        </w:rPr>
        <w:fldChar w:fldCharType="end"/>
      </w:r>
      <w:r w:rsidR="00F738B4" w:rsidRPr="000530B1">
        <w:t>)</w:t>
      </w:r>
      <w:r w:rsidR="00235E6F" w:rsidRPr="000530B1">
        <w:t>.</w:t>
      </w:r>
      <w:r w:rsidR="00100D83" w:rsidRPr="000530B1">
        <w:t xml:space="preserve"> For those who took a </w:t>
      </w:r>
      <w:r w:rsidR="007B4DC6">
        <w:t>‘</w:t>
      </w:r>
      <w:r w:rsidR="00100D83" w:rsidRPr="007B4DC6">
        <w:t>blended/hybrid</w:t>
      </w:r>
      <w:r w:rsidR="007B4DC6">
        <w:t>’</w:t>
      </w:r>
      <w:r w:rsidR="00100D83" w:rsidRPr="000530B1">
        <w:t xml:space="preserve"> approach, those who did </w:t>
      </w:r>
      <w:r w:rsidR="00653EF4">
        <w:t>‘</w:t>
      </w:r>
      <w:r w:rsidR="00100D83" w:rsidRPr="00653EF4">
        <w:t>some</w:t>
      </w:r>
      <w:r w:rsidR="00142610" w:rsidRPr="00653EF4">
        <w:t xml:space="preserve"> online</w:t>
      </w:r>
      <w:r w:rsidR="00653EF4">
        <w:t>’</w:t>
      </w:r>
      <w:r w:rsidR="00100D83" w:rsidRPr="000530B1">
        <w:t xml:space="preserve"> rated</w:t>
      </w:r>
      <w:r w:rsidR="001E2103" w:rsidRPr="000530B1">
        <w:t xml:space="preserve"> Learning Resources higher than those did </w:t>
      </w:r>
      <w:r w:rsidR="007B4DC6">
        <w:t>‘</w:t>
      </w:r>
      <w:r w:rsidR="001E2103" w:rsidRPr="007B4DC6">
        <w:t>about</w:t>
      </w:r>
      <w:r w:rsidR="001E2103" w:rsidRPr="000530B1">
        <w:rPr>
          <w:i/>
          <w:iCs/>
        </w:rPr>
        <w:t xml:space="preserve"> </w:t>
      </w:r>
      <w:r w:rsidR="001E2103" w:rsidRPr="007B4DC6">
        <w:t>half</w:t>
      </w:r>
      <w:r w:rsidR="007B4DC6">
        <w:t>’</w:t>
      </w:r>
      <w:r w:rsidR="001E2103" w:rsidRPr="000530B1">
        <w:t xml:space="preserve"> and </w:t>
      </w:r>
      <w:r w:rsidR="001E2103" w:rsidRPr="007B4DC6">
        <w:t xml:space="preserve">most </w:t>
      </w:r>
      <w:r w:rsidR="007B4DC6">
        <w:t>‘</w:t>
      </w:r>
      <w:r w:rsidR="001E2103" w:rsidRPr="007B4DC6">
        <w:t>online</w:t>
      </w:r>
      <w:r w:rsidR="007B4DC6">
        <w:t>’</w:t>
      </w:r>
      <w:r w:rsidR="001E2103" w:rsidRPr="000530B1">
        <w:t>.</w:t>
      </w:r>
    </w:p>
    <w:p w14:paraId="1CBC895B" w14:textId="4FAA3C31" w:rsidR="008556A4" w:rsidRPr="000530B1" w:rsidRDefault="00AC4C5F" w:rsidP="00927BB5">
      <w:pPr>
        <w:pStyle w:val="Captionaccessible"/>
      </w:pPr>
      <w:bookmarkStart w:id="60" w:name="_Ref221036637"/>
      <w:bookmarkStart w:id="61" w:name="_Toc239764880"/>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15</w:t>
      </w:r>
      <w:r w:rsidR="00955601">
        <w:rPr>
          <w:noProof/>
        </w:rPr>
        <w:fldChar w:fldCharType="end"/>
      </w:r>
      <w:bookmarkEnd w:id="60"/>
      <w:r w:rsidR="000457AD" w:rsidRPr="000530B1">
        <w:tab/>
      </w:r>
      <w:r w:rsidRPr="000530B1">
        <w:t>Postgraduate coursework Learning Resources by class participation, enrolled internal/multi-mode, 2025 (% positive rating)</w:t>
      </w:r>
      <w:bookmarkEnd w:id="61"/>
    </w:p>
    <w:p w14:paraId="79B4D2E8" w14:textId="7C66EF74" w:rsidR="00927BB5" w:rsidRDefault="00927BB5" w:rsidP="00927BB5">
      <w:pPr>
        <w:spacing w:before="60" w:after="240" w:line="300" w:lineRule="auto"/>
        <w:jc w:val="center"/>
        <w:rPr>
          <w:rFonts w:eastAsia="Times New Roman" w:cs="Times New Roman"/>
          <w:szCs w:val="20"/>
        </w:rPr>
      </w:pPr>
      <w:r>
        <w:rPr>
          <w:rFonts w:eastAsia="Times New Roman" w:cs="Times New Roman"/>
          <w:noProof/>
          <w:szCs w:val="20"/>
        </w:rPr>
        <w:drawing>
          <wp:inline distT="0" distB="0" distL="0" distR="0" wp14:anchorId="13F4A915" wp14:editId="15170968">
            <wp:extent cx="6372000" cy="7455291"/>
            <wp:effectExtent l="0" t="0" r="0" b="0"/>
            <wp:docPr id="184087051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72000" cy="7455291"/>
                    </a:xfrm>
                    <a:prstGeom prst="rect">
                      <a:avLst/>
                    </a:prstGeom>
                    <a:noFill/>
                  </pic:spPr>
                </pic:pic>
              </a:graphicData>
            </a:graphic>
          </wp:inline>
        </w:drawing>
      </w:r>
    </w:p>
    <w:p w14:paraId="5B3ABBFA" w14:textId="77777777" w:rsidR="00927BB5" w:rsidRDefault="00927BB5">
      <w:pPr>
        <w:spacing w:before="60" w:after="60"/>
        <w:rPr>
          <w:rFonts w:eastAsia="Times New Roman" w:cs="Times New Roman"/>
          <w:szCs w:val="20"/>
        </w:rPr>
      </w:pPr>
      <w:r>
        <w:rPr>
          <w:rFonts w:eastAsia="Times New Roman" w:cs="Times New Roman"/>
          <w:szCs w:val="20"/>
        </w:rPr>
        <w:br w:type="page"/>
      </w:r>
    </w:p>
    <w:p w14:paraId="01CC4C9B" w14:textId="25F85D91" w:rsidR="003E73E2" w:rsidRPr="003D1BD9" w:rsidRDefault="002F0BB6" w:rsidP="00FF798E">
      <w:pPr>
        <w:pStyle w:val="Heading2"/>
        <w:spacing w:after="120"/>
      </w:pPr>
      <w:bookmarkStart w:id="62" w:name="_Toc239764792"/>
      <w:r w:rsidRPr="000530B1">
        <w:lastRenderedPageBreak/>
        <w:t>Student Support and Services</w:t>
      </w:r>
      <w:bookmarkEnd w:id="62"/>
    </w:p>
    <w:tbl>
      <w:tblPr>
        <w:tblStyle w:val="TableGrid"/>
        <w:tblW w:w="0" w:type="auto"/>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10158"/>
      </w:tblGrid>
      <w:tr w:rsidR="003D1BD9" w14:paraId="7E06877A" w14:textId="77777777" w:rsidTr="009575BF">
        <w:trPr>
          <w:cnfStyle w:val="100000000000" w:firstRow="1" w:lastRow="0" w:firstColumn="0" w:lastColumn="0" w:oddVBand="0" w:evenVBand="0" w:oddHBand="0" w:evenHBand="0" w:firstRowFirstColumn="0" w:firstRowLastColumn="0" w:lastRowFirstColumn="0" w:lastRowLastColumn="0"/>
        </w:trPr>
        <w:tc>
          <w:tcPr>
            <w:tcW w:w="10194" w:type="dxa"/>
            <w:vAlign w:val="top"/>
          </w:tcPr>
          <w:p w14:paraId="5B2B0CA4" w14:textId="77777777" w:rsidR="003D1BD9" w:rsidRPr="003D1BD9" w:rsidRDefault="003D1BD9" w:rsidP="00C627D8">
            <w:pPr>
              <w:pStyle w:val="Body"/>
              <w:spacing w:after="60"/>
              <w:ind w:left="57"/>
              <w:rPr>
                <w:b w:val="0"/>
                <w:bCs/>
              </w:rPr>
            </w:pPr>
            <w:r w:rsidRPr="003D1BD9">
              <w:rPr>
                <w:b w:val="0"/>
                <w:bCs/>
              </w:rPr>
              <w:t>The Student Support and Services focus area captures students’ perceptions of how helpful they found key institutional supports during the year. The items cover a range of academic, administrative and wellbeing services, including:</w:t>
            </w:r>
          </w:p>
          <w:p w14:paraId="1D90D363" w14:textId="77777777" w:rsidR="003D1BD9" w:rsidRPr="003D1BD9" w:rsidRDefault="003D1BD9" w:rsidP="00927BB5">
            <w:pPr>
              <w:pStyle w:val="Bullets-noindent"/>
              <w:ind w:left="708"/>
              <w:rPr>
                <w:b w:val="0"/>
                <w:bCs/>
              </w:rPr>
            </w:pPr>
            <w:r w:rsidRPr="003D1BD9">
              <w:rPr>
                <w:b w:val="0"/>
                <w:bCs/>
              </w:rPr>
              <w:t>enrolment processes and support</w:t>
            </w:r>
          </w:p>
          <w:p w14:paraId="580A2E57" w14:textId="77777777" w:rsidR="003D1BD9" w:rsidRPr="003D1BD9" w:rsidRDefault="003D1BD9" w:rsidP="00927BB5">
            <w:pPr>
              <w:pStyle w:val="Bullets-noindent"/>
              <w:ind w:left="708"/>
              <w:rPr>
                <w:b w:val="0"/>
                <w:bCs/>
              </w:rPr>
            </w:pPr>
            <w:r w:rsidRPr="003D1BD9">
              <w:rPr>
                <w:b w:val="0"/>
                <w:bCs/>
              </w:rPr>
              <w:t>induction and orientation activities</w:t>
            </w:r>
          </w:p>
          <w:p w14:paraId="19A0B459" w14:textId="77777777" w:rsidR="003D1BD9" w:rsidRPr="003D1BD9" w:rsidRDefault="003D1BD9" w:rsidP="00927BB5">
            <w:pPr>
              <w:pStyle w:val="Bullets-noindent"/>
              <w:ind w:left="708"/>
              <w:rPr>
                <w:b w:val="0"/>
                <w:bCs/>
              </w:rPr>
            </w:pPr>
            <w:r w:rsidRPr="003D1BD9">
              <w:rPr>
                <w:b w:val="0"/>
                <w:bCs/>
              </w:rPr>
              <w:t>the online learning platform</w:t>
            </w:r>
          </w:p>
          <w:p w14:paraId="45336DA8" w14:textId="77777777" w:rsidR="003D1BD9" w:rsidRPr="003D1BD9" w:rsidRDefault="003D1BD9" w:rsidP="00927BB5">
            <w:pPr>
              <w:pStyle w:val="Bullets-noindent"/>
              <w:ind w:left="708"/>
              <w:rPr>
                <w:b w:val="0"/>
                <w:bCs/>
              </w:rPr>
            </w:pPr>
            <w:r w:rsidRPr="003D1BD9">
              <w:rPr>
                <w:b w:val="0"/>
                <w:bCs/>
              </w:rPr>
              <w:t>career development services</w:t>
            </w:r>
          </w:p>
          <w:p w14:paraId="6102B021" w14:textId="77777777" w:rsidR="003D1BD9" w:rsidRPr="003D1BD9" w:rsidRDefault="003D1BD9" w:rsidP="00927BB5">
            <w:pPr>
              <w:pStyle w:val="Bullets-noindent"/>
              <w:ind w:left="708"/>
              <w:rPr>
                <w:b w:val="0"/>
                <w:bCs/>
              </w:rPr>
            </w:pPr>
            <w:r w:rsidRPr="003D1BD9">
              <w:rPr>
                <w:b w:val="0"/>
                <w:bCs/>
              </w:rPr>
              <w:t xml:space="preserve">study or learning support services </w:t>
            </w:r>
          </w:p>
          <w:p w14:paraId="59294192" w14:textId="77777777" w:rsidR="003D1BD9" w:rsidRPr="003D1BD9" w:rsidRDefault="003D1BD9" w:rsidP="00927BB5">
            <w:pPr>
              <w:pStyle w:val="Bullets-noindent"/>
              <w:ind w:left="708"/>
              <w:rPr>
                <w:b w:val="0"/>
                <w:bCs/>
              </w:rPr>
            </w:pPr>
            <w:r w:rsidRPr="003D1BD9">
              <w:rPr>
                <w:b w:val="0"/>
                <w:bCs/>
              </w:rPr>
              <w:t>counsellors and/or health services</w:t>
            </w:r>
          </w:p>
          <w:p w14:paraId="4804DFB2" w14:textId="445A5986" w:rsidR="003D1BD9" w:rsidRPr="003D1BD9" w:rsidRDefault="003D1BD9" w:rsidP="00927BB5">
            <w:pPr>
              <w:pStyle w:val="Bullets-noindent"/>
              <w:spacing w:after="120"/>
              <w:ind w:left="708"/>
            </w:pPr>
            <w:r w:rsidRPr="003D1BD9">
              <w:rPr>
                <w:b w:val="0"/>
                <w:bCs/>
              </w:rPr>
              <w:t>financial and/or legal advisors.</w:t>
            </w:r>
          </w:p>
        </w:tc>
      </w:tr>
    </w:tbl>
    <w:p w14:paraId="5C76A21B" w14:textId="37A5B6CB" w:rsidR="00D9472B" w:rsidRPr="00D9472B" w:rsidRDefault="00883223" w:rsidP="00FF798E">
      <w:pPr>
        <w:pStyle w:val="Body"/>
      </w:pPr>
      <w:r w:rsidRPr="000530B1">
        <w:t xml:space="preserve">At the undergraduate level, ratings of Student Support and Services have remained </w:t>
      </w:r>
      <w:r w:rsidR="00D3109B">
        <w:t>stable</w:t>
      </w:r>
      <w:r w:rsidR="00D3109B" w:rsidRPr="000530B1">
        <w:t xml:space="preserve"> </w:t>
      </w:r>
      <w:r w:rsidRPr="000530B1">
        <w:t>for 3 consecutive years, with</w:t>
      </w:r>
      <w:r w:rsidR="009B4398" w:rsidRPr="000530B1">
        <w:t xml:space="preserve"> 71.3 per cent of undergraduates rat</w:t>
      </w:r>
      <w:r w:rsidR="006D58C8" w:rsidRPr="000530B1">
        <w:t>ing</w:t>
      </w:r>
      <w:r w:rsidR="009B4398" w:rsidRPr="000530B1">
        <w:t xml:space="preserve"> Student Support and Services positively</w:t>
      </w:r>
      <w:r w:rsidR="006D58C8" w:rsidRPr="000530B1">
        <w:t xml:space="preserve"> in 2025</w:t>
      </w:r>
      <w:r w:rsidRPr="000530B1">
        <w:t xml:space="preserve"> (</w:t>
      </w:r>
      <w:r w:rsidRPr="000530B1">
        <w:rPr>
          <w:b/>
          <w:bCs/>
        </w:rPr>
        <w:fldChar w:fldCharType="begin"/>
      </w:r>
      <w:r w:rsidRPr="000530B1">
        <w:rPr>
          <w:b/>
          <w:bCs/>
        </w:rPr>
        <w:instrText xml:space="preserve"> REF _Ref217408647 \h  \* MERGEFORMAT </w:instrText>
      </w:r>
      <w:r w:rsidRPr="000530B1">
        <w:rPr>
          <w:b/>
          <w:bCs/>
        </w:rPr>
      </w:r>
      <w:r w:rsidRPr="000530B1">
        <w:rPr>
          <w:b/>
          <w:bCs/>
        </w:rPr>
        <w:fldChar w:fldCharType="separate"/>
      </w:r>
      <w:r w:rsidRPr="000530B1">
        <w:rPr>
          <w:b/>
          <w:bCs/>
        </w:rPr>
        <w:t xml:space="preserve">Figure </w:t>
      </w:r>
      <w:r w:rsidRPr="000530B1">
        <w:rPr>
          <w:b/>
          <w:bCs/>
          <w:noProof/>
        </w:rPr>
        <w:t>16</w:t>
      </w:r>
      <w:r w:rsidRPr="000530B1">
        <w:rPr>
          <w:b/>
          <w:bCs/>
        </w:rPr>
        <w:fldChar w:fldCharType="end"/>
      </w:r>
      <w:r w:rsidRPr="000530B1">
        <w:t>)</w:t>
      </w:r>
      <w:r w:rsidR="009B4398" w:rsidRPr="000530B1">
        <w:t>. In</w:t>
      </w:r>
      <w:r w:rsidR="002241A4">
        <w:t> </w:t>
      </w:r>
      <w:r w:rsidR="009B4398" w:rsidRPr="000530B1">
        <w:t xml:space="preserve">contrast, 77.7 per cent of postgraduate coursework students rated </w:t>
      </w:r>
      <w:r w:rsidR="00EB0483" w:rsidRPr="000530B1">
        <w:t>Student Support and Services</w:t>
      </w:r>
      <w:r w:rsidR="009B4398" w:rsidRPr="000530B1">
        <w:t xml:space="preserve"> positively in 2025</w:t>
      </w:r>
      <w:r w:rsidR="00973D42" w:rsidRPr="000530B1">
        <w:t xml:space="preserve">, </w:t>
      </w:r>
      <w:r w:rsidR="00EB0483" w:rsidRPr="000530B1">
        <w:t xml:space="preserve">continuing a </w:t>
      </w:r>
      <w:r w:rsidR="00973D42" w:rsidRPr="000530B1">
        <w:t xml:space="preserve">year-on-year </w:t>
      </w:r>
      <w:r w:rsidR="00EB0483" w:rsidRPr="000530B1">
        <w:t xml:space="preserve">increase </w:t>
      </w:r>
      <w:r w:rsidR="00973D42" w:rsidRPr="000530B1">
        <w:t xml:space="preserve">since </w:t>
      </w:r>
      <w:r w:rsidR="00502F5D" w:rsidRPr="000530B1">
        <w:t>202</w:t>
      </w:r>
      <w:r w:rsidR="006D58C8" w:rsidRPr="000530B1">
        <w:t>3</w:t>
      </w:r>
      <w:r w:rsidR="00502F5D" w:rsidRPr="000530B1">
        <w:t xml:space="preserve">. </w:t>
      </w:r>
      <w:r w:rsidR="00D3109B">
        <w:t>This divergence in results suggests that there is opportunity for institutions to review whether undergraduate student support services are meeting student needs as effectively as those provided to postgraduate coursework students.</w:t>
      </w:r>
    </w:p>
    <w:p w14:paraId="01EE93CF" w14:textId="0202F388" w:rsidR="001B4151" w:rsidRPr="000530B1" w:rsidRDefault="001B4151" w:rsidP="00CE44D3">
      <w:pPr>
        <w:pStyle w:val="Captionaccessible"/>
        <w:spacing w:after="40"/>
      </w:pPr>
      <w:bookmarkStart w:id="63" w:name="_Ref217408647"/>
      <w:bookmarkStart w:id="64" w:name="_Toc239764881"/>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16</w:t>
      </w:r>
      <w:r w:rsidR="00955601">
        <w:rPr>
          <w:noProof/>
        </w:rPr>
        <w:fldChar w:fldCharType="end"/>
      </w:r>
      <w:bookmarkEnd w:id="63"/>
      <w:r w:rsidR="000457AD" w:rsidRPr="000530B1">
        <w:tab/>
      </w:r>
      <w:r w:rsidRPr="000530B1">
        <w:t>Student Support and Services by course level, 2017–25 (% positive rating)</w:t>
      </w:r>
      <w:bookmarkEnd w:id="64"/>
    </w:p>
    <w:p w14:paraId="47E0BE60" w14:textId="51B9EA53" w:rsidR="00013DD1" w:rsidRPr="000530B1" w:rsidRDefault="00927BB5" w:rsidP="00502F5D">
      <w:pPr>
        <w:pStyle w:val="Body"/>
        <w:rPr>
          <w:noProof/>
        </w:rPr>
      </w:pPr>
      <w:r>
        <w:rPr>
          <w:noProof/>
        </w:rPr>
        <w:drawing>
          <wp:inline distT="0" distB="0" distL="0" distR="0" wp14:anchorId="0173607E" wp14:editId="1A4E87BC">
            <wp:extent cx="6407150" cy="3493135"/>
            <wp:effectExtent l="0" t="0" r="0" b="0"/>
            <wp:docPr id="3370152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07150" cy="3493135"/>
                    </a:xfrm>
                    <a:prstGeom prst="rect">
                      <a:avLst/>
                    </a:prstGeom>
                    <a:noFill/>
                  </pic:spPr>
                </pic:pic>
              </a:graphicData>
            </a:graphic>
          </wp:inline>
        </w:drawing>
      </w:r>
    </w:p>
    <w:p w14:paraId="7D022E75" w14:textId="355E53E6" w:rsidR="007744FA" w:rsidRPr="000530B1" w:rsidRDefault="00502F5D" w:rsidP="00502F5D">
      <w:pPr>
        <w:pStyle w:val="Body"/>
      </w:pPr>
      <w:r w:rsidRPr="000530B1">
        <w:t xml:space="preserve">Mode of study and class participation </w:t>
      </w:r>
      <w:r w:rsidR="00690460" w:rsidRPr="000530B1">
        <w:t xml:space="preserve">do not </w:t>
      </w:r>
      <w:r w:rsidRPr="000530B1">
        <w:t xml:space="preserve">appear to </w:t>
      </w:r>
      <w:r w:rsidR="00690460" w:rsidRPr="000530B1">
        <w:t xml:space="preserve">have the same consistent impact on Student Support and Services, like they do on some other aspects of the student experience. </w:t>
      </w:r>
      <w:r w:rsidR="00DC64E5" w:rsidRPr="000530B1">
        <w:rPr>
          <w:b/>
          <w:bCs/>
        </w:rPr>
        <w:fldChar w:fldCharType="begin"/>
      </w:r>
      <w:r w:rsidR="00DC64E5" w:rsidRPr="000530B1">
        <w:rPr>
          <w:b/>
          <w:bCs/>
        </w:rPr>
        <w:instrText xml:space="preserve"> REF _Ref217408907 \h </w:instrText>
      </w:r>
      <w:r w:rsidR="007744FA" w:rsidRPr="000530B1">
        <w:rPr>
          <w:b/>
          <w:bCs/>
        </w:rPr>
        <w:instrText xml:space="preserve"> \* MERGEFORMAT </w:instrText>
      </w:r>
      <w:r w:rsidR="00DC64E5" w:rsidRPr="000530B1">
        <w:rPr>
          <w:b/>
          <w:bCs/>
        </w:rPr>
      </w:r>
      <w:r w:rsidR="00DC64E5" w:rsidRPr="000530B1">
        <w:rPr>
          <w:b/>
          <w:bCs/>
        </w:rPr>
        <w:fldChar w:fldCharType="separate"/>
      </w:r>
      <w:r w:rsidR="000457AD" w:rsidRPr="000530B1">
        <w:rPr>
          <w:b/>
          <w:bCs/>
        </w:rPr>
        <w:t xml:space="preserve">Figure </w:t>
      </w:r>
      <w:r w:rsidR="000457AD" w:rsidRPr="000530B1">
        <w:rPr>
          <w:b/>
          <w:bCs/>
          <w:noProof/>
        </w:rPr>
        <w:t>17</w:t>
      </w:r>
      <w:r w:rsidR="00DC64E5" w:rsidRPr="000530B1">
        <w:rPr>
          <w:b/>
          <w:bCs/>
        </w:rPr>
        <w:fldChar w:fldCharType="end"/>
      </w:r>
      <w:r w:rsidR="00DC64E5" w:rsidRPr="000530B1">
        <w:t xml:space="preserve"> shows that there was little difference in undergraduate internal/multi-mode ratings between those who </w:t>
      </w:r>
      <w:r w:rsidR="007744FA" w:rsidRPr="000530B1">
        <w:t>participated</w:t>
      </w:r>
      <w:r w:rsidR="00DC64E5" w:rsidRPr="000530B1">
        <w:t xml:space="preserve"> in classes </w:t>
      </w:r>
      <w:r w:rsidR="00FB5AA1">
        <w:t>‘</w:t>
      </w:r>
      <w:r w:rsidR="00DC64E5" w:rsidRPr="00FB5AA1">
        <w:t>all on</w:t>
      </w:r>
      <w:r w:rsidR="007744FA" w:rsidRPr="00FB5AA1">
        <w:t>-campus</w:t>
      </w:r>
      <w:r w:rsidR="00FB5AA1">
        <w:t>’</w:t>
      </w:r>
      <w:r w:rsidR="007744FA" w:rsidRPr="00FB5AA1">
        <w:t xml:space="preserve"> </w:t>
      </w:r>
      <w:r w:rsidR="007744FA" w:rsidRPr="000530B1">
        <w:t xml:space="preserve">versus </w:t>
      </w:r>
      <w:r w:rsidR="00FB5AA1">
        <w:t>‘</w:t>
      </w:r>
      <w:r w:rsidR="007744FA" w:rsidRPr="00FB5AA1">
        <w:t>all online</w:t>
      </w:r>
      <w:r w:rsidR="00FB5AA1">
        <w:t>’</w:t>
      </w:r>
      <w:r w:rsidR="007744FA" w:rsidRPr="000530B1">
        <w:t xml:space="preserve">, and students who studied </w:t>
      </w:r>
      <w:r w:rsidR="00653EF4">
        <w:t>‘</w:t>
      </w:r>
      <w:r w:rsidR="007744FA" w:rsidRPr="00653EF4">
        <w:t>all online</w:t>
      </w:r>
      <w:r w:rsidR="00653EF4">
        <w:t>’</w:t>
      </w:r>
      <w:r w:rsidR="007744FA" w:rsidRPr="000530B1">
        <w:t xml:space="preserve"> rated this focus area higher </w:t>
      </w:r>
      <w:r w:rsidR="00F454E2" w:rsidRPr="000530B1">
        <w:t>(7</w:t>
      </w:r>
      <w:r w:rsidR="009574C7" w:rsidRPr="000530B1">
        <w:t>1</w:t>
      </w:r>
      <w:r w:rsidR="00F454E2" w:rsidRPr="000530B1">
        <w:t>.</w:t>
      </w:r>
      <w:r w:rsidR="009574C7" w:rsidRPr="000530B1">
        <w:t>5</w:t>
      </w:r>
      <w:r w:rsidR="00D9472B">
        <w:t xml:space="preserve"> </w:t>
      </w:r>
      <w:r w:rsidR="00F454E2" w:rsidRPr="000530B1">
        <w:t>per</w:t>
      </w:r>
      <w:r w:rsidR="00D9472B">
        <w:t xml:space="preserve"> </w:t>
      </w:r>
      <w:r w:rsidR="00F454E2" w:rsidRPr="000530B1">
        <w:t xml:space="preserve">cent) </w:t>
      </w:r>
      <w:r w:rsidR="007744FA" w:rsidRPr="000530B1">
        <w:t>than those who did a mix of online and on-campus</w:t>
      </w:r>
      <w:r w:rsidR="00F454E2" w:rsidRPr="000530B1">
        <w:t xml:space="preserve"> (69.8 per cent)</w:t>
      </w:r>
      <w:r w:rsidR="007744FA" w:rsidRPr="000530B1">
        <w:t>.</w:t>
      </w:r>
      <w:r w:rsidR="006D379E" w:rsidRPr="000530B1">
        <w:t xml:space="preserve"> These findings indicate that perhaps other factors beyond class engagement may influence student ratings of Student Support and Services.</w:t>
      </w:r>
    </w:p>
    <w:p w14:paraId="7CBC9F19" w14:textId="661C0DC6" w:rsidR="00731CC1" w:rsidRPr="000530B1" w:rsidRDefault="00731CC1" w:rsidP="00CF4576">
      <w:pPr>
        <w:pStyle w:val="Captionaccessible"/>
      </w:pPr>
      <w:bookmarkStart w:id="65" w:name="_Ref217408907"/>
      <w:bookmarkStart w:id="66" w:name="_Toc239764882"/>
      <w:r w:rsidRPr="000530B1">
        <w:lastRenderedPageBreak/>
        <w:t xml:space="preserve">Figure </w:t>
      </w:r>
      <w:r w:rsidR="00955601">
        <w:fldChar w:fldCharType="begin"/>
      </w:r>
      <w:r w:rsidR="00955601">
        <w:instrText xml:space="preserve"> SEQ Figure \* ARABIC </w:instrText>
      </w:r>
      <w:r w:rsidR="00955601">
        <w:fldChar w:fldCharType="separate"/>
      </w:r>
      <w:r w:rsidR="00955601" w:rsidRPr="000530B1">
        <w:rPr>
          <w:noProof/>
        </w:rPr>
        <w:t>17</w:t>
      </w:r>
      <w:r w:rsidR="00955601">
        <w:rPr>
          <w:noProof/>
        </w:rPr>
        <w:fldChar w:fldCharType="end"/>
      </w:r>
      <w:bookmarkEnd w:id="65"/>
      <w:r w:rsidR="000457AD" w:rsidRPr="000530B1">
        <w:tab/>
      </w:r>
      <w:r w:rsidRPr="000530B1">
        <w:t>Undergraduate Student Support and Services by class participation, enrolled internal/multi-mode, 2025 (% positive rating)</w:t>
      </w:r>
      <w:bookmarkEnd w:id="66"/>
    </w:p>
    <w:p w14:paraId="30BD62C2" w14:textId="38BBF292" w:rsidR="00F869AF" w:rsidRDefault="00CF4576" w:rsidP="001720D0">
      <w:pPr>
        <w:pStyle w:val="Body"/>
        <w:spacing w:before="60"/>
        <w:jc w:val="center"/>
      </w:pPr>
      <w:r>
        <w:rPr>
          <w:noProof/>
        </w:rPr>
        <w:drawing>
          <wp:inline distT="0" distB="0" distL="0" distR="0" wp14:anchorId="5199A365" wp14:editId="6BBE872D">
            <wp:extent cx="6408000" cy="7646313"/>
            <wp:effectExtent l="0" t="0" r="0" b="0"/>
            <wp:docPr id="22697666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08000" cy="7646313"/>
                    </a:xfrm>
                    <a:prstGeom prst="rect">
                      <a:avLst/>
                    </a:prstGeom>
                    <a:noFill/>
                  </pic:spPr>
                </pic:pic>
              </a:graphicData>
            </a:graphic>
          </wp:inline>
        </w:drawing>
      </w:r>
    </w:p>
    <w:p w14:paraId="59D21325" w14:textId="77777777" w:rsidR="00F869AF" w:rsidRDefault="00F869AF">
      <w:pPr>
        <w:spacing w:before="60" w:after="60"/>
        <w:rPr>
          <w:rFonts w:eastAsia="Times New Roman" w:cs="Times New Roman"/>
          <w:szCs w:val="20"/>
        </w:rPr>
      </w:pPr>
      <w:r>
        <w:br w:type="page"/>
      </w:r>
    </w:p>
    <w:p w14:paraId="450F6E42" w14:textId="6B2335DA" w:rsidR="007744FA" w:rsidRPr="000530B1" w:rsidRDefault="007744FA" w:rsidP="00EC2090">
      <w:pPr>
        <w:pStyle w:val="Body"/>
      </w:pPr>
      <w:r w:rsidRPr="000530B1">
        <w:lastRenderedPageBreak/>
        <w:t xml:space="preserve">Class participation for internal/multi-mode postgraduate coursework students </w:t>
      </w:r>
      <w:r w:rsidR="004B4810" w:rsidRPr="000530B1">
        <w:t xml:space="preserve">did, however, have some impact on student ratings. Students who participated in classes </w:t>
      </w:r>
      <w:r w:rsidR="00653EF4">
        <w:t>‘</w:t>
      </w:r>
      <w:r w:rsidR="00AB2807" w:rsidRPr="00653EF4">
        <w:t xml:space="preserve">all </w:t>
      </w:r>
      <w:proofErr w:type="gramStart"/>
      <w:r w:rsidR="00BA224B" w:rsidRPr="00653EF4">
        <w:t>on-campus</w:t>
      </w:r>
      <w:proofErr w:type="gramEnd"/>
      <w:r w:rsidR="00653EF4">
        <w:t>’</w:t>
      </w:r>
      <w:r w:rsidR="00BA224B" w:rsidRPr="000530B1">
        <w:t xml:space="preserve"> </w:t>
      </w:r>
      <w:r w:rsidR="004B4810" w:rsidRPr="000530B1">
        <w:t xml:space="preserve">or </w:t>
      </w:r>
      <w:r w:rsidR="00653EF4">
        <w:t>‘</w:t>
      </w:r>
      <w:r w:rsidR="004B4810" w:rsidRPr="00653EF4">
        <w:t>some</w:t>
      </w:r>
      <w:r w:rsidR="00653EF4">
        <w:t>’</w:t>
      </w:r>
      <w:r w:rsidR="004B4810" w:rsidRPr="000530B1">
        <w:t xml:space="preserve"> online did rate Student Support and Services more positively</w:t>
      </w:r>
      <w:r w:rsidR="0068206F" w:rsidRPr="000530B1">
        <w:t xml:space="preserve"> (7</w:t>
      </w:r>
      <w:r w:rsidR="00AC0CBC" w:rsidRPr="000530B1">
        <w:t>9</w:t>
      </w:r>
      <w:r w:rsidR="0068206F" w:rsidRPr="000530B1">
        <w:t>.</w:t>
      </w:r>
      <w:r w:rsidR="00AC0CBC" w:rsidRPr="000530B1">
        <w:t>3</w:t>
      </w:r>
      <w:r w:rsidR="0068206F" w:rsidRPr="000530B1">
        <w:t xml:space="preserve"> per cent and 78.7 per cent respectively)</w:t>
      </w:r>
      <w:r w:rsidR="004B4810" w:rsidRPr="000530B1">
        <w:t xml:space="preserve"> (</w:t>
      </w:r>
      <w:r w:rsidR="004B4810" w:rsidRPr="000530B1">
        <w:rPr>
          <w:b/>
          <w:bCs/>
        </w:rPr>
        <w:fldChar w:fldCharType="begin"/>
      </w:r>
      <w:r w:rsidR="004B4810" w:rsidRPr="000530B1">
        <w:rPr>
          <w:b/>
          <w:bCs/>
        </w:rPr>
        <w:instrText xml:space="preserve"> REF _Ref217409147 \h  \* MERGEFORMAT </w:instrText>
      </w:r>
      <w:r w:rsidR="004B4810" w:rsidRPr="000530B1">
        <w:rPr>
          <w:b/>
          <w:bCs/>
        </w:rPr>
      </w:r>
      <w:r w:rsidR="004B4810" w:rsidRPr="000530B1">
        <w:rPr>
          <w:b/>
          <w:bCs/>
        </w:rPr>
        <w:fldChar w:fldCharType="separate"/>
      </w:r>
      <w:r w:rsidR="00E925DE" w:rsidRPr="000530B1">
        <w:rPr>
          <w:b/>
          <w:bCs/>
        </w:rPr>
        <w:t xml:space="preserve">Figure </w:t>
      </w:r>
      <w:r w:rsidR="00E925DE" w:rsidRPr="000530B1">
        <w:rPr>
          <w:b/>
          <w:bCs/>
          <w:noProof/>
        </w:rPr>
        <w:t>18</w:t>
      </w:r>
      <w:r w:rsidR="004B4810" w:rsidRPr="000530B1">
        <w:rPr>
          <w:b/>
          <w:bCs/>
        </w:rPr>
        <w:fldChar w:fldCharType="end"/>
      </w:r>
      <w:r w:rsidR="004B4810" w:rsidRPr="000530B1">
        <w:t>).</w:t>
      </w:r>
    </w:p>
    <w:p w14:paraId="6DE9319F" w14:textId="115FDFC5" w:rsidR="00CF4576" w:rsidRDefault="00731CC1" w:rsidP="00507892">
      <w:pPr>
        <w:pStyle w:val="Captionaccessible"/>
        <w:spacing w:after="120"/>
      </w:pPr>
      <w:bookmarkStart w:id="67" w:name="_Ref217409147"/>
      <w:bookmarkStart w:id="68" w:name="_Toc239764883"/>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18</w:t>
      </w:r>
      <w:r w:rsidR="00955601">
        <w:rPr>
          <w:noProof/>
        </w:rPr>
        <w:fldChar w:fldCharType="end"/>
      </w:r>
      <w:bookmarkEnd w:id="67"/>
      <w:r w:rsidR="000457AD" w:rsidRPr="000530B1">
        <w:tab/>
      </w:r>
      <w:r w:rsidRPr="000530B1">
        <w:t>Postgraduate coursework Student Support and Services by class participation, enrolled internal/multi-mode, 2025 (% positive rating)</w:t>
      </w:r>
      <w:bookmarkEnd w:id="68"/>
    </w:p>
    <w:p w14:paraId="7D816B2B" w14:textId="2239B110" w:rsidR="00507892" w:rsidRDefault="00507892" w:rsidP="00507892">
      <w:pPr>
        <w:pStyle w:val="Body"/>
        <w:spacing w:before="60" w:after="0"/>
        <w:jc w:val="center"/>
      </w:pPr>
      <w:r>
        <w:rPr>
          <w:noProof/>
        </w:rPr>
        <w:drawing>
          <wp:inline distT="0" distB="0" distL="0" distR="0" wp14:anchorId="5D24A8DD" wp14:editId="6A0AED3F">
            <wp:extent cx="6408000" cy="7533084"/>
            <wp:effectExtent l="0" t="0" r="0" b="0"/>
            <wp:docPr id="125076468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08000" cy="7533084"/>
                    </a:xfrm>
                    <a:prstGeom prst="rect">
                      <a:avLst/>
                    </a:prstGeom>
                    <a:noFill/>
                  </pic:spPr>
                </pic:pic>
              </a:graphicData>
            </a:graphic>
          </wp:inline>
        </w:drawing>
      </w:r>
    </w:p>
    <w:p w14:paraId="0C25D3C4" w14:textId="15EAAA24" w:rsidR="00731CC1" w:rsidRPr="00507892" w:rsidRDefault="00507892" w:rsidP="00507892">
      <w:pPr>
        <w:spacing w:before="60" w:after="60"/>
        <w:rPr>
          <w:rFonts w:eastAsia="Times New Roman" w:cs="Times New Roman"/>
          <w:szCs w:val="20"/>
        </w:rPr>
      </w:pPr>
      <w:r>
        <w:br w:type="page"/>
      </w:r>
    </w:p>
    <w:p w14:paraId="18CA52DF" w14:textId="7B6A91FC" w:rsidR="00E12426" w:rsidRDefault="002F0BB6" w:rsidP="00EC2090">
      <w:pPr>
        <w:pStyle w:val="Heading2"/>
      </w:pPr>
      <w:bookmarkStart w:id="69" w:name="_Toc239764793"/>
      <w:r w:rsidRPr="000530B1">
        <w:lastRenderedPageBreak/>
        <w:t>Peer Engagement</w:t>
      </w:r>
      <w:bookmarkStart w:id="70" w:name="_Hlk193363794"/>
      <w:bookmarkEnd w:id="69"/>
    </w:p>
    <w:tbl>
      <w:tblPr>
        <w:tblStyle w:val="TableGrid"/>
        <w:tblW w:w="0" w:type="auto"/>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10158"/>
      </w:tblGrid>
      <w:tr w:rsidR="00C627D8" w14:paraId="0D2172C8" w14:textId="77777777" w:rsidTr="009575BF">
        <w:trPr>
          <w:cnfStyle w:val="100000000000" w:firstRow="1" w:lastRow="0" w:firstColumn="0" w:lastColumn="0" w:oddVBand="0" w:evenVBand="0" w:oddHBand="0" w:evenHBand="0" w:firstRowFirstColumn="0" w:firstRowLastColumn="0" w:lastRowFirstColumn="0" w:lastRowLastColumn="0"/>
        </w:trPr>
        <w:tc>
          <w:tcPr>
            <w:tcW w:w="10194" w:type="dxa"/>
            <w:vAlign w:val="top"/>
          </w:tcPr>
          <w:p w14:paraId="0E1A2D94" w14:textId="77777777" w:rsidR="00C627D8" w:rsidRPr="00C627D8" w:rsidRDefault="00C627D8" w:rsidP="00C627D8">
            <w:pPr>
              <w:pStyle w:val="Body"/>
              <w:spacing w:after="40"/>
              <w:rPr>
                <w:b w:val="0"/>
                <w:bCs/>
              </w:rPr>
            </w:pPr>
            <w:r w:rsidRPr="00C627D8">
              <w:rPr>
                <w:b w:val="0"/>
                <w:bCs/>
              </w:rPr>
              <w:t>The Peer Engagement focus area reflects how frequently students interacted with other students during the year in ways that supported learning, collaboration and connection. While the items measure frequency rather than students’ evaluations of these interactions, the results provide insight into patterns of peer interaction across academic and social contexts. Specifically, this focus area measures how frequently students:</w:t>
            </w:r>
          </w:p>
          <w:p w14:paraId="1D53311A" w14:textId="77777777" w:rsidR="00C627D8" w:rsidRPr="00C627D8" w:rsidRDefault="00C627D8" w:rsidP="00507892">
            <w:pPr>
              <w:pStyle w:val="Bullets-noindent"/>
              <w:ind w:left="708"/>
              <w:rPr>
                <w:b w:val="0"/>
                <w:bCs/>
              </w:rPr>
            </w:pPr>
            <w:r w:rsidRPr="00C627D8">
              <w:rPr>
                <w:b w:val="0"/>
                <w:bCs/>
              </w:rPr>
              <w:t>contributed to class discussion</w:t>
            </w:r>
          </w:p>
          <w:p w14:paraId="1B8F7DFA" w14:textId="77777777" w:rsidR="00C627D8" w:rsidRPr="00C627D8" w:rsidRDefault="00C627D8" w:rsidP="00507892">
            <w:pPr>
              <w:pStyle w:val="Bullets-noindent"/>
              <w:ind w:left="708"/>
              <w:rPr>
                <w:b w:val="0"/>
                <w:bCs/>
              </w:rPr>
            </w:pPr>
            <w:r w:rsidRPr="00C627D8">
              <w:rPr>
                <w:b w:val="0"/>
                <w:bCs/>
              </w:rPr>
              <w:t>worked with other students as part of the course</w:t>
            </w:r>
          </w:p>
          <w:p w14:paraId="6AE096E4" w14:textId="77777777" w:rsidR="00C627D8" w:rsidRPr="00C627D8" w:rsidRDefault="00C627D8" w:rsidP="00507892">
            <w:pPr>
              <w:pStyle w:val="Bullets-noindent"/>
              <w:ind w:left="708"/>
              <w:rPr>
                <w:b w:val="0"/>
                <w:bCs/>
              </w:rPr>
            </w:pPr>
            <w:r w:rsidRPr="00C627D8">
              <w:rPr>
                <w:b w:val="0"/>
                <w:bCs/>
              </w:rPr>
              <w:t>interacted with other students to give or receive help with study</w:t>
            </w:r>
          </w:p>
          <w:p w14:paraId="45099613" w14:textId="77777777" w:rsidR="00C627D8" w:rsidRPr="00C627D8" w:rsidRDefault="00C627D8" w:rsidP="00507892">
            <w:pPr>
              <w:pStyle w:val="Bullets-noindent"/>
              <w:ind w:left="708"/>
              <w:rPr>
                <w:b w:val="0"/>
                <w:bCs/>
              </w:rPr>
            </w:pPr>
            <w:r w:rsidRPr="00C627D8">
              <w:rPr>
                <w:b w:val="0"/>
                <w:bCs/>
              </w:rPr>
              <w:t>interacted socially with other students outside of study</w:t>
            </w:r>
          </w:p>
          <w:p w14:paraId="50F2C94D" w14:textId="51B88611" w:rsidR="00C627D8" w:rsidRPr="00C627D8" w:rsidRDefault="00C627D8" w:rsidP="00507892">
            <w:pPr>
              <w:pStyle w:val="Bullets-noindent"/>
              <w:spacing w:after="120"/>
              <w:ind w:left="708"/>
            </w:pPr>
            <w:r w:rsidRPr="00C627D8">
              <w:rPr>
                <w:b w:val="0"/>
                <w:bCs/>
              </w:rPr>
              <w:t>interacted with a diverse range of students.</w:t>
            </w:r>
          </w:p>
        </w:tc>
      </w:tr>
    </w:tbl>
    <w:p w14:paraId="2189F751" w14:textId="334667E0" w:rsidR="004D2092" w:rsidRPr="000530B1" w:rsidRDefault="00241A1F" w:rsidP="00CE44D3">
      <w:pPr>
        <w:pStyle w:val="Body"/>
      </w:pPr>
      <w:r w:rsidRPr="000530B1">
        <w:t>Ratings of the Peer Engagement focus area</w:t>
      </w:r>
      <w:r w:rsidR="00EF771E" w:rsidRPr="000530B1">
        <w:t xml:space="preserve">, which measures the frequency of peer interactions, is closely tied to study mode. Peer Engagement ratings dropped substantially in 2020 and 2021 </w:t>
      </w:r>
      <w:r w:rsidR="00EC7983" w:rsidRPr="000530B1">
        <w:t>as</w:t>
      </w:r>
      <w:r w:rsidR="00EF771E" w:rsidRPr="000530B1">
        <w:t xml:space="preserve"> students</w:t>
      </w:r>
      <w:r w:rsidR="0083237D" w:rsidRPr="000530B1">
        <w:t xml:space="preserve"> studied predominately online during the pandemic</w:t>
      </w:r>
      <w:r w:rsidR="00715236" w:rsidRPr="000530B1">
        <w:t xml:space="preserve"> (</w:t>
      </w:r>
      <w:r w:rsidR="00715236" w:rsidRPr="000530B1">
        <w:fldChar w:fldCharType="begin"/>
      </w:r>
      <w:r w:rsidR="00715236" w:rsidRPr="000530B1">
        <w:instrText xml:space="preserve"> REF _Ref217407846 \h </w:instrText>
      </w:r>
      <w:r w:rsidRPr="000530B1">
        <w:instrText xml:space="preserve"> \* MERGEFORMAT </w:instrText>
      </w:r>
      <w:r w:rsidR="00715236" w:rsidRPr="000530B1">
        <w:fldChar w:fldCharType="separate"/>
      </w:r>
      <w:r w:rsidR="000457AD" w:rsidRPr="000530B1">
        <w:rPr>
          <w:b/>
          <w:bCs/>
        </w:rPr>
        <w:t xml:space="preserve">Figure </w:t>
      </w:r>
      <w:r w:rsidR="000457AD" w:rsidRPr="000530B1">
        <w:rPr>
          <w:b/>
          <w:bCs/>
          <w:noProof/>
        </w:rPr>
        <w:t>19</w:t>
      </w:r>
      <w:r w:rsidR="00715236" w:rsidRPr="000530B1">
        <w:fldChar w:fldCharType="end"/>
      </w:r>
      <w:r w:rsidR="00715236" w:rsidRPr="000530B1">
        <w:t>)</w:t>
      </w:r>
      <w:r w:rsidR="0083237D" w:rsidRPr="000530B1">
        <w:t xml:space="preserve">. Undergraduate ratings </w:t>
      </w:r>
      <w:r w:rsidR="003D7167" w:rsidRPr="000530B1">
        <w:t>had largely recovered to pre-2020 levels in 2023 and 2024. In 2025, undergraduate ratings increased to 61.4 per cent</w:t>
      </w:r>
      <w:r w:rsidR="007C68F7" w:rsidRPr="000530B1">
        <w:t xml:space="preserve"> – the highest since 2017.</w:t>
      </w:r>
    </w:p>
    <w:p w14:paraId="1618461C" w14:textId="26254FDA" w:rsidR="007C68F7" w:rsidRPr="000530B1" w:rsidRDefault="007C68F7" w:rsidP="00CE44D3">
      <w:pPr>
        <w:pStyle w:val="Body"/>
        <w:spacing w:after="100"/>
      </w:pPr>
      <w:r w:rsidRPr="000530B1">
        <w:t>Postgraduate ratings of Peer Engagement have surpassed ratings seen prior to 2020. This is likely influenced by the large proportion of international students in the postgraduate coursework population</w:t>
      </w:r>
      <w:r w:rsidR="00481784" w:rsidRPr="000530B1">
        <w:t xml:space="preserve">, who are enrolled in internal/multi-mode studies, and more likely to participate in classes </w:t>
      </w:r>
      <w:proofErr w:type="gramStart"/>
      <w:r w:rsidR="00715236" w:rsidRPr="000530B1">
        <w:t>on-campus</w:t>
      </w:r>
      <w:proofErr w:type="gramEnd"/>
      <w:r w:rsidR="00715236" w:rsidRPr="000530B1">
        <w:t>.</w:t>
      </w:r>
    </w:p>
    <w:p w14:paraId="50AE4A50" w14:textId="389CFFCD" w:rsidR="001B4151" w:rsidRPr="000530B1" w:rsidRDefault="001B4151" w:rsidP="00EC2090">
      <w:pPr>
        <w:pStyle w:val="Captionaccessible"/>
        <w:spacing w:after="40"/>
      </w:pPr>
      <w:bookmarkStart w:id="71" w:name="_Ref217407846"/>
      <w:bookmarkStart w:id="72" w:name="_Toc239764884"/>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19</w:t>
      </w:r>
      <w:r w:rsidR="00955601">
        <w:rPr>
          <w:noProof/>
        </w:rPr>
        <w:fldChar w:fldCharType="end"/>
      </w:r>
      <w:bookmarkEnd w:id="71"/>
      <w:r w:rsidR="000457AD" w:rsidRPr="000530B1">
        <w:tab/>
      </w:r>
      <w:r w:rsidRPr="000530B1">
        <w:t>Peer Engagement by course level, 2017–25 (% positive rating)</w:t>
      </w:r>
      <w:bookmarkEnd w:id="72"/>
    </w:p>
    <w:p w14:paraId="502C9095" w14:textId="1868356B" w:rsidR="00531EB1" w:rsidRPr="000530B1" w:rsidRDefault="00C608C0" w:rsidP="00A03F9D">
      <w:pPr>
        <w:pStyle w:val="Body"/>
        <w:spacing w:before="40" w:after="60"/>
        <w:jc w:val="center"/>
      </w:pPr>
      <w:r>
        <w:rPr>
          <w:noProof/>
        </w:rPr>
        <w:drawing>
          <wp:inline distT="0" distB="0" distL="0" distR="0" wp14:anchorId="6FE6F42F" wp14:editId="5C392C60">
            <wp:extent cx="6407150" cy="3316605"/>
            <wp:effectExtent l="0" t="0" r="0" b="0"/>
            <wp:docPr id="71493966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07150" cy="3316605"/>
                    </a:xfrm>
                    <a:prstGeom prst="rect">
                      <a:avLst/>
                    </a:prstGeom>
                    <a:noFill/>
                  </pic:spPr>
                </pic:pic>
              </a:graphicData>
            </a:graphic>
          </wp:inline>
        </w:drawing>
      </w:r>
    </w:p>
    <w:p w14:paraId="5815948F" w14:textId="602C7E48" w:rsidR="00EC7983" w:rsidRPr="000530B1" w:rsidRDefault="00EC7983" w:rsidP="00EC2090">
      <w:pPr>
        <w:pStyle w:val="Body"/>
      </w:pPr>
      <w:r w:rsidRPr="000530B1">
        <w:t>Although overall ratings of Peer Engagement have returned to historical levels, it is important to note the varying frequency of interactions</w:t>
      </w:r>
      <w:r w:rsidR="00E62E89" w:rsidRPr="000530B1">
        <w:t xml:space="preserve"> </w:t>
      </w:r>
      <w:r w:rsidRPr="000530B1">
        <w:t xml:space="preserve">between internal/multi-mode students who participated in their classes either </w:t>
      </w:r>
      <w:r w:rsidR="00D9472B">
        <w:t>‘</w:t>
      </w:r>
      <w:r w:rsidRPr="00D9472B">
        <w:t xml:space="preserve">all </w:t>
      </w:r>
      <w:proofErr w:type="gramStart"/>
      <w:r w:rsidRPr="00D9472B">
        <w:t>on-campus</w:t>
      </w:r>
      <w:proofErr w:type="gramEnd"/>
      <w:r w:rsidR="00D9472B">
        <w:t>’</w:t>
      </w:r>
      <w:r w:rsidRPr="000530B1">
        <w:t xml:space="preserve"> or </w:t>
      </w:r>
      <w:r w:rsidR="00592AEA" w:rsidRPr="000530B1">
        <w:t xml:space="preserve">a </w:t>
      </w:r>
      <w:r w:rsidR="00D9472B">
        <w:t>‘</w:t>
      </w:r>
      <w:r w:rsidR="00592AEA" w:rsidRPr="00D9472B">
        <w:t>blended</w:t>
      </w:r>
      <w:r w:rsidR="00DE751D" w:rsidRPr="00D9472B">
        <w:t>/hybrid</w:t>
      </w:r>
      <w:r w:rsidR="00D9472B">
        <w:t>’</w:t>
      </w:r>
      <w:r w:rsidR="00DE751D" w:rsidRPr="000530B1">
        <w:t xml:space="preserve"> approach</w:t>
      </w:r>
      <w:r w:rsidR="001E256D" w:rsidRPr="000530B1">
        <w:t xml:space="preserve">, compared to </w:t>
      </w:r>
      <w:r w:rsidR="00DE751D" w:rsidRPr="000530B1">
        <w:t>those</w:t>
      </w:r>
      <w:r w:rsidR="001E256D" w:rsidRPr="000530B1">
        <w:t xml:space="preserve"> who participated </w:t>
      </w:r>
      <w:r w:rsidR="00D9472B">
        <w:t>‘</w:t>
      </w:r>
      <w:r w:rsidR="001E256D" w:rsidRPr="00D9472B">
        <w:t>all online</w:t>
      </w:r>
      <w:r w:rsidR="00D9472B">
        <w:t>’</w:t>
      </w:r>
      <w:r w:rsidR="001E256D" w:rsidRPr="00D9472B">
        <w:t>.</w:t>
      </w:r>
    </w:p>
    <w:p w14:paraId="46D0C9F4" w14:textId="05C56225" w:rsidR="00EC2090" w:rsidRDefault="003907C8" w:rsidP="00EC2090">
      <w:pPr>
        <w:pStyle w:val="Body"/>
        <w:spacing w:after="100"/>
        <w:rPr>
          <w:i/>
          <w:iCs/>
        </w:rPr>
      </w:pPr>
      <w:r w:rsidRPr="000530B1">
        <w:t>Internal/multi-mode students</w:t>
      </w:r>
      <w:r w:rsidR="00C43B31" w:rsidRPr="000530B1">
        <w:t xml:space="preserve"> who participated </w:t>
      </w:r>
      <w:r w:rsidR="00D9472B">
        <w:t>‘</w:t>
      </w:r>
      <w:r w:rsidR="00C43B31" w:rsidRPr="00D9472B">
        <w:t xml:space="preserve">all </w:t>
      </w:r>
      <w:proofErr w:type="gramStart"/>
      <w:r w:rsidR="00C43B31" w:rsidRPr="00D9472B">
        <w:t>on-campus</w:t>
      </w:r>
      <w:proofErr w:type="gramEnd"/>
      <w:r w:rsidR="00D9472B">
        <w:t>’</w:t>
      </w:r>
      <w:r w:rsidR="00C43B31" w:rsidRPr="000530B1">
        <w:t xml:space="preserve"> or took a </w:t>
      </w:r>
      <w:r w:rsidR="00D9472B">
        <w:t>‘</w:t>
      </w:r>
      <w:r w:rsidR="00C43B31" w:rsidRPr="00D9472B">
        <w:t>blended/hybrid</w:t>
      </w:r>
      <w:r w:rsidR="00D9472B">
        <w:t>’</w:t>
      </w:r>
      <w:r w:rsidR="00C43B31" w:rsidRPr="000530B1">
        <w:t xml:space="preserve"> approach </w:t>
      </w:r>
      <w:r w:rsidR="000F5E34" w:rsidRPr="000530B1">
        <w:t xml:space="preserve">were more than twice as likely to </w:t>
      </w:r>
      <w:r w:rsidR="006F67FC" w:rsidRPr="000530B1">
        <w:t xml:space="preserve">report frequent </w:t>
      </w:r>
      <w:r w:rsidR="000F5E34" w:rsidRPr="000530B1">
        <w:t xml:space="preserve">social interactions with </w:t>
      </w:r>
      <w:r w:rsidR="006C41E1" w:rsidRPr="000530B1">
        <w:t>students outside of class</w:t>
      </w:r>
      <w:r w:rsidR="006F67FC" w:rsidRPr="000530B1">
        <w:t xml:space="preserve"> </w:t>
      </w:r>
      <w:r w:rsidR="006C41E1" w:rsidRPr="000530B1">
        <w:t xml:space="preserve">compared to those who did </w:t>
      </w:r>
      <w:r w:rsidR="00D9472B">
        <w:t>‘</w:t>
      </w:r>
      <w:r w:rsidR="006C41E1" w:rsidRPr="00D9472B">
        <w:t>all online</w:t>
      </w:r>
      <w:r w:rsidR="00D9472B">
        <w:t>’</w:t>
      </w:r>
      <w:r w:rsidR="006C41E1" w:rsidRPr="00D9472B">
        <w:t xml:space="preserve"> </w:t>
      </w:r>
      <w:r w:rsidR="006C41E1" w:rsidRPr="000530B1">
        <w:t>(</w:t>
      </w:r>
      <w:r w:rsidR="006C41E1" w:rsidRPr="000530B1">
        <w:rPr>
          <w:b/>
          <w:bCs/>
        </w:rPr>
        <w:fldChar w:fldCharType="begin"/>
      </w:r>
      <w:r w:rsidR="006C41E1" w:rsidRPr="000530B1">
        <w:rPr>
          <w:b/>
          <w:bCs/>
        </w:rPr>
        <w:instrText xml:space="preserve"> REF _Ref221038712 \h  \* MERGEFORMAT </w:instrText>
      </w:r>
      <w:r w:rsidR="006C41E1" w:rsidRPr="000530B1">
        <w:rPr>
          <w:b/>
          <w:bCs/>
        </w:rPr>
      </w:r>
      <w:r w:rsidR="006C41E1" w:rsidRPr="000530B1">
        <w:rPr>
          <w:b/>
          <w:bCs/>
        </w:rPr>
        <w:fldChar w:fldCharType="separate"/>
      </w:r>
      <w:r w:rsidR="000457AD" w:rsidRPr="000530B1">
        <w:rPr>
          <w:b/>
          <w:bCs/>
        </w:rPr>
        <w:t xml:space="preserve">Figure </w:t>
      </w:r>
      <w:r w:rsidR="000457AD" w:rsidRPr="000530B1">
        <w:rPr>
          <w:b/>
          <w:bCs/>
          <w:noProof/>
        </w:rPr>
        <w:t>20</w:t>
      </w:r>
      <w:r w:rsidR="006C41E1" w:rsidRPr="000530B1">
        <w:rPr>
          <w:b/>
          <w:bCs/>
        </w:rPr>
        <w:fldChar w:fldCharType="end"/>
      </w:r>
      <w:r w:rsidR="006C41E1" w:rsidRPr="000530B1">
        <w:t>).</w:t>
      </w:r>
      <w:r w:rsidR="00FF3F54" w:rsidRPr="000530B1">
        <w:t xml:space="preserve"> </w:t>
      </w:r>
      <w:r w:rsidR="008429EE" w:rsidRPr="000530B1">
        <w:t>There were also large differences by class participation</w:t>
      </w:r>
      <w:r w:rsidR="00D252C0" w:rsidRPr="000530B1">
        <w:t xml:space="preserve"> when it came to working with other students as part of the course</w:t>
      </w:r>
      <w:r w:rsidR="00D826DC" w:rsidRPr="000530B1">
        <w:t>: 71.8 per cent</w:t>
      </w:r>
      <w:r w:rsidR="00A06CE4" w:rsidRPr="000530B1">
        <w:t xml:space="preserve"> of those who participated in class </w:t>
      </w:r>
      <w:r w:rsidR="00D9472B">
        <w:t>‘</w:t>
      </w:r>
      <w:r w:rsidR="00A06CE4" w:rsidRPr="00D9472B">
        <w:t xml:space="preserve">all </w:t>
      </w:r>
      <w:proofErr w:type="gramStart"/>
      <w:r w:rsidR="00A06CE4" w:rsidRPr="00D9472B">
        <w:t>on-campus</w:t>
      </w:r>
      <w:proofErr w:type="gramEnd"/>
      <w:r w:rsidR="00D9472B">
        <w:t>’</w:t>
      </w:r>
      <w:r w:rsidR="00A06CE4" w:rsidRPr="00D9472B">
        <w:t xml:space="preserve"> reported </w:t>
      </w:r>
      <w:r w:rsidR="00A06CE4" w:rsidRPr="000530B1">
        <w:t>frequently working with other students</w:t>
      </w:r>
      <w:r w:rsidR="009E5F75" w:rsidRPr="000530B1">
        <w:t xml:space="preserve"> as part of the course</w:t>
      </w:r>
      <w:r w:rsidR="00A06CE4" w:rsidRPr="000530B1">
        <w:t xml:space="preserve">, compared to only 35.2 per cent of those who participated in their course </w:t>
      </w:r>
      <w:r w:rsidR="00D9472B">
        <w:t>‘</w:t>
      </w:r>
      <w:r w:rsidR="00A06CE4" w:rsidRPr="00D9472B">
        <w:t>all online</w:t>
      </w:r>
      <w:r w:rsidR="00D9472B">
        <w:t>’</w:t>
      </w:r>
      <w:r w:rsidR="00A06CE4" w:rsidRPr="000530B1">
        <w:rPr>
          <w:i/>
          <w:iCs/>
        </w:rPr>
        <w:t>.</w:t>
      </w:r>
      <w:bookmarkStart w:id="73" w:name="_Ref221038712"/>
    </w:p>
    <w:p w14:paraId="78C94788" w14:textId="77777777" w:rsidR="00EC2090" w:rsidRDefault="00EC2090" w:rsidP="00EC2090">
      <w:pPr>
        <w:pStyle w:val="Body"/>
        <w:spacing w:after="100"/>
        <w:sectPr w:rsidR="00EC2090" w:rsidSect="002D7A52">
          <w:headerReference w:type="default" r:id="rId53"/>
          <w:pgSz w:w="11906" w:h="16838" w:code="9"/>
          <w:pgMar w:top="1134" w:right="851" w:bottom="1134" w:left="851" w:header="567" w:footer="567" w:gutter="0"/>
          <w:cols w:space="708"/>
          <w:docGrid w:linePitch="360"/>
        </w:sectPr>
      </w:pPr>
    </w:p>
    <w:p w14:paraId="74EBEA56" w14:textId="15D843F5" w:rsidR="00F90C4B" w:rsidRPr="000530B1" w:rsidRDefault="00F90C4B" w:rsidP="00C608C0">
      <w:pPr>
        <w:pStyle w:val="Captionaccessible"/>
      </w:pPr>
      <w:bookmarkStart w:id="74" w:name="_Toc239764885"/>
      <w:r w:rsidRPr="000530B1">
        <w:lastRenderedPageBreak/>
        <w:t xml:space="preserve">Figure </w:t>
      </w:r>
      <w:r w:rsidR="00955601">
        <w:fldChar w:fldCharType="begin"/>
      </w:r>
      <w:r w:rsidR="00955601">
        <w:instrText xml:space="preserve"> SEQ Figure \* ARABIC </w:instrText>
      </w:r>
      <w:r w:rsidR="00955601">
        <w:fldChar w:fldCharType="separate"/>
      </w:r>
      <w:r w:rsidR="00955601" w:rsidRPr="000530B1">
        <w:rPr>
          <w:noProof/>
        </w:rPr>
        <w:t>20</w:t>
      </w:r>
      <w:r w:rsidR="00955601">
        <w:rPr>
          <w:noProof/>
        </w:rPr>
        <w:fldChar w:fldCharType="end"/>
      </w:r>
      <w:bookmarkEnd w:id="73"/>
      <w:r w:rsidR="000457AD" w:rsidRPr="000530B1">
        <w:tab/>
      </w:r>
      <w:r w:rsidRPr="000530B1">
        <w:t>Undergraduate Peer Engagement items by class participation, enrolled internal/multi-mode</w:t>
      </w:r>
      <w:r w:rsidR="00592AEA" w:rsidRPr="000530B1">
        <w:t>, 2025</w:t>
      </w:r>
      <w:r w:rsidRPr="000530B1">
        <w:t xml:space="preserve"> (% positive rating)</w:t>
      </w:r>
      <w:bookmarkEnd w:id="74"/>
    </w:p>
    <w:p w14:paraId="13A3D7DF" w14:textId="74319A0F" w:rsidR="00EC2090" w:rsidRDefault="00C608C0" w:rsidP="00C608C0">
      <w:pPr>
        <w:pStyle w:val="Body"/>
        <w:keepNext/>
        <w:spacing w:before="60" w:after="0"/>
      </w:pPr>
      <w:r>
        <w:rPr>
          <w:noProof/>
        </w:rPr>
        <w:drawing>
          <wp:inline distT="0" distB="0" distL="0" distR="0" wp14:anchorId="079A6B11" wp14:editId="4302B28A">
            <wp:extent cx="9648000" cy="5924144"/>
            <wp:effectExtent l="0" t="0" r="0" b="635"/>
            <wp:docPr id="18539389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648000" cy="5924144"/>
                    </a:xfrm>
                    <a:prstGeom prst="rect">
                      <a:avLst/>
                    </a:prstGeom>
                    <a:noFill/>
                  </pic:spPr>
                </pic:pic>
              </a:graphicData>
            </a:graphic>
          </wp:inline>
        </w:drawing>
      </w:r>
    </w:p>
    <w:p w14:paraId="1E03BE77" w14:textId="77777777" w:rsidR="00EC2090" w:rsidRDefault="00EC2090" w:rsidP="00CE44D3">
      <w:pPr>
        <w:pStyle w:val="Body"/>
        <w:keepNext/>
        <w:spacing w:before="40" w:after="0"/>
      </w:pPr>
    </w:p>
    <w:p w14:paraId="520FFA93" w14:textId="4F12B993" w:rsidR="00EC2090" w:rsidRDefault="00EC2090" w:rsidP="00CE44D3">
      <w:pPr>
        <w:pStyle w:val="Body"/>
        <w:keepNext/>
        <w:spacing w:before="40" w:after="0"/>
        <w:sectPr w:rsidR="00EC2090" w:rsidSect="00EC2090">
          <w:pgSz w:w="16838" w:h="11906" w:orient="landscape" w:code="9"/>
          <w:pgMar w:top="851" w:right="1134" w:bottom="851" w:left="1134" w:header="567" w:footer="567" w:gutter="0"/>
          <w:cols w:space="708"/>
          <w:docGrid w:linePitch="360"/>
        </w:sectPr>
      </w:pPr>
    </w:p>
    <w:p w14:paraId="7126F0FD" w14:textId="1640A607" w:rsidR="00CA3AE5" w:rsidRPr="000530B1" w:rsidRDefault="00CA3AE5" w:rsidP="00D9472B">
      <w:pPr>
        <w:pStyle w:val="Heading1numaccessible"/>
      </w:pPr>
      <w:bookmarkStart w:id="75" w:name="_Toc195645864"/>
      <w:bookmarkStart w:id="76" w:name="_Toc239764794"/>
      <w:bookmarkEnd w:id="16"/>
      <w:bookmarkEnd w:id="17"/>
      <w:bookmarkEnd w:id="18"/>
      <w:bookmarkEnd w:id="70"/>
      <w:r w:rsidRPr="000530B1">
        <w:lastRenderedPageBreak/>
        <w:t>Other aspects of the student experience</w:t>
      </w:r>
      <w:bookmarkEnd w:id="75"/>
      <w:bookmarkEnd w:id="76"/>
    </w:p>
    <w:p w14:paraId="7DF801D5" w14:textId="0722CAC7" w:rsidR="00CA3AE5" w:rsidRPr="000530B1" w:rsidRDefault="00CA3AE5" w:rsidP="00CA3AE5">
      <w:pPr>
        <w:pStyle w:val="Body"/>
      </w:pPr>
      <w:r w:rsidRPr="000530B1">
        <w:t xml:space="preserve">This section explores aspects of the educational experience beyond the </w:t>
      </w:r>
      <w:r w:rsidR="002C68FE" w:rsidRPr="000530B1">
        <w:t>5</w:t>
      </w:r>
      <w:r w:rsidRPr="000530B1">
        <w:t xml:space="preserve"> focus areas</w:t>
      </w:r>
      <w:r w:rsidR="001100A0" w:rsidRPr="000530B1">
        <w:t>,</w:t>
      </w:r>
      <w:r w:rsidRPr="000530B1">
        <w:t xml:space="preserve"> including students' sense of belonging to their institution, whether they considered leaving their institution within the survey year, and </w:t>
      </w:r>
      <w:r w:rsidR="00614E6C" w:rsidRPr="000530B1">
        <w:t xml:space="preserve">whether </w:t>
      </w:r>
      <w:r w:rsidR="000B57ED" w:rsidRPr="000530B1">
        <w:t>paid work commitments, living arrangements and financial circumstances negatively affected students’ studies</w:t>
      </w:r>
      <w:r w:rsidRPr="000530B1">
        <w:t>.</w:t>
      </w:r>
    </w:p>
    <w:p w14:paraId="2E6B462F" w14:textId="4971C41F" w:rsidR="00CA3AE5" w:rsidRPr="000530B1" w:rsidRDefault="00CA3AE5" w:rsidP="00CA3AE5">
      <w:pPr>
        <w:pStyle w:val="Body"/>
      </w:pPr>
      <w:r w:rsidRPr="000530B1">
        <w:t>Additionally, this section addresses student ratings of 'freedom of expression</w:t>
      </w:r>
      <w:r w:rsidR="00D32693" w:rsidRPr="000530B1">
        <w:t>’</w:t>
      </w:r>
      <w:r w:rsidRPr="000530B1">
        <w:t>, which includes perceptions of whether students and academics are free to express their views and whether students feel free from discrimination, harm, or hatred.</w:t>
      </w:r>
    </w:p>
    <w:p w14:paraId="64705203" w14:textId="77777777" w:rsidR="00CA3AE5" w:rsidRPr="000530B1" w:rsidRDefault="00CA3AE5" w:rsidP="00CA3AE5">
      <w:pPr>
        <w:pStyle w:val="Heading2"/>
        <w:numPr>
          <w:ilvl w:val="1"/>
          <w:numId w:val="2"/>
        </w:numPr>
      </w:pPr>
      <w:bookmarkStart w:id="77" w:name="_Toc195645865"/>
      <w:bookmarkStart w:id="78" w:name="_Toc239764795"/>
      <w:r w:rsidRPr="000530B1">
        <w:t>Sense of belonging</w:t>
      </w:r>
      <w:bookmarkEnd w:id="77"/>
      <w:bookmarkEnd w:id="78"/>
    </w:p>
    <w:p w14:paraId="44072E3B" w14:textId="7EC50F46" w:rsidR="00CA3AE5" w:rsidRPr="000530B1" w:rsidRDefault="00CA3AE5" w:rsidP="00CA3AE5">
      <w:pPr>
        <w:pStyle w:val="Body"/>
      </w:pPr>
      <w:r w:rsidRPr="000530B1">
        <w:t>Sense of belonging relates to feelings of connectedness, inclusion and being accepted and valued by others.</w:t>
      </w:r>
      <w:r w:rsidRPr="00CC1AB5">
        <w:rPr>
          <w:rStyle w:val="FootnoteReference"/>
          <w:sz w:val="20"/>
        </w:rPr>
        <w:footnoteReference w:id="2"/>
      </w:r>
      <w:r w:rsidRPr="00CC1AB5">
        <w:t xml:space="preserve"> </w:t>
      </w:r>
      <w:r w:rsidRPr="000530B1">
        <w:t>Research has shown that a student’s sense of belonging among peers and at the institution is linked with academic achievement, personal wellbeing, student satisfaction and attrition</w:t>
      </w:r>
      <w:r w:rsidR="00CC1AB5">
        <w:t>.</w:t>
      </w:r>
      <w:r w:rsidRPr="00BA701A">
        <w:rPr>
          <w:rStyle w:val="FootnoteReference"/>
          <w:sz w:val="20"/>
        </w:rPr>
        <w:footnoteReference w:id="3"/>
      </w:r>
    </w:p>
    <w:p w14:paraId="628571E9" w14:textId="291C69AB" w:rsidR="00CA3AE5" w:rsidRPr="000530B1" w:rsidRDefault="00CA3AE5" w:rsidP="00CA3AE5">
      <w:pPr>
        <w:pStyle w:val="Body"/>
      </w:pPr>
      <w:r w:rsidRPr="000530B1">
        <w:t xml:space="preserve">In the context of the SES, sense of belonging </w:t>
      </w:r>
      <w:r w:rsidR="004D1D62" w:rsidRPr="000530B1">
        <w:t>correlates</w:t>
      </w:r>
      <w:r w:rsidRPr="000530B1">
        <w:t xml:space="preserve"> with student ratings of Overall Educational Experience, as well as aspects of the Student Support and Services and Teaching Quality and Engagement focus areas.</w:t>
      </w:r>
    </w:p>
    <w:p w14:paraId="346FE7BD" w14:textId="26BF9D56" w:rsidR="00CA3AE5" w:rsidRPr="000530B1" w:rsidRDefault="00CA3AE5" w:rsidP="00CA3AE5">
      <w:pPr>
        <w:pStyle w:val="Body"/>
      </w:pPr>
      <w:r w:rsidRPr="000530B1">
        <w:t>Historically, student ratings of their sense of belonging to their institution have been relatively low compared to other aspects of the student experience measured in the SES. Positive ratings of students’ sense of belonging dropped significantly in 2020 during the COVID-19 pandemic (</w:t>
      </w:r>
      <w:r w:rsidR="00892278" w:rsidRPr="000530B1">
        <w:rPr>
          <w:b/>
          <w:bCs/>
        </w:rPr>
        <w:fldChar w:fldCharType="begin"/>
      </w:r>
      <w:r w:rsidR="00892278" w:rsidRPr="000530B1">
        <w:rPr>
          <w:b/>
          <w:bCs/>
        </w:rPr>
        <w:instrText xml:space="preserve"> REF _Ref221040161 \h  \* MERGEFORMAT </w:instrText>
      </w:r>
      <w:r w:rsidR="00892278" w:rsidRPr="000530B1">
        <w:rPr>
          <w:b/>
          <w:bCs/>
        </w:rPr>
      </w:r>
      <w:r w:rsidR="00892278" w:rsidRPr="000530B1">
        <w:rPr>
          <w:b/>
          <w:bCs/>
        </w:rPr>
        <w:fldChar w:fldCharType="separate"/>
      </w:r>
      <w:r w:rsidR="000457AD" w:rsidRPr="000530B1">
        <w:rPr>
          <w:b/>
          <w:bCs/>
        </w:rPr>
        <w:t xml:space="preserve">Figure </w:t>
      </w:r>
      <w:r w:rsidR="000457AD" w:rsidRPr="000530B1">
        <w:rPr>
          <w:b/>
          <w:bCs/>
          <w:noProof/>
        </w:rPr>
        <w:t>21</w:t>
      </w:r>
      <w:r w:rsidR="00892278" w:rsidRPr="000530B1">
        <w:rPr>
          <w:b/>
          <w:bCs/>
        </w:rPr>
        <w:fldChar w:fldCharType="end"/>
      </w:r>
      <w:r w:rsidRPr="000530B1">
        <w:t xml:space="preserve">). Despite an increase in ratings in 2025 to 48.0 per cent positive, undergraduate ratings have not returned to the pre-2020 average of 52.0 per cent. Consistent ratings from 2022 to 2024 with only modest improvement in 2025 suggest challenges in fostering belonging post-pandemic, as many pandemic-era practices remain. </w:t>
      </w:r>
    </w:p>
    <w:p w14:paraId="3DC00FBA" w14:textId="6E38600E" w:rsidR="001B51CD" w:rsidRDefault="00CA3AE5" w:rsidP="00C608C0">
      <w:pPr>
        <w:pStyle w:val="Body"/>
        <w:spacing w:after="100"/>
      </w:pPr>
      <w:r w:rsidRPr="000530B1">
        <w:t>For postgraduate coursework students, ratings declined in 2020 and 2021, likely due to a larger proportion of international students being overseas. Since 2021, postgraduate ratings have improved, reaching 52.6 per cent in 2025 and surpassing the pre-2020 average of 50.3 per cent positive.</w:t>
      </w:r>
      <w:bookmarkStart w:id="79" w:name="_Ref197080055"/>
      <w:bookmarkStart w:id="80" w:name="_Toc199513083"/>
    </w:p>
    <w:p w14:paraId="7ECF3530" w14:textId="4367B9B3" w:rsidR="007272E0" w:rsidRPr="001B51CD" w:rsidRDefault="001B51CD" w:rsidP="001B51CD">
      <w:pPr>
        <w:spacing w:before="60" w:after="60"/>
        <w:rPr>
          <w:rFonts w:eastAsia="Times New Roman" w:cs="Times New Roman"/>
          <w:szCs w:val="20"/>
        </w:rPr>
      </w:pPr>
      <w:r>
        <w:br w:type="page"/>
      </w:r>
    </w:p>
    <w:p w14:paraId="309F4A12" w14:textId="149A8D02" w:rsidR="00BD579B" w:rsidRDefault="00BD579B" w:rsidP="00C608C0">
      <w:pPr>
        <w:pStyle w:val="Captionaccessible"/>
        <w:spacing w:after="40"/>
      </w:pPr>
      <w:bookmarkStart w:id="81" w:name="_Ref221040161"/>
      <w:bookmarkStart w:id="82" w:name="_Toc239764886"/>
      <w:r w:rsidRPr="000530B1">
        <w:lastRenderedPageBreak/>
        <w:t xml:space="preserve">Figure </w:t>
      </w:r>
      <w:r w:rsidR="00955601">
        <w:fldChar w:fldCharType="begin"/>
      </w:r>
      <w:r w:rsidR="00955601">
        <w:instrText xml:space="preserve"> SEQ Figure \* ARABIC </w:instrText>
      </w:r>
      <w:r w:rsidR="00955601">
        <w:fldChar w:fldCharType="separate"/>
      </w:r>
      <w:r w:rsidR="00955601" w:rsidRPr="000530B1">
        <w:rPr>
          <w:noProof/>
        </w:rPr>
        <w:t>21</w:t>
      </w:r>
      <w:r w:rsidR="00955601">
        <w:rPr>
          <w:noProof/>
        </w:rPr>
        <w:fldChar w:fldCharType="end"/>
      </w:r>
      <w:bookmarkEnd w:id="79"/>
      <w:bookmarkEnd w:id="81"/>
      <w:r w:rsidR="000457AD" w:rsidRPr="000530B1">
        <w:tab/>
      </w:r>
      <w:r w:rsidRPr="000530B1">
        <w:t>Sense of belonging to institution by course level, 2017–25 (% positive rating*)</w:t>
      </w:r>
      <w:bookmarkEnd w:id="80"/>
      <w:bookmarkEnd w:id="82"/>
    </w:p>
    <w:p w14:paraId="56E0C614" w14:textId="569564E0" w:rsidR="001B51CD" w:rsidRPr="000530B1" w:rsidRDefault="001B51CD" w:rsidP="001B51CD">
      <w:pPr>
        <w:pStyle w:val="Body"/>
      </w:pPr>
      <w:r>
        <w:rPr>
          <w:noProof/>
        </w:rPr>
        <w:drawing>
          <wp:inline distT="0" distB="0" distL="0" distR="0" wp14:anchorId="437005C5" wp14:editId="79F567A0">
            <wp:extent cx="6407150" cy="3780155"/>
            <wp:effectExtent l="0" t="0" r="0" b="0"/>
            <wp:docPr id="35671558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407150" cy="3780155"/>
                    </a:xfrm>
                    <a:prstGeom prst="rect">
                      <a:avLst/>
                    </a:prstGeom>
                    <a:noFill/>
                  </pic:spPr>
                </pic:pic>
              </a:graphicData>
            </a:graphic>
          </wp:inline>
        </w:drawing>
      </w:r>
    </w:p>
    <w:p w14:paraId="5232DD72" w14:textId="3EA829B0" w:rsidR="00BD579B" w:rsidRPr="000530B1" w:rsidRDefault="00BD579B" w:rsidP="001B51CD">
      <w:pPr>
        <w:pStyle w:val="Body"/>
        <w:spacing w:before="240"/>
      </w:pPr>
      <w:r w:rsidRPr="000530B1">
        <w:t>* The percent positive rating for sense of belonging represents the proportion of respondents who selected ‘Quite a bit’ or ‘Very much’ when asked ‘At your institution during &lt;survey year&gt;, to what extent have you had a sense of belonging to &lt;institution name&gt;?’</w:t>
      </w:r>
    </w:p>
    <w:p w14:paraId="0ADC5948" w14:textId="77777777" w:rsidR="003302DF" w:rsidRPr="000530B1" w:rsidRDefault="00FD7CB7" w:rsidP="00CA3AE5">
      <w:pPr>
        <w:pStyle w:val="Body"/>
      </w:pPr>
      <w:r w:rsidRPr="000530B1">
        <w:t xml:space="preserve">Given the importance sense of belonging has on student perceptions </w:t>
      </w:r>
      <w:r w:rsidR="00D929E4" w:rsidRPr="000530B1">
        <w:t xml:space="preserve">of their </w:t>
      </w:r>
      <w:r w:rsidR="00711190" w:rsidRPr="000530B1">
        <w:t>Overall Educational Experience</w:t>
      </w:r>
      <w:r w:rsidR="00D929E4" w:rsidRPr="000530B1">
        <w:t>,</w:t>
      </w:r>
      <w:r w:rsidR="00711190" w:rsidRPr="000530B1">
        <w:t xml:space="preserve"> as well as other focus areas</w:t>
      </w:r>
      <w:r w:rsidR="009C6BFD" w:rsidRPr="000530B1">
        <w:t>,</w:t>
      </w:r>
      <w:r w:rsidR="00D929E4" w:rsidRPr="000530B1">
        <w:t xml:space="preserve"> </w:t>
      </w:r>
      <w:r w:rsidR="009C6BFD" w:rsidRPr="000530B1">
        <w:t>understanding what drives</w:t>
      </w:r>
      <w:r w:rsidR="00C03038" w:rsidRPr="000530B1">
        <w:t xml:space="preserve"> higher ratings of this measure can help improve </w:t>
      </w:r>
      <w:r w:rsidR="003302DF" w:rsidRPr="000530B1">
        <w:t>student outcomes more broadly.</w:t>
      </w:r>
    </w:p>
    <w:p w14:paraId="61A51A0E" w14:textId="35B43CA2" w:rsidR="00E1786A" w:rsidRPr="000530B1" w:rsidRDefault="00422ED9" w:rsidP="00CA3AE5">
      <w:pPr>
        <w:pStyle w:val="Body"/>
      </w:pPr>
      <w:r w:rsidRPr="000530B1">
        <w:t xml:space="preserve">The higher postgraduate coursework ratings since </w:t>
      </w:r>
      <w:r w:rsidR="000338D5" w:rsidRPr="000530B1">
        <w:t>2023 ha</w:t>
      </w:r>
      <w:r w:rsidR="004E1EC0" w:rsidRPr="000530B1">
        <w:t>ve</w:t>
      </w:r>
      <w:r w:rsidR="000338D5" w:rsidRPr="000530B1">
        <w:t xml:space="preserve"> been attributed to the increase in international postgraduate coursework students who study in an internal/</w:t>
      </w:r>
      <w:r w:rsidR="004914C7" w:rsidRPr="000530B1">
        <w:t>multi-mode</w:t>
      </w:r>
      <w:r w:rsidR="000338D5" w:rsidRPr="000530B1">
        <w:t>.</w:t>
      </w:r>
      <w:r w:rsidR="00CC0812" w:rsidRPr="000530B1">
        <w:t xml:space="preserve"> However, this does not explain why undergraduate ratings have not recovered to the levels seen prior to the pandemic</w:t>
      </w:r>
      <w:r w:rsidR="00301959" w:rsidRPr="000530B1">
        <w:t>, despite 86.0 per cent of domestic students studying in an internal/</w:t>
      </w:r>
      <w:r w:rsidR="004914C7" w:rsidRPr="000530B1">
        <w:t>multi-mode</w:t>
      </w:r>
      <w:r w:rsidR="002E4A00" w:rsidRPr="000530B1">
        <w:t xml:space="preserve"> </w:t>
      </w:r>
      <w:r w:rsidR="00465187" w:rsidRPr="000530B1">
        <w:t>(s</w:t>
      </w:r>
      <w:r w:rsidR="004744FC" w:rsidRPr="000530B1">
        <w:t>ee</w:t>
      </w:r>
      <w:r w:rsidR="003F315E" w:rsidRPr="000530B1">
        <w:t xml:space="preserve"> </w:t>
      </w:r>
      <w:r w:rsidR="00CE778B" w:rsidRPr="000530B1">
        <w:rPr>
          <w:b/>
          <w:bCs/>
        </w:rPr>
        <w:t>Appendix 1</w:t>
      </w:r>
      <w:r w:rsidR="00CE778B" w:rsidRPr="000530B1">
        <w:t>).</w:t>
      </w:r>
    </w:p>
    <w:p w14:paraId="07EB5637" w14:textId="5E5A2CCD" w:rsidR="00593E38" w:rsidRPr="000530B1" w:rsidRDefault="00593E38" w:rsidP="00CA3AE5">
      <w:pPr>
        <w:pStyle w:val="Body"/>
      </w:pPr>
      <w:r w:rsidRPr="000530B1">
        <w:rPr>
          <w:b/>
          <w:bCs/>
        </w:rPr>
        <w:fldChar w:fldCharType="begin"/>
      </w:r>
      <w:r w:rsidRPr="000530B1">
        <w:rPr>
          <w:b/>
          <w:bCs/>
        </w:rPr>
        <w:instrText xml:space="preserve"> REF _Ref217284752 \h </w:instrText>
      </w:r>
      <w:r w:rsidR="004E1EC0" w:rsidRPr="000530B1">
        <w:rPr>
          <w:b/>
          <w:bCs/>
        </w:rPr>
        <w:instrText xml:space="preserve"> \* MERGEFORMAT </w:instrText>
      </w:r>
      <w:r w:rsidRPr="000530B1">
        <w:rPr>
          <w:b/>
          <w:bCs/>
        </w:rPr>
      </w:r>
      <w:r w:rsidRPr="000530B1">
        <w:rPr>
          <w:b/>
          <w:bCs/>
        </w:rPr>
        <w:fldChar w:fldCharType="separate"/>
      </w:r>
      <w:r w:rsidR="000457AD" w:rsidRPr="000530B1">
        <w:rPr>
          <w:b/>
          <w:bCs/>
        </w:rPr>
        <w:t xml:space="preserve">Figure </w:t>
      </w:r>
      <w:r w:rsidR="000457AD" w:rsidRPr="000530B1">
        <w:rPr>
          <w:b/>
          <w:bCs/>
          <w:noProof/>
        </w:rPr>
        <w:t>22</w:t>
      </w:r>
      <w:r w:rsidRPr="000530B1">
        <w:rPr>
          <w:b/>
          <w:bCs/>
        </w:rPr>
        <w:fldChar w:fldCharType="end"/>
      </w:r>
      <w:r w:rsidRPr="000530B1">
        <w:t xml:space="preserve"> shows the impact that </w:t>
      </w:r>
      <w:r w:rsidR="004E7A52" w:rsidRPr="000530B1">
        <w:t>online</w:t>
      </w:r>
      <w:r w:rsidR="003F1F59" w:rsidRPr="000530B1">
        <w:t xml:space="preserve"> participation </w:t>
      </w:r>
      <w:r w:rsidR="004E7A52" w:rsidRPr="000530B1">
        <w:t xml:space="preserve">in classes </w:t>
      </w:r>
      <w:r w:rsidR="003F1F59" w:rsidRPr="000530B1">
        <w:t xml:space="preserve">can have on </w:t>
      </w:r>
      <w:r w:rsidR="004E7A52" w:rsidRPr="000530B1">
        <w:t xml:space="preserve">internal/multi-mode </w:t>
      </w:r>
      <w:r w:rsidR="00856BD7" w:rsidRPr="000530B1">
        <w:t xml:space="preserve">students’ perceptions of </w:t>
      </w:r>
      <w:r w:rsidR="004E7A52" w:rsidRPr="000530B1">
        <w:t xml:space="preserve">their </w:t>
      </w:r>
      <w:r w:rsidR="00856BD7" w:rsidRPr="000530B1">
        <w:t>sense</w:t>
      </w:r>
      <w:r w:rsidR="00205A65">
        <w:t xml:space="preserve"> of</w:t>
      </w:r>
      <w:r w:rsidR="00856BD7" w:rsidRPr="000530B1">
        <w:t xml:space="preserve"> belonging</w:t>
      </w:r>
      <w:r w:rsidR="004E7A52" w:rsidRPr="000530B1">
        <w:t xml:space="preserve"> to the institution</w:t>
      </w:r>
      <w:r w:rsidR="00856BD7" w:rsidRPr="000530B1">
        <w:t>. For undergraduates enrolled in an internal/</w:t>
      </w:r>
      <w:r w:rsidR="006B56AB" w:rsidRPr="000530B1">
        <w:t>multi-mode</w:t>
      </w:r>
      <w:r w:rsidR="00856BD7" w:rsidRPr="000530B1">
        <w:t xml:space="preserve"> study mode</w:t>
      </w:r>
      <w:r w:rsidR="002E084F" w:rsidRPr="000530B1">
        <w:t xml:space="preserve"> in 2025, sense of belonging was rated </w:t>
      </w:r>
      <w:r w:rsidR="00FE1616" w:rsidRPr="000530B1">
        <w:t xml:space="preserve">more positively for those who reported participating in all of their class on-campus – 54.4 per cent positive compared to 45.5 per cent who </w:t>
      </w:r>
      <w:r w:rsidR="00D47F66" w:rsidRPr="000530B1">
        <w:t xml:space="preserve">took a </w:t>
      </w:r>
      <w:r w:rsidR="00653EF4">
        <w:t>‘</w:t>
      </w:r>
      <w:r w:rsidR="00D47F66" w:rsidRPr="00653EF4">
        <w:t>blended/hybrid</w:t>
      </w:r>
      <w:r w:rsidR="00653EF4">
        <w:t>’</w:t>
      </w:r>
      <w:r w:rsidR="00D47F66" w:rsidRPr="000530B1">
        <w:t xml:space="preserve"> approach</w:t>
      </w:r>
      <w:r w:rsidR="00FE1616" w:rsidRPr="000530B1">
        <w:t xml:space="preserve"> and 40.5 per cent for those who did all classes online</w:t>
      </w:r>
      <w:r w:rsidR="00F51354" w:rsidRPr="000530B1">
        <w:t xml:space="preserve"> despite being enrolled </w:t>
      </w:r>
      <w:r w:rsidR="004D0D90" w:rsidRPr="000530B1">
        <w:t>in</w:t>
      </w:r>
      <w:r w:rsidR="00F51354" w:rsidRPr="000530B1">
        <w:t xml:space="preserve"> internal</w:t>
      </w:r>
      <w:r w:rsidR="004D0D90" w:rsidRPr="000530B1">
        <w:t>/multi-</w:t>
      </w:r>
      <w:r w:rsidR="00F51354" w:rsidRPr="000530B1">
        <w:t>mode</w:t>
      </w:r>
      <w:r w:rsidR="004D0D90" w:rsidRPr="000530B1">
        <w:t xml:space="preserve"> studies</w:t>
      </w:r>
      <w:r w:rsidR="00F51354" w:rsidRPr="000530B1">
        <w:t>.</w:t>
      </w:r>
    </w:p>
    <w:p w14:paraId="2BE5515D" w14:textId="432D7B13" w:rsidR="00F51354" w:rsidRPr="000530B1" w:rsidRDefault="00F51354" w:rsidP="00CA3AE5">
      <w:pPr>
        <w:pStyle w:val="Body"/>
      </w:pPr>
      <w:r w:rsidRPr="000530B1">
        <w:t xml:space="preserve">For students who did report </w:t>
      </w:r>
      <w:r w:rsidR="00EB63E1" w:rsidRPr="000530B1">
        <w:t>participating in a mix of online and on-campus classes</w:t>
      </w:r>
      <w:r w:rsidR="00AB2807" w:rsidRPr="000530B1">
        <w:t xml:space="preserve"> (i.e</w:t>
      </w:r>
      <w:r w:rsidR="00AB2807" w:rsidRPr="00653EF4">
        <w:rPr>
          <w:i/>
          <w:iCs/>
        </w:rPr>
        <w:t xml:space="preserve">. </w:t>
      </w:r>
      <w:r w:rsidR="00653EF4">
        <w:t>’b</w:t>
      </w:r>
      <w:r w:rsidR="00AB2807" w:rsidRPr="00653EF4">
        <w:t>lended/hybrid</w:t>
      </w:r>
      <w:r w:rsidR="00653EF4">
        <w:t>’</w:t>
      </w:r>
      <w:r w:rsidR="00AB2807" w:rsidRPr="000530B1">
        <w:t>)</w:t>
      </w:r>
      <w:r w:rsidR="00EB63E1" w:rsidRPr="000530B1">
        <w:t xml:space="preserve">, there was a clear difference between those who did </w:t>
      </w:r>
      <w:r w:rsidR="00AB2807" w:rsidRPr="000530B1">
        <w:rPr>
          <w:i/>
          <w:iCs/>
        </w:rPr>
        <w:t>some</w:t>
      </w:r>
      <w:r w:rsidR="00EB63E1" w:rsidRPr="000530B1">
        <w:t xml:space="preserve"> online versus those who did </w:t>
      </w:r>
      <w:r w:rsidR="00653EF4">
        <w:t>‘</w:t>
      </w:r>
      <w:r w:rsidR="005C5D33" w:rsidRPr="00653EF4">
        <w:t>about half</w:t>
      </w:r>
      <w:r w:rsidR="00653EF4">
        <w:t>’</w:t>
      </w:r>
      <w:r w:rsidR="008804E6" w:rsidRPr="000530B1">
        <w:t xml:space="preserve"> or </w:t>
      </w:r>
      <w:r w:rsidR="0011538D">
        <w:t>‘</w:t>
      </w:r>
      <w:r w:rsidR="00CD7A48" w:rsidRPr="00653EF4">
        <w:t>most</w:t>
      </w:r>
      <w:r w:rsidR="0011538D">
        <w:t>’</w:t>
      </w:r>
      <w:r w:rsidR="00CD7A48" w:rsidRPr="00653EF4">
        <w:t xml:space="preserve"> </w:t>
      </w:r>
      <w:r w:rsidR="008804E6" w:rsidRPr="000530B1">
        <w:t xml:space="preserve">online. This suggests that </w:t>
      </w:r>
      <w:r w:rsidR="00F129B4" w:rsidRPr="000530B1">
        <w:t>for students enrolled in internal</w:t>
      </w:r>
      <w:r w:rsidR="00CE6031" w:rsidRPr="000530B1">
        <w:t>/multi-mode studies</w:t>
      </w:r>
      <w:r w:rsidR="00F129B4" w:rsidRPr="000530B1">
        <w:t>,</w:t>
      </w:r>
      <w:r w:rsidR="00E118B9" w:rsidRPr="000530B1">
        <w:t xml:space="preserve"> on-campus class participation helps foster </w:t>
      </w:r>
      <w:r w:rsidR="00F033BF" w:rsidRPr="000530B1">
        <w:t>a greater sense of belonging.</w:t>
      </w:r>
      <w:r w:rsidR="00D948CF" w:rsidRPr="000530B1">
        <w:t xml:space="preserve"> </w:t>
      </w:r>
    </w:p>
    <w:p w14:paraId="6D47D639" w14:textId="3410592F" w:rsidR="00C608C0" w:rsidRDefault="00B47ACA" w:rsidP="00F869AF">
      <w:pPr>
        <w:pStyle w:val="Body"/>
        <w:spacing w:after="240"/>
      </w:pPr>
      <w:r w:rsidRPr="000530B1">
        <w:t>These findings may also explain</w:t>
      </w:r>
      <w:r w:rsidR="005D5AA1" w:rsidRPr="000530B1">
        <w:t>,</w:t>
      </w:r>
      <w:r w:rsidRPr="000530B1">
        <w:t xml:space="preserve"> in part</w:t>
      </w:r>
      <w:r w:rsidR="005D5AA1" w:rsidRPr="000530B1">
        <w:t>,</w:t>
      </w:r>
      <w:r w:rsidRPr="000530B1">
        <w:t xml:space="preserve"> why </w:t>
      </w:r>
      <w:proofErr w:type="gramStart"/>
      <w:r w:rsidRPr="000530B1">
        <w:t>undergraduates</w:t>
      </w:r>
      <w:proofErr w:type="gramEnd"/>
      <w:r w:rsidRPr="000530B1">
        <w:t xml:space="preserve"> ratings have not returned to pre-2020 levels: domestic students accounted for </w:t>
      </w:r>
      <w:proofErr w:type="gramStart"/>
      <w:r w:rsidRPr="000530B1">
        <w:t>the majority of</w:t>
      </w:r>
      <w:proofErr w:type="gramEnd"/>
      <w:r w:rsidRPr="000530B1">
        <w:t xml:space="preserve"> undergraduate </w:t>
      </w:r>
      <w:r w:rsidR="002C75EE" w:rsidRPr="000530B1">
        <w:t>responses</w:t>
      </w:r>
      <w:r w:rsidRPr="000530B1">
        <w:t xml:space="preserve"> and even when enrolled in internal/multi-mode studies, they are reporting high levels of participating in online classes.</w:t>
      </w:r>
    </w:p>
    <w:p w14:paraId="723A34F7" w14:textId="77777777" w:rsidR="00C608C0" w:rsidRDefault="00C608C0">
      <w:pPr>
        <w:spacing w:before="60" w:after="60"/>
        <w:rPr>
          <w:rFonts w:eastAsia="Times New Roman" w:cs="Times New Roman"/>
          <w:szCs w:val="20"/>
        </w:rPr>
      </w:pPr>
      <w:r>
        <w:br w:type="page"/>
      </w:r>
    </w:p>
    <w:p w14:paraId="70ECF766" w14:textId="5318FA72" w:rsidR="0017247C" w:rsidRDefault="0017247C" w:rsidP="00A03F9D">
      <w:pPr>
        <w:pStyle w:val="Captionaccessible"/>
        <w:spacing w:after="40"/>
      </w:pPr>
      <w:bookmarkStart w:id="83" w:name="_Ref217284752"/>
      <w:bookmarkStart w:id="84" w:name="_Toc239764887"/>
      <w:r w:rsidRPr="000530B1">
        <w:lastRenderedPageBreak/>
        <w:t xml:space="preserve">Figure </w:t>
      </w:r>
      <w:r w:rsidR="00955601">
        <w:fldChar w:fldCharType="begin"/>
      </w:r>
      <w:r w:rsidR="00955601">
        <w:instrText xml:space="preserve"> SEQ Figure \* ARABIC </w:instrText>
      </w:r>
      <w:r w:rsidR="00955601">
        <w:fldChar w:fldCharType="separate"/>
      </w:r>
      <w:r w:rsidR="00955601" w:rsidRPr="000530B1">
        <w:rPr>
          <w:noProof/>
        </w:rPr>
        <w:t>22</w:t>
      </w:r>
      <w:r w:rsidR="00955601">
        <w:rPr>
          <w:noProof/>
        </w:rPr>
        <w:fldChar w:fldCharType="end"/>
      </w:r>
      <w:bookmarkEnd w:id="83"/>
      <w:r w:rsidR="000457AD" w:rsidRPr="000530B1">
        <w:tab/>
      </w:r>
      <w:r w:rsidRPr="000530B1">
        <w:t>Undergraduate sense of belonging by class participation, enrolled internal/</w:t>
      </w:r>
      <w:r w:rsidR="004914C7" w:rsidRPr="000530B1">
        <w:t>multi-mode</w:t>
      </w:r>
      <w:r w:rsidRPr="000530B1">
        <w:t>, 2025 (% positive rating)</w:t>
      </w:r>
      <w:bookmarkEnd w:id="84"/>
    </w:p>
    <w:p w14:paraId="0999B0B0" w14:textId="4E006D65" w:rsidR="00C608C0" w:rsidRDefault="008553DC" w:rsidP="00C608C0">
      <w:pPr>
        <w:pStyle w:val="Body"/>
        <w:spacing w:before="60"/>
        <w:jc w:val="center"/>
      </w:pPr>
      <w:r w:rsidRPr="008553DC">
        <w:drawing>
          <wp:inline distT="0" distB="0" distL="0" distR="0" wp14:anchorId="0171A857" wp14:editId="5C4E0EC7">
            <wp:extent cx="6408000" cy="6795469"/>
            <wp:effectExtent l="0" t="0" r="0" b="5715"/>
            <wp:docPr id="958001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01082" name=""/>
                    <pic:cNvPicPr/>
                  </pic:nvPicPr>
                  <pic:blipFill>
                    <a:blip r:embed="rId56"/>
                    <a:stretch>
                      <a:fillRect/>
                    </a:stretch>
                  </pic:blipFill>
                  <pic:spPr>
                    <a:xfrm>
                      <a:off x="0" y="0"/>
                      <a:ext cx="6408000" cy="6795469"/>
                    </a:xfrm>
                    <a:prstGeom prst="rect">
                      <a:avLst/>
                    </a:prstGeom>
                  </pic:spPr>
                </pic:pic>
              </a:graphicData>
            </a:graphic>
          </wp:inline>
        </w:drawing>
      </w:r>
    </w:p>
    <w:p w14:paraId="177C2EE8" w14:textId="37AF4B75" w:rsidR="001B51CD" w:rsidRDefault="001B51CD">
      <w:pPr>
        <w:spacing w:before="60" w:after="60"/>
        <w:rPr>
          <w:rFonts w:eastAsia="Times New Roman" w:cs="Times New Roman"/>
          <w:szCs w:val="20"/>
        </w:rPr>
      </w:pPr>
      <w:r>
        <w:br w:type="page"/>
      </w:r>
    </w:p>
    <w:p w14:paraId="60F3530F" w14:textId="77777777" w:rsidR="00CA3AE5" w:rsidRPr="000530B1" w:rsidRDefault="00CA3AE5" w:rsidP="00A03F9D">
      <w:pPr>
        <w:pStyle w:val="Heading2"/>
        <w:numPr>
          <w:ilvl w:val="1"/>
          <w:numId w:val="2"/>
        </w:numPr>
        <w:spacing w:before="200"/>
      </w:pPr>
      <w:bookmarkStart w:id="85" w:name="_Toc195645866"/>
      <w:bookmarkStart w:id="86" w:name="_Toc239764796"/>
      <w:r w:rsidRPr="000530B1">
        <w:lastRenderedPageBreak/>
        <w:t>Likelihood to consider leaving current institution</w:t>
      </w:r>
      <w:bookmarkEnd w:id="85"/>
      <w:bookmarkEnd w:id="86"/>
    </w:p>
    <w:p w14:paraId="71C65E7B" w14:textId="1F6DB6F0" w:rsidR="00CA3AE5" w:rsidRPr="00DE6FB5" w:rsidRDefault="00CA3AE5" w:rsidP="00CA3AE5">
      <w:pPr>
        <w:pStyle w:val="Body"/>
        <w:rPr>
          <w:b/>
          <w:bCs/>
          <w:spacing w:val="-2"/>
        </w:rPr>
      </w:pPr>
      <w:r w:rsidRPr="00DE6FB5">
        <w:rPr>
          <w:spacing w:val="-2"/>
        </w:rPr>
        <w:t>The proportions of students who indicated they had seriously considered leaving their current institution in the survey year continued to fall in 2025 (</w:t>
      </w:r>
      <w:r w:rsidRPr="00DE6FB5">
        <w:rPr>
          <w:b/>
          <w:bCs/>
          <w:spacing w:val="-2"/>
        </w:rPr>
        <w:fldChar w:fldCharType="begin"/>
      </w:r>
      <w:r w:rsidRPr="00DE6FB5">
        <w:rPr>
          <w:b/>
          <w:bCs/>
          <w:spacing w:val="-2"/>
        </w:rPr>
        <w:instrText xml:space="preserve"> REF _Ref195572044 \h  \* MERGEFORMAT </w:instrText>
      </w:r>
      <w:r w:rsidRPr="00DE6FB5">
        <w:rPr>
          <w:b/>
          <w:bCs/>
          <w:spacing w:val="-2"/>
        </w:rPr>
      </w:r>
      <w:r w:rsidRPr="00DE6FB5">
        <w:rPr>
          <w:b/>
          <w:bCs/>
          <w:spacing w:val="-2"/>
        </w:rPr>
        <w:fldChar w:fldCharType="separate"/>
      </w:r>
      <w:r w:rsidR="000457AD" w:rsidRPr="00DE6FB5">
        <w:rPr>
          <w:b/>
          <w:bCs/>
          <w:noProof/>
          <w:spacing w:val="-2"/>
        </w:rPr>
        <w:t>Figure</w:t>
      </w:r>
      <w:r w:rsidR="000457AD" w:rsidRPr="00DE6FB5">
        <w:rPr>
          <w:b/>
          <w:bCs/>
          <w:spacing w:val="-2"/>
        </w:rPr>
        <w:t xml:space="preserve"> </w:t>
      </w:r>
      <w:r w:rsidR="000457AD" w:rsidRPr="00DE6FB5">
        <w:rPr>
          <w:b/>
          <w:bCs/>
          <w:noProof/>
          <w:spacing w:val="-2"/>
        </w:rPr>
        <w:t>23</w:t>
      </w:r>
      <w:r w:rsidRPr="00DE6FB5">
        <w:rPr>
          <w:b/>
          <w:bCs/>
          <w:spacing w:val="-2"/>
        </w:rPr>
        <w:fldChar w:fldCharType="end"/>
      </w:r>
      <w:r w:rsidRPr="00DE6FB5">
        <w:rPr>
          <w:spacing w:val="-2"/>
        </w:rPr>
        <w:t>). Overall, 16.8 per cent of undergraduates and 15.1 per cent of</w:t>
      </w:r>
      <w:r w:rsidR="00B74506" w:rsidRPr="00DE6FB5">
        <w:rPr>
          <w:spacing w:val="-2"/>
        </w:rPr>
        <w:t> </w:t>
      </w:r>
      <w:r w:rsidRPr="00DE6FB5">
        <w:rPr>
          <w:spacing w:val="-2"/>
        </w:rPr>
        <w:t>postgraduate coursework students said they had considered leaving in 2025</w:t>
      </w:r>
      <w:r w:rsidR="00CB60C4" w:rsidRPr="00DE6FB5">
        <w:rPr>
          <w:spacing w:val="-2"/>
        </w:rPr>
        <w:t xml:space="preserve"> –</w:t>
      </w:r>
      <w:r w:rsidRPr="00DE6FB5">
        <w:rPr>
          <w:spacing w:val="-2"/>
        </w:rPr>
        <w:t>the lowest rates observed since</w:t>
      </w:r>
      <w:r w:rsidR="00DE6FB5" w:rsidRPr="00DE6FB5">
        <w:rPr>
          <w:spacing w:val="-2"/>
        </w:rPr>
        <w:t xml:space="preserve"> </w:t>
      </w:r>
      <w:r w:rsidRPr="00DE6FB5">
        <w:rPr>
          <w:spacing w:val="-2"/>
        </w:rPr>
        <w:t xml:space="preserve">2017. </w:t>
      </w:r>
    </w:p>
    <w:p w14:paraId="6223946F" w14:textId="7775F303" w:rsidR="00CA3AE5" w:rsidRPr="000530B1" w:rsidRDefault="00CA3AE5" w:rsidP="00CA3AE5">
      <w:pPr>
        <w:pStyle w:val="Body"/>
      </w:pPr>
      <w:r w:rsidRPr="000530B1">
        <w:t xml:space="preserve">While the SES asks about </w:t>
      </w:r>
      <w:r w:rsidR="0011538D">
        <w:t>‘</w:t>
      </w:r>
      <w:r w:rsidRPr="0011538D">
        <w:t>consideration</w:t>
      </w:r>
      <w:r w:rsidR="0011538D">
        <w:t>’</w:t>
      </w:r>
      <w:r w:rsidRPr="000530B1">
        <w:t xml:space="preserve"> of leaving rather than </w:t>
      </w:r>
      <w:r w:rsidR="0011538D">
        <w:t>‘</w:t>
      </w:r>
      <w:r w:rsidRPr="0011538D">
        <w:t>actual</w:t>
      </w:r>
      <w:r w:rsidR="0011538D">
        <w:t>’</w:t>
      </w:r>
      <w:r w:rsidRPr="000530B1">
        <w:t xml:space="preserve"> leaving behaviour, responses to this item are</w:t>
      </w:r>
      <w:r w:rsidR="00B74506">
        <w:t> </w:t>
      </w:r>
      <w:r w:rsidRPr="000530B1">
        <w:t>linked to subsequent attrition. When examined together with the reasons provided, this measure offers valuable</w:t>
      </w:r>
      <w:r w:rsidR="00B74506">
        <w:t> </w:t>
      </w:r>
      <w:r w:rsidRPr="000530B1">
        <w:t>insight into the challenges and concerns of students who had considered leaving in the survey year.</w:t>
      </w:r>
    </w:p>
    <w:p w14:paraId="0A025AFE" w14:textId="6A22E2E4" w:rsidR="00CA3AE5" w:rsidRPr="000530B1" w:rsidRDefault="00CA3AE5" w:rsidP="00194EE0">
      <w:pPr>
        <w:pStyle w:val="Captionaccessible"/>
      </w:pPr>
      <w:bookmarkStart w:id="87" w:name="_Ref195572044"/>
      <w:bookmarkStart w:id="88" w:name="_Toc199513086"/>
      <w:bookmarkStart w:id="89" w:name="_Toc239764888"/>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23</w:t>
      </w:r>
      <w:r w:rsidR="00955601">
        <w:rPr>
          <w:noProof/>
        </w:rPr>
        <w:fldChar w:fldCharType="end"/>
      </w:r>
      <w:bookmarkEnd w:id="87"/>
      <w:r w:rsidR="000457AD" w:rsidRPr="000530B1">
        <w:tab/>
      </w:r>
      <w:r w:rsidRPr="000530B1">
        <w:t xml:space="preserve">Proportion of students who considered early departure from institution by course level, </w:t>
      </w:r>
      <w:r w:rsidR="00E3147B">
        <w:br/>
      </w:r>
      <w:r w:rsidRPr="000530B1">
        <w:t>2017</w:t>
      </w:r>
      <w:r w:rsidR="00E3147B">
        <w:t>–</w:t>
      </w:r>
      <w:r w:rsidRPr="000530B1">
        <w:t>2</w:t>
      </w:r>
      <w:bookmarkEnd w:id="88"/>
      <w:r w:rsidRPr="000530B1">
        <w:t>5</w:t>
      </w:r>
      <w:bookmarkEnd w:id="89"/>
    </w:p>
    <w:p w14:paraId="0D60CE29" w14:textId="77777777" w:rsidR="00BA701A" w:rsidRDefault="001B51CD" w:rsidP="00CA3AE5">
      <w:pPr>
        <w:pStyle w:val="Body"/>
      </w:pPr>
      <w:r>
        <w:rPr>
          <w:noProof/>
        </w:rPr>
        <w:drawing>
          <wp:inline distT="0" distB="0" distL="0" distR="0" wp14:anchorId="3EE698E9" wp14:editId="4B338A0D">
            <wp:extent cx="6407150" cy="3780155"/>
            <wp:effectExtent l="0" t="0" r="0" b="0"/>
            <wp:docPr id="151298406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07150" cy="3780155"/>
                    </a:xfrm>
                    <a:prstGeom prst="rect">
                      <a:avLst/>
                    </a:prstGeom>
                    <a:noFill/>
                  </pic:spPr>
                </pic:pic>
              </a:graphicData>
            </a:graphic>
          </wp:inline>
        </w:drawing>
      </w:r>
    </w:p>
    <w:p w14:paraId="670470BA" w14:textId="77777777" w:rsidR="001B51CD" w:rsidRDefault="001B51CD" w:rsidP="00CA3AE5">
      <w:pPr>
        <w:pStyle w:val="Body"/>
      </w:pPr>
    </w:p>
    <w:p w14:paraId="4C9D4679" w14:textId="1343FC5A" w:rsidR="001B51CD" w:rsidRPr="000530B1" w:rsidRDefault="001B51CD" w:rsidP="00CA3AE5">
      <w:pPr>
        <w:pStyle w:val="Body"/>
        <w:sectPr w:rsidR="001B51CD" w:rsidRPr="000530B1" w:rsidSect="002D7A52">
          <w:pgSz w:w="11906" w:h="16838" w:code="9"/>
          <w:pgMar w:top="1134" w:right="851" w:bottom="1134" w:left="851" w:header="567" w:footer="567" w:gutter="0"/>
          <w:cols w:space="708"/>
          <w:docGrid w:linePitch="360"/>
        </w:sectPr>
      </w:pPr>
    </w:p>
    <w:p w14:paraId="41AF7503" w14:textId="156EE9F8" w:rsidR="00CA3AE5" w:rsidRPr="000530B1" w:rsidRDefault="00137CD5" w:rsidP="00CA3AE5">
      <w:pPr>
        <w:pStyle w:val="Body"/>
      </w:pPr>
      <w:r w:rsidRPr="000530B1">
        <w:lastRenderedPageBreak/>
        <w:t xml:space="preserve">‘My stress levels’ continued to be the </w:t>
      </w:r>
      <w:r w:rsidR="005D5930" w:rsidRPr="000530B1">
        <w:t>top reason cited by students for considering leaving their institution, mentioned by 40</w:t>
      </w:r>
      <w:r w:rsidR="00A67CAB" w:rsidRPr="000530B1">
        <w:t>.0</w:t>
      </w:r>
      <w:r w:rsidR="005D5930" w:rsidRPr="000530B1">
        <w:t xml:space="preserve"> per cent of undergraduates and 33.3 per cent of postgraduate coursework students who had considered leaving in 2025 (</w:t>
      </w:r>
      <w:r w:rsidR="00C93690" w:rsidRPr="000530B1">
        <w:rPr>
          <w:b/>
          <w:bCs/>
        </w:rPr>
        <w:fldChar w:fldCharType="begin"/>
      </w:r>
      <w:r w:rsidR="00C93690" w:rsidRPr="000530B1">
        <w:rPr>
          <w:b/>
          <w:bCs/>
        </w:rPr>
        <w:instrText xml:space="preserve"> REF _Ref193733603 \h </w:instrText>
      </w:r>
      <w:r w:rsidR="00C03E4B" w:rsidRPr="000530B1">
        <w:rPr>
          <w:b/>
          <w:bCs/>
        </w:rPr>
        <w:instrText xml:space="preserve"> \* MERGEFORMAT </w:instrText>
      </w:r>
      <w:r w:rsidR="00C93690" w:rsidRPr="000530B1">
        <w:rPr>
          <w:b/>
          <w:bCs/>
        </w:rPr>
      </w:r>
      <w:r w:rsidR="00C93690" w:rsidRPr="000530B1">
        <w:rPr>
          <w:b/>
          <w:bCs/>
        </w:rPr>
        <w:fldChar w:fldCharType="separate"/>
      </w:r>
      <w:r w:rsidR="000457AD" w:rsidRPr="000530B1">
        <w:rPr>
          <w:b/>
          <w:bCs/>
        </w:rPr>
        <w:t xml:space="preserve">Figure </w:t>
      </w:r>
      <w:r w:rsidR="000457AD" w:rsidRPr="000530B1">
        <w:rPr>
          <w:b/>
          <w:bCs/>
          <w:noProof/>
        </w:rPr>
        <w:t>24</w:t>
      </w:r>
      <w:r w:rsidR="00C93690" w:rsidRPr="000530B1">
        <w:rPr>
          <w:b/>
          <w:bCs/>
        </w:rPr>
        <w:fldChar w:fldCharType="end"/>
      </w:r>
      <w:r w:rsidR="005D5930" w:rsidRPr="000530B1">
        <w:t>).</w:t>
      </w:r>
    </w:p>
    <w:p w14:paraId="0328C517" w14:textId="77777777" w:rsidR="00CA3AE5" w:rsidRPr="000530B1" w:rsidRDefault="00CA3AE5" w:rsidP="00CA3AE5">
      <w:pPr>
        <w:pStyle w:val="Body"/>
      </w:pPr>
      <w:r w:rsidRPr="000530B1">
        <w:t>While students who had considered leaving represent a relatively small proportion of SES respondents, their responses suggest that institutions should examine student wellbeing, including stress levels, mental health, work/life balance, and financial difficulties. Additionally, the high proportion of students indicating unmet course expectations as a main reason for considering leaving, highlights the need to explore these expectations further and address them effectively.</w:t>
      </w:r>
    </w:p>
    <w:p w14:paraId="35A38EC4" w14:textId="77777777" w:rsidR="001B51CD" w:rsidRDefault="00CA3AE5" w:rsidP="00194EE0">
      <w:pPr>
        <w:pStyle w:val="Captionaccessible"/>
      </w:pPr>
      <w:bookmarkStart w:id="90" w:name="_Ref193733603"/>
      <w:bookmarkStart w:id="91" w:name="_Toc199513087"/>
      <w:bookmarkStart w:id="92" w:name="_Toc239764889"/>
      <w:r w:rsidRPr="000530B1">
        <w:t xml:space="preserve">Figure </w:t>
      </w:r>
      <w:r w:rsidR="00955601">
        <w:fldChar w:fldCharType="begin"/>
      </w:r>
      <w:r w:rsidR="00955601">
        <w:instrText xml:space="preserve"> SEQ Figure \* ARABIC </w:instrText>
      </w:r>
      <w:r w:rsidR="00955601">
        <w:fldChar w:fldCharType="separate"/>
      </w:r>
      <w:r w:rsidR="00955601" w:rsidRPr="000530B1">
        <w:rPr>
          <w:noProof/>
        </w:rPr>
        <w:t>24</w:t>
      </w:r>
      <w:r w:rsidR="00955601">
        <w:rPr>
          <w:noProof/>
        </w:rPr>
        <w:fldChar w:fldCharType="end"/>
      </w:r>
      <w:bookmarkEnd w:id="90"/>
      <w:r w:rsidR="000457AD" w:rsidRPr="000530B1">
        <w:tab/>
      </w:r>
      <w:r w:rsidRPr="000530B1">
        <w:t xml:space="preserve">Top reasons for considering early departure from institution </w:t>
      </w:r>
      <w:r w:rsidR="007C081E" w:rsidRPr="000530B1">
        <w:t>by course level,</w:t>
      </w:r>
      <w:r w:rsidRPr="000530B1">
        <w:t xml:space="preserve"> 2025 (% of those who considered leaving)</w:t>
      </w:r>
      <w:bookmarkEnd w:id="91"/>
      <w:bookmarkEnd w:id="92"/>
    </w:p>
    <w:p w14:paraId="4E1DC465" w14:textId="0F2265AE" w:rsidR="00CA3AE5" w:rsidRPr="000530B1" w:rsidRDefault="001B51CD" w:rsidP="00194EE0">
      <w:pPr>
        <w:pStyle w:val="Captionaccessible"/>
      </w:pPr>
      <w:r>
        <w:rPr>
          <w:noProof/>
        </w:rPr>
        <w:drawing>
          <wp:inline distT="0" distB="0" distL="0" distR="0" wp14:anchorId="03264C45" wp14:editId="3D72C7F4">
            <wp:extent cx="9612000" cy="4608675"/>
            <wp:effectExtent l="0" t="0" r="8255" b="1905"/>
            <wp:docPr id="46740667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612000" cy="4608675"/>
                    </a:xfrm>
                    <a:prstGeom prst="rect">
                      <a:avLst/>
                    </a:prstGeom>
                    <a:noFill/>
                  </pic:spPr>
                </pic:pic>
              </a:graphicData>
            </a:graphic>
          </wp:inline>
        </w:drawing>
      </w:r>
    </w:p>
    <w:p w14:paraId="198E62C3" w14:textId="503B6F85" w:rsidR="00CA3AE5" w:rsidRPr="001B51CD" w:rsidRDefault="00CA3AE5" w:rsidP="001B51CD">
      <w:pPr>
        <w:pStyle w:val="BaseFigureNotes"/>
        <w:spacing w:before="0"/>
        <w:rPr>
          <w:b/>
          <w:bCs/>
          <w:noProof/>
        </w:rPr>
      </w:pPr>
      <w:r w:rsidRPr="0096120C">
        <w:rPr>
          <w:b/>
          <w:bCs/>
          <w:noProof/>
        </w:rPr>
        <w:t>Note:</w:t>
      </w:r>
      <w:r w:rsidRPr="000530B1">
        <w:rPr>
          <w:noProof/>
        </w:rPr>
        <w:t xml:space="preserve"> </w:t>
      </w:r>
      <w:r w:rsidRPr="000530B1">
        <w:t>Students who considered leaving their institution were asked to indicate, from a list of 28 possible reasons, why they had considered doing so. Students could select as many reasons as applicable, so the percentages do not sum to 100.</w:t>
      </w:r>
    </w:p>
    <w:p w14:paraId="16709790" w14:textId="4FBD4DBC" w:rsidR="002E56A3" w:rsidRPr="000530B1" w:rsidRDefault="002E56A3" w:rsidP="00CA3AE5">
      <w:pPr>
        <w:pStyle w:val="Body"/>
        <w:rPr>
          <w:b/>
          <w:bCs/>
          <w:iCs/>
          <w:color w:val="007A7D" w:themeColor="text2"/>
          <w:szCs w:val="18"/>
        </w:rPr>
        <w:sectPr w:rsidR="002E56A3" w:rsidRPr="000530B1" w:rsidSect="002D7A52">
          <w:pgSz w:w="16838" w:h="11906" w:orient="landscape" w:code="9"/>
          <w:pgMar w:top="1021" w:right="851" w:bottom="851" w:left="851" w:header="567" w:footer="567" w:gutter="0"/>
          <w:cols w:space="708"/>
          <w:docGrid w:linePitch="360"/>
        </w:sectPr>
      </w:pPr>
    </w:p>
    <w:p w14:paraId="1B815A0A" w14:textId="77777777" w:rsidR="00502E2F" w:rsidRPr="000530B1" w:rsidRDefault="00502E2F" w:rsidP="00E13526">
      <w:pPr>
        <w:pStyle w:val="Heading2"/>
        <w:spacing w:after="200"/>
      </w:pPr>
      <w:bookmarkStart w:id="93" w:name="_Toc195645867"/>
      <w:bookmarkStart w:id="94" w:name="_Toc239764797"/>
      <w:r w:rsidRPr="000530B1">
        <w:lastRenderedPageBreak/>
        <w:t>Negative effects on study</w:t>
      </w:r>
      <w:bookmarkEnd w:id="94"/>
    </w:p>
    <w:tbl>
      <w:tblPr>
        <w:tblStyle w:val="TableGrid"/>
        <w:tblW w:w="0" w:type="auto"/>
        <w:tblInd w:w="261" w:type="dxa"/>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9214"/>
      </w:tblGrid>
      <w:tr w:rsidR="00E13526" w14:paraId="240D0AED" w14:textId="77777777" w:rsidTr="006520D8">
        <w:trPr>
          <w:cnfStyle w:val="100000000000" w:firstRow="1" w:lastRow="0" w:firstColumn="0" w:lastColumn="0" w:oddVBand="0" w:evenVBand="0" w:oddHBand="0" w:evenHBand="0" w:firstRowFirstColumn="0" w:firstRowLastColumn="0" w:lastRowFirstColumn="0" w:lastRowLastColumn="0"/>
        </w:trPr>
        <w:tc>
          <w:tcPr>
            <w:tcW w:w="9214" w:type="dxa"/>
            <w:vAlign w:val="top"/>
          </w:tcPr>
          <w:p w14:paraId="51C8EBDB" w14:textId="51732CF2" w:rsidR="00E13526" w:rsidRPr="00E13526" w:rsidRDefault="00E13526" w:rsidP="006520D8">
            <w:pPr>
              <w:pStyle w:val="Body"/>
              <w:spacing w:before="200" w:after="200"/>
              <w:ind w:left="57"/>
              <w:jc w:val="center"/>
              <w:rPr>
                <w:b w:val="0"/>
                <w:bCs/>
              </w:rPr>
            </w:pPr>
            <w:r w:rsidRPr="00E13526">
              <w:rPr>
                <w:b w:val="0"/>
                <w:bCs/>
              </w:rPr>
              <w:t>One third of undergraduates reported that paid work negatively impacted their studies in 2025.</w:t>
            </w:r>
          </w:p>
        </w:tc>
      </w:tr>
    </w:tbl>
    <w:p w14:paraId="5146EAC6" w14:textId="2F760C7C" w:rsidR="00D72220" w:rsidRPr="000530B1" w:rsidRDefault="00F4515A" w:rsidP="006520D8">
      <w:pPr>
        <w:pStyle w:val="Body"/>
        <w:spacing w:before="240"/>
      </w:pPr>
      <w:r w:rsidRPr="000530B1">
        <w:t>Students are asked</w:t>
      </w:r>
      <w:r w:rsidR="00502E2F" w:rsidRPr="000530B1">
        <w:t xml:space="preserve"> </w:t>
      </w:r>
      <w:r w:rsidR="00DB2543" w:rsidRPr="000530B1">
        <w:t xml:space="preserve">the extent to which </w:t>
      </w:r>
      <w:r w:rsidR="00502E2F" w:rsidRPr="000530B1">
        <w:t>their financial circumstances, living arrangements and paid work commitments negatively affected their study.</w:t>
      </w:r>
    </w:p>
    <w:p w14:paraId="57219DC4" w14:textId="5EC9D0A7" w:rsidR="00D72220" w:rsidRDefault="00364E5A" w:rsidP="00CB6C89">
      <w:pPr>
        <w:pStyle w:val="Body"/>
      </w:pPr>
      <w:r w:rsidRPr="000530B1">
        <w:t xml:space="preserve">Across both levels of study, the proportions of students reporting that </w:t>
      </w:r>
      <w:r w:rsidR="00D76FB3" w:rsidRPr="000530B1">
        <w:t xml:space="preserve">their living arrangements, financial circumstances and paid work commitments </w:t>
      </w:r>
      <w:r w:rsidR="00565C0A" w:rsidRPr="000530B1">
        <w:t>negatively affected their studies declined in 2025 (</w:t>
      </w:r>
      <w:r w:rsidR="00565C0A" w:rsidRPr="000530B1">
        <w:rPr>
          <w:b/>
          <w:bCs/>
        </w:rPr>
        <w:fldChar w:fldCharType="begin"/>
      </w:r>
      <w:r w:rsidR="00565C0A" w:rsidRPr="000530B1">
        <w:rPr>
          <w:b/>
          <w:bCs/>
        </w:rPr>
        <w:instrText xml:space="preserve"> REF _Ref217336956 \h  \* MERGEFORMAT </w:instrText>
      </w:r>
      <w:r w:rsidR="00565C0A" w:rsidRPr="000530B1">
        <w:rPr>
          <w:b/>
          <w:bCs/>
        </w:rPr>
      </w:r>
      <w:r w:rsidR="00565C0A" w:rsidRPr="000530B1">
        <w:rPr>
          <w:b/>
          <w:bCs/>
        </w:rPr>
        <w:fldChar w:fldCharType="separate"/>
      </w:r>
      <w:r w:rsidR="006A2693" w:rsidRPr="000530B1">
        <w:rPr>
          <w:b/>
          <w:bCs/>
        </w:rPr>
        <w:t xml:space="preserve">Figure </w:t>
      </w:r>
      <w:r w:rsidR="006A2693" w:rsidRPr="000530B1">
        <w:rPr>
          <w:b/>
          <w:bCs/>
          <w:noProof/>
        </w:rPr>
        <w:t>25</w:t>
      </w:r>
      <w:r w:rsidR="00565C0A" w:rsidRPr="000530B1">
        <w:rPr>
          <w:b/>
          <w:bCs/>
        </w:rPr>
        <w:fldChar w:fldCharType="end"/>
      </w:r>
      <w:r w:rsidR="00565C0A" w:rsidRPr="000530B1">
        <w:t>).</w:t>
      </w:r>
    </w:p>
    <w:p w14:paraId="4A86413B" w14:textId="73982F63" w:rsidR="00502E2F" w:rsidRPr="000530B1" w:rsidRDefault="009C6AFD" w:rsidP="009C6AFD">
      <w:pPr>
        <w:pStyle w:val="Body"/>
      </w:pPr>
      <w:r>
        <w:t>Among undergraduates,</w:t>
      </w:r>
      <w:r w:rsidR="005C129B" w:rsidRPr="000530B1">
        <w:t xml:space="preserve"> </w:t>
      </w:r>
      <w:r w:rsidR="009743B6" w:rsidRPr="000530B1">
        <w:t>1 in 3 reported</w:t>
      </w:r>
      <w:r>
        <w:t xml:space="preserve"> that</w:t>
      </w:r>
      <w:r w:rsidR="009743B6" w:rsidRPr="000530B1">
        <w:t xml:space="preserve"> paid work negatively affected their studies, 1 in 4 reported</w:t>
      </w:r>
      <w:r>
        <w:t xml:space="preserve"> that</w:t>
      </w:r>
      <w:r w:rsidR="009743B6" w:rsidRPr="000530B1">
        <w:t xml:space="preserve"> their financial circumstances negatively affected their studies, and 1 in 5 reported</w:t>
      </w:r>
      <w:r w:rsidR="001A3B63" w:rsidRPr="000530B1">
        <w:t xml:space="preserve"> that their living arrangements negatively affected their studies</w:t>
      </w:r>
      <w:r w:rsidR="00F4515A" w:rsidRPr="000530B1">
        <w:t xml:space="preserve"> in 2025</w:t>
      </w:r>
      <w:r w:rsidR="001A3B63" w:rsidRPr="000530B1">
        <w:t>.</w:t>
      </w:r>
      <w:r w:rsidR="00D72220" w:rsidRPr="000530B1">
        <w:t xml:space="preserve"> </w:t>
      </w:r>
    </w:p>
    <w:p w14:paraId="7F7BECE4" w14:textId="5AB04AE1" w:rsidR="00D615B0" w:rsidRPr="00BA701A" w:rsidRDefault="00D615B0" w:rsidP="00CB6C89">
      <w:pPr>
        <w:pStyle w:val="Body"/>
        <w:rPr>
          <w:spacing w:val="-2"/>
        </w:rPr>
      </w:pPr>
      <w:r w:rsidRPr="00BA701A">
        <w:rPr>
          <w:spacing w:val="-2"/>
        </w:rPr>
        <w:t>Postgraduate coursework rates followed a similar pattern to undergraduate rates in 2025 but were less pronounced.</w:t>
      </w:r>
    </w:p>
    <w:p w14:paraId="2F99DC95" w14:textId="4CED2BD6" w:rsidR="006520D8" w:rsidRDefault="009C6AFD" w:rsidP="006520D8">
      <w:pPr>
        <w:pStyle w:val="Body"/>
      </w:pPr>
      <w:r>
        <w:t>While these challenges remain relevant for a substantial minority of students, these measures have declined in 2025 despite ongoing cost-of-living pressures in Australia. Sector-wide policy measures aimed at reducing financial barriers to study may help support continued improvement in future years.</w:t>
      </w:r>
    </w:p>
    <w:p w14:paraId="41B79F1D" w14:textId="77777777" w:rsidR="006520D8" w:rsidRDefault="006520D8">
      <w:pPr>
        <w:spacing w:before="60" w:after="60"/>
        <w:rPr>
          <w:rFonts w:eastAsia="Times New Roman" w:cs="Times New Roman"/>
          <w:szCs w:val="20"/>
        </w:rPr>
      </w:pPr>
      <w:r>
        <w:br w:type="page"/>
      </w:r>
    </w:p>
    <w:p w14:paraId="04869B89" w14:textId="0328463F" w:rsidR="00C62D63" w:rsidRPr="000530B1" w:rsidRDefault="00C62D63" w:rsidP="00194EE0">
      <w:pPr>
        <w:pStyle w:val="Captionaccessible"/>
      </w:pPr>
      <w:bookmarkStart w:id="95" w:name="_Ref217336956"/>
      <w:bookmarkStart w:id="96" w:name="_Toc239764890"/>
      <w:r w:rsidRPr="000530B1">
        <w:lastRenderedPageBreak/>
        <w:t xml:space="preserve">Figure </w:t>
      </w:r>
      <w:r w:rsidR="00955601">
        <w:fldChar w:fldCharType="begin"/>
      </w:r>
      <w:r w:rsidR="00955601">
        <w:instrText xml:space="preserve"> SEQ Figure \* ARABIC </w:instrText>
      </w:r>
      <w:r w:rsidR="00955601">
        <w:fldChar w:fldCharType="separate"/>
      </w:r>
      <w:r w:rsidR="00955601" w:rsidRPr="000530B1">
        <w:rPr>
          <w:noProof/>
        </w:rPr>
        <w:t>25</w:t>
      </w:r>
      <w:r w:rsidR="00955601">
        <w:rPr>
          <w:noProof/>
        </w:rPr>
        <w:fldChar w:fldCharType="end"/>
      </w:r>
      <w:bookmarkEnd w:id="95"/>
      <w:r w:rsidR="006A2693" w:rsidRPr="000530B1">
        <w:tab/>
      </w:r>
      <w:r w:rsidRPr="000530B1">
        <w:t>Negative effects on study by course level, 2017</w:t>
      </w:r>
      <w:r w:rsidR="00DD038D">
        <w:t>–</w:t>
      </w:r>
      <w:r w:rsidRPr="000530B1">
        <w:t>25 (% negatively affected)</w:t>
      </w:r>
      <w:bookmarkEnd w:id="96"/>
    </w:p>
    <w:p w14:paraId="12DAA696" w14:textId="7F42E7CE" w:rsidR="00D35304" w:rsidRDefault="00B346CB" w:rsidP="00B346CB">
      <w:pPr>
        <w:pStyle w:val="Body"/>
        <w:spacing w:before="60" w:after="0"/>
        <w:jc w:val="center"/>
        <w:rPr>
          <w:noProof/>
        </w:rPr>
      </w:pPr>
      <w:r>
        <w:rPr>
          <w:noProof/>
        </w:rPr>
        <w:drawing>
          <wp:inline distT="0" distB="0" distL="0" distR="0" wp14:anchorId="4AE0C983" wp14:editId="614EFF1A">
            <wp:extent cx="6300000" cy="6053914"/>
            <wp:effectExtent l="0" t="0" r="5715" b="4445"/>
            <wp:docPr id="110081724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00000" cy="6053914"/>
                    </a:xfrm>
                    <a:prstGeom prst="rect">
                      <a:avLst/>
                    </a:prstGeom>
                    <a:noFill/>
                  </pic:spPr>
                </pic:pic>
              </a:graphicData>
            </a:graphic>
          </wp:inline>
        </w:drawing>
      </w:r>
    </w:p>
    <w:p w14:paraId="735047AA" w14:textId="76E65707" w:rsidR="00EE1659" w:rsidRPr="00D35304" w:rsidRDefault="00F4515A" w:rsidP="006520D8">
      <w:pPr>
        <w:pStyle w:val="BaseFigureNotes"/>
        <w:spacing w:before="40" w:after="100"/>
      </w:pPr>
      <w:r w:rsidRPr="0096120C">
        <w:rPr>
          <w:b/>
          <w:bCs/>
        </w:rPr>
        <w:t>Note:</w:t>
      </w:r>
      <w:r w:rsidRPr="00D35304">
        <w:t xml:space="preserve"> </w:t>
      </w:r>
      <w:r w:rsidR="002F1CEF" w:rsidRPr="00D35304">
        <w:t>The p</w:t>
      </w:r>
      <w:r w:rsidR="00963EC8" w:rsidRPr="00D35304">
        <w:t xml:space="preserve">ercentage negatively affected includes those who </w:t>
      </w:r>
      <w:proofErr w:type="gramStart"/>
      <w:r w:rsidR="00963EC8" w:rsidRPr="00D35304">
        <w:t>responded</w:t>
      </w:r>
      <w:proofErr w:type="gramEnd"/>
      <w:r w:rsidR="00963EC8" w:rsidRPr="00D35304">
        <w:t xml:space="preserve"> ‘Quite a bit’ and ‘Very much’ for each of these items.</w:t>
      </w:r>
    </w:p>
    <w:p w14:paraId="5ED94972" w14:textId="11E99F05" w:rsidR="00CA3AE5" w:rsidRPr="000530B1" w:rsidRDefault="00CA3AE5" w:rsidP="006520D8">
      <w:pPr>
        <w:pStyle w:val="Heading2"/>
        <w:numPr>
          <w:ilvl w:val="1"/>
          <w:numId w:val="2"/>
        </w:numPr>
        <w:spacing w:before="180"/>
        <w:rPr>
          <w:b/>
          <w:bCs/>
        </w:rPr>
      </w:pPr>
      <w:bookmarkStart w:id="97" w:name="_Toc228444688"/>
      <w:bookmarkStart w:id="98" w:name="_Toc228444689"/>
      <w:bookmarkStart w:id="99" w:name="_Toc228444690"/>
      <w:bookmarkStart w:id="100" w:name="_Toc228444691"/>
      <w:bookmarkStart w:id="101" w:name="_Toc228444692"/>
      <w:bookmarkStart w:id="102" w:name="_Freedom_of_expression"/>
      <w:bookmarkStart w:id="103" w:name="_Toc239764798"/>
      <w:bookmarkEnd w:id="97"/>
      <w:bookmarkEnd w:id="98"/>
      <w:bookmarkEnd w:id="99"/>
      <w:bookmarkEnd w:id="100"/>
      <w:bookmarkEnd w:id="101"/>
      <w:bookmarkEnd w:id="102"/>
      <w:r w:rsidRPr="000530B1">
        <w:t>Freedom of expression</w:t>
      </w:r>
      <w:bookmarkEnd w:id="93"/>
      <w:bookmarkEnd w:id="103"/>
    </w:p>
    <w:p w14:paraId="50E38AE1" w14:textId="77777777" w:rsidR="00CA3AE5" w:rsidRPr="000530B1" w:rsidRDefault="00CA3AE5" w:rsidP="006520D8">
      <w:pPr>
        <w:pStyle w:val="Body"/>
        <w:spacing w:after="100"/>
      </w:pPr>
      <w:r w:rsidRPr="000530B1">
        <w:t>The SES includes a series of questions related to students’ perceptions of freedom of expression at their institution. Respondents are asked to indicate their level of agreement with the following statements:</w:t>
      </w:r>
    </w:p>
    <w:p w14:paraId="4453CC3B" w14:textId="77777777" w:rsidR="00CA3AE5" w:rsidRPr="000530B1" w:rsidRDefault="00CA3AE5" w:rsidP="006520D8">
      <w:pPr>
        <w:pStyle w:val="Bullets-noindent"/>
        <w:spacing w:before="50" w:after="50"/>
      </w:pPr>
      <w:r w:rsidRPr="000530B1">
        <w:t>‘I am free to express my views at [institution name]’;</w:t>
      </w:r>
    </w:p>
    <w:p w14:paraId="5DCEBBE3" w14:textId="77777777" w:rsidR="00CA3AE5" w:rsidRPr="000530B1" w:rsidRDefault="00CA3AE5" w:rsidP="006520D8">
      <w:pPr>
        <w:pStyle w:val="Bullets-noindent"/>
        <w:spacing w:before="50" w:after="50"/>
      </w:pPr>
      <w:r w:rsidRPr="000530B1">
        <w:t>‘Academics are free to express their views at [institution name]’; and</w:t>
      </w:r>
    </w:p>
    <w:p w14:paraId="5F0AE61B" w14:textId="77777777" w:rsidR="00CA3AE5" w:rsidRPr="000530B1" w:rsidRDefault="00CA3AE5" w:rsidP="006520D8">
      <w:pPr>
        <w:pStyle w:val="Bullets-noindent"/>
        <w:spacing w:before="50" w:after="200"/>
      </w:pPr>
      <w:r w:rsidRPr="000530B1">
        <w:t>‘I am free from discrimination, harm, or hatred at [institution name]’.</w:t>
      </w:r>
    </w:p>
    <w:p w14:paraId="402A7034" w14:textId="7F16D7D3" w:rsidR="00CA3AE5" w:rsidRPr="000530B1" w:rsidRDefault="00537516" w:rsidP="00CA3AE5">
      <w:pPr>
        <w:pStyle w:val="Body"/>
      </w:pPr>
      <w:r w:rsidRPr="000530B1">
        <w:rPr>
          <w:b/>
          <w:bCs/>
        </w:rPr>
        <w:fldChar w:fldCharType="begin"/>
      </w:r>
      <w:r w:rsidRPr="000530B1">
        <w:rPr>
          <w:b/>
          <w:bCs/>
        </w:rPr>
        <w:instrText xml:space="preserve"> REF _Ref221040293 \h  \* MERGEFORMAT </w:instrText>
      </w:r>
      <w:r w:rsidRPr="000530B1">
        <w:rPr>
          <w:b/>
          <w:bCs/>
        </w:rPr>
      </w:r>
      <w:r w:rsidRPr="000530B1">
        <w:rPr>
          <w:b/>
          <w:bCs/>
        </w:rPr>
        <w:fldChar w:fldCharType="separate"/>
      </w:r>
      <w:r w:rsidR="00F45FA0" w:rsidRPr="000530B1">
        <w:rPr>
          <w:b/>
          <w:bCs/>
        </w:rPr>
        <w:t xml:space="preserve">Figure </w:t>
      </w:r>
      <w:r w:rsidR="00F45FA0" w:rsidRPr="000530B1">
        <w:rPr>
          <w:b/>
          <w:bCs/>
          <w:noProof/>
        </w:rPr>
        <w:t>26</w:t>
      </w:r>
      <w:r w:rsidRPr="000530B1">
        <w:rPr>
          <w:b/>
          <w:bCs/>
        </w:rPr>
        <w:fldChar w:fldCharType="end"/>
      </w:r>
      <w:r w:rsidRPr="000530B1">
        <w:t xml:space="preserve"> </w:t>
      </w:r>
      <w:r w:rsidR="00CA3AE5" w:rsidRPr="000530B1">
        <w:t>shows the distribution of responses to each of the freedom of expression items by course level. On average, 76.7 per cent of undergraduates and 78.8 per cent of postgraduate coursework students agreed or strongly agreed with each of the statements in 2025. In addition, approximately 5 per cent of respondents disagreed or strongly disagreed, while the remainder were neutral.</w:t>
      </w:r>
    </w:p>
    <w:p w14:paraId="35BD4C05" w14:textId="77777777" w:rsidR="00BA701A" w:rsidRDefault="00CA3AE5" w:rsidP="00CA3AE5">
      <w:pPr>
        <w:pStyle w:val="Body"/>
        <w:sectPr w:rsidR="00BA701A" w:rsidSect="002D7A52">
          <w:pgSz w:w="11906" w:h="16838" w:code="9"/>
          <w:pgMar w:top="1134" w:right="851" w:bottom="1134" w:left="851" w:header="567" w:footer="567" w:gutter="0"/>
          <w:cols w:space="708"/>
          <w:docGrid w:linePitch="360"/>
        </w:sectPr>
      </w:pPr>
      <w:r w:rsidRPr="000530B1">
        <w:t>At both levels of study, students reported the highest levels of agreement (either agree or strongly agree) regarding the statement ‘I am free from discrimination, harm or hatred’.</w:t>
      </w:r>
    </w:p>
    <w:p w14:paraId="44BDE13D" w14:textId="05593921" w:rsidR="00CA3AE5" w:rsidRPr="000530B1" w:rsidRDefault="00CA3AE5" w:rsidP="00B346CB">
      <w:pPr>
        <w:pStyle w:val="Captionaccessible"/>
      </w:pPr>
      <w:bookmarkStart w:id="104" w:name="_Ref216818576"/>
      <w:bookmarkStart w:id="105" w:name="_Ref221040293"/>
      <w:bookmarkStart w:id="106" w:name="_Toc239764891"/>
      <w:r w:rsidRPr="000530B1">
        <w:lastRenderedPageBreak/>
        <w:t xml:space="preserve">Figure </w:t>
      </w:r>
      <w:r w:rsidR="00F45FA0">
        <w:fldChar w:fldCharType="begin"/>
      </w:r>
      <w:r w:rsidR="00F45FA0">
        <w:instrText xml:space="preserve"> SEQ Figure \* ARABIC </w:instrText>
      </w:r>
      <w:r w:rsidR="00F45FA0">
        <w:fldChar w:fldCharType="separate"/>
      </w:r>
      <w:r w:rsidR="00F45FA0" w:rsidRPr="000530B1">
        <w:rPr>
          <w:noProof/>
        </w:rPr>
        <w:t>26</w:t>
      </w:r>
      <w:r w:rsidR="00F45FA0">
        <w:rPr>
          <w:noProof/>
        </w:rPr>
        <w:fldChar w:fldCharType="end"/>
      </w:r>
      <w:bookmarkEnd w:id="104"/>
      <w:bookmarkEnd w:id="105"/>
      <w:r w:rsidR="008428EA" w:rsidRPr="000530B1">
        <w:tab/>
      </w:r>
      <w:r w:rsidRPr="000530B1">
        <w:t>Freedom of expression items by course level, 2025</w:t>
      </w:r>
      <w:bookmarkEnd w:id="106"/>
    </w:p>
    <w:p w14:paraId="3CF3D235" w14:textId="19DE2300" w:rsidR="00362C8A" w:rsidRDefault="00362C8A" w:rsidP="00B346CB">
      <w:pPr>
        <w:pStyle w:val="Body"/>
        <w:spacing w:before="60" w:after="0"/>
        <w:sectPr w:rsidR="00362C8A" w:rsidSect="00BA701A">
          <w:pgSz w:w="16838" w:h="11906" w:orient="landscape" w:code="9"/>
          <w:pgMar w:top="1134" w:right="851" w:bottom="1134" w:left="851" w:header="567" w:footer="567" w:gutter="0"/>
          <w:cols w:space="708"/>
          <w:docGrid w:linePitch="360"/>
        </w:sectPr>
      </w:pPr>
      <w:r>
        <w:rPr>
          <w:noProof/>
        </w:rPr>
        <w:drawing>
          <wp:inline distT="0" distB="0" distL="0" distR="0" wp14:anchorId="430FB8DE" wp14:editId="46DC8FF6">
            <wp:extent cx="9648000" cy="5841467"/>
            <wp:effectExtent l="0" t="0" r="0" b="6985"/>
            <wp:docPr id="161826246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648000" cy="5841467"/>
                    </a:xfrm>
                    <a:prstGeom prst="rect">
                      <a:avLst/>
                    </a:prstGeom>
                    <a:noFill/>
                  </pic:spPr>
                </pic:pic>
              </a:graphicData>
            </a:graphic>
          </wp:inline>
        </w:drawing>
      </w:r>
    </w:p>
    <w:p w14:paraId="27B7B1C9" w14:textId="65312CAE" w:rsidR="00234CA9" w:rsidRPr="000530B1" w:rsidRDefault="00234CA9" w:rsidP="00234CA9">
      <w:pPr>
        <w:pStyle w:val="Body"/>
      </w:pPr>
      <w:r w:rsidRPr="000530B1">
        <w:lastRenderedPageBreak/>
        <w:t xml:space="preserve">An Overall Freedom of Expression measure is calculated from responses to the 3 underlying items above. </w:t>
      </w:r>
      <w:proofErr w:type="gramStart"/>
      <w:r w:rsidRPr="000530B1">
        <w:t>Overall</w:t>
      </w:r>
      <w:proofErr w:type="gramEnd"/>
      <w:r w:rsidRPr="000530B1">
        <w:t xml:space="preserve"> Freedom of Expression has remained relatively stable since it was first introduced to the SES in 2021 (</w:t>
      </w:r>
      <w:r w:rsidR="00F91C3A" w:rsidRPr="000530B1">
        <w:rPr>
          <w:b/>
          <w:bCs/>
        </w:rPr>
        <w:fldChar w:fldCharType="begin"/>
      </w:r>
      <w:r w:rsidR="00F91C3A" w:rsidRPr="000530B1">
        <w:rPr>
          <w:b/>
          <w:bCs/>
        </w:rPr>
        <w:instrText xml:space="preserve"> REF _Ref221040351 \h  \* MERGEFORMAT </w:instrText>
      </w:r>
      <w:r w:rsidR="00F91C3A" w:rsidRPr="000530B1">
        <w:rPr>
          <w:b/>
          <w:bCs/>
        </w:rPr>
      </w:r>
      <w:r w:rsidR="00F91C3A" w:rsidRPr="000530B1">
        <w:rPr>
          <w:b/>
          <w:bCs/>
        </w:rPr>
        <w:fldChar w:fldCharType="separate"/>
      </w:r>
      <w:r w:rsidR="00F45FA0" w:rsidRPr="000530B1">
        <w:rPr>
          <w:b/>
          <w:bCs/>
        </w:rPr>
        <w:t xml:space="preserve">Figure </w:t>
      </w:r>
      <w:r w:rsidR="00F45FA0" w:rsidRPr="000530B1">
        <w:rPr>
          <w:b/>
          <w:bCs/>
          <w:noProof/>
        </w:rPr>
        <w:t>27</w:t>
      </w:r>
      <w:r w:rsidR="00F91C3A" w:rsidRPr="000530B1">
        <w:rPr>
          <w:b/>
          <w:bCs/>
        </w:rPr>
        <w:fldChar w:fldCharType="end"/>
      </w:r>
      <w:r w:rsidRPr="000530B1">
        <w:t>). In 2025, 85.1 per cent of undergraduates and 86.2 per cent of postgraduate coursework students rated Overall Freedom of Expression positively</w:t>
      </w:r>
    </w:p>
    <w:p w14:paraId="25ADE105" w14:textId="29AFC724" w:rsidR="00912241" w:rsidRPr="000530B1" w:rsidRDefault="00912241" w:rsidP="00194EE0">
      <w:pPr>
        <w:pStyle w:val="Captionaccessible"/>
      </w:pPr>
      <w:bookmarkStart w:id="107" w:name="_Ref220014372"/>
      <w:bookmarkStart w:id="108" w:name="_Ref221040351"/>
      <w:bookmarkStart w:id="109" w:name="_Toc239764892"/>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27</w:t>
      </w:r>
      <w:r w:rsidR="00F45FA0">
        <w:rPr>
          <w:noProof/>
        </w:rPr>
        <w:fldChar w:fldCharType="end"/>
      </w:r>
      <w:bookmarkEnd w:id="107"/>
      <w:bookmarkEnd w:id="108"/>
      <w:r w:rsidR="008428EA" w:rsidRPr="000530B1">
        <w:tab/>
      </w:r>
      <w:r w:rsidRPr="000530B1">
        <w:t>Overall Freedom of Expression by course level, 2021–25</w:t>
      </w:r>
      <w:r w:rsidR="00234CA9" w:rsidRPr="000530B1">
        <w:t xml:space="preserve"> (% positive rating)</w:t>
      </w:r>
      <w:bookmarkEnd w:id="109"/>
    </w:p>
    <w:p w14:paraId="7C84BEA9" w14:textId="1937DF16" w:rsidR="00D17307" w:rsidRPr="000530B1" w:rsidRDefault="00BA6CF9" w:rsidP="00362C8A">
      <w:pPr>
        <w:pStyle w:val="Body"/>
        <w:spacing w:before="60"/>
      </w:pPr>
      <w:r>
        <w:rPr>
          <w:noProof/>
        </w:rPr>
        <w:drawing>
          <wp:inline distT="0" distB="0" distL="0" distR="0" wp14:anchorId="7733CB5C" wp14:editId="02ABF08C">
            <wp:extent cx="6407150" cy="3602990"/>
            <wp:effectExtent l="0" t="0" r="0" b="0"/>
            <wp:docPr id="56529705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07150" cy="3602990"/>
                    </a:xfrm>
                    <a:prstGeom prst="rect">
                      <a:avLst/>
                    </a:prstGeom>
                    <a:noFill/>
                  </pic:spPr>
                </pic:pic>
              </a:graphicData>
            </a:graphic>
          </wp:inline>
        </w:drawing>
      </w:r>
    </w:p>
    <w:p w14:paraId="1A72FC1C" w14:textId="77777777" w:rsidR="00E034C2" w:rsidRDefault="00E034C2" w:rsidP="0006002B">
      <w:pPr>
        <w:pStyle w:val="Body"/>
      </w:pPr>
    </w:p>
    <w:p w14:paraId="6710727B" w14:textId="18DD47D8" w:rsidR="00A935E5" w:rsidRPr="000530B1" w:rsidRDefault="00A935E5" w:rsidP="0006002B">
      <w:pPr>
        <w:pStyle w:val="Body"/>
        <w:sectPr w:rsidR="00A935E5" w:rsidRPr="000530B1" w:rsidSect="002D7A52">
          <w:pgSz w:w="11906" w:h="16838" w:code="9"/>
          <w:pgMar w:top="1134" w:right="851" w:bottom="1134" w:left="851" w:header="567" w:footer="567" w:gutter="0"/>
          <w:cols w:space="708"/>
          <w:docGrid w:linePitch="360"/>
        </w:sectPr>
      </w:pPr>
    </w:p>
    <w:p w14:paraId="78CC5A11" w14:textId="77777777" w:rsidR="0098706C" w:rsidRPr="000530B1" w:rsidRDefault="0098706C" w:rsidP="00512312">
      <w:pPr>
        <w:pStyle w:val="Heading1numaccessible"/>
      </w:pPr>
      <w:bookmarkStart w:id="110" w:name="_Demographic_and_equity"/>
      <w:bookmarkStart w:id="111" w:name="_Ref193707919"/>
      <w:bookmarkStart w:id="112" w:name="_Ref126233077"/>
      <w:bookmarkStart w:id="113" w:name="_Ref164332703"/>
      <w:bookmarkStart w:id="114" w:name="_Toc239764799"/>
      <w:bookmarkEnd w:id="110"/>
      <w:r w:rsidRPr="000530B1">
        <w:lastRenderedPageBreak/>
        <w:t>Demographic and equity groups</w:t>
      </w:r>
      <w:bookmarkEnd w:id="114"/>
    </w:p>
    <w:bookmarkEnd w:id="111"/>
    <w:bookmarkEnd w:id="112"/>
    <w:bookmarkEnd w:id="113"/>
    <w:p w14:paraId="4DB0ECE7" w14:textId="099BE1D8" w:rsidR="002371DE" w:rsidRPr="000530B1" w:rsidRDefault="00440C60" w:rsidP="00440C60">
      <w:pPr>
        <w:pStyle w:val="Body"/>
      </w:pPr>
      <w:r w:rsidRPr="000530B1">
        <w:t xml:space="preserve">Student ratings of their educational experience vary across different demographic sub-groups at </w:t>
      </w:r>
      <w:r w:rsidR="006E355C" w:rsidRPr="000530B1">
        <w:t>both</w:t>
      </w:r>
      <w:r w:rsidRPr="000530B1">
        <w:t xml:space="preserve"> levels</w:t>
      </w:r>
      <w:r w:rsidR="006E355C" w:rsidRPr="000530B1">
        <w:t xml:space="preserve"> of study</w:t>
      </w:r>
      <w:r w:rsidRPr="000530B1">
        <w:t xml:space="preserve">. This section </w:t>
      </w:r>
      <w:r w:rsidR="008A75D1" w:rsidRPr="000530B1">
        <w:t xml:space="preserve">provides an overview of </w:t>
      </w:r>
      <w:r w:rsidRPr="000530B1">
        <w:t>results for undergraduate and postgraduate coursework students</w:t>
      </w:r>
      <w:r w:rsidR="00FD12A9" w:rsidRPr="000530B1">
        <w:t xml:space="preserve"> across </w:t>
      </w:r>
      <w:r w:rsidR="00BB5BCF" w:rsidRPr="000530B1">
        <w:t>select</w:t>
      </w:r>
      <w:r w:rsidR="00FD12A9" w:rsidRPr="000530B1">
        <w:t xml:space="preserve"> demographic and equity groups</w:t>
      </w:r>
      <w:r w:rsidRPr="000530B1">
        <w:t xml:space="preserve">. </w:t>
      </w:r>
      <w:r w:rsidR="00EB5020" w:rsidRPr="000530B1">
        <w:t>More d</w:t>
      </w:r>
      <w:r w:rsidRPr="000530B1">
        <w:t>etailed breakdown</w:t>
      </w:r>
      <w:r w:rsidR="008A75D1" w:rsidRPr="000530B1">
        <w:t>s</w:t>
      </w:r>
      <w:r w:rsidRPr="000530B1">
        <w:t xml:space="preserve"> of student</w:t>
      </w:r>
      <w:r w:rsidR="00EB5020" w:rsidRPr="000530B1">
        <w:t xml:space="preserve"> experience</w:t>
      </w:r>
      <w:r w:rsidRPr="000530B1">
        <w:t xml:space="preserve"> ratings by demographic sub-groups are available in </w:t>
      </w:r>
      <w:r w:rsidR="00EB5020" w:rsidRPr="000530B1">
        <w:t xml:space="preserve">the </w:t>
      </w:r>
      <w:r w:rsidRPr="000530B1">
        <w:t>supplementary tables</w:t>
      </w:r>
      <w:r w:rsidR="00EB5020" w:rsidRPr="000530B1">
        <w:t xml:space="preserve"> </w:t>
      </w:r>
      <w:r w:rsidRPr="000530B1">
        <w:t>on the QILT website.</w:t>
      </w:r>
    </w:p>
    <w:p w14:paraId="70216BC5" w14:textId="7D364EB5" w:rsidR="004502F4" w:rsidRPr="000530B1" w:rsidRDefault="004502F4" w:rsidP="00440C60">
      <w:pPr>
        <w:pStyle w:val="Body"/>
      </w:pPr>
      <w:r w:rsidRPr="000530B1">
        <w:t>Note that</w:t>
      </w:r>
      <w:r w:rsidR="00A54039" w:rsidRPr="000530B1">
        <w:t xml:space="preserve"> comparisons for</w:t>
      </w:r>
      <w:r w:rsidRPr="000530B1">
        <w:t xml:space="preserve"> First Nations </w:t>
      </w:r>
      <w:r w:rsidR="00A47764" w:rsidRPr="000530B1">
        <w:t xml:space="preserve">results </w:t>
      </w:r>
      <w:r w:rsidR="004B3EA5" w:rsidRPr="000530B1">
        <w:t>are subset to</w:t>
      </w:r>
      <w:r w:rsidRPr="000530B1">
        <w:t xml:space="preserve"> domestic student</w:t>
      </w:r>
      <w:r w:rsidR="004B3EA5" w:rsidRPr="000530B1">
        <w:t>s</w:t>
      </w:r>
      <w:r w:rsidRPr="000530B1">
        <w:t xml:space="preserve"> only. </w:t>
      </w:r>
      <w:r w:rsidR="00E8021E" w:rsidRPr="000530B1">
        <w:t xml:space="preserve">Other </w:t>
      </w:r>
      <w:r w:rsidRPr="000530B1">
        <w:t xml:space="preserve">demographic and equity groups </w:t>
      </w:r>
      <w:r w:rsidR="00E8021E" w:rsidRPr="000530B1">
        <w:t xml:space="preserve">for comparison </w:t>
      </w:r>
      <w:r w:rsidRPr="000530B1">
        <w:t>include all domestic and international</w:t>
      </w:r>
      <w:r w:rsidR="00812B3C" w:rsidRPr="000530B1">
        <w:t xml:space="preserve"> students</w:t>
      </w:r>
      <w:r w:rsidRPr="000530B1">
        <w:t>.</w:t>
      </w:r>
    </w:p>
    <w:p w14:paraId="6DEDD7F6" w14:textId="22C72A5D" w:rsidR="00245D83" w:rsidRPr="000530B1" w:rsidRDefault="00245D83" w:rsidP="00512312">
      <w:pPr>
        <w:pStyle w:val="SubHeading1accessible"/>
      </w:pPr>
      <w:r w:rsidRPr="000530B1">
        <w:t>Age</w:t>
      </w:r>
    </w:p>
    <w:p w14:paraId="617DBC72" w14:textId="4541CC02" w:rsidR="005D5EBF" w:rsidRPr="000530B1" w:rsidRDefault="00C24133" w:rsidP="00280D57">
      <w:pPr>
        <w:pStyle w:val="Body"/>
      </w:pPr>
      <w:r w:rsidRPr="000530B1">
        <w:t>Student experience ratings differ by age.</w:t>
      </w:r>
      <w:r w:rsidR="00AB1940" w:rsidRPr="000530B1">
        <w:t xml:space="preserve"> In general, older students (aged 30</w:t>
      </w:r>
      <w:r w:rsidR="00633F15" w:rsidRPr="000530B1">
        <w:t xml:space="preserve"> to </w:t>
      </w:r>
      <w:r w:rsidR="00AB1940" w:rsidRPr="000530B1">
        <w:t>39, 40 and over) tend to rate their Overall Educational Experience more positively than</w:t>
      </w:r>
      <w:r w:rsidR="0025736D" w:rsidRPr="000530B1">
        <w:t xml:space="preserve"> younger students (</w:t>
      </w:r>
      <w:r w:rsidR="00633F15" w:rsidRPr="000530B1">
        <w:t xml:space="preserve">under 25, </w:t>
      </w:r>
      <w:r w:rsidR="0025736D" w:rsidRPr="000530B1">
        <w:t>aged 25 to 29)</w:t>
      </w:r>
      <w:r w:rsidR="00633F15" w:rsidRPr="000530B1">
        <w:t xml:space="preserve">. </w:t>
      </w:r>
      <w:r w:rsidR="007928A1" w:rsidRPr="000530B1">
        <w:t xml:space="preserve">However, </w:t>
      </w:r>
      <w:r w:rsidR="00F03156" w:rsidRPr="000530B1">
        <w:t>these differences by age are likely associated with differences in study mode</w:t>
      </w:r>
      <w:r w:rsidR="002A5B5B" w:rsidRPr="000530B1">
        <w:t xml:space="preserve"> – older students are more likely to study externally</w:t>
      </w:r>
      <w:r w:rsidR="000A6BCA" w:rsidRPr="000530B1">
        <w:t>, and external students rate their Overall Educational Experience more positively than internal/multi-mode students</w:t>
      </w:r>
      <w:r w:rsidR="00750F7E" w:rsidRPr="000530B1">
        <w:t xml:space="preserve"> (</w:t>
      </w:r>
      <w:r w:rsidR="00750F7E" w:rsidRPr="000530B1">
        <w:rPr>
          <w:b/>
          <w:bCs/>
        </w:rPr>
        <w:fldChar w:fldCharType="begin"/>
      </w:r>
      <w:r w:rsidR="00750F7E" w:rsidRPr="000530B1">
        <w:rPr>
          <w:b/>
          <w:bCs/>
        </w:rPr>
        <w:instrText xml:space="preserve"> REF _Ref195570658 \h </w:instrText>
      </w:r>
      <w:r w:rsidR="000F551C" w:rsidRPr="000530B1">
        <w:rPr>
          <w:b/>
          <w:bCs/>
        </w:rPr>
        <w:instrText xml:space="preserve"> \* MERGEFORMAT </w:instrText>
      </w:r>
      <w:r w:rsidR="00750F7E" w:rsidRPr="000530B1">
        <w:rPr>
          <w:b/>
          <w:bCs/>
        </w:rPr>
      </w:r>
      <w:r w:rsidR="00750F7E" w:rsidRPr="000530B1">
        <w:rPr>
          <w:b/>
          <w:bCs/>
        </w:rPr>
        <w:fldChar w:fldCharType="separate"/>
      </w:r>
      <w:r w:rsidR="00FB3564" w:rsidRPr="000530B1">
        <w:rPr>
          <w:b/>
          <w:bCs/>
        </w:rPr>
        <w:t xml:space="preserve">Figure </w:t>
      </w:r>
      <w:r w:rsidR="00FB3564" w:rsidRPr="000530B1">
        <w:rPr>
          <w:b/>
          <w:bCs/>
          <w:noProof/>
        </w:rPr>
        <w:t>4</w:t>
      </w:r>
      <w:r w:rsidR="00750F7E" w:rsidRPr="000530B1">
        <w:rPr>
          <w:b/>
          <w:bCs/>
        </w:rPr>
        <w:fldChar w:fldCharType="end"/>
      </w:r>
      <w:r w:rsidR="00750F7E" w:rsidRPr="000530B1">
        <w:t>)</w:t>
      </w:r>
      <w:r w:rsidR="000A6BCA" w:rsidRPr="000530B1">
        <w:t>, who also tend to be younger.</w:t>
      </w:r>
    </w:p>
    <w:p w14:paraId="502900F5" w14:textId="0C32F401" w:rsidR="00280D57" w:rsidRPr="000530B1" w:rsidRDefault="00633F15" w:rsidP="00280D57">
      <w:pPr>
        <w:pStyle w:val="Body"/>
      </w:pPr>
      <w:r w:rsidRPr="000530B1">
        <w:t>In 2025</w:t>
      </w:r>
      <w:r w:rsidR="00264AFB" w:rsidRPr="000530B1">
        <w:t xml:space="preserve">, </w:t>
      </w:r>
      <w:r w:rsidR="005D5EBF" w:rsidRPr="000530B1">
        <w:t xml:space="preserve">undergraduate </w:t>
      </w:r>
      <w:r w:rsidR="00DF5FDE" w:rsidRPr="000530B1">
        <w:t xml:space="preserve">Overall Educational Experience ratings for older students increased year-on-year (82.5 per cent positive for 40 and over, </w:t>
      </w:r>
      <w:r w:rsidR="00745F85" w:rsidRPr="000530B1">
        <w:t>79.3 per cent positive for 30 to 39) (</w:t>
      </w:r>
      <w:r w:rsidR="00F45FA0" w:rsidRPr="000530B1">
        <w:rPr>
          <w:b/>
          <w:bCs/>
        </w:rPr>
        <w:t>Figure 28</w:t>
      </w:r>
      <w:r w:rsidR="00B24EB5" w:rsidRPr="000530B1">
        <w:t>).</w:t>
      </w:r>
      <w:r w:rsidR="00187C86" w:rsidRPr="000530B1">
        <w:t xml:space="preserve"> Younger student ratings</w:t>
      </w:r>
      <w:r w:rsidR="007914B4" w:rsidRPr="000530B1">
        <w:t xml:space="preserve"> partially recovered</w:t>
      </w:r>
      <w:r w:rsidR="00AC53CA" w:rsidRPr="000530B1">
        <w:t xml:space="preserve"> between 2021 and 2023 after </w:t>
      </w:r>
      <w:r w:rsidR="00F87E4E" w:rsidRPr="000530B1">
        <w:t>the impact of the pandemic on student experience in 2020</w:t>
      </w:r>
      <w:r w:rsidR="00C62874" w:rsidRPr="000530B1">
        <w:t>; h</w:t>
      </w:r>
      <w:r w:rsidR="00056ACD" w:rsidRPr="000530B1">
        <w:t>owever</w:t>
      </w:r>
      <w:r w:rsidR="00C62874" w:rsidRPr="000530B1">
        <w:t>,</w:t>
      </w:r>
      <w:r w:rsidR="00056ACD" w:rsidRPr="000530B1">
        <w:t xml:space="preserve"> they have not fully recovered and have remained relatively steady since 2023.</w:t>
      </w:r>
    </w:p>
    <w:p w14:paraId="79DE0281" w14:textId="6E870901" w:rsidR="00245D19" w:rsidRDefault="006E726B" w:rsidP="00280D57">
      <w:pPr>
        <w:pStyle w:val="Body"/>
      </w:pPr>
      <w:r w:rsidRPr="000530B1">
        <w:t xml:space="preserve">At the postgraduate coursework level, </w:t>
      </w:r>
      <w:r w:rsidR="00D90806" w:rsidRPr="000530B1">
        <w:t>older student ratings did not decline as substantially in 2020</w:t>
      </w:r>
      <w:r w:rsidR="00901872" w:rsidRPr="000530B1">
        <w:t xml:space="preserve"> as they did for younger students. This is due to high proportion of domestic students who study externally at the postgraduate coursework level</w:t>
      </w:r>
      <w:r w:rsidR="00037562" w:rsidRPr="000530B1">
        <w:t xml:space="preserve"> </w:t>
      </w:r>
      <w:r w:rsidR="00282067" w:rsidRPr="000530B1">
        <w:t>(</w:t>
      </w:r>
      <w:r w:rsidR="00420589" w:rsidRPr="00420589">
        <w:rPr>
          <w:b/>
          <w:bCs/>
        </w:rPr>
        <w:fldChar w:fldCharType="begin"/>
      </w:r>
      <w:r w:rsidR="00420589" w:rsidRPr="00420589">
        <w:rPr>
          <w:b/>
          <w:bCs/>
        </w:rPr>
        <w:instrText xml:space="preserve"> REF _Ref231318003 \h </w:instrText>
      </w:r>
      <w:r w:rsidR="00420589">
        <w:rPr>
          <w:b/>
          <w:bCs/>
        </w:rPr>
        <w:instrText xml:space="preserve"> \* MERGEFORMAT </w:instrText>
      </w:r>
      <w:r w:rsidR="00420589" w:rsidRPr="00420589">
        <w:rPr>
          <w:b/>
          <w:bCs/>
        </w:rPr>
      </w:r>
      <w:r w:rsidR="00420589" w:rsidRPr="00420589">
        <w:rPr>
          <w:b/>
          <w:bCs/>
        </w:rPr>
        <w:fldChar w:fldCharType="separate"/>
      </w:r>
      <w:r w:rsidR="00420589" w:rsidRPr="00420589">
        <w:rPr>
          <w:b/>
          <w:bCs/>
        </w:rPr>
        <w:t xml:space="preserve">Figure </w:t>
      </w:r>
      <w:r w:rsidR="00420589" w:rsidRPr="00420589">
        <w:rPr>
          <w:b/>
          <w:bCs/>
          <w:noProof/>
        </w:rPr>
        <w:t>44</w:t>
      </w:r>
      <w:r w:rsidR="00420589" w:rsidRPr="00420589">
        <w:rPr>
          <w:b/>
          <w:bCs/>
        </w:rPr>
        <w:fldChar w:fldCharType="end"/>
      </w:r>
      <w:r w:rsidR="00282067" w:rsidRPr="000530B1">
        <w:t>)</w:t>
      </w:r>
      <w:r w:rsidR="00CA4929" w:rsidRPr="000530B1">
        <w:t xml:space="preserve"> – students who expected to study externally during the pandemic</w:t>
      </w:r>
      <w:r w:rsidR="005A1313" w:rsidRPr="000530B1">
        <w:t xml:space="preserve"> did not experience as much disruption to their studies as they could continue studying online.</w:t>
      </w:r>
    </w:p>
    <w:p w14:paraId="4D714EB8" w14:textId="77777777" w:rsidR="00245D19" w:rsidRDefault="00245D19">
      <w:pPr>
        <w:spacing w:before="60" w:after="60"/>
        <w:rPr>
          <w:rFonts w:eastAsia="Times New Roman" w:cs="Times New Roman"/>
          <w:szCs w:val="20"/>
        </w:rPr>
      </w:pPr>
      <w:r>
        <w:br w:type="page"/>
      </w:r>
    </w:p>
    <w:p w14:paraId="5389A34E" w14:textId="6A7FDEDE" w:rsidR="00B24EB5" w:rsidRPr="000530B1" w:rsidRDefault="00B24EB5" w:rsidP="00817092">
      <w:pPr>
        <w:pStyle w:val="Captionaccessible"/>
        <w:spacing w:after="40"/>
      </w:pPr>
      <w:bookmarkStart w:id="115" w:name="_Toc239764893"/>
      <w:r w:rsidRPr="000530B1">
        <w:lastRenderedPageBreak/>
        <w:t xml:space="preserve">Figure </w:t>
      </w:r>
      <w:r w:rsidR="00F45FA0">
        <w:fldChar w:fldCharType="begin"/>
      </w:r>
      <w:r w:rsidR="00F45FA0">
        <w:instrText xml:space="preserve"> SEQ Figure \* ARABIC </w:instrText>
      </w:r>
      <w:r w:rsidR="00F45FA0">
        <w:fldChar w:fldCharType="separate"/>
      </w:r>
      <w:r w:rsidR="00F45FA0" w:rsidRPr="000530B1">
        <w:rPr>
          <w:noProof/>
        </w:rPr>
        <w:t>28</w:t>
      </w:r>
      <w:r w:rsidR="00F45FA0">
        <w:rPr>
          <w:noProof/>
        </w:rPr>
        <w:fldChar w:fldCharType="end"/>
      </w:r>
      <w:r w:rsidR="00FB3564" w:rsidRPr="000530B1">
        <w:tab/>
      </w:r>
      <w:r w:rsidRPr="000530B1">
        <w:t xml:space="preserve">Overall Educational Experience by course level and </w:t>
      </w:r>
      <w:r w:rsidR="00C46912" w:rsidRPr="000530B1">
        <w:t>age</w:t>
      </w:r>
      <w:r w:rsidRPr="000530B1">
        <w:t>, 2017–25 (% positive rating)</w:t>
      </w:r>
      <w:bookmarkEnd w:id="115"/>
    </w:p>
    <w:p w14:paraId="11DA9CEB" w14:textId="7DC47552" w:rsidR="00B315BC" w:rsidRDefault="00ED752E" w:rsidP="003A1EA1">
      <w:pPr>
        <w:pStyle w:val="Body"/>
      </w:pPr>
      <w:r w:rsidRPr="00ED752E">
        <w:drawing>
          <wp:inline distT="0" distB="0" distL="0" distR="0" wp14:anchorId="74D5C9CA" wp14:editId="443A9C6F">
            <wp:extent cx="6408000" cy="8910752"/>
            <wp:effectExtent l="0" t="0" r="0" b="5080"/>
            <wp:docPr id="631830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30382" name=""/>
                    <pic:cNvPicPr/>
                  </pic:nvPicPr>
                  <pic:blipFill>
                    <a:blip r:embed="rId62"/>
                    <a:stretch>
                      <a:fillRect/>
                    </a:stretch>
                  </pic:blipFill>
                  <pic:spPr>
                    <a:xfrm>
                      <a:off x="0" y="0"/>
                      <a:ext cx="6408000" cy="8910752"/>
                    </a:xfrm>
                    <a:prstGeom prst="rect">
                      <a:avLst/>
                    </a:prstGeom>
                  </pic:spPr>
                </pic:pic>
              </a:graphicData>
            </a:graphic>
          </wp:inline>
        </w:drawing>
      </w:r>
    </w:p>
    <w:p w14:paraId="5B4F9E87" w14:textId="77777777" w:rsidR="00245D19" w:rsidRDefault="00245D19" w:rsidP="003A1EA1">
      <w:pPr>
        <w:pStyle w:val="Body"/>
        <w:sectPr w:rsidR="00245D19" w:rsidSect="002D7A52">
          <w:headerReference w:type="default" r:id="rId63"/>
          <w:pgSz w:w="11900" w:h="16840"/>
          <w:pgMar w:top="1134" w:right="851" w:bottom="1134" w:left="851" w:header="567" w:footer="567" w:gutter="0"/>
          <w:cols w:space="708"/>
          <w:docGrid w:linePitch="360"/>
        </w:sectPr>
      </w:pPr>
    </w:p>
    <w:p w14:paraId="4E85C956" w14:textId="508087FD" w:rsidR="0098706C" w:rsidRPr="000530B1" w:rsidRDefault="0098706C" w:rsidP="00FD5EF3">
      <w:pPr>
        <w:pStyle w:val="SubHeading1accessible"/>
        <w:spacing w:after="140"/>
      </w:pPr>
      <w:r w:rsidRPr="000530B1">
        <w:lastRenderedPageBreak/>
        <w:t>Stage of study</w:t>
      </w:r>
    </w:p>
    <w:p w14:paraId="7D89C91F" w14:textId="77777777" w:rsidR="0098706C" w:rsidRPr="000530B1" w:rsidRDefault="0098706C" w:rsidP="0098706C">
      <w:pPr>
        <w:pStyle w:val="Body"/>
      </w:pPr>
      <w:r w:rsidRPr="000530B1">
        <w:t>Historically, commencing students have rated their Overall Educational Experience more positively than later-year students</w:t>
      </w:r>
      <w:r w:rsidRPr="00D71779">
        <w:rPr>
          <w:rStyle w:val="FootnoteReference"/>
          <w:sz w:val="20"/>
        </w:rPr>
        <w:footnoteReference w:id="4"/>
      </w:r>
      <w:r w:rsidRPr="00D71779">
        <w:t xml:space="preserve"> </w:t>
      </w:r>
      <w:r w:rsidRPr="000530B1">
        <w:t>at both undergraduate and postgraduate coursework levels. In contrast, later-year students have rated Skills Development more positively than commencing students at both levels.</w:t>
      </w:r>
    </w:p>
    <w:p w14:paraId="29F5A525" w14:textId="3EAF1AA3" w:rsidR="0098706C" w:rsidRPr="000530B1" w:rsidRDefault="0098706C" w:rsidP="0098706C">
      <w:pPr>
        <w:pStyle w:val="Body"/>
      </w:pPr>
      <w:r w:rsidRPr="000530B1">
        <w:t>In 2025, undergraduate commencing students continued to rate their experience across the focus areas more positively than later-year students, except in Skills</w:t>
      </w:r>
      <w:r w:rsidR="00B315BC">
        <w:t xml:space="preserve"> </w:t>
      </w:r>
      <w:r w:rsidRPr="000530B1">
        <w:t>Development, and Peer Engagement which was broadly similar between levels (</w:t>
      </w:r>
      <w:r w:rsidR="00DA3249" w:rsidRPr="000530B1">
        <w:rPr>
          <w:b/>
          <w:bCs/>
        </w:rPr>
        <w:fldChar w:fldCharType="begin"/>
      </w:r>
      <w:r w:rsidR="00DA3249" w:rsidRPr="000530B1">
        <w:rPr>
          <w:b/>
          <w:bCs/>
        </w:rPr>
        <w:instrText xml:space="preserve"> REF _Ref193712781 \h  \* MERGEFORMAT </w:instrText>
      </w:r>
      <w:r w:rsidR="00DA3249" w:rsidRPr="000530B1">
        <w:rPr>
          <w:b/>
          <w:bCs/>
        </w:rPr>
      </w:r>
      <w:r w:rsidR="00DA3249" w:rsidRPr="000530B1">
        <w:rPr>
          <w:b/>
          <w:bCs/>
        </w:rPr>
        <w:fldChar w:fldCharType="separate"/>
      </w:r>
      <w:r w:rsidR="00F45FA0" w:rsidRPr="000530B1">
        <w:rPr>
          <w:b/>
          <w:bCs/>
          <w:lang w:val="en-US"/>
        </w:rPr>
        <w:t>Figure 29</w:t>
      </w:r>
      <w:r w:rsidR="00DA3249" w:rsidRPr="000530B1">
        <w:rPr>
          <w:b/>
          <w:bCs/>
        </w:rPr>
        <w:fldChar w:fldCharType="end"/>
      </w:r>
      <w:r w:rsidRPr="000530B1">
        <w:t>).</w:t>
      </w:r>
    </w:p>
    <w:p w14:paraId="5E53629A" w14:textId="29909C94" w:rsidR="00B315BC" w:rsidRDefault="0098706C" w:rsidP="00FD5EF3">
      <w:pPr>
        <w:pStyle w:val="Body"/>
        <w:spacing w:after="100"/>
      </w:pPr>
      <w:r w:rsidRPr="000530B1">
        <w:t>For postgraduate coursework students in 2025, differences in ratings between commencing and later-year students were less pronounced, likely due to their previous higher education experience. However, later-year students rated their Skills Development and Peer Engagement more highly than commencing students</w:t>
      </w:r>
      <w:r w:rsidR="00B315BC">
        <w:t>.</w:t>
      </w:r>
    </w:p>
    <w:p w14:paraId="4C1F9BD1" w14:textId="581D9624" w:rsidR="00FD5EF3" w:rsidRPr="000530B1" w:rsidRDefault="0098706C" w:rsidP="00C9380C">
      <w:pPr>
        <w:pStyle w:val="Captionaccessible"/>
      </w:pPr>
      <w:bookmarkStart w:id="116" w:name="_Ref196826521"/>
      <w:bookmarkStart w:id="117" w:name="_Toc199513069"/>
      <w:bookmarkStart w:id="118" w:name="_Toc239764894"/>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29</w:t>
      </w:r>
      <w:r w:rsidR="00F45FA0">
        <w:rPr>
          <w:noProof/>
        </w:rPr>
        <w:fldChar w:fldCharType="end"/>
      </w:r>
      <w:r w:rsidR="006007C8" w:rsidRPr="000530B1">
        <w:tab/>
      </w:r>
      <w:r w:rsidR="001862CE" w:rsidRPr="000530B1">
        <w:t>S</w:t>
      </w:r>
      <w:r w:rsidRPr="000530B1">
        <w:t>tudent experience by course level and stage of study, 2025 (% positive rating)</w:t>
      </w:r>
      <w:bookmarkEnd w:id="116"/>
      <w:bookmarkEnd w:id="117"/>
      <w:bookmarkEnd w:id="118"/>
    </w:p>
    <w:p w14:paraId="4FCEE52B" w14:textId="1AA9B3AF" w:rsidR="00273C82" w:rsidRDefault="00C9380C" w:rsidP="00B315BC">
      <w:pPr>
        <w:pStyle w:val="Body"/>
        <w:spacing w:before="0" w:after="0"/>
        <w:rPr>
          <w:noProof/>
        </w:rPr>
        <w:sectPr w:rsidR="00273C82" w:rsidSect="00B315BC">
          <w:pgSz w:w="16840" w:h="11900" w:orient="landscape"/>
          <w:pgMar w:top="1134" w:right="851" w:bottom="1134" w:left="851" w:header="567" w:footer="567" w:gutter="0"/>
          <w:cols w:space="708"/>
          <w:docGrid w:linePitch="360"/>
        </w:sectPr>
      </w:pPr>
      <w:r w:rsidRPr="00C9380C">
        <w:rPr>
          <w:noProof/>
        </w:rPr>
        <w:drawing>
          <wp:inline distT="0" distB="0" distL="0" distR="0" wp14:anchorId="7B5F0295" wp14:editId="7BECB79B">
            <wp:extent cx="9648000" cy="3679344"/>
            <wp:effectExtent l="0" t="0" r="0" b="0"/>
            <wp:docPr id="1795969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69565" name=""/>
                    <pic:cNvPicPr/>
                  </pic:nvPicPr>
                  <pic:blipFill>
                    <a:blip r:embed="rId64"/>
                    <a:stretch>
                      <a:fillRect/>
                    </a:stretch>
                  </pic:blipFill>
                  <pic:spPr>
                    <a:xfrm>
                      <a:off x="0" y="0"/>
                      <a:ext cx="9648000" cy="3679344"/>
                    </a:xfrm>
                    <a:prstGeom prst="rect">
                      <a:avLst/>
                    </a:prstGeom>
                  </pic:spPr>
                </pic:pic>
              </a:graphicData>
            </a:graphic>
          </wp:inline>
        </w:drawing>
      </w:r>
    </w:p>
    <w:p w14:paraId="3603B401" w14:textId="6261003B" w:rsidR="0098706C" w:rsidRPr="000530B1" w:rsidRDefault="0098706C" w:rsidP="00BD3AE0">
      <w:pPr>
        <w:pStyle w:val="SubHeading1accessible"/>
      </w:pPr>
      <w:r w:rsidRPr="000530B1">
        <w:lastRenderedPageBreak/>
        <w:t>Disability</w:t>
      </w:r>
    </w:p>
    <w:p w14:paraId="533647D3" w14:textId="3CD8DC99" w:rsidR="00013DD1" w:rsidRPr="00A935E5" w:rsidRDefault="0098706C" w:rsidP="00A935E5">
      <w:pPr>
        <w:pStyle w:val="Body"/>
      </w:pPr>
      <w:r w:rsidRPr="000530B1">
        <w:t>Students with disability have consistently rated their Overall Educational Experience lower than those without disability at both undergraduate and postgraduate coursework levels (</w:t>
      </w:r>
      <w:r w:rsidR="00F45FA0" w:rsidRPr="000530B1">
        <w:rPr>
          <w:b/>
          <w:bCs/>
        </w:rPr>
        <w:t>Figure 30</w:t>
      </w:r>
      <w:r w:rsidR="00DA3249" w:rsidRPr="000530B1">
        <w:t>)</w:t>
      </w:r>
      <w:r w:rsidRPr="000530B1">
        <w:t>. However, in 2025, the gap in ratings narrowed to the lowest recorded since 2017 – undergraduate students with disability rated their Overall Educational Experience 1.7 percentage points lower than undergraduates without disability</w:t>
      </w:r>
      <w:r w:rsidR="001862CE" w:rsidRPr="000530B1">
        <w:t>.</w:t>
      </w:r>
      <w:r w:rsidRPr="000530B1">
        <w:t xml:space="preserve"> </w:t>
      </w:r>
      <w:r w:rsidR="009B6157" w:rsidRPr="000530B1">
        <w:t>At the postgraduate coursework level, students with and without a disability reported similar levels of Overall Educational Experience.</w:t>
      </w:r>
      <w:bookmarkStart w:id="119" w:name="_Toc199513072"/>
    </w:p>
    <w:p w14:paraId="4ED62256" w14:textId="22AA9BB7" w:rsidR="0098706C" w:rsidRPr="000530B1" w:rsidRDefault="0098706C" w:rsidP="00194EE0">
      <w:pPr>
        <w:pStyle w:val="Captionaccessible"/>
      </w:pPr>
      <w:bookmarkStart w:id="120" w:name="_Toc239764895"/>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30</w:t>
      </w:r>
      <w:r w:rsidR="00F45FA0">
        <w:rPr>
          <w:noProof/>
        </w:rPr>
        <w:fldChar w:fldCharType="end"/>
      </w:r>
      <w:r w:rsidR="00FB3564" w:rsidRPr="000530B1">
        <w:tab/>
      </w:r>
      <w:r w:rsidRPr="00E54D0C">
        <w:rPr>
          <w:spacing w:val="-2"/>
        </w:rPr>
        <w:t>Overall Educational Experience by course level and disability status, 2017–25</w:t>
      </w:r>
      <w:r w:rsidR="007E50FE" w:rsidRPr="00E54D0C">
        <w:rPr>
          <w:spacing w:val="-2"/>
        </w:rPr>
        <w:t xml:space="preserve"> </w:t>
      </w:r>
      <w:r w:rsidRPr="00E54D0C">
        <w:rPr>
          <w:spacing w:val="-2"/>
        </w:rPr>
        <w:t>(%</w:t>
      </w:r>
      <w:r w:rsidR="00B6326A" w:rsidRPr="00E54D0C">
        <w:rPr>
          <w:rFonts w:hint="eastAsia"/>
          <w:spacing w:val="-2"/>
        </w:rPr>
        <w:t> </w:t>
      </w:r>
      <w:r w:rsidRPr="00E54D0C">
        <w:rPr>
          <w:spacing w:val="-2"/>
        </w:rPr>
        <w:t>positive</w:t>
      </w:r>
      <w:r w:rsidR="00B6326A" w:rsidRPr="00E54D0C">
        <w:rPr>
          <w:rFonts w:hint="eastAsia"/>
          <w:spacing w:val="-2"/>
        </w:rPr>
        <w:t> </w:t>
      </w:r>
      <w:r w:rsidRPr="00E54D0C">
        <w:rPr>
          <w:spacing w:val="-2"/>
        </w:rPr>
        <w:t>rating)</w:t>
      </w:r>
      <w:bookmarkEnd w:id="119"/>
      <w:bookmarkEnd w:id="120"/>
    </w:p>
    <w:p w14:paraId="5C4093BD" w14:textId="3CC63550" w:rsidR="0098706C" w:rsidRPr="00413DCC" w:rsidRDefault="00413DCC" w:rsidP="00413DCC">
      <w:pPr>
        <w:pStyle w:val="Body"/>
        <w:spacing w:before="60" w:after="60"/>
      </w:pPr>
      <w:r w:rsidRPr="00413DCC">
        <w:drawing>
          <wp:inline distT="0" distB="0" distL="0" distR="0" wp14:anchorId="500465B1" wp14:editId="01B6E946">
            <wp:extent cx="6408000" cy="7363105"/>
            <wp:effectExtent l="0" t="0" r="0" b="9525"/>
            <wp:docPr id="1520715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15828" name=""/>
                    <pic:cNvPicPr/>
                  </pic:nvPicPr>
                  <pic:blipFill>
                    <a:blip r:embed="rId65"/>
                    <a:stretch>
                      <a:fillRect/>
                    </a:stretch>
                  </pic:blipFill>
                  <pic:spPr>
                    <a:xfrm>
                      <a:off x="0" y="0"/>
                      <a:ext cx="6408000" cy="7363105"/>
                    </a:xfrm>
                    <a:prstGeom prst="rect">
                      <a:avLst/>
                    </a:prstGeom>
                  </pic:spPr>
                </pic:pic>
              </a:graphicData>
            </a:graphic>
          </wp:inline>
        </w:drawing>
      </w:r>
      <w:r w:rsidR="0098706C" w:rsidRPr="0096120C">
        <w:rPr>
          <w:b/>
          <w:bCs/>
          <w:lang w:val="en-GB"/>
        </w:rPr>
        <w:t>Note:</w:t>
      </w:r>
      <w:r w:rsidR="0098706C" w:rsidRPr="000530B1">
        <w:rPr>
          <w:lang w:val="en-GB"/>
        </w:rPr>
        <w:t xml:space="preserve"> Disability status comparisons include both domestic and international student responses</w:t>
      </w:r>
      <w:r w:rsidR="00482AC0">
        <w:rPr>
          <w:lang w:val="en-GB"/>
        </w:rPr>
        <w:t>.</w:t>
      </w:r>
    </w:p>
    <w:p w14:paraId="75A7245D" w14:textId="77AFA8E4" w:rsidR="00013DD1" w:rsidRPr="00A935E5" w:rsidRDefault="0098706C" w:rsidP="00A935E5">
      <w:pPr>
        <w:pStyle w:val="Body"/>
      </w:pPr>
      <w:r w:rsidRPr="000530B1">
        <w:lastRenderedPageBreak/>
        <w:t xml:space="preserve">Consistent with prior years, students with disability ratings </w:t>
      </w:r>
      <w:r w:rsidR="005B3755" w:rsidRPr="000530B1">
        <w:t>across</w:t>
      </w:r>
      <w:r w:rsidRPr="000530B1">
        <w:t xml:space="preserve"> the 5 focus areas</w:t>
      </w:r>
      <w:r w:rsidR="009B6157" w:rsidRPr="000530B1">
        <w:t xml:space="preserve"> were generally</w:t>
      </w:r>
      <w:r w:rsidRPr="000530B1">
        <w:t xml:space="preserve"> lower than for students without disability (</w:t>
      </w:r>
      <w:r w:rsidR="00F45FA0" w:rsidRPr="000530B1">
        <w:rPr>
          <w:b/>
          <w:bCs/>
        </w:rPr>
        <w:t>Figure 31</w:t>
      </w:r>
      <w:r w:rsidRPr="000530B1">
        <w:t>).</w:t>
      </w:r>
    </w:p>
    <w:p w14:paraId="610AA250" w14:textId="646E4703" w:rsidR="0098706C" w:rsidRPr="000530B1" w:rsidRDefault="0098706C" w:rsidP="00194EE0">
      <w:pPr>
        <w:pStyle w:val="Captionaccessible"/>
      </w:pPr>
      <w:bookmarkStart w:id="121" w:name="_Toc239764896"/>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31</w:t>
      </w:r>
      <w:r w:rsidR="00F45FA0">
        <w:rPr>
          <w:noProof/>
        </w:rPr>
        <w:fldChar w:fldCharType="end"/>
      </w:r>
      <w:r w:rsidR="00DA3249" w:rsidRPr="000530B1">
        <w:tab/>
      </w:r>
      <w:r w:rsidRPr="000530B1">
        <w:t xml:space="preserve">Focus areas by </w:t>
      </w:r>
      <w:r w:rsidR="00FD2188" w:rsidRPr="000530B1">
        <w:t xml:space="preserve">course level and </w:t>
      </w:r>
      <w:r w:rsidRPr="000530B1">
        <w:t>disability status, 2025 (% positive rating)</w:t>
      </w:r>
      <w:bookmarkEnd w:id="121"/>
    </w:p>
    <w:p w14:paraId="7001BF36" w14:textId="15651AD3" w:rsidR="0098706C" w:rsidRPr="000530B1" w:rsidRDefault="00654D5E" w:rsidP="00413DCC">
      <w:pPr>
        <w:pStyle w:val="Body"/>
        <w:spacing w:before="60"/>
        <w:rPr>
          <w:noProof/>
        </w:rPr>
      </w:pPr>
      <w:r>
        <w:rPr>
          <w:noProof/>
        </w:rPr>
        <w:drawing>
          <wp:inline distT="0" distB="0" distL="0" distR="0" wp14:anchorId="064AFA54" wp14:editId="1A8B38B2">
            <wp:extent cx="6408000" cy="7422962"/>
            <wp:effectExtent l="0" t="0" r="0" b="6985"/>
            <wp:docPr id="98738011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08000" cy="7422962"/>
                    </a:xfrm>
                    <a:prstGeom prst="rect">
                      <a:avLst/>
                    </a:prstGeom>
                    <a:noFill/>
                  </pic:spPr>
                </pic:pic>
              </a:graphicData>
            </a:graphic>
          </wp:inline>
        </w:drawing>
      </w:r>
    </w:p>
    <w:p w14:paraId="14EBB698" w14:textId="5B0A718E" w:rsidR="00013DD1" w:rsidRPr="00A935E5" w:rsidRDefault="0098706C" w:rsidP="00A935E5">
      <w:pPr>
        <w:pStyle w:val="Body"/>
        <w:rPr>
          <w:noProof/>
        </w:rPr>
      </w:pPr>
      <w:r w:rsidRPr="000530B1">
        <w:rPr>
          <w:noProof/>
        </w:rPr>
        <w:t>Additionally, students with disability were more likely to report they had considered leaving their institution in 2025 and that their living arrangements, financial circumstances and paid work commitments had negatively impacted their studies</w:t>
      </w:r>
      <w:r w:rsidR="00FD239F" w:rsidRPr="000530B1">
        <w:rPr>
          <w:noProof/>
        </w:rPr>
        <w:t xml:space="preserve"> (</w:t>
      </w:r>
      <w:r w:rsidR="00FD239F" w:rsidRPr="000530B1">
        <w:rPr>
          <w:b/>
          <w:bCs/>
          <w:noProof/>
        </w:rPr>
        <w:fldChar w:fldCharType="begin"/>
      </w:r>
      <w:r w:rsidR="00FD239F" w:rsidRPr="000530B1">
        <w:rPr>
          <w:b/>
          <w:bCs/>
          <w:noProof/>
        </w:rPr>
        <w:instrText xml:space="preserve"> REF _Ref223724426 \h  \* MERGEFORMAT </w:instrText>
      </w:r>
      <w:r w:rsidR="00FD239F" w:rsidRPr="000530B1">
        <w:rPr>
          <w:b/>
          <w:bCs/>
          <w:noProof/>
        </w:rPr>
      </w:r>
      <w:r w:rsidR="00FD239F" w:rsidRPr="000530B1">
        <w:rPr>
          <w:b/>
          <w:bCs/>
          <w:noProof/>
        </w:rPr>
        <w:fldChar w:fldCharType="separate"/>
      </w:r>
      <w:r w:rsidR="00FD239F" w:rsidRPr="000530B1">
        <w:rPr>
          <w:b/>
          <w:bCs/>
        </w:rPr>
        <w:t xml:space="preserve">Table </w:t>
      </w:r>
      <w:r w:rsidR="00FD239F" w:rsidRPr="000530B1">
        <w:rPr>
          <w:b/>
          <w:bCs/>
          <w:noProof/>
        </w:rPr>
        <w:t>1</w:t>
      </w:r>
      <w:r w:rsidR="00FD239F" w:rsidRPr="000530B1">
        <w:rPr>
          <w:b/>
          <w:bCs/>
          <w:noProof/>
        </w:rPr>
        <w:fldChar w:fldCharType="end"/>
      </w:r>
      <w:r w:rsidR="00FD239F" w:rsidRPr="000530B1">
        <w:rPr>
          <w:noProof/>
        </w:rPr>
        <w:t>)</w:t>
      </w:r>
      <w:r w:rsidRPr="000530B1">
        <w:rPr>
          <w:noProof/>
        </w:rPr>
        <w:t xml:space="preserve">. Students with disability were less likely </w:t>
      </w:r>
      <w:r w:rsidR="00C25C2C" w:rsidRPr="000530B1">
        <w:rPr>
          <w:noProof/>
        </w:rPr>
        <w:t xml:space="preserve">than those without disability </w:t>
      </w:r>
      <w:r w:rsidRPr="000530B1">
        <w:rPr>
          <w:noProof/>
        </w:rPr>
        <w:t>to have a positive sense</w:t>
      </w:r>
      <w:r w:rsidR="000E5FE3">
        <w:rPr>
          <w:noProof/>
        </w:rPr>
        <w:t> </w:t>
      </w:r>
      <w:r w:rsidRPr="000530B1">
        <w:rPr>
          <w:noProof/>
        </w:rPr>
        <w:t>of belonging to the institution, or agree with the aspects of freedom of expression measured in the SES (see</w:t>
      </w:r>
      <w:r w:rsidR="000E5FE3">
        <w:rPr>
          <w:noProof/>
        </w:rPr>
        <w:t> </w:t>
      </w:r>
      <w:hyperlink w:anchor="_Freedom_of_expression" w:history="1">
        <w:r w:rsidRPr="000530B1">
          <w:rPr>
            <w:rStyle w:val="Hyperlink"/>
            <w:noProof/>
          </w:rPr>
          <w:t>Freedom of expression</w:t>
        </w:r>
      </w:hyperlink>
      <w:r w:rsidRPr="000530B1">
        <w:rPr>
          <w:noProof/>
        </w:rPr>
        <w:t>).</w:t>
      </w:r>
      <w:bookmarkStart w:id="122" w:name="_Ref223724426"/>
    </w:p>
    <w:p w14:paraId="11F80648" w14:textId="7968510C" w:rsidR="00790CFF" w:rsidRPr="00654D5E" w:rsidRDefault="00790CFF" w:rsidP="00654D5E">
      <w:pPr>
        <w:pStyle w:val="Captionaccessible"/>
        <w:spacing w:after="120"/>
      </w:pPr>
      <w:bookmarkStart w:id="123" w:name="_Toc239764861"/>
      <w:r w:rsidRPr="000530B1">
        <w:lastRenderedPageBreak/>
        <w:t xml:space="preserve">Table </w:t>
      </w:r>
      <w:r w:rsidR="0009233A">
        <w:fldChar w:fldCharType="begin"/>
      </w:r>
      <w:r w:rsidR="0009233A">
        <w:instrText xml:space="preserve"> SEQ Table \* ARABIC </w:instrText>
      </w:r>
      <w:r w:rsidR="0009233A">
        <w:fldChar w:fldCharType="separate"/>
      </w:r>
      <w:r w:rsidR="0009233A" w:rsidRPr="000530B1">
        <w:rPr>
          <w:noProof/>
        </w:rPr>
        <w:t>1</w:t>
      </w:r>
      <w:r w:rsidR="0009233A">
        <w:rPr>
          <w:noProof/>
        </w:rPr>
        <w:fldChar w:fldCharType="end"/>
      </w:r>
      <w:bookmarkEnd w:id="122"/>
      <w:r w:rsidR="00ED6378">
        <w:tab/>
      </w:r>
      <w:r w:rsidRPr="000530B1">
        <w:t xml:space="preserve">Other aspects of the student experience by </w:t>
      </w:r>
      <w:r w:rsidR="00FD2188" w:rsidRPr="000530B1">
        <w:t xml:space="preserve">course level and </w:t>
      </w:r>
      <w:r w:rsidRPr="000530B1">
        <w:t>disability status, 2025</w:t>
      </w:r>
      <w:bookmarkEnd w:id="123"/>
    </w:p>
    <w:tbl>
      <w:tblPr>
        <w:tblStyle w:val="TableGrid"/>
        <w:tblW w:w="10093" w:type="dxa"/>
        <w:tblLook w:val="04A0" w:firstRow="1" w:lastRow="0" w:firstColumn="1" w:lastColumn="0" w:noHBand="0" w:noVBand="1"/>
      </w:tblPr>
      <w:tblGrid>
        <w:gridCol w:w="2972"/>
        <w:gridCol w:w="1780"/>
        <w:gridCol w:w="1780"/>
        <w:gridCol w:w="1780"/>
        <w:gridCol w:w="1781"/>
      </w:tblGrid>
      <w:tr w:rsidR="00D565C9" w:rsidRPr="000530B1" w14:paraId="6487A045" w14:textId="77777777" w:rsidTr="00D71779">
        <w:trPr>
          <w:cnfStyle w:val="100000000000" w:firstRow="1" w:lastRow="0" w:firstColumn="0" w:lastColumn="0" w:oddVBand="0" w:evenVBand="0" w:oddHBand="0" w:evenHBand="0" w:firstRowFirstColumn="0" w:firstRowLastColumn="0" w:lastRowFirstColumn="0" w:lastRowLastColumn="0"/>
          <w:trHeight w:val="397"/>
          <w:tblHeader/>
        </w:trPr>
        <w:tc>
          <w:tcPr>
            <w:tcW w:w="2972" w:type="dxa"/>
            <w:vAlign w:val="top"/>
            <w:hideMark/>
          </w:tcPr>
          <w:p w14:paraId="7BE9282C" w14:textId="77777777" w:rsidR="00D565C9" w:rsidRPr="000530B1" w:rsidRDefault="00D565C9" w:rsidP="00ED6378">
            <w:pPr>
              <w:pStyle w:val="Body"/>
              <w:rPr>
                <w:rFonts w:cs="Arial"/>
                <w:b w:val="0"/>
                <w:sz w:val="18"/>
                <w:szCs w:val="18"/>
              </w:rPr>
            </w:pPr>
          </w:p>
        </w:tc>
        <w:tc>
          <w:tcPr>
            <w:tcW w:w="1780" w:type="dxa"/>
            <w:vAlign w:val="top"/>
            <w:hideMark/>
          </w:tcPr>
          <w:p w14:paraId="3AB72A61" w14:textId="42295B7B" w:rsidR="00D565C9" w:rsidRPr="006F224A" w:rsidRDefault="00485E44" w:rsidP="00ED6378">
            <w:pPr>
              <w:pStyle w:val="Body"/>
              <w:rPr>
                <w:rFonts w:cs="Arial"/>
              </w:rPr>
            </w:pPr>
            <w:r w:rsidRPr="006F224A">
              <w:rPr>
                <w:rFonts w:cs="Arial"/>
              </w:rPr>
              <w:t>No disability</w:t>
            </w:r>
            <w:r w:rsidR="001B747A">
              <w:rPr>
                <w:rFonts w:cs="Arial"/>
              </w:rPr>
              <w:t xml:space="preserve"> </w:t>
            </w:r>
            <w:r w:rsidR="004E581B">
              <w:rPr>
                <w:rFonts w:cs="Arial"/>
              </w:rPr>
              <w:t>-</w:t>
            </w:r>
            <w:r w:rsidR="004F0B2F" w:rsidRPr="006F224A">
              <w:rPr>
                <w:rFonts w:cs="Arial"/>
                <w:bCs/>
              </w:rPr>
              <w:t>Undergraduate (%)</w:t>
            </w:r>
          </w:p>
        </w:tc>
        <w:tc>
          <w:tcPr>
            <w:tcW w:w="1780" w:type="dxa"/>
            <w:vAlign w:val="top"/>
            <w:hideMark/>
          </w:tcPr>
          <w:p w14:paraId="1FE19199" w14:textId="76E4633B" w:rsidR="00D565C9" w:rsidRPr="006F224A" w:rsidRDefault="00485E44" w:rsidP="00ED6378">
            <w:pPr>
              <w:pStyle w:val="Body"/>
              <w:rPr>
                <w:rFonts w:cs="Arial"/>
              </w:rPr>
            </w:pPr>
            <w:r w:rsidRPr="006F224A">
              <w:rPr>
                <w:rFonts w:cs="Arial"/>
              </w:rPr>
              <w:t>Disability</w:t>
            </w:r>
            <w:r w:rsidR="001B747A">
              <w:rPr>
                <w:rFonts w:cs="Arial"/>
              </w:rPr>
              <w:t xml:space="preserve"> </w:t>
            </w:r>
            <w:r w:rsidR="004E581B">
              <w:rPr>
                <w:rFonts w:cs="Arial"/>
              </w:rPr>
              <w:t>-</w:t>
            </w:r>
            <w:r w:rsidRPr="006F224A">
              <w:rPr>
                <w:rFonts w:cs="Arial"/>
                <w:bCs/>
              </w:rPr>
              <w:t xml:space="preserve"> </w:t>
            </w:r>
            <w:r w:rsidR="004F0B2F" w:rsidRPr="006F224A">
              <w:rPr>
                <w:rFonts w:cs="Arial"/>
                <w:bCs/>
              </w:rPr>
              <w:t>Undergraduate (%</w:t>
            </w:r>
            <w:r w:rsidRPr="006F224A">
              <w:rPr>
                <w:rFonts w:cs="Arial"/>
                <w:bCs/>
              </w:rPr>
              <w:t>)</w:t>
            </w:r>
          </w:p>
        </w:tc>
        <w:tc>
          <w:tcPr>
            <w:tcW w:w="1780" w:type="dxa"/>
            <w:vAlign w:val="top"/>
          </w:tcPr>
          <w:p w14:paraId="2B9B6390" w14:textId="042A8C2C" w:rsidR="00D565C9" w:rsidRPr="006F224A" w:rsidRDefault="00485E44" w:rsidP="00ED6378">
            <w:pPr>
              <w:pStyle w:val="Body"/>
              <w:rPr>
                <w:rFonts w:cs="Arial"/>
              </w:rPr>
            </w:pPr>
            <w:r w:rsidRPr="006F224A">
              <w:rPr>
                <w:rFonts w:cs="Arial"/>
              </w:rPr>
              <w:t xml:space="preserve">No disability </w:t>
            </w:r>
            <w:r w:rsidR="004E581B">
              <w:rPr>
                <w:rFonts w:cs="Arial"/>
              </w:rPr>
              <w:t>-</w:t>
            </w:r>
            <w:r w:rsidR="004F0B2F" w:rsidRPr="006F224A">
              <w:rPr>
                <w:rFonts w:cs="Arial"/>
                <w:bCs/>
              </w:rPr>
              <w:t>Postgraduate coursework (%)</w:t>
            </w:r>
          </w:p>
        </w:tc>
        <w:tc>
          <w:tcPr>
            <w:tcW w:w="1781" w:type="dxa"/>
            <w:vAlign w:val="top"/>
          </w:tcPr>
          <w:p w14:paraId="03476202" w14:textId="028B2319" w:rsidR="00D565C9" w:rsidRPr="006F224A" w:rsidRDefault="00485E44" w:rsidP="00ED6378">
            <w:pPr>
              <w:pStyle w:val="Body"/>
              <w:ind w:right="28"/>
              <w:rPr>
                <w:rFonts w:cs="Arial"/>
              </w:rPr>
            </w:pPr>
            <w:r w:rsidRPr="006F224A">
              <w:rPr>
                <w:rFonts w:cs="Arial"/>
              </w:rPr>
              <w:t>Disability</w:t>
            </w:r>
            <w:r w:rsidR="001B747A">
              <w:rPr>
                <w:rFonts w:cs="Arial"/>
              </w:rPr>
              <w:t xml:space="preserve"> </w:t>
            </w:r>
            <w:r w:rsidR="004E581B">
              <w:rPr>
                <w:rFonts w:cs="Arial"/>
              </w:rPr>
              <w:t>-</w:t>
            </w:r>
            <w:r w:rsidR="004F0B2F" w:rsidRPr="006F224A">
              <w:rPr>
                <w:rFonts w:cs="Arial"/>
                <w:bCs/>
              </w:rPr>
              <w:t>Postgraduate coursework (%</w:t>
            </w:r>
            <w:r w:rsidRPr="006F224A">
              <w:rPr>
                <w:rFonts w:cs="Arial"/>
                <w:bCs/>
              </w:rPr>
              <w:t>)</w:t>
            </w:r>
          </w:p>
        </w:tc>
      </w:tr>
      <w:tr w:rsidR="00D565C9" w:rsidRPr="000530B1" w14:paraId="1BD26A1E" w14:textId="77777777" w:rsidTr="00D71779">
        <w:trPr>
          <w:trHeight w:val="397"/>
        </w:trPr>
        <w:tc>
          <w:tcPr>
            <w:tcW w:w="2972" w:type="dxa"/>
            <w:hideMark/>
          </w:tcPr>
          <w:p w14:paraId="421C6417" w14:textId="10429963" w:rsidR="00D565C9" w:rsidRPr="006F224A" w:rsidRDefault="00D565C9" w:rsidP="00ED6378">
            <w:pPr>
              <w:pStyle w:val="Body"/>
              <w:rPr>
                <w:rFonts w:cs="Arial"/>
              </w:rPr>
            </w:pPr>
            <w:r w:rsidRPr="006F224A">
              <w:rPr>
                <w:rFonts w:cs="Arial"/>
              </w:rPr>
              <w:t>Sense of belonging to institution (positive</w:t>
            </w:r>
            <w:r w:rsidR="00CC1C94" w:rsidRPr="006F224A">
              <w:rPr>
                <w:rFonts w:cs="Arial"/>
              </w:rPr>
              <w:t> </w:t>
            </w:r>
            <w:r w:rsidRPr="006F224A">
              <w:rPr>
                <w:rFonts w:cs="Arial"/>
              </w:rPr>
              <w:t>rating)</w:t>
            </w:r>
          </w:p>
        </w:tc>
        <w:tc>
          <w:tcPr>
            <w:tcW w:w="1780" w:type="dxa"/>
            <w:hideMark/>
          </w:tcPr>
          <w:p w14:paraId="56389BD9" w14:textId="77777777" w:rsidR="00D565C9" w:rsidRPr="006F224A" w:rsidRDefault="00D565C9" w:rsidP="00ED6378">
            <w:pPr>
              <w:pStyle w:val="Body"/>
              <w:rPr>
                <w:rFonts w:cs="Arial"/>
              </w:rPr>
            </w:pPr>
            <w:r w:rsidRPr="006F224A">
              <w:rPr>
                <w:rFonts w:cs="Arial"/>
              </w:rPr>
              <w:t>48.5</w:t>
            </w:r>
          </w:p>
        </w:tc>
        <w:tc>
          <w:tcPr>
            <w:tcW w:w="1780" w:type="dxa"/>
            <w:hideMark/>
          </w:tcPr>
          <w:p w14:paraId="54BFB756" w14:textId="77777777" w:rsidR="00D565C9" w:rsidRPr="006F224A" w:rsidRDefault="00D565C9" w:rsidP="00ED6378">
            <w:pPr>
              <w:pStyle w:val="Body"/>
              <w:rPr>
                <w:rFonts w:cs="Arial"/>
              </w:rPr>
            </w:pPr>
            <w:r w:rsidRPr="006F224A">
              <w:rPr>
                <w:rFonts w:cs="Arial"/>
              </w:rPr>
              <w:t>44.5</w:t>
            </w:r>
          </w:p>
        </w:tc>
        <w:tc>
          <w:tcPr>
            <w:tcW w:w="1780" w:type="dxa"/>
          </w:tcPr>
          <w:p w14:paraId="59E94079" w14:textId="77777777" w:rsidR="00D565C9" w:rsidRPr="006F224A" w:rsidRDefault="00D565C9" w:rsidP="00ED6378">
            <w:pPr>
              <w:pStyle w:val="Body"/>
              <w:rPr>
                <w:rFonts w:cs="Arial"/>
              </w:rPr>
            </w:pPr>
            <w:r w:rsidRPr="006F224A">
              <w:rPr>
                <w:rFonts w:cs="Arial"/>
              </w:rPr>
              <w:t>52.9</w:t>
            </w:r>
          </w:p>
        </w:tc>
        <w:tc>
          <w:tcPr>
            <w:tcW w:w="1781" w:type="dxa"/>
          </w:tcPr>
          <w:p w14:paraId="645B40D0" w14:textId="77777777" w:rsidR="00D565C9" w:rsidRPr="006F224A" w:rsidRDefault="00D565C9" w:rsidP="00ED6378">
            <w:pPr>
              <w:pStyle w:val="Body"/>
              <w:rPr>
                <w:rFonts w:cs="Arial"/>
              </w:rPr>
            </w:pPr>
            <w:r w:rsidRPr="006F224A">
              <w:rPr>
                <w:rFonts w:cs="Arial"/>
              </w:rPr>
              <w:t>49.4</w:t>
            </w:r>
          </w:p>
        </w:tc>
      </w:tr>
      <w:tr w:rsidR="00D565C9" w:rsidRPr="000530B1" w14:paraId="774C5AEE" w14:textId="77777777" w:rsidTr="00D71779">
        <w:trPr>
          <w:trHeight w:val="397"/>
        </w:trPr>
        <w:tc>
          <w:tcPr>
            <w:tcW w:w="2972" w:type="dxa"/>
            <w:hideMark/>
          </w:tcPr>
          <w:p w14:paraId="723DD2B8" w14:textId="77777777" w:rsidR="00D565C9" w:rsidRPr="006F224A" w:rsidRDefault="00D565C9" w:rsidP="00ED6378">
            <w:pPr>
              <w:pStyle w:val="Body"/>
              <w:rPr>
                <w:rFonts w:cs="Arial"/>
              </w:rPr>
            </w:pPr>
            <w:r w:rsidRPr="006F224A">
              <w:rPr>
                <w:rFonts w:cs="Arial"/>
              </w:rPr>
              <w:t>Considered leaving institution</w:t>
            </w:r>
          </w:p>
        </w:tc>
        <w:tc>
          <w:tcPr>
            <w:tcW w:w="1780" w:type="dxa"/>
            <w:hideMark/>
          </w:tcPr>
          <w:p w14:paraId="48C9C42B" w14:textId="77777777" w:rsidR="00D565C9" w:rsidRPr="006F224A" w:rsidRDefault="00D565C9" w:rsidP="00ED6378">
            <w:pPr>
              <w:pStyle w:val="Body"/>
              <w:rPr>
                <w:rFonts w:cs="Arial"/>
              </w:rPr>
            </w:pPr>
            <w:r w:rsidRPr="006F224A">
              <w:rPr>
                <w:rFonts w:cs="Arial"/>
              </w:rPr>
              <w:t>16.0</w:t>
            </w:r>
          </w:p>
        </w:tc>
        <w:tc>
          <w:tcPr>
            <w:tcW w:w="1780" w:type="dxa"/>
            <w:hideMark/>
          </w:tcPr>
          <w:p w14:paraId="7F77920A" w14:textId="77777777" w:rsidR="00D565C9" w:rsidRPr="006F224A" w:rsidRDefault="00D565C9" w:rsidP="00ED6378">
            <w:pPr>
              <w:pStyle w:val="Body"/>
              <w:rPr>
                <w:rFonts w:cs="Arial"/>
              </w:rPr>
            </w:pPr>
            <w:r w:rsidRPr="006F224A">
              <w:rPr>
                <w:rFonts w:cs="Arial"/>
              </w:rPr>
              <w:t>21.9</w:t>
            </w:r>
          </w:p>
        </w:tc>
        <w:tc>
          <w:tcPr>
            <w:tcW w:w="1780" w:type="dxa"/>
          </w:tcPr>
          <w:p w14:paraId="292A8378" w14:textId="77777777" w:rsidR="00D565C9" w:rsidRPr="006F224A" w:rsidRDefault="00D565C9" w:rsidP="00ED6378">
            <w:pPr>
              <w:pStyle w:val="Body"/>
              <w:rPr>
                <w:rFonts w:cs="Arial"/>
              </w:rPr>
            </w:pPr>
            <w:r w:rsidRPr="006F224A">
              <w:rPr>
                <w:rFonts w:cs="Arial"/>
              </w:rPr>
              <w:t>14.4</w:t>
            </w:r>
          </w:p>
        </w:tc>
        <w:tc>
          <w:tcPr>
            <w:tcW w:w="1781" w:type="dxa"/>
          </w:tcPr>
          <w:p w14:paraId="5F02538E" w14:textId="77777777" w:rsidR="00D565C9" w:rsidRPr="006F224A" w:rsidRDefault="00D565C9" w:rsidP="00ED6378">
            <w:pPr>
              <w:pStyle w:val="Body"/>
              <w:rPr>
                <w:rFonts w:cs="Arial"/>
              </w:rPr>
            </w:pPr>
            <w:r w:rsidRPr="006F224A">
              <w:rPr>
                <w:rFonts w:cs="Arial"/>
              </w:rPr>
              <w:t>22.4</w:t>
            </w:r>
          </w:p>
        </w:tc>
      </w:tr>
      <w:tr w:rsidR="00D565C9" w:rsidRPr="000530B1" w14:paraId="1165E86A" w14:textId="77777777" w:rsidTr="00D71779">
        <w:trPr>
          <w:trHeight w:val="397"/>
        </w:trPr>
        <w:tc>
          <w:tcPr>
            <w:tcW w:w="2972" w:type="dxa"/>
            <w:hideMark/>
          </w:tcPr>
          <w:p w14:paraId="47494F53" w14:textId="2899306C" w:rsidR="00D565C9" w:rsidRPr="006F224A" w:rsidRDefault="00D565C9" w:rsidP="00ED6378">
            <w:pPr>
              <w:pStyle w:val="Body"/>
              <w:rPr>
                <w:rFonts w:cs="Arial"/>
              </w:rPr>
            </w:pPr>
            <w:r w:rsidRPr="006F224A">
              <w:rPr>
                <w:rFonts w:cs="Arial"/>
              </w:rPr>
              <w:t xml:space="preserve">Freedom of expression - </w:t>
            </w:r>
            <w:r w:rsidR="004F0B2F" w:rsidRPr="006F224A">
              <w:rPr>
                <w:rFonts w:cs="Arial"/>
              </w:rPr>
              <w:br/>
            </w:r>
            <w:r w:rsidRPr="006F224A">
              <w:rPr>
                <w:rFonts w:cs="Arial"/>
              </w:rPr>
              <w:t>I am free to express my views (positive rating)</w:t>
            </w:r>
          </w:p>
        </w:tc>
        <w:tc>
          <w:tcPr>
            <w:tcW w:w="1780" w:type="dxa"/>
            <w:hideMark/>
          </w:tcPr>
          <w:p w14:paraId="62750E86" w14:textId="77777777" w:rsidR="00D565C9" w:rsidRPr="006F224A" w:rsidRDefault="00D565C9" w:rsidP="00ED6378">
            <w:pPr>
              <w:pStyle w:val="Body"/>
              <w:rPr>
                <w:rFonts w:cs="Arial"/>
              </w:rPr>
            </w:pPr>
            <w:r w:rsidRPr="006F224A">
              <w:rPr>
                <w:rFonts w:cs="Arial"/>
              </w:rPr>
              <w:t>74.9</w:t>
            </w:r>
          </w:p>
        </w:tc>
        <w:tc>
          <w:tcPr>
            <w:tcW w:w="1780" w:type="dxa"/>
            <w:hideMark/>
          </w:tcPr>
          <w:p w14:paraId="3FBB0FAF" w14:textId="77777777" w:rsidR="00D565C9" w:rsidRPr="006F224A" w:rsidRDefault="00D565C9" w:rsidP="00ED6378">
            <w:pPr>
              <w:pStyle w:val="Body"/>
              <w:rPr>
                <w:rFonts w:cs="Arial"/>
              </w:rPr>
            </w:pPr>
            <w:r w:rsidRPr="006F224A">
              <w:rPr>
                <w:rFonts w:cs="Arial"/>
              </w:rPr>
              <w:t>72.3</w:t>
            </w:r>
          </w:p>
        </w:tc>
        <w:tc>
          <w:tcPr>
            <w:tcW w:w="1780" w:type="dxa"/>
          </w:tcPr>
          <w:p w14:paraId="065580B9" w14:textId="77777777" w:rsidR="00D565C9" w:rsidRPr="006F224A" w:rsidRDefault="00D565C9" w:rsidP="00ED6378">
            <w:pPr>
              <w:pStyle w:val="Body"/>
              <w:rPr>
                <w:rFonts w:cs="Arial"/>
              </w:rPr>
            </w:pPr>
            <w:r w:rsidRPr="006F224A">
              <w:rPr>
                <w:rFonts w:cs="Arial"/>
              </w:rPr>
              <w:t>78.0</w:t>
            </w:r>
          </w:p>
        </w:tc>
        <w:tc>
          <w:tcPr>
            <w:tcW w:w="1781" w:type="dxa"/>
          </w:tcPr>
          <w:p w14:paraId="1937EC03" w14:textId="77777777" w:rsidR="00D565C9" w:rsidRPr="006F224A" w:rsidRDefault="00D565C9" w:rsidP="00ED6378">
            <w:pPr>
              <w:pStyle w:val="Body"/>
              <w:rPr>
                <w:rFonts w:cs="Arial"/>
              </w:rPr>
            </w:pPr>
            <w:r w:rsidRPr="006F224A">
              <w:rPr>
                <w:rFonts w:cs="Arial"/>
              </w:rPr>
              <w:t>73.5</w:t>
            </w:r>
          </w:p>
        </w:tc>
      </w:tr>
      <w:tr w:rsidR="00D565C9" w:rsidRPr="000530B1" w14:paraId="68838474" w14:textId="77777777" w:rsidTr="00D71779">
        <w:trPr>
          <w:trHeight w:val="397"/>
        </w:trPr>
        <w:tc>
          <w:tcPr>
            <w:tcW w:w="2972" w:type="dxa"/>
            <w:hideMark/>
          </w:tcPr>
          <w:p w14:paraId="0D91DC43" w14:textId="3D9E1552" w:rsidR="00D565C9" w:rsidRPr="006F224A" w:rsidRDefault="00D565C9" w:rsidP="00ED6378">
            <w:pPr>
              <w:pStyle w:val="Body"/>
              <w:rPr>
                <w:rFonts w:cs="Arial"/>
              </w:rPr>
            </w:pPr>
            <w:r w:rsidRPr="006F224A">
              <w:rPr>
                <w:rFonts w:cs="Arial"/>
              </w:rPr>
              <w:t>Freedom of expression - Academics are free to</w:t>
            </w:r>
            <w:r w:rsidR="00CC1C94" w:rsidRPr="006F224A">
              <w:rPr>
                <w:rFonts w:cs="Arial"/>
              </w:rPr>
              <w:t> </w:t>
            </w:r>
            <w:r w:rsidRPr="006F224A">
              <w:rPr>
                <w:rFonts w:cs="Arial"/>
              </w:rPr>
              <w:t>express their views (positive rating)</w:t>
            </w:r>
          </w:p>
        </w:tc>
        <w:tc>
          <w:tcPr>
            <w:tcW w:w="1780" w:type="dxa"/>
            <w:hideMark/>
          </w:tcPr>
          <w:p w14:paraId="2FBBC132" w14:textId="77777777" w:rsidR="00D565C9" w:rsidRPr="006F224A" w:rsidRDefault="00D565C9" w:rsidP="00ED6378">
            <w:pPr>
              <w:pStyle w:val="Body"/>
              <w:rPr>
                <w:rFonts w:cs="Arial"/>
              </w:rPr>
            </w:pPr>
            <w:r w:rsidRPr="006F224A">
              <w:rPr>
                <w:rFonts w:cs="Arial"/>
              </w:rPr>
              <w:t>75.0</w:t>
            </w:r>
          </w:p>
        </w:tc>
        <w:tc>
          <w:tcPr>
            <w:tcW w:w="1780" w:type="dxa"/>
            <w:hideMark/>
          </w:tcPr>
          <w:p w14:paraId="50EF603F" w14:textId="77777777" w:rsidR="00D565C9" w:rsidRPr="006F224A" w:rsidRDefault="00D565C9" w:rsidP="00ED6378">
            <w:pPr>
              <w:pStyle w:val="Body"/>
              <w:rPr>
                <w:rFonts w:cs="Arial"/>
              </w:rPr>
            </w:pPr>
            <w:r w:rsidRPr="006F224A">
              <w:rPr>
                <w:rFonts w:cs="Arial"/>
              </w:rPr>
              <w:t>71.0</w:t>
            </w:r>
          </w:p>
        </w:tc>
        <w:tc>
          <w:tcPr>
            <w:tcW w:w="1780" w:type="dxa"/>
          </w:tcPr>
          <w:p w14:paraId="0A4C3CDD" w14:textId="77777777" w:rsidR="00D565C9" w:rsidRPr="006F224A" w:rsidRDefault="00D565C9" w:rsidP="00ED6378">
            <w:pPr>
              <w:pStyle w:val="Body"/>
              <w:rPr>
                <w:rFonts w:cs="Arial"/>
              </w:rPr>
            </w:pPr>
            <w:r w:rsidRPr="006F224A">
              <w:rPr>
                <w:rFonts w:cs="Arial"/>
              </w:rPr>
              <w:t>77.4</w:t>
            </w:r>
          </w:p>
        </w:tc>
        <w:tc>
          <w:tcPr>
            <w:tcW w:w="1781" w:type="dxa"/>
          </w:tcPr>
          <w:p w14:paraId="29C793F2" w14:textId="77777777" w:rsidR="00D565C9" w:rsidRPr="006F224A" w:rsidRDefault="00D565C9" w:rsidP="00ED6378">
            <w:pPr>
              <w:pStyle w:val="Body"/>
              <w:rPr>
                <w:rFonts w:cs="Arial"/>
              </w:rPr>
            </w:pPr>
            <w:r w:rsidRPr="006F224A">
              <w:rPr>
                <w:rFonts w:cs="Arial"/>
              </w:rPr>
              <w:t>71.7</w:t>
            </w:r>
          </w:p>
        </w:tc>
      </w:tr>
      <w:tr w:rsidR="00D565C9" w:rsidRPr="000530B1" w14:paraId="1479CE7A" w14:textId="77777777" w:rsidTr="00D71779">
        <w:trPr>
          <w:trHeight w:val="397"/>
        </w:trPr>
        <w:tc>
          <w:tcPr>
            <w:tcW w:w="2972" w:type="dxa"/>
            <w:hideMark/>
          </w:tcPr>
          <w:p w14:paraId="187D324E" w14:textId="17E36CB7" w:rsidR="00D565C9" w:rsidRPr="006F224A" w:rsidRDefault="00D565C9" w:rsidP="00ED6378">
            <w:pPr>
              <w:pStyle w:val="Body"/>
              <w:rPr>
                <w:rFonts w:cs="Arial"/>
              </w:rPr>
            </w:pPr>
            <w:r w:rsidRPr="006F224A">
              <w:rPr>
                <w:rFonts w:cs="Arial"/>
              </w:rPr>
              <w:t xml:space="preserve">Freedom of expression - </w:t>
            </w:r>
            <w:r w:rsidR="004F0B2F" w:rsidRPr="006F224A">
              <w:rPr>
                <w:rFonts w:cs="Arial"/>
              </w:rPr>
              <w:br/>
            </w:r>
            <w:r w:rsidRPr="006F224A">
              <w:rPr>
                <w:rFonts w:cs="Arial"/>
              </w:rPr>
              <w:t>I am free from discrimination, harm or hatred (positive rating)</w:t>
            </w:r>
          </w:p>
        </w:tc>
        <w:tc>
          <w:tcPr>
            <w:tcW w:w="1780" w:type="dxa"/>
            <w:hideMark/>
          </w:tcPr>
          <w:p w14:paraId="15FF9DD9" w14:textId="77777777" w:rsidR="00D565C9" w:rsidRPr="006F224A" w:rsidRDefault="00D565C9" w:rsidP="00ED6378">
            <w:pPr>
              <w:pStyle w:val="Body"/>
              <w:rPr>
                <w:rFonts w:cs="Arial"/>
              </w:rPr>
            </w:pPr>
            <w:r w:rsidRPr="006F224A">
              <w:rPr>
                <w:rFonts w:cs="Arial"/>
              </w:rPr>
              <w:t>81.5</w:t>
            </w:r>
          </w:p>
        </w:tc>
        <w:tc>
          <w:tcPr>
            <w:tcW w:w="1780" w:type="dxa"/>
            <w:hideMark/>
          </w:tcPr>
          <w:p w14:paraId="0A575A90" w14:textId="77777777" w:rsidR="00D565C9" w:rsidRPr="006F224A" w:rsidRDefault="00D565C9" w:rsidP="00ED6378">
            <w:pPr>
              <w:pStyle w:val="Body"/>
              <w:rPr>
                <w:rFonts w:cs="Arial"/>
              </w:rPr>
            </w:pPr>
            <w:r w:rsidRPr="006F224A">
              <w:rPr>
                <w:rFonts w:cs="Arial"/>
              </w:rPr>
              <w:t>76.9</w:t>
            </w:r>
          </w:p>
        </w:tc>
        <w:tc>
          <w:tcPr>
            <w:tcW w:w="1780" w:type="dxa"/>
          </w:tcPr>
          <w:p w14:paraId="5439F9CA" w14:textId="77777777" w:rsidR="00D565C9" w:rsidRPr="006F224A" w:rsidRDefault="00D565C9" w:rsidP="00ED6378">
            <w:pPr>
              <w:pStyle w:val="Body"/>
              <w:rPr>
                <w:rFonts w:cs="Arial"/>
              </w:rPr>
            </w:pPr>
            <w:r w:rsidRPr="006F224A">
              <w:rPr>
                <w:rFonts w:cs="Arial"/>
              </w:rPr>
              <w:t>82.2</w:t>
            </w:r>
          </w:p>
        </w:tc>
        <w:tc>
          <w:tcPr>
            <w:tcW w:w="1781" w:type="dxa"/>
          </w:tcPr>
          <w:p w14:paraId="4F308C0E" w14:textId="77777777" w:rsidR="00D565C9" w:rsidRPr="006F224A" w:rsidRDefault="00D565C9" w:rsidP="00ED6378">
            <w:pPr>
              <w:pStyle w:val="Body"/>
              <w:rPr>
                <w:rFonts w:cs="Arial"/>
              </w:rPr>
            </w:pPr>
            <w:r w:rsidRPr="006F224A">
              <w:rPr>
                <w:rFonts w:cs="Arial"/>
              </w:rPr>
              <w:t>77.5</w:t>
            </w:r>
          </w:p>
        </w:tc>
      </w:tr>
      <w:tr w:rsidR="00D565C9" w:rsidRPr="000530B1" w14:paraId="1E802C56" w14:textId="77777777" w:rsidTr="00D71779">
        <w:trPr>
          <w:trHeight w:val="397"/>
        </w:trPr>
        <w:tc>
          <w:tcPr>
            <w:tcW w:w="2972" w:type="dxa"/>
            <w:hideMark/>
          </w:tcPr>
          <w:p w14:paraId="1FF2EC8C" w14:textId="77777777" w:rsidR="00D565C9" w:rsidRPr="006F224A" w:rsidRDefault="00D565C9" w:rsidP="00ED6378">
            <w:pPr>
              <w:pStyle w:val="Body"/>
              <w:rPr>
                <w:rFonts w:cs="Arial"/>
              </w:rPr>
            </w:pPr>
            <w:proofErr w:type="gramStart"/>
            <w:r w:rsidRPr="006F224A">
              <w:rPr>
                <w:rFonts w:cs="Arial"/>
              </w:rPr>
              <w:t>Overall</w:t>
            </w:r>
            <w:proofErr w:type="gramEnd"/>
            <w:r w:rsidRPr="006F224A">
              <w:rPr>
                <w:rFonts w:cs="Arial"/>
              </w:rPr>
              <w:t xml:space="preserve"> Freedom of expression (positive rating)</w:t>
            </w:r>
          </w:p>
        </w:tc>
        <w:tc>
          <w:tcPr>
            <w:tcW w:w="1780" w:type="dxa"/>
            <w:hideMark/>
          </w:tcPr>
          <w:p w14:paraId="4569829D" w14:textId="77777777" w:rsidR="00D565C9" w:rsidRPr="006F224A" w:rsidRDefault="00D565C9" w:rsidP="00ED6378">
            <w:pPr>
              <w:pStyle w:val="Body"/>
              <w:rPr>
                <w:rFonts w:cs="Arial"/>
              </w:rPr>
            </w:pPr>
            <w:r w:rsidRPr="006F224A">
              <w:rPr>
                <w:rFonts w:cs="Arial"/>
              </w:rPr>
              <w:t>85.6</w:t>
            </w:r>
          </w:p>
        </w:tc>
        <w:tc>
          <w:tcPr>
            <w:tcW w:w="1780" w:type="dxa"/>
            <w:hideMark/>
          </w:tcPr>
          <w:p w14:paraId="7BC48D02" w14:textId="77777777" w:rsidR="00D565C9" w:rsidRPr="006F224A" w:rsidRDefault="00D565C9" w:rsidP="00ED6378">
            <w:pPr>
              <w:pStyle w:val="Body"/>
              <w:rPr>
                <w:rFonts w:cs="Arial"/>
              </w:rPr>
            </w:pPr>
            <w:r w:rsidRPr="006F224A">
              <w:rPr>
                <w:rFonts w:cs="Arial"/>
              </w:rPr>
              <w:t>82.0</w:t>
            </w:r>
          </w:p>
        </w:tc>
        <w:tc>
          <w:tcPr>
            <w:tcW w:w="1780" w:type="dxa"/>
          </w:tcPr>
          <w:p w14:paraId="3E628CF9" w14:textId="77777777" w:rsidR="00D565C9" w:rsidRPr="006F224A" w:rsidRDefault="00D565C9" w:rsidP="00ED6378">
            <w:pPr>
              <w:pStyle w:val="Body"/>
              <w:rPr>
                <w:rFonts w:cs="Arial"/>
              </w:rPr>
            </w:pPr>
            <w:r w:rsidRPr="006F224A">
              <w:rPr>
                <w:rFonts w:cs="Arial"/>
              </w:rPr>
              <w:t>86.6</w:t>
            </w:r>
          </w:p>
        </w:tc>
        <w:tc>
          <w:tcPr>
            <w:tcW w:w="1781" w:type="dxa"/>
          </w:tcPr>
          <w:p w14:paraId="65C7010D" w14:textId="77777777" w:rsidR="00D565C9" w:rsidRPr="006F224A" w:rsidRDefault="00D565C9" w:rsidP="00ED6378">
            <w:pPr>
              <w:pStyle w:val="Body"/>
              <w:rPr>
                <w:rFonts w:cs="Arial"/>
              </w:rPr>
            </w:pPr>
            <w:r w:rsidRPr="006F224A">
              <w:rPr>
                <w:rFonts w:cs="Arial"/>
              </w:rPr>
              <w:t>81.6</w:t>
            </w:r>
          </w:p>
        </w:tc>
      </w:tr>
      <w:tr w:rsidR="00D565C9" w:rsidRPr="000530B1" w14:paraId="69EBDD05" w14:textId="77777777" w:rsidTr="00D71779">
        <w:trPr>
          <w:trHeight w:val="397"/>
        </w:trPr>
        <w:tc>
          <w:tcPr>
            <w:tcW w:w="2972" w:type="dxa"/>
            <w:hideMark/>
          </w:tcPr>
          <w:p w14:paraId="3631A633" w14:textId="77777777" w:rsidR="00D565C9" w:rsidRPr="006F224A" w:rsidRDefault="00D565C9" w:rsidP="00ED6378">
            <w:pPr>
              <w:pStyle w:val="Body"/>
              <w:rPr>
                <w:rFonts w:cs="Arial"/>
              </w:rPr>
            </w:pPr>
            <w:r w:rsidRPr="006F224A">
              <w:rPr>
                <w:rFonts w:cs="Arial"/>
              </w:rPr>
              <w:t>Negative effect of living arrangements on study</w:t>
            </w:r>
          </w:p>
        </w:tc>
        <w:tc>
          <w:tcPr>
            <w:tcW w:w="1780" w:type="dxa"/>
            <w:hideMark/>
          </w:tcPr>
          <w:p w14:paraId="29C1CCE4" w14:textId="77777777" w:rsidR="00D565C9" w:rsidRPr="006F224A" w:rsidRDefault="00D565C9" w:rsidP="00ED6378">
            <w:pPr>
              <w:pStyle w:val="Body"/>
              <w:rPr>
                <w:rFonts w:cs="Arial"/>
              </w:rPr>
            </w:pPr>
            <w:r w:rsidRPr="006F224A">
              <w:rPr>
                <w:rFonts w:cs="Arial"/>
                <w:color w:val="000000"/>
              </w:rPr>
              <w:t>18.4</w:t>
            </w:r>
          </w:p>
        </w:tc>
        <w:tc>
          <w:tcPr>
            <w:tcW w:w="1780" w:type="dxa"/>
            <w:hideMark/>
          </w:tcPr>
          <w:p w14:paraId="0ADE22EB" w14:textId="77777777" w:rsidR="00D565C9" w:rsidRPr="006F224A" w:rsidRDefault="00D565C9" w:rsidP="00ED6378">
            <w:pPr>
              <w:pStyle w:val="Body"/>
              <w:rPr>
                <w:rFonts w:cs="Arial"/>
              </w:rPr>
            </w:pPr>
            <w:r w:rsidRPr="006F224A">
              <w:rPr>
                <w:rFonts w:cs="Arial"/>
                <w:color w:val="000000"/>
              </w:rPr>
              <w:t>24.6</w:t>
            </w:r>
          </w:p>
        </w:tc>
        <w:tc>
          <w:tcPr>
            <w:tcW w:w="1780" w:type="dxa"/>
          </w:tcPr>
          <w:p w14:paraId="06EE4DEB" w14:textId="77777777" w:rsidR="00D565C9" w:rsidRPr="006F224A" w:rsidRDefault="00D565C9" w:rsidP="00ED6378">
            <w:pPr>
              <w:pStyle w:val="Body"/>
              <w:rPr>
                <w:rFonts w:cs="Arial"/>
              </w:rPr>
            </w:pPr>
            <w:r w:rsidRPr="006F224A">
              <w:rPr>
                <w:rFonts w:cs="Arial"/>
              </w:rPr>
              <w:t>17.1</w:t>
            </w:r>
          </w:p>
        </w:tc>
        <w:tc>
          <w:tcPr>
            <w:tcW w:w="1781" w:type="dxa"/>
          </w:tcPr>
          <w:p w14:paraId="7F2FDADA" w14:textId="77777777" w:rsidR="00D565C9" w:rsidRPr="006F224A" w:rsidRDefault="00D565C9" w:rsidP="00ED6378">
            <w:pPr>
              <w:pStyle w:val="Body"/>
              <w:rPr>
                <w:rFonts w:cs="Arial"/>
              </w:rPr>
            </w:pPr>
            <w:r w:rsidRPr="006F224A">
              <w:rPr>
                <w:rFonts w:cs="Arial"/>
              </w:rPr>
              <w:t>20.7</w:t>
            </w:r>
          </w:p>
        </w:tc>
      </w:tr>
      <w:tr w:rsidR="00D565C9" w:rsidRPr="000530B1" w14:paraId="1F214C40" w14:textId="77777777" w:rsidTr="00D71779">
        <w:trPr>
          <w:trHeight w:val="397"/>
        </w:trPr>
        <w:tc>
          <w:tcPr>
            <w:tcW w:w="2972" w:type="dxa"/>
            <w:hideMark/>
          </w:tcPr>
          <w:p w14:paraId="188B0487" w14:textId="2057AADD" w:rsidR="00D565C9" w:rsidRPr="006F224A" w:rsidRDefault="00D565C9" w:rsidP="00ED6378">
            <w:pPr>
              <w:pStyle w:val="Body"/>
              <w:rPr>
                <w:rFonts w:cs="Arial"/>
              </w:rPr>
            </w:pPr>
            <w:r w:rsidRPr="006F224A">
              <w:rPr>
                <w:rFonts w:cs="Arial"/>
              </w:rPr>
              <w:t>Negative effect of financial circumstances on</w:t>
            </w:r>
            <w:r w:rsidR="00CC1C94" w:rsidRPr="006F224A">
              <w:rPr>
                <w:rFonts w:cs="Arial"/>
              </w:rPr>
              <w:t> </w:t>
            </w:r>
            <w:r w:rsidRPr="006F224A">
              <w:rPr>
                <w:rFonts w:cs="Arial"/>
              </w:rPr>
              <w:t xml:space="preserve">study </w:t>
            </w:r>
          </w:p>
        </w:tc>
        <w:tc>
          <w:tcPr>
            <w:tcW w:w="1780" w:type="dxa"/>
            <w:hideMark/>
          </w:tcPr>
          <w:p w14:paraId="28395E40" w14:textId="77777777" w:rsidR="00D565C9" w:rsidRPr="006F224A" w:rsidRDefault="00D565C9" w:rsidP="00ED6378">
            <w:pPr>
              <w:pStyle w:val="Body"/>
              <w:rPr>
                <w:rFonts w:cs="Arial"/>
              </w:rPr>
            </w:pPr>
            <w:r w:rsidRPr="006F224A">
              <w:rPr>
                <w:rFonts w:cs="Arial"/>
              </w:rPr>
              <w:t>24.0</w:t>
            </w:r>
          </w:p>
        </w:tc>
        <w:tc>
          <w:tcPr>
            <w:tcW w:w="1780" w:type="dxa"/>
            <w:hideMark/>
          </w:tcPr>
          <w:p w14:paraId="3BE1815C" w14:textId="77777777" w:rsidR="00D565C9" w:rsidRPr="006F224A" w:rsidRDefault="00D565C9" w:rsidP="00ED6378">
            <w:pPr>
              <w:pStyle w:val="Body"/>
              <w:rPr>
                <w:rFonts w:cs="Arial"/>
              </w:rPr>
            </w:pPr>
            <w:r w:rsidRPr="006F224A">
              <w:rPr>
                <w:rFonts w:cs="Arial"/>
              </w:rPr>
              <w:t>31.9</w:t>
            </w:r>
          </w:p>
        </w:tc>
        <w:tc>
          <w:tcPr>
            <w:tcW w:w="1780" w:type="dxa"/>
          </w:tcPr>
          <w:p w14:paraId="552C8488" w14:textId="77777777" w:rsidR="00D565C9" w:rsidRPr="006F224A" w:rsidRDefault="00D565C9" w:rsidP="00ED6378">
            <w:pPr>
              <w:pStyle w:val="Body"/>
              <w:rPr>
                <w:rFonts w:cs="Arial"/>
              </w:rPr>
            </w:pPr>
            <w:r w:rsidRPr="006F224A">
              <w:rPr>
                <w:rFonts w:cs="Arial"/>
              </w:rPr>
              <w:t>22.7</w:t>
            </w:r>
          </w:p>
        </w:tc>
        <w:tc>
          <w:tcPr>
            <w:tcW w:w="1781" w:type="dxa"/>
          </w:tcPr>
          <w:p w14:paraId="27E534A4" w14:textId="77777777" w:rsidR="00D565C9" w:rsidRPr="006F224A" w:rsidRDefault="00D565C9" w:rsidP="00ED6378">
            <w:pPr>
              <w:pStyle w:val="Body"/>
              <w:rPr>
                <w:rFonts w:cs="Arial"/>
              </w:rPr>
            </w:pPr>
            <w:r w:rsidRPr="006F224A">
              <w:rPr>
                <w:rFonts w:cs="Arial"/>
              </w:rPr>
              <w:t>29.1</w:t>
            </w:r>
          </w:p>
        </w:tc>
      </w:tr>
      <w:tr w:rsidR="00D565C9" w:rsidRPr="000530B1" w14:paraId="1A808AEE" w14:textId="77777777" w:rsidTr="00D71779">
        <w:trPr>
          <w:trHeight w:val="397"/>
        </w:trPr>
        <w:tc>
          <w:tcPr>
            <w:tcW w:w="2972" w:type="dxa"/>
            <w:hideMark/>
          </w:tcPr>
          <w:p w14:paraId="5B76F077" w14:textId="289C63D6" w:rsidR="00D565C9" w:rsidRPr="006F224A" w:rsidRDefault="00D565C9" w:rsidP="00ED6378">
            <w:pPr>
              <w:pStyle w:val="Body"/>
              <w:rPr>
                <w:rFonts w:cs="Arial"/>
              </w:rPr>
            </w:pPr>
            <w:r w:rsidRPr="006F224A">
              <w:rPr>
                <w:rFonts w:cs="Arial"/>
              </w:rPr>
              <w:t>Negative effect of paid work on</w:t>
            </w:r>
            <w:r w:rsidR="004F0B2F" w:rsidRPr="006F224A">
              <w:rPr>
                <w:rFonts w:cs="Arial"/>
              </w:rPr>
              <w:t> </w:t>
            </w:r>
            <w:r w:rsidRPr="006F224A">
              <w:rPr>
                <w:rFonts w:cs="Arial"/>
              </w:rPr>
              <w:t xml:space="preserve">study </w:t>
            </w:r>
          </w:p>
        </w:tc>
        <w:tc>
          <w:tcPr>
            <w:tcW w:w="1780" w:type="dxa"/>
            <w:hideMark/>
          </w:tcPr>
          <w:p w14:paraId="7CF3EE6D" w14:textId="77777777" w:rsidR="00D565C9" w:rsidRPr="006F224A" w:rsidRDefault="00D565C9" w:rsidP="00ED6378">
            <w:pPr>
              <w:pStyle w:val="Body"/>
              <w:rPr>
                <w:rFonts w:cs="Arial"/>
              </w:rPr>
            </w:pPr>
            <w:r w:rsidRPr="006F224A">
              <w:rPr>
                <w:rFonts w:cs="Arial"/>
                <w:color w:val="000000"/>
              </w:rPr>
              <w:t>32.6</w:t>
            </w:r>
          </w:p>
        </w:tc>
        <w:tc>
          <w:tcPr>
            <w:tcW w:w="1780" w:type="dxa"/>
            <w:hideMark/>
          </w:tcPr>
          <w:p w14:paraId="350ECCB3" w14:textId="77777777" w:rsidR="00D565C9" w:rsidRPr="006F224A" w:rsidRDefault="00D565C9" w:rsidP="00ED6378">
            <w:pPr>
              <w:pStyle w:val="Body"/>
              <w:rPr>
                <w:rFonts w:cs="Arial"/>
              </w:rPr>
            </w:pPr>
            <w:r w:rsidRPr="006F224A">
              <w:rPr>
                <w:rFonts w:cs="Arial"/>
                <w:color w:val="000000"/>
              </w:rPr>
              <w:t>37.8</w:t>
            </w:r>
          </w:p>
        </w:tc>
        <w:tc>
          <w:tcPr>
            <w:tcW w:w="1780" w:type="dxa"/>
          </w:tcPr>
          <w:p w14:paraId="13CFC7AC" w14:textId="77777777" w:rsidR="00D565C9" w:rsidRPr="006F224A" w:rsidRDefault="00D565C9" w:rsidP="00ED6378">
            <w:pPr>
              <w:pStyle w:val="Body"/>
              <w:rPr>
                <w:rFonts w:cs="Arial"/>
              </w:rPr>
            </w:pPr>
            <w:r w:rsidRPr="006F224A">
              <w:rPr>
                <w:rFonts w:cs="Arial"/>
              </w:rPr>
              <w:t>28.2</w:t>
            </w:r>
          </w:p>
        </w:tc>
        <w:tc>
          <w:tcPr>
            <w:tcW w:w="1781" w:type="dxa"/>
          </w:tcPr>
          <w:p w14:paraId="252BC064" w14:textId="77777777" w:rsidR="00D565C9" w:rsidRPr="006F224A" w:rsidRDefault="00D565C9" w:rsidP="00ED6378">
            <w:pPr>
              <w:pStyle w:val="Body"/>
              <w:rPr>
                <w:rFonts w:cs="Arial"/>
              </w:rPr>
            </w:pPr>
            <w:r w:rsidRPr="006F224A">
              <w:rPr>
                <w:rFonts w:cs="Arial"/>
              </w:rPr>
              <w:t>35.2</w:t>
            </w:r>
          </w:p>
        </w:tc>
      </w:tr>
    </w:tbl>
    <w:p w14:paraId="70C1DEB5" w14:textId="77777777" w:rsidR="0098706C" w:rsidRPr="000530B1" w:rsidRDefault="0098706C" w:rsidP="00BD3AE0">
      <w:pPr>
        <w:pStyle w:val="SubHeading1accessible"/>
      </w:pPr>
      <w:r w:rsidRPr="000530B1">
        <w:t>Home language</w:t>
      </w:r>
    </w:p>
    <w:p w14:paraId="11205AA8" w14:textId="590A6D1A" w:rsidR="00623E3D" w:rsidRPr="000530B1" w:rsidRDefault="00955601" w:rsidP="00623E3D">
      <w:pPr>
        <w:pStyle w:val="Body"/>
      </w:pPr>
      <w:bookmarkStart w:id="124" w:name="_Ref221050117"/>
      <w:r w:rsidRPr="000530B1">
        <w:t>S</w:t>
      </w:r>
      <w:r w:rsidR="00623E3D" w:rsidRPr="000530B1">
        <w:t>tudent ratings of their educational experience vary depending on whether their home language is English or not</w:t>
      </w:r>
      <w:r w:rsidR="00245D19">
        <w:t>.</w:t>
      </w:r>
      <w:r w:rsidR="00623E3D" w:rsidRPr="00245D19">
        <w:rPr>
          <w:rStyle w:val="FootnoteReference"/>
          <w:sz w:val="20"/>
        </w:rPr>
        <w:footnoteReference w:id="5"/>
      </w:r>
      <w:r w:rsidR="00623E3D" w:rsidRPr="00245D19">
        <w:t xml:space="preserve"> </w:t>
      </w:r>
      <w:r w:rsidR="007C081E" w:rsidRPr="000530B1">
        <w:t>Note that classification by home language includes both international and domestic students.</w:t>
      </w:r>
    </w:p>
    <w:p w14:paraId="739C3766" w14:textId="549217F2" w:rsidR="00955601" w:rsidRPr="000530B1" w:rsidRDefault="00955601" w:rsidP="00623E3D">
      <w:pPr>
        <w:pStyle w:val="Body"/>
      </w:pPr>
      <w:r w:rsidRPr="000530B1">
        <w:t xml:space="preserve">Students whose home language is not English have tended to rate Overall Educational Experience less positively than those whose home language is </w:t>
      </w:r>
      <w:proofErr w:type="gramStart"/>
      <w:r w:rsidRPr="000530B1">
        <w:t>English</w:t>
      </w:r>
      <w:proofErr w:type="gramEnd"/>
      <w:r w:rsidRPr="000530B1">
        <w:t xml:space="preserve"> but this gap has narrowed in the post-pandemic era (</w:t>
      </w:r>
      <w:r w:rsidR="00BB6561" w:rsidRPr="000530B1">
        <w:rPr>
          <w:b/>
          <w:bCs/>
        </w:rPr>
        <w:fldChar w:fldCharType="begin"/>
      </w:r>
      <w:r w:rsidR="00BB6561" w:rsidRPr="000530B1">
        <w:rPr>
          <w:b/>
          <w:bCs/>
        </w:rPr>
        <w:instrText xml:space="preserve"> REF _Ref228448148 \h  \* MERGEFORMAT </w:instrText>
      </w:r>
      <w:r w:rsidR="00BB6561" w:rsidRPr="000530B1">
        <w:rPr>
          <w:b/>
          <w:bCs/>
        </w:rPr>
      </w:r>
      <w:r w:rsidR="00BB6561" w:rsidRPr="000530B1">
        <w:rPr>
          <w:b/>
          <w:bCs/>
        </w:rPr>
        <w:fldChar w:fldCharType="separate"/>
      </w:r>
      <w:r w:rsidR="00BB6561" w:rsidRPr="000530B1">
        <w:rPr>
          <w:b/>
          <w:bCs/>
        </w:rPr>
        <w:t xml:space="preserve">Figure </w:t>
      </w:r>
      <w:r w:rsidR="00BB6561" w:rsidRPr="000530B1">
        <w:rPr>
          <w:b/>
          <w:bCs/>
          <w:noProof/>
        </w:rPr>
        <w:t>3</w:t>
      </w:r>
      <w:r w:rsidR="00BB6561" w:rsidRPr="000530B1">
        <w:rPr>
          <w:b/>
          <w:bCs/>
        </w:rPr>
        <w:fldChar w:fldCharType="end"/>
      </w:r>
      <w:r w:rsidR="00F45FA0" w:rsidRPr="000530B1">
        <w:rPr>
          <w:b/>
          <w:bCs/>
        </w:rPr>
        <w:t>2</w:t>
      </w:r>
      <w:r w:rsidRPr="000530B1">
        <w:t>).</w:t>
      </w:r>
    </w:p>
    <w:p w14:paraId="73BD9E6C" w14:textId="3AB3310C" w:rsidR="00955601" w:rsidRPr="000530B1" w:rsidRDefault="00955601" w:rsidP="00955601">
      <w:pPr>
        <w:pStyle w:val="Body"/>
      </w:pPr>
      <w:r w:rsidRPr="000530B1">
        <w:t>In 2025, undergraduate Overall Educational Experience ratings rose by 1.9 percentage points for those whose home language was not English. In contrast, undergraduate ratings for those whose home language was English declined, bringing ratings to their closest levels since 2017: 76.6 per cent positive for home language - English and 76.3 per cent positive for home language - other.</w:t>
      </w:r>
    </w:p>
    <w:p w14:paraId="3C86C3A7" w14:textId="371E273D" w:rsidR="00955601" w:rsidRPr="000530B1" w:rsidRDefault="00955601" w:rsidP="00955601">
      <w:pPr>
        <w:pStyle w:val="Body"/>
      </w:pPr>
      <w:r w:rsidRPr="000530B1">
        <w:lastRenderedPageBreak/>
        <w:t>Among postgraduate coursework students, there was a 1.2 percentage point difference in Overall Educational Experience ratings in 2025 between those whose home language was English (78.</w:t>
      </w:r>
      <w:r w:rsidRPr="000530B1" w:rsidDel="00975295">
        <w:t>4</w:t>
      </w:r>
      <w:r w:rsidRPr="000530B1">
        <w:t xml:space="preserve"> per cent) and those whose home language was not English (77.2 per cent).</w:t>
      </w:r>
    </w:p>
    <w:p w14:paraId="744AA61C" w14:textId="42C7DEF0" w:rsidR="00955601" w:rsidRPr="000530B1" w:rsidRDefault="00955601" w:rsidP="00194EE0">
      <w:pPr>
        <w:pStyle w:val="Captionaccessible"/>
      </w:pPr>
      <w:bookmarkStart w:id="125" w:name="_Ref228448148"/>
      <w:bookmarkStart w:id="126" w:name="_Toc239764897"/>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32</w:t>
      </w:r>
      <w:r w:rsidR="00F45FA0">
        <w:rPr>
          <w:noProof/>
        </w:rPr>
        <w:fldChar w:fldCharType="end"/>
      </w:r>
      <w:bookmarkEnd w:id="125"/>
      <w:r w:rsidRPr="000530B1">
        <w:t xml:space="preserve"> </w:t>
      </w:r>
      <w:r w:rsidR="007E57FE" w:rsidRPr="000530B1">
        <w:tab/>
      </w:r>
      <w:r w:rsidRPr="000530B1">
        <w:t>Overall Educational Experience by course level and home language, 2017–25 (% positive rating)</w:t>
      </w:r>
      <w:bookmarkEnd w:id="126"/>
    </w:p>
    <w:p w14:paraId="269F8CEB" w14:textId="293D33C2" w:rsidR="00955601" w:rsidRPr="000530B1" w:rsidRDefault="00196150" w:rsidP="00196150">
      <w:pPr>
        <w:pStyle w:val="Body"/>
        <w:spacing w:before="60"/>
      </w:pPr>
      <w:r>
        <w:rPr>
          <w:noProof/>
        </w:rPr>
        <w:drawing>
          <wp:inline distT="0" distB="0" distL="0" distR="0" wp14:anchorId="0BCBEBFC" wp14:editId="4A2D545B">
            <wp:extent cx="6408000" cy="6804123"/>
            <wp:effectExtent l="0" t="0" r="0" b="0"/>
            <wp:docPr id="152742361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408000" cy="6804123"/>
                    </a:xfrm>
                    <a:prstGeom prst="rect">
                      <a:avLst/>
                    </a:prstGeom>
                    <a:noFill/>
                  </pic:spPr>
                </pic:pic>
              </a:graphicData>
            </a:graphic>
          </wp:inline>
        </w:drawing>
      </w:r>
    </w:p>
    <w:p w14:paraId="796B4141" w14:textId="3389B054" w:rsidR="00013DD1" w:rsidRPr="00A935E5" w:rsidRDefault="00A566F8" w:rsidP="00A935E5">
      <w:pPr>
        <w:pStyle w:val="Body"/>
        <w:rPr>
          <w:b/>
          <w:bCs/>
        </w:rPr>
      </w:pPr>
      <w:r w:rsidRPr="000530B1">
        <w:t xml:space="preserve">Students whose home language is not English were more likely to provide positive ratings for the 5 focus areas compared to students whose home language is English. The difference was largest for Peer Engagement, </w:t>
      </w:r>
      <w:r w:rsidR="005800D1" w:rsidRPr="000530B1">
        <w:t xml:space="preserve">which may in part reflect higher levels of on-campus participation among international students (see </w:t>
      </w:r>
      <w:r w:rsidR="005800D1" w:rsidRPr="000530B1">
        <w:rPr>
          <w:b/>
          <w:bCs/>
        </w:rPr>
        <w:t>Appendix 1</w:t>
      </w:r>
      <w:r w:rsidR="005800D1" w:rsidRPr="000530B1">
        <w:t>).</w:t>
      </w:r>
    </w:p>
    <w:p w14:paraId="17129F31" w14:textId="3DD79DA3" w:rsidR="00955601" w:rsidRPr="000530B1" w:rsidRDefault="00955601" w:rsidP="00194EE0">
      <w:pPr>
        <w:pStyle w:val="Captionaccessible"/>
      </w:pPr>
      <w:bookmarkStart w:id="127" w:name="_Toc239764898"/>
      <w:r w:rsidRPr="000530B1">
        <w:lastRenderedPageBreak/>
        <w:t xml:space="preserve">Figure </w:t>
      </w:r>
      <w:r w:rsidR="00F45FA0">
        <w:fldChar w:fldCharType="begin"/>
      </w:r>
      <w:r w:rsidR="00F45FA0">
        <w:instrText xml:space="preserve"> SEQ Figure \* ARABIC </w:instrText>
      </w:r>
      <w:r w:rsidR="00F45FA0">
        <w:fldChar w:fldCharType="separate"/>
      </w:r>
      <w:r w:rsidR="00F45FA0" w:rsidRPr="000530B1">
        <w:rPr>
          <w:noProof/>
        </w:rPr>
        <w:t>33</w:t>
      </w:r>
      <w:r w:rsidR="00F45FA0">
        <w:rPr>
          <w:noProof/>
        </w:rPr>
        <w:fldChar w:fldCharType="end"/>
      </w:r>
      <w:r w:rsidR="00245D19">
        <w:tab/>
      </w:r>
      <w:r w:rsidRPr="000530B1">
        <w:t>Focus areas by</w:t>
      </w:r>
      <w:r w:rsidR="007C081E" w:rsidRPr="000530B1">
        <w:t xml:space="preserve"> course level and</w:t>
      </w:r>
      <w:r w:rsidRPr="000530B1">
        <w:t xml:space="preserve"> home language, 2025 (% positive rating)</w:t>
      </w:r>
      <w:bookmarkEnd w:id="127"/>
    </w:p>
    <w:p w14:paraId="1CB9704C" w14:textId="2822FA14" w:rsidR="00955601" w:rsidRPr="000530B1" w:rsidRDefault="00A15728" w:rsidP="00A15728">
      <w:pPr>
        <w:pStyle w:val="Body"/>
        <w:spacing w:before="60" w:after="200"/>
      </w:pPr>
      <w:r w:rsidRPr="00A15728">
        <w:drawing>
          <wp:inline distT="0" distB="0" distL="0" distR="0" wp14:anchorId="60E09F1D" wp14:editId="70F141B3">
            <wp:extent cx="6408000" cy="7613654"/>
            <wp:effectExtent l="0" t="0" r="0" b="6350"/>
            <wp:docPr id="1558115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15547" name=""/>
                    <pic:cNvPicPr/>
                  </pic:nvPicPr>
                  <pic:blipFill>
                    <a:blip r:embed="rId68"/>
                    <a:stretch>
                      <a:fillRect/>
                    </a:stretch>
                  </pic:blipFill>
                  <pic:spPr>
                    <a:xfrm>
                      <a:off x="0" y="0"/>
                      <a:ext cx="6408000" cy="7613654"/>
                    </a:xfrm>
                    <a:prstGeom prst="rect">
                      <a:avLst/>
                    </a:prstGeom>
                  </pic:spPr>
                </pic:pic>
              </a:graphicData>
            </a:graphic>
          </wp:inline>
        </w:drawing>
      </w:r>
    </w:p>
    <w:bookmarkEnd w:id="124"/>
    <w:p w14:paraId="30C67B21" w14:textId="77777777" w:rsidR="0098706C" w:rsidRPr="000530B1" w:rsidRDefault="0098706C" w:rsidP="00A15728">
      <w:pPr>
        <w:pStyle w:val="SubHeading1accessible"/>
        <w:spacing w:before="200"/>
      </w:pPr>
      <w:r w:rsidRPr="000530B1">
        <w:t>First Nations</w:t>
      </w:r>
    </w:p>
    <w:p w14:paraId="7D781A25" w14:textId="71E049CA" w:rsidR="00C65507" w:rsidRPr="000530B1" w:rsidRDefault="00483B74" w:rsidP="0098706C">
      <w:pPr>
        <w:pStyle w:val="Body"/>
      </w:pPr>
      <w:r w:rsidRPr="00C23DE6">
        <w:t xml:space="preserve">At the undergraduate level, </w:t>
      </w:r>
      <w:r w:rsidR="0098706C" w:rsidRPr="00C23DE6">
        <w:t>First Nations students</w:t>
      </w:r>
      <w:r w:rsidR="00A63D2F" w:rsidRPr="00C23DE6">
        <w:t xml:space="preserve"> tend to</w:t>
      </w:r>
      <w:r w:rsidR="0098706C" w:rsidRPr="00C23DE6">
        <w:t xml:space="preserve"> rate their</w:t>
      </w:r>
      <w:r w:rsidRPr="00C23DE6">
        <w:t xml:space="preserve"> Overall Educational </w:t>
      </w:r>
      <w:r w:rsidR="00AA4A34" w:rsidRPr="00D11FF1">
        <w:t>E</w:t>
      </w:r>
      <w:r w:rsidRPr="00C23DE6">
        <w:t>xperience more positively than non-Indigenous students. At the postgraduate coursework level, First Nations and non-Indigenous students rate their Overall Educational Experience similarly</w:t>
      </w:r>
      <w:r w:rsidR="00C94850" w:rsidRPr="00C23DE6">
        <w:t xml:space="preserve"> (</w:t>
      </w:r>
      <w:r w:rsidR="001A2248" w:rsidRPr="00C23DE6">
        <w:rPr>
          <w:b/>
          <w:bCs/>
        </w:rPr>
        <w:fldChar w:fldCharType="begin"/>
      </w:r>
      <w:r w:rsidR="001A2248" w:rsidRPr="00C23DE6">
        <w:rPr>
          <w:b/>
          <w:bCs/>
        </w:rPr>
        <w:instrText xml:space="preserve"> REF _Ref221050850 \h  \* MERGEFORMAT </w:instrText>
      </w:r>
      <w:r w:rsidR="001A2248" w:rsidRPr="00C23DE6">
        <w:rPr>
          <w:b/>
          <w:bCs/>
        </w:rPr>
      </w:r>
      <w:r w:rsidR="001A2248" w:rsidRPr="00C23DE6">
        <w:rPr>
          <w:b/>
          <w:bCs/>
        </w:rPr>
        <w:fldChar w:fldCharType="separate"/>
      </w:r>
      <w:r w:rsidR="000C6530" w:rsidRPr="00C23DE6">
        <w:rPr>
          <w:b/>
        </w:rPr>
        <w:t>Figure 3</w:t>
      </w:r>
      <w:r w:rsidR="001A2248" w:rsidRPr="00C23DE6">
        <w:rPr>
          <w:b/>
          <w:bCs/>
        </w:rPr>
        <w:fldChar w:fldCharType="end"/>
      </w:r>
      <w:r w:rsidR="00F45FA0" w:rsidRPr="00C23DE6">
        <w:rPr>
          <w:b/>
          <w:bCs/>
        </w:rPr>
        <w:t>4</w:t>
      </w:r>
      <w:r w:rsidR="00C94850" w:rsidRPr="00C23DE6">
        <w:t>)</w:t>
      </w:r>
      <w:r w:rsidR="0098706C" w:rsidRPr="00C23DE6">
        <w:t>.</w:t>
      </w:r>
      <w:r w:rsidR="0098706C" w:rsidRPr="000530B1">
        <w:t xml:space="preserve"> </w:t>
      </w:r>
    </w:p>
    <w:p w14:paraId="52B05820" w14:textId="2D639EB5" w:rsidR="00013DD1" w:rsidRPr="00A935E5" w:rsidRDefault="00D06249" w:rsidP="00A935E5">
      <w:pPr>
        <w:pStyle w:val="Body"/>
      </w:pPr>
      <w:r w:rsidRPr="0089192E">
        <w:lastRenderedPageBreak/>
        <w:t xml:space="preserve">First Nations </w:t>
      </w:r>
      <w:r w:rsidR="002A300C" w:rsidRPr="0089192E">
        <w:t xml:space="preserve">students </w:t>
      </w:r>
      <w:r w:rsidRPr="0089192E">
        <w:t>consistently rate Peer Engagement lower than non-Indigenous students and this trend continued in 2025</w:t>
      </w:r>
      <w:r w:rsidR="00953EB8" w:rsidRPr="0089192E">
        <w:t>. First Nations</w:t>
      </w:r>
      <w:r w:rsidR="00DA7D9C" w:rsidRPr="0089192E">
        <w:t xml:space="preserve"> students</w:t>
      </w:r>
      <w:r w:rsidR="00953EB8" w:rsidRPr="0089192E">
        <w:t xml:space="preserve"> are more likely to study </w:t>
      </w:r>
      <w:r w:rsidR="00771784" w:rsidRPr="0089192E">
        <w:t xml:space="preserve">externally which would explain the lower Peer Engagement ratings since positive ratings represent the frequency </w:t>
      </w:r>
      <w:r w:rsidR="007078F0" w:rsidRPr="0089192E">
        <w:t>of interactions with peers and are typically lower for external students.</w:t>
      </w:r>
    </w:p>
    <w:p w14:paraId="272809C7" w14:textId="22B346D0" w:rsidR="00C94850" w:rsidRPr="000530B1" w:rsidRDefault="00C94850" w:rsidP="00194EE0">
      <w:pPr>
        <w:pStyle w:val="Captionaccessible"/>
      </w:pPr>
      <w:bookmarkStart w:id="128" w:name="_Toc239764899"/>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34</w:t>
      </w:r>
      <w:r w:rsidR="00F45FA0">
        <w:rPr>
          <w:noProof/>
        </w:rPr>
        <w:fldChar w:fldCharType="end"/>
      </w:r>
      <w:r w:rsidR="001A2248" w:rsidRPr="000530B1">
        <w:tab/>
      </w:r>
      <w:r w:rsidRPr="000530B1">
        <w:t xml:space="preserve">Focus areas by </w:t>
      </w:r>
      <w:r w:rsidR="00070F1E" w:rsidRPr="000530B1">
        <w:t xml:space="preserve">course level and </w:t>
      </w:r>
      <w:r w:rsidRPr="000530B1">
        <w:t>First Nations status, 2025 (% positive rating)</w:t>
      </w:r>
      <w:bookmarkEnd w:id="128"/>
    </w:p>
    <w:p w14:paraId="0368E524" w14:textId="11A67852" w:rsidR="00245D19" w:rsidRDefault="00E97A5C" w:rsidP="00A15728">
      <w:pPr>
        <w:pStyle w:val="Body"/>
        <w:spacing w:before="40" w:after="240"/>
      </w:pPr>
      <w:r w:rsidRPr="00E97A5C">
        <w:drawing>
          <wp:inline distT="0" distB="0" distL="0" distR="0" wp14:anchorId="3A62A227" wp14:editId="75FCBA8B">
            <wp:extent cx="6408000" cy="7977640"/>
            <wp:effectExtent l="0" t="0" r="0" b="4445"/>
            <wp:docPr id="1605950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50886" name=""/>
                    <pic:cNvPicPr/>
                  </pic:nvPicPr>
                  <pic:blipFill>
                    <a:blip r:embed="rId69"/>
                    <a:stretch>
                      <a:fillRect/>
                    </a:stretch>
                  </pic:blipFill>
                  <pic:spPr>
                    <a:xfrm>
                      <a:off x="0" y="0"/>
                      <a:ext cx="6408000" cy="7977640"/>
                    </a:xfrm>
                    <a:prstGeom prst="rect">
                      <a:avLst/>
                    </a:prstGeom>
                  </pic:spPr>
                </pic:pic>
              </a:graphicData>
            </a:graphic>
          </wp:inline>
        </w:drawing>
      </w:r>
    </w:p>
    <w:p w14:paraId="1C187E7A" w14:textId="665FC72D" w:rsidR="00C23DE6" w:rsidRPr="00D11FF1" w:rsidRDefault="00C23DE6" w:rsidP="005D2CBA">
      <w:pPr>
        <w:pStyle w:val="Body"/>
        <w:spacing w:before="240" w:after="240"/>
      </w:pPr>
      <w:r w:rsidRPr="00D11FF1">
        <w:lastRenderedPageBreak/>
        <w:t>Although First Nations students rate their Overall Educational Experience either more positively</w:t>
      </w:r>
      <w:r>
        <w:t>,</w:t>
      </w:r>
      <w:r w:rsidRPr="00D11FF1">
        <w:t xml:space="preserve"> or </w:t>
      </w:r>
      <w:proofErr w:type="gramStart"/>
      <w:r w:rsidRPr="00D11FF1">
        <w:t>similar to</w:t>
      </w:r>
      <w:proofErr w:type="gramEnd"/>
      <w:r w:rsidRPr="00D11FF1">
        <w:t xml:space="preserve"> non-Indigenous students, there are broader structural inequity issues which may be impacting their higher education participation. </w:t>
      </w:r>
      <w:r w:rsidR="004B2582" w:rsidRPr="000530B1">
        <w:t>First Nations</w:t>
      </w:r>
      <w:r w:rsidR="00D11D53" w:rsidRPr="000530B1">
        <w:t xml:space="preserve"> </w:t>
      </w:r>
      <w:r w:rsidR="00EF0C16" w:rsidRPr="000530B1">
        <w:t>undergraduates</w:t>
      </w:r>
      <w:r w:rsidR="004B2582" w:rsidRPr="000530B1">
        <w:t xml:space="preserve"> were more likely to have considered leaving their</w:t>
      </w:r>
      <w:r w:rsidR="003D478D" w:rsidRPr="000530B1">
        <w:t xml:space="preserve"> institution than non-Indigenous students</w:t>
      </w:r>
      <w:r w:rsidR="00503088" w:rsidRPr="000530B1">
        <w:t>, they were</w:t>
      </w:r>
      <w:r w:rsidR="00EC3032">
        <w:t xml:space="preserve"> also</w:t>
      </w:r>
      <w:r w:rsidR="00503088" w:rsidRPr="000530B1">
        <w:t xml:space="preserve"> less likely to agree that they were free from discrimination, harm and hatred, and more likely to report</w:t>
      </w:r>
      <w:r w:rsidR="00EC3032">
        <w:t xml:space="preserve"> that</w:t>
      </w:r>
      <w:r w:rsidR="00503088" w:rsidRPr="000530B1">
        <w:t xml:space="preserve"> their living arrangements, financial</w:t>
      </w:r>
      <w:r w:rsidR="00044D29" w:rsidRPr="000530B1">
        <w:t xml:space="preserve"> circumstances and paid work commitments negatively affected their studies</w:t>
      </w:r>
      <w:r w:rsidR="003565AD" w:rsidRPr="000530B1">
        <w:t xml:space="preserve"> (</w:t>
      </w:r>
      <w:r w:rsidR="003565AD" w:rsidRPr="000530B1">
        <w:rPr>
          <w:b/>
          <w:bCs/>
        </w:rPr>
        <w:fldChar w:fldCharType="begin"/>
      </w:r>
      <w:r w:rsidR="003565AD" w:rsidRPr="000530B1">
        <w:rPr>
          <w:b/>
          <w:bCs/>
        </w:rPr>
        <w:instrText xml:space="preserve"> REF _Ref217406892 \h  \* MERGEFORMAT </w:instrText>
      </w:r>
      <w:r w:rsidR="003565AD" w:rsidRPr="000530B1">
        <w:rPr>
          <w:b/>
          <w:bCs/>
        </w:rPr>
      </w:r>
      <w:r w:rsidR="003565AD" w:rsidRPr="000530B1">
        <w:rPr>
          <w:b/>
          <w:bCs/>
        </w:rPr>
        <w:fldChar w:fldCharType="separate"/>
      </w:r>
      <w:r w:rsidR="001A2248" w:rsidRPr="000530B1">
        <w:rPr>
          <w:b/>
          <w:bCs/>
        </w:rPr>
        <w:t xml:space="preserve">Table </w:t>
      </w:r>
      <w:r w:rsidR="001A2248" w:rsidRPr="000530B1">
        <w:rPr>
          <w:b/>
          <w:bCs/>
          <w:noProof/>
        </w:rPr>
        <w:t>2</w:t>
      </w:r>
      <w:r w:rsidR="003565AD" w:rsidRPr="000530B1">
        <w:rPr>
          <w:b/>
          <w:bCs/>
        </w:rPr>
        <w:fldChar w:fldCharType="end"/>
      </w:r>
      <w:r w:rsidR="003565AD" w:rsidRPr="000530B1">
        <w:t>)</w:t>
      </w:r>
      <w:r w:rsidR="00044D29" w:rsidRPr="000530B1">
        <w:t>.</w:t>
      </w:r>
      <w:r w:rsidR="00377ADD">
        <w:t xml:space="preserve"> </w:t>
      </w:r>
      <w:r w:rsidRPr="00D11FF1">
        <w:t>These results suggest that sector level initiatives</w:t>
      </w:r>
      <w:r w:rsidR="00FD68A5">
        <w:t xml:space="preserve"> aimed at removing barriers to First Nation participation in higher education should </w:t>
      </w:r>
      <w:r w:rsidR="00EC3032">
        <w:t xml:space="preserve">focus on </w:t>
      </w:r>
      <w:r w:rsidRPr="00D11FF1">
        <w:t>address</w:t>
      </w:r>
      <w:r w:rsidR="00EC3032">
        <w:t>ing</w:t>
      </w:r>
      <w:r w:rsidRPr="00D11FF1">
        <w:t xml:space="preserve"> financial </w:t>
      </w:r>
      <w:r w:rsidR="00FD68A5">
        <w:t>pressures</w:t>
      </w:r>
      <w:r w:rsidRPr="00D11FF1">
        <w:t xml:space="preserve"> and</w:t>
      </w:r>
      <w:r w:rsidR="00FD68A5">
        <w:t xml:space="preserve"> foster</w:t>
      </w:r>
      <w:r w:rsidR="00EC3032">
        <w:t>ing</w:t>
      </w:r>
      <w:r w:rsidR="00FD68A5">
        <w:t xml:space="preserve"> </w:t>
      </w:r>
      <w:r w:rsidRPr="00D11FF1">
        <w:t>safe and inclusive learning environments</w:t>
      </w:r>
      <w:r w:rsidR="00FD68A5">
        <w:t xml:space="preserve"> for First Nations students</w:t>
      </w:r>
      <w:r w:rsidRPr="00D11FF1">
        <w:t>.</w:t>
      </w:r>
    </w:p>
    <w:p w14:paraId="6018ABAC" w14:textId="0628C1C4" w:rsidR="004D63D9" w:rsidRPr="00A15728" w:rsidRDefault="0021594F" w:rsidP="005D2CBA">
      <w:pPr>
        <w:pStyle w:val="Captionaccessible"/>
        <w:spacing w:after="120"/>
      </w:pPr>
      <w:bookmarkStart w:id="129" w:name="_Ref217406892"/>
      <w:bookmarkStart w:id="130" w:name="_Toc239764862"/>
      <w:r w:rsidRPr="000530B1">
        <w:t xml:space="preserve">Table </w:t>
      </w:r>
      <w:r w:rsidR="0009233A">
        <w:fldChar w:fldCharType="begin"/>
      </w:r>
      <w:r w:rsidR="0009233A">
        <w:instrText xml:space="preserve"> SEQ Table \* ARABIC </w:instrText>
      </w:r>
      <w:r w:rsidR="0009233A">
        <w:fldChar w:fldCharType="separate"/>
      </w:r>
      <w:r w:rsidR="0009233A" w:rsidRPr="000530B1">
        <w:rPr>
          <w:noProof/>
        </w:rPr>
        <w:t>2</w:t>
      </w:r>
      <w:r w:rsidR="0009233A">
        <w:rPr>
          <w:noProof/>
        </w:rPr>
        <w:fldChar w:fldCharType="end"/>
      </w:r>
      <w:bookmarkEnd w:id="129"/>
      <w:r w:rsidR="001A2248" w:rsidRPr="000530B1">
        <w:tab/>
      </w:r>
      <w:r w:rsidRPr="000530B1">
        <w:t xml:space="preserve">Other aspects of the student experience by </w:t>
      </w:r>
      <w:r w:rsidR="00070F1E" w:rsidRPr="000530B1">
        <w:t xml:space="preserve">course level and </w:t>
      </w:r>
      <w:r w:rsidRPr="000530B1">
        <w:t>First Nations status, 2025</w:t>
      </w:r>
      <w:bookmarkEnd w:id="130"/>
    </w:p>
    <w:tbl>
      <w:tblPr>
        <w:tblStyle w:val="TableGrid"/>
        <w:tblW w:w="10093" w:type="dxa"/>
        <w:tblLook w:val="04A0" w:firstRow="1" w:lastRow="0" w:firstColumn="1" w:lastColumn="0" w:noHBand="0" w:noVBand="1"/>
      </w:tblPr>
      <w:tblGrid>
        <w:gridCol w:w="2641"/>
        <w:gridCol w:w="1863"/>
        <w:gridCol w:w="1863"/>
        <w:gridCol w:w="1863"/>
        <w:gridCol w:w="1863"/>
      </w:tblGrid>
      <w:tr w:rsidR="00FD7D59" w:rsidRPr="000530B1" w14:paraId="26D1D21C" w14:textId="77777777" w:rsidTr="001213B7">
        <w:trPr>
          <w:cnfStyle w:val="100000000000" w:firstRow="1" w:lastRow="0" w:firstColumn="0" w:lastColumn="0" w:oddVBand="0" w:evenVBand="0" w:oddHBand="0" w:evenHBand="0" w:firstRowFirstColumn="0" w:firstRowLastColumn="0" w:lastRowFirstColumn="0" w:lastRowLastColumn="0"/>
          <w:tblHeader/>
        </w:trPr>
        <w:tc>
          <w:tcPr>
            <w:tcW w:w="2641" w:type="dxa"/>
            <w:vAlign w:val="top"/>
            <w:hideMark/>
          </w:tcPr>
          <w:p w14:paraId="3D6C1343" w14:textId="42D44E7C" w:rsidR="00FD7D59" w:rsidRPr="00537E71" w:rsidRDefault="00FD7D59" w:rsidP="001213B7">
            <w:pPr>
              <w:pStyle w:val="Body"/>
              <w:spacing w:before="60" w:after="60"/>
              <w:rPr>
                <w:rFonts w:cs="Arial"/>
                <w:b w:val="0"/>
              </w:rPr>
            </w:pPr>
          </w:p>
        </w:tc>
        <w:tc>
          <w:tcPr>
            <w:tcW w:w="1863" w:type="dxa"/>
            <w:vAlign w:val="top"/>
            <w:hideMark/>
          </w:tcPr>
          <w:p w14:paraId="762BCD33" w14:textId="02DD1B70" w:rsidR="00FD7D59" w:rsidRPr="00537E71" w:rsidRDefault="00FD7D59" w:rsidP="001213B7">
            <w:pPr>
              <w:pStyle w:val="Body"/>
              <w:spacing w:before="60" w:after="60"/>
              <w:rPr>
                <w:rFonts w:cs="Arial"/>
              </w:rPr>
            </w:pPr>
            <w:r w:rsidRPr="00537E71">
              <w:rPr>
                <w:rFonts w:cs="Arial"/>
              </w:rPr>
              <w:t>Non-Indigenous</w:t>
            </w:r>
            <w:r w:rsidR="007212B1">
              <w:rPr>
                <w:rFonts w:cs="Arial"/>
              </w:rPr>
              <w:t xml:space="preserve"> </w:t>
            </w:r>
            <w:r w:rsidR="004E581B">
              <w:rPr>
                <w:rFonts w:cs="Arial"/>
              </w:rPr>
              <w:t>-</w:t>
            </w:r>
            <w:r w:rsidR="001213B7">
              <w:rPr>
                <w:rFonts w:cs="Arial"/>
              </w:rPr>
              <w:t xml:space="preserve"> </w:t>
            </w:r>
            <w:r w:rsidR="00F04168" w:rsidRPr="00537E71">
              <w:rPr>
                <w:rFonts w:cs="Arial"/>
                <w:bCs/>
              </w:rPr>
              <w:t>Undergraduate (%)</w:t>
            </w:r>
          </w:p>
        </w:tc>
        <w:tc>
          <w:tcPr>
            <w:tcW w:w="1863" w:type="dxa"/>
            <w:vAlign w:val="top"/>
            <w:hideMark/>
          </w:tcPr>
          <w:p w14:paraId="096C11E5" w14:textId="6233BD9C" w:rsidR="00FD7D59" w:rsidRPr="00537E71" w:rsidRDefault="00FD7D59" w:rsidP="001213B7">
            <w:pPr>
              <w:pStyle w:val="Body"/>
              <w:spacing w:before="60" w:after="60"/>
              <w:rPr>
                <w:rFonts w:cs="Arial"/>
              </w:rPr>
            </w:pPr>
            <w:r w:rsidRPr="00537E71">
              <w:rPr>
                <w:rFonts w:cs="Arial"/>
              </w:rPr>
              <w:t>First Nations</w:t>
            </w:r>
            <w:r w:rsidR="004E581B">
              <w:rPr>
                <w:rFonts w:cs="Arial"/>
              </w:rPr>
              <w:t xml:space="preserve"> -</w:t>
            </w:r>
            <w:r w:rsidR="00F04168" w:rsidRPr="00537E71">
              <w:rPr>
                <w:rFonts w:cs="Arial"/>
                <w:bCs/>
              </w:rPr>
              <w:t>Undergraduate (%)</w:t>
            </w:r>
          </w:p>
        </w:tc>
        <w:tc>
          <w:tcPr>
            <w:tcW w:w="1863" w:type="dxa"/>
            <w:vAlign w:val="top"/>
          </w:tcPr>
          <w:p w14:paraId="11F7351E" w14:textId="0D177AC4" w:rsidR="00FD7D59" w:rsidRPr="00537E71" w:rsidRDefault="00FD7D59" w:rsidP="001213B7">
            <w:pPr>
              <w:pStyle w:val="Body"/>
              <w:spacing w:before="60" w:after="60"/>
              <w:rPr>
                <w:rFonts w:cs="Arial"/>
              </w:rPr>
            </w:pPr>
            <w:r w:rsidRPr="00537E71">
              <w:rPr>
                <w:rFonts w:cs="Arial"/>
              </w:rPr>
              <w:t>Non-Indigenous</w:t>
            </w:r>
            <w:r w:rsidR="004E581B">
              <w:rPr>
                <w:rFonts w:cs="Arial"/>
              </w:rPr>
              <w:t xml:space="preserve"> -</w:t>
            </w:r>
            <w:r w:rsidR="00F04168" w:rsidRPr="00537E71">
              <w:rPr>
                <w:rFonts w:cs="Arial"/>
                <w:bCs/>
              </w:rPr>
              <w:t>Undergraduate (%)</w:t>
            </w:r>
          </w:p>
        </w:tc>
        <w:tc>
          <w:tcPr>
            <w:tcW w:w="1863" w:type="dxa"/>
            <w:vAlign w:val="top"/>
          </w:tcPr>
          <w:p w14:paraId="53BD78D8" w14:textId="1C2F3A7D" w:rsidR="00F04168" w:rsidRPr="00256FE7" w:rsidRDefault="00FD7D59" w:rsidP="001213B7">
            <w:pPr>
              <w:pStyle w:val="Body"/>
              <w:spacing w:before="60" w:after="60"/>
              <w:rPr>
                <w:rFonts w:cs="Arial"/>
                <w:b w:val="0"/>
              </w:rPr>
            </w:pPr>
            <w:r w:rsidRPr="00537E71">
              <w:rPr>
                <w:rFonts w:cs="Arial"/>
              </w:rPr>
              <w:t>First Nations</w:t>
            </w:r>
            <w:r w:rsidR="004E581B">
              <w:rPr>
                <w:rFonts w:cs="Arial"/>
              </w:rPr>
              <w:t xml:space="preserve"> -</w:t>
            </w:r>
            <w:r w:rsidR="00F04168" w:rsidRPr="00537E71">
              <w:rPr>
                <w:rFonts w:cs="Arial"/>
                <w:bCs/>
              </w:rPr>
              <w:t>Postgraduate coursework (%)</w:t>
            </w:r>
          </w:p>
        </w:tc>
      </w:tr>
      <w:tr w:rsidR="00FD7D59" w:rsidRPr="000530B1" w14:paraId="268D93D2" w14:textId="77777777" w:rsidTr="001213B7">
        <w:tc>
          <w:tcPr>
            <w:tcW w:w="2641" w:type="dxa"/>
            <w:hideMark/>
          </w:tcPr>
          <w:p w14:paraId="5A763544" w14:textId="77777777" w:rsidR="00FD7D59" w:rsidRPr="00537E71" w:rsidRDefault="00FD7D59" w:rsidP="001213B7">
            <w:pPr>
              <w:pStyle w:val="Body"/>
              <w:spacing w:before="60" w:after="60"/>
              <w:rPr>
                <w:rFonts w:cs="Arial"/>
              </w:rPr>
            </w:pPr>
            <w:r w:rsidRPr="00537E71">
              <w:rPr>
                <w:rFonts w:cs="Arial"/>
              </w:rPr>
              <w:t>Sense of belonging to institution (positive rating)</w:t>
            </w:r>
          </w:p>
        </w:tc>
        <w:tc>
          <w:tcPr>
            <w:tcW w:w="1863" w:type="dxa"/>
            <w:hideMark/>
          </w:tcPr>
          <w:p w14:paraId="03E65B48" w14:textId="77777777" w:rsidR="00FD7D59" w:rsidRPr="00537E71" w:rsidRDefault="00FD7D59" w:rsidP="001213B7">
            <w:pPr>
              <w:pStyle w:val="Body"/>
              <w:spacing w:before="60" w:after="60"/>
              <w:rPr>
                <w:rFonts w:cs="Arial"/>
              </w:rPr>
            </w:pPr>
            <w:r w:rsidRPr="00537E71">
              <w:rPr>
                <w:rFonts w:cs="Arial"/>
              </w:rPr>
              <w:t>44.9</w:t>
            </w:r>
          </w:p>
        </w:tc>
        <w:tc>
          <w:tcPr>
            <w:tcW w:w="1863" w:type="dxa"/>
            <w:hideMark/>
          </w:tcPr>
          <w:p w14:paraId="37488A03" w14:textId="77777777" w:rsidR="00FD7D59" w:rsidRPr="00537E71" w:rsidRDefault="00FD7D59" w:rsidP="001213B7">
            <w:pPr>
              <w:pStyle w:val="Body"/>
              <w:spacing w:before="60" w:after="60"/>
              <w:rPr>
                <w:rFonts w:cs="Arial"/>
              </w:rPr>
            </w:pPr>
            <w:r w:rsidRPr="00537E71">
              <w:rPr>
                <w:rFonts w:cs="Arial"/>
              </w:rPr>
              <w:t>48.0</w:t>
            </w:r>
          </w:p>
        </w:tc>
        <w:tc>
          <w:tcPr>
            <w:tcW w:w="1863" w:type="dxa"/>
          </w:tcPr>
          <w:p w14:paraId="74E3590C" w14:textId="77777777" w:rsidR="00FD7D59" w:rsidRPr="00537E71" w:rsidRDefault="00FD7D59" w:rsidP="001213B7">
            <w:pPr>
              <w:pStyle w:val="Body"/>
              <w:spacing w:before="60" w:after="60"/>
              <w:rPr>
                <w:rFonts w:cs="Arial"/>
              </w:rPr>
            </w:pPr>
            <w:r w:rsidRPr="00537E71">
              <w:rPr>
                <w:rFonts w:cs="Arial"/>
                <w:color w:val="000000"/>
              </w:rPr>
              <w:t>39.5</w:t>
            </w:r>
          </w:p>
        </w:tc>
        <w:tc>
          <w:tcPr>
            <w:tcW w:w="1863" w:type="dxa"/>
          </w:tcPr>
          <w:p w14:paraId="50DC17E5" w14:textId="77777777" w:rsidR="00FD7D59" w:rsidRPr="00537E71" w:rsidRDefault="00FD7D59" w:rsidP="001213B7">
            <w:pPr>
              <w:pStyle w:val="Body"/>
              <w:spacing w:before="60" w:after="60"/>
              <w:rPr>
                <w:rFonts w:cs="Arial"/>
              </w:rPr>
            </w:pPr>
            <w:r w:rsidRPr="00537E71">
              <w:rPr>
                <w:rFonts w:cs="Arial"/>
                <w:color w:val="000000"/>
              </w:rPr>
              <w:t>40.2</w:t>
            </w:r>
          </w:p>
        </w:tc>
      </w:tr>
      <w:tr w:rsidR="00FD7D59" w:rsidRPr="000530B1" w14:paraId="675587A8" w14:textId="77777777" w:rsidTr="001213B7">
        <w:tc>
          <w:tcPr>
            <w:tcW w:w="2641" w:type="dxa"/>
            <w:hideMark/>
          </w:tcPr>
          <w:p w14:paraId="206C9AC9" w14:textId="77777777" w:rsidR="00FD7D59" w:rsidRPr="00537E71" w:rsidRDefault="00FD7D59" w:rsidP="001213B7">
            <w:pPr>
              <w:pStyle w:val="Body"/>
              <w:spacing w:before="60" w:after="60"/>
              <w:rPr>
                <w:rFonts w:cs="Arial"/>
              </w:rPr>
            </w:pPr>
            <w:r w:rsidRPr="00537E71">
              <w:rPr>
                <w:rFonts w:cs="Arial"/>
              </w:rPr>
              <w:t>Considered leaving institution</w:t>
            </w:r>
          </w:p>
        </w:tc>
        <w:tc>
          <w:tcPr>
            <w:tcW w:w="1863" w:type="dxa"/>
            <w:hideMark/>
          </w:tcPr>
          <w:p w14:paraId="017ACD0B" w14:textId="77777777" w:rsidR="00FD7D59" w:rsidRPr="00537E71" w:rsidRDefault="00FD7D59" w:rsidP="001213B7">
            <w:pPr>
              <w:pStyle w:val="Body"/>
              <w:spacing w:before="60" w:after="60"/>
              <w:rPr>
                <w:rFonts w:cs="Arial"/>
              </w:rPr>
            </w:pPr>
            <w:r w:rsidRPr="00537E71">
              <w:rPr>
                <w:rFonts w:cs="Arial"/>
              </w:rPr>
              <w:t>17.9</w:t>
            </w:r>
          </w:p>
        </w:tc>
        <w:tc>
          <w:tcPr>
            <w:tcW w:w="1863" w:type="dxa"/>
            <w:hideMark/>
          </w:tcPr>
          <w:p w14:paraId="5F18BF10" w14:textId="77777777" w:rsidR="00FD7D59" w:rsidRPr="00537E71" w:rsidRDefault="00FD7D59" w:rsidP="001213B7">
            <w:pPr>
              <w:pStyle w:val="Body"/>
              <w:spacing w:before="60" w:after="60"/>
              <w:rPr>
                <w:rFonts w:cs="Arial"/>
              </w:rPr>
            </w:pPr>
            <w:r w:rsidRPr="00537E71">
              <w:rPr>
                <w:rFonts w:cs="Arial"/>
              </w:rPr>
              <w:t>26.0</w:t>
            </w:r>
          </w:p>
        </w:tc>
        <w:tc>
          <w:tcPr>
            <w:tcW w:w="1863" w:type="dxa"/>
          </w:tcPr>
          <w:p w14:paraId="5366BF20" w14:textId="77777777" w:rsidR="00FD7D59" w:rsidRPr="00537E71" w:rsidRDefault="00FD7D59" w:rsidP="001213B7">
            <w:pPr>
              <w:pStyle w:val="Body"/>
              <w:spacing w:before="60" w:after="60"/>
              <w:rPr>
                <w:rFonts w:cs="Arial"/>
              </w:rPr>
            </w:pPr>
            <w:r w:rsidRPr="00537E71">
              <w:rPr>
                <w:rFonts w:cs="Arial"/>
                <w:color w:val="000000"/>
              </w:rPr>
              <w:t>18.6</w:t>
            </w:r>
          </w:p>
        </w:tc>
        <w:tc>
          <w:tcPr>
            <w:tcW w:w="1863" w:type="dxa"/>
          </w:tcPr>
          <w:p w14:paraId="27BF0CA9" w14:textId="77777777" w:rsidR="00FD7D59" w:rsidRPr="00537E71" w:rsidRDefault="00FD7D59" w:rsidP="001213B7">
            <w:pPr>
              <w:pStyle w:val="Body"/>
              <w:spacing w:before="60" w:after="60"/>
              <w:rPr>
                <w:rFonts w:cs="Arial"/>
              </w:rPr>
            </w:pPr>
            <w:r w:rsidRPr="00537E71">
              <w:rPr>
                <w:rFonts w:cs="Arial"/>
                <w:color w:val="000000"/>
              </w:rPr>
              <w:t>29.8</w:t>
            </w:r>
          </w:p>
        </w:tc>
      </w:tr>
      <w:tr w:rsidR="00FD7D59" w:rsidRPr="000530B1" w14:paraId="46266BDC" w14:textId="77777777" w:rsidTr="001213B7">
        <w:tc>
          <w:tcPr>
            <w:tcW w:w="2641" w:type="dxa"/>
            <w:hideMark/>
          </w:tcPr>
          <w:p w14:paraId="5742372F" w14:textId="32520556" w:rsidR="00FD7D59" w:rsidRPr="00537E71" w:rsidRDefault="00FD7D59" w:rsidP="001213B7">
            <w:pPr>
              <w:pStyle w:val="Body"/>
              <w:spacing w:before="60" w:after="60"/>
              <w:rPr>
                <w:rFonts w:cs="Arial"/>
              </w:rPr>
            </w:pPr>
            <w:r w:rsidRPr="00537E71">
              <w:rPr>
                <w:rFonts w:cs="Arial"/>
              </w:rPr>
              <w:t>Freedom of expression - I am free to express my views (positive</w:t>
            </w:r>
            <w:r w:rsidR="004D71C7" w:rsidRPr="00537E71">
              <w:rPr>
                <w:rFonts w:cs="Arial"/>
              </w:rPr>
              <w:t> </w:t>
            </w:r>
            <w:r w:rsidRPr="00537E71">
              <w:rPr>
                <w:rFonts w:cs="Arial"/>
              </w:rPr>
              <w:t>rating)</w:t>
            </w:r>
          </w:p>
        </w:tc>
        <w:tc>
          <w:tcPr>
            <w:tcW w:w="1863" w:type="dxa"/>
            <w:hideMark/>
          </w:tcPr>
          <w:p w14:paraId="224BE948" w14:textId="77777777" w:rsidR="00FD7D59" w:rsidRPr="00537E71" w:rsidRDefault="00FD7D59" w:rsidP="001213B7">
            <w:pPr>
              <w:pStyle w:val="Body"/>
              <w:spacing w:before="60" w:after="60"/>
              <w:rPr>
                <w:rFonts w:cs="Arial"/>
              </w:rPr>
            </w:pPr>
            <w:r w:rsidRPr="00537E71">
              <w:rPr>
                <w:rFonts w:cs="Arial"/>
              </w:rPr>
              <w:t>72.8</w:t>
            </w:r>
          </w:p>
        </w:tc>
        <w:tc>
          <w:tcPr>
            <w:tcW w:w="1863" w:type="dxa"/>
            <w:hideMark/>
          </w:tcPr>
          <w:p w14:paraId="55413583" w14:textId="77777777" w:rsidR="00FD7D59" w:rsidRPr="00537E71" w:rsidRDefault="00FD7D59" w:rsidP="001213B7">
            <w:pPr>
              <w:pStyle w:val="Body"/>
              <w:spacing w:before="60" w:after="60"/>
              <w:rPr>
                <w:rFonts w:cs="Arial"/>
              </w:rPr>
            </w:pPr>
            <w:r w:rsidRPr="00537E71">
              <w:rPr>
                <w:rFonts w:cs="Arial"/>
              </w:rPr>
              <w:t>72.5</w:t>
            </w:r>
          </w:p>
        </w:tc>
        <w:tc>
          <w:tcPr>
            <w:tcW w:w="1863" w:type="dxa"/>
          </w:tcPr>
          <w:p w14:paraId="41AED1EF" w14:textId="77777777" w:rsidR="00FD7D59" w:rsidRPr="00537E71" w:rsidRDefault="00FD7D59" w:rsidP="001213B7">
            <w:pPr>
              <w:pStyle w:val="Body"/>
              <w:spacing w:before="60" w:after="60"/>
              <w:rPr>
                <w:rFonts w:cs="Arial"/>
              </w:rPr>
            </w:pPr>
            <w:r w:rsidRPr="00537E71">
              <w:rPr>
                <w:rFonts w:cs="Arial"/>
                <w:color w:val="000000"/>
              </w:rPr>
              <w:t>68.4</w:t>
            </w:r>
          </w:p>
        </w:tc>
        <w:tc>
          <w:tcPr>
            <w:tcW w:w="1863" w:type="dxa"/>
          </w:tcPr>
          <w:p w14:paraId="6AB89484" w14:textId="77777777" w:rsidR="00FD7D59" w:rsidRPr="00537E71" w:rsidRDefault="00FD7D59" w:rsidP="001213B7">
            <w:pPr>
              <w:pStyle w:val="Body"/>
              <w:spacing w:before="60" w:after="60"/>
              <w:rPr>
                <w:rFonts w:cs="Arial"/>
              </w:rPr>
            </w:pPr>
            <w:r w:rsidRPr="00537E71">
              <w:rPr>
                <w:rFonts w:cs="Arial"/>
                <w:color w:val="000000"/>
              </w:rPr>
              <w:t>63.4</w:t>
            </w:r>
          </w:p>
        </w:tc>
      </w:tr>
      <w:tr w:rsidR="00FD7D59" w:rsidRPr="000530B1" w14:paraId="504FB595" w14:textId="77777777" w:rsidTr="001213B7">
        <w:tc>
          <w:tcPr>
            <w:tcW w:w="2641" w:type="dxa"/>
            <w:hideMark/>
          </w:tcPr>
          <w:p w14:paraId="4B04C3F1" w14:textId="77777777" w:rsidR="00FD7D59" w:rsidRPr="00537E71" w:rsidRDefault="00FD7D59" w:rsidP="001213B7">
            <w:pPr>
              <w:pStyle w:val="Body"/>
              <w:spacing w:before="60" w:after="60"/>
              <w:rPr>
                <w:rFonts w:cs="Arial"/>
              </w:rPr>
            </w:pPr>
            <w:r w:rsidRPr="00537E71">
              <w:rPr>
                <w:rFonts w:cs="Arial"/>
              </w:rPr>
              <w:t>Freedom of expression - Academics are free to express their views (positive rating)</w:t>
            </w:r>
          </w:p>
        </w:tc>
        <w:tc>
          <w:tcPr>
            <w:tcW w:w="1863" w:type="dxa"/>
            <w:hideMark/>
          </w:tcPr>
          <w:p w14:paraId="10DDD968" w14:textId="77777777" w:rsidR="00FD7D59" w:rsidRPr="00537E71" w:rsidRDefault="00FD7D59" w:rsidP="001213B7">
            <w:pPr>
              <w:pStyle w:val="Body"/>
              <w:spacing w:before="60" w:after="60"/>
              <w:rPr>
                <w:rFonts w:cs="Arial"/>
              </w:rPr>
            </w:pPr>
            <w:r w:rsidRPr="00537E71">
              <w:rPr>
                <w:rFonts w:cs="Arial"/>
              </w:rPr>
              <w:t>72.5</w:t>
            </w:r>
          </w:p>
        </w:tc>
        <w:tc>
          <w:tcPr>
            <w:tcW w:w="1863" w:type="dxa"/>
            <w:hideMark/>
          </w:tcPr>
          <w:p w14:paraId="29EA30FE" w14:textId="77777777" w:rsidR="00FD7D59" w:rsidRPr="00537E71" w:rsidRDefault="00FD7D59" w:rsidP="001213B7">
            <w:pPr>
              <w:pStyle w:val="Body"/>
              <w:spacing w:before="60" w:after="60"/>
              <w:rPr>
                <w:rFonts w:cs="Arial"/>
              </w:rPr>
            </w:pPr>
            <w:r w:rsidRPr="00537E71">
              <w:rPr>
                <w:rFonts w:cs="Arial"/>
              </w:rPr>
              <w:t>71.7</w:t>
            </w:r>
          </w:p>
        </w:tc>
        <w:tc>
          <w:tcPr>
            <w:tcW w:w="1863" w:type="dxa"/>
          </w:tcPr>
          <w:p w14:paraId="18663B52" w14:textId="77777777" w:rsidR="00FD7D59" w:rsidRPr="00537E71" w:rsidRDefault="00FD7D59" w:rsidP="001213B7">
            <w:pPr>
              <w:pStyle w:val="Body"/>
              <w:spacing w:before="60" w:after="60"/>
              <w:rPr>
                <w:rFonts w:cs="Arial"/>
              </w:rPr>
            </w:pPr>
            <w:r w:rsidRPr="00537E71">
              <w:rPr>
                <w:rFonts w:cs="Arial"/>
                <w:color w:val="000000"/>
              </w:rPr>
              <w:t>66.0</w:t>
            </w:r>
          </w:p>
        </w:tc>
        <w:tc>
          <w:tcPr>
            <w:tcW w:w="1863" w:type="dxa"/>
          </w:tcPr>
          <w:p w14:paraId="24FE715D" w14:textId="77777777" w:rsidR="00FD7D59" w:rsidRPr="00537E71" w:rsidRDefault="00FD7D59" w:rsidP="001213B7">
            <w:pPr>
              <w:pStyle w:val="Body"/>
              <w:spacing w:before="60" w:after="60"/>
              <w:rPr>
                <w:rFonts w:cs="Arial"/>
              </w:rPr>
            </w:pPr>
            <w:r w:rsidRPr="00537E71">
              <w:rPr>
                <w:rFonts w:cs="Arial"/>
                <w:color w:val="000000"/>
              </w:rPr>
              <w:t>61.9</w:t>
            </w:r>
          </w:p>
        </w:tc>
      </w:tr>
      <w:tr w:rsidR="00FD7D59" w:rsidRPr="000530B1" w14:paraId="5C67B97F" w14:textId="77777777" w:rsidTr="001213B7">
        <w:tc>
          <w:tcPr>
            <w:tcW w:w="2641" w:type="dxa"/>
            <w:hideMark/>
          </w:tcPr>
          <w:p w14:paraId="1CF5E2D5" w14:textId="29AE6AD8" w:rsidR="00FD7D59" w:rsidRPr="00537E71" w:rsidRDefault="00FD7D59" w:rsidP="001213B7">
            <w:pPr>
              <w:pStyle w:val="Body"/>
              <w:spacing w:before="60" w:after="60"/>
              <w:rPr>
                <w:rFonts w:cs="Arial"/>
              </w:rPr>
            </w:pPr>
            <w:r w:rsidRPr="00537E71">
              <w:rPr>
                <w:rFonts w:cs="Arial"/>
              </w:rPr>
              <w:t xml:space="preserve">Freedom of expression </w:t>
            </w:r>
            <w:r w:rsidR="004E581B">
              <w:rPr>
                <w:rFonts w:cs="Arial"/>
              </w:rPr>
              <w:t>–</w:t>
            </w:r>
            <w:r w:rsidRPr="00537E71">
              <w:rPr>
                <w:rFonts w:cs="Arial"/>
              </w:rPr>
              <w:t xml:space="preserve"> I</w:t>
            </w:r>
            <w:r w:rsidR="004E581B">
              <w:rPr>
                <w:rFonts w:cs="Arial"/>
              </w:rPr>
              <w:t> </w:t>
            </w:r>
            <w:r w:rsidRPr="00537E71">
              <w:rPr>
                <w:rFonts w:cs="Arial"/>
              </w:rPr>
              <w:t>am free from discrimination, harm or hatred (positive rating)</w:t>
            </w:r>
          </w:p>
        </w:tc>
        <w:tc>
          <w:tcPr>
            <w:tcW w:w="1863" w:type="dxa"/>
            <w:hideMark/>
          </w:tcPr>
          <w:p w14:paraId="200BC6B8" w14:textId="77777777" w:rsidR="00FD7D59" w:rsidRPr="00537E71" w:rsidRDefault="00FD7D59" w:rsidP="001213B7">
            <w:pPr>
              <w:pStyle w:val="Body"/>
              <w:spacing w:before="60" w:after="60"/>
              <w:rPr>
                <w:rFonts w:cs="Arial"/>
              </w:rPr>
            </w:pPr>
            <w:r w:rsidRPr="00537E71">
              <w:rPr>
                <w:rFonts w:cs="Arial"/>
              </w:rPr>
              <w:t>81.0</w:t>
            </w:r>
          </w:p>
        </w:tc>
        <w:tc>
          <w:tcPr>
            <w:tcW w:w="1863" w:type="dxa"/>
            <w:hideMark/>
          </w:tcPr>
          <w:p w14:paraId="7ED3434D" w14:textId="77777777" w:rsidR="00FD7D59" w:rsidRPr="00537E71" w:rsidRDefault="00FD7D59" w:rsidP="001213B7">
            <w:pPr>
              <w:pStyle w:val="Body"/>
              <w:spacing w:before="60" w:after="60"/>
              <w:rPr>
                <w:rFonts w:cs="Arial"/>
              </w:rPr>
            </w:pPr>
            <w:r w:rsidRPr="00537E71">
              <w:rPr>
                <w:rFonts w:cs="Arial"/>
              </w:rPr>
              <w:t>77.4</w:t>
            </w:r>
          </w:p>
        </w:tc>
        <w:tc>
          <w:tcPr>
            <w:tcW w:w="1863" w:type="dxa"/>
          </w:tcPr>
          <w:p w14:paraId="09C9E599" w14:textId="77777777" w:rsidR="00FD7D59" w:rsidRPr="00537E71" w:rsidRDefault="00FD7D59" w:rsidP="001213B7">
            <w:pPr>
              <w:pStyle w:val="Body"/>
              <w:spacing w:before="60" w:after="60"/>
              <w:rPr>
                <w:rFonts w:cs="Arial"/>
              </w:rPr>
            </w:pPr>
            <w:r w:rsidRPr="00537E71">
              <w:rPr>
                <w:rFonts w:cs="Arial"/>
                <w:color w:val="000000"/>
              </w:rPr>
              <w:t>78.7</w:t>
            </w:r>
          </w:p>
        </w:tc>
        <w:tc>
          <w:tcPr>
            <w:tcW w:w="1863" w:type="dxa"/>
          </w:tcPr>
          <w:p w14:paraId="2179E58B" w14:textId="77777777" w:rsidR="00FD7D59" w:rsidRPr="00537E71" w:rsidRDefault="00FD7D59" w:rsidP="001213B7">
            <w:pPr>
              <w:pStyle w:val="Body"/>
              <w:spacing w:before="60" w:after="60"/>
              <w:rPr>
                <w:rFonts w:cs="Arial"/>
              </w:rPr>
            </w:pPr>
            <w:r w:rsidRPr="00537E71">
              <w:rPr>
                <w:rFonts w:cs="Arial"/>
                <w:color w:val="000000"/>
              </w:rPr>
              <w:t>68.6</w:t>
            </w:r>
          </w:p>
        </w:tc>
      </w:tr>
      <w:tr w:rsidR="00FD7D59" w:rsidRPr="000530B1" w14:paraId="5B2CA9B7" w14:textId="77777777" w:rsidTr="001213B7">
        <w:tc>
          <w:tcPr>
            <w:tcW w:w="2641" w:type="dxa"/>
            <w:hideMark/>
          </w:tcPr>
          <w:p w14:paraId="1244193A" w14:textId="77777777" w:rsidR="00FD7D59" w:rsidRPr="00537E71" w:rsidRDefault="00FD7D59" w:rsidP="001213B7">
            <w:pPr>
              <w:pStyle w:val="Body"/>
              <w:spacing w:before="60" w:after="60"/>
              <w:rPr>
                <w:rFonts w:cs="Arial"/>
              </w:rPr>
            </w:pPr>
            <w:proofErr w:type="gramStart"/>
            <w:r w:rsidRPr="00537E71">
              <w:rPr>
                <w:rFonts w:cs="Arial"/>
              </w:rPr>
              <w:t>Overall</w:t>
            </w:r>
            <w:proofErr w:type="gramEnd"/>
            <w:r w:rsidRPr="00537E71">
              <w:rPr>
                <w:rFonts w:cs="Arial"/>
              </w:rPr>
              <w:t xml:space="preserve"> Freedom of expression (positive rating)</w:t>
            </w:r>
          </w:p>
        </w:tc>
        <w:tc>
          <w:tcPr>
            <w:tcW w:w="1863" w:type="dxa"/>
            <w:hideMark/>
          </w:tcPr>
          <w:p w14:paraId="5988829C" w14:textId="77777777" w:rsidR="00FD7D59" w:rsidRPr="00537E71" w:rsidRDefault="00FD7D59" w:rsidP="001213B7">
            <w:pPr>
              <w:pStyle w:val="Body"/>
              <w:spacing w:before="60" w:after="60"/>
              <w:rPr>
                <w:rFonts w:cs="Arial"/>
              </w:rPr>
            </w:pPr>
            <w:r w:rsidRPr="00537E71">
              <w:rPr>
                <w:rFonts w:cs="Arial"/>
              </w:rPr>
              <w:t>84.3</w:t>
            </w:r>
          </w:p>
        </w:tc>
        <w:tc>
          <w:tcPr>
            <w:tcW w:w="1863" w:type="dxa"/>
            <w:hideMark/>
          </w:tcPr>
          <w:p w14:paraId="650791E1" w14:textId="77777777" w:rsidR="00FD7D59" w:rsidRPr="00537E71" w:rsidRDefault="00FD7D59" w:rsidP="001213B7">
            <w:pPr>
              <w:pStyle w:val="Body"/>
              <w:spacing w:before="60" w:after="60"/>
              <w:rPr>
                <w:rFonts w:cs="Arial"/>
              </w:rPr>
            </w:pPr>
            <w:r w:rsidRPr="00537E71">
              <w:rPr>
                <w:rFonts w:cs="Arial"/>
              </w:rPr>
              <w:t>83.5</w:t>
            </w:r>
          </w:p>
        </w:tc>
        <w:tc>
          <w:tcPr>
            <w:tcW w:w="1863" w:type="dxa"/>
          </w:tcPr>
          <w:p w14:paraId="6E746490" w14:textId="77777777" w:rsidR="00FD7D59" w:rsidRPr="00537E71" w:rsidRDefault="00FD7D59" w:rsidP="001213B7">
            <w:pPr>
              <w:pStyle w:val="Body"/>
              <w:spacing w:before="60" w:after="60"/>
              <w:rPr>
                <w:rFonts w:cs="Arial"/>
              </w:rPr>
            </w:pPr>
            <w:r w:rsidRPr="00537E71">
              <w:rPr>
                <w:rFonts w:cs="Arial"/>
                <w:color w:val="000000"/>
              </w:rPr>
              <w:t>80.6</w:t>
            </w:r>
          </w:p>
        </w:tc>
        <w:tc>
          <w:tcPr>
            <w:tcW w:w="1863" w:type="dxa"/>
          </w:tcPr>
          <w:p w14:paraId="0242E3E0" w14:textId="77777777" w:rsidR="00FD7D59" w:rsidRPr="00537E71" w:rsidRDefault="00FD7D59" w:rsidP="001213B7">
            <w:pPr>
              <w:pStyle w:val="Body"/>
              <w:spacing w:before="60" w:after="60"/>
              <w:rPr>
                <w:rFonts w:cs="Arial"/>
              </w:rPr>
            </w:pPr>
            <w:r w:rsidRPr="00537E71">
              <w:rPr>
                <w:rFonts w:cs="Arial"/>
                <w:color w:val="000000"/>
              </w:rPr>
              <w:t>73.7</w:t>
            </w:r>
          </w:p>
        </w:tc>
      </w:tr>
      <w:tr w:rsidR="00FD7D59" w:rsidRPr="000530B1" w14:paraId="55593871" w14:textId="77777777" w:rsidTr="001213B7">
        <w:tc>
          <w:tcPr>
            <w:tcW w:w="2641" w:type="dxa"/>
            <w:hideMark/>
          </w:tcPr>
          <w:p w14:paraId="5B77CB2A" w14:textId="77777777" w:rsidR="00FD7D59" w:rsidRPr="00537E71" w:rsidRDefault="00FD7D59" w:rsidP="001213B7">
            <w:pPr>
              <w:pStyle w:val="Body"/>
              <w:spacing w:before="60" w:after="60"/>
              <w:rPr>
                <w:rFonts w:cs="Arial"/>
              </w:rPr>
            </w:pPr>
            <w:r w:rsidRPr="00537E71">
              <w:rPr>
                <w:rFonts w:cs="Arial"/>
              </w:rPr>
              <w:t>Negative effect of living arrangements on study</w:t>
            </w:r>
          </w:p>
        </w:tc>
        <w:tc>
          <w:tcPr>
            <w:tcW w:w="1863" w:type="dxa"/>
            <w:hideMark/>
          </w:tcPr>
          <w:p w14:paraId="1DB9FA81" w14:textId="77777777" w:rsidR="00FD7D59" w:rsidRPr="00537E71" w:rsidRDefault="00FD7D59" w:rsidP="001213B7">
            <w:pPr>
              <w:pStyle w:val="Body"/>
              <w:spacing w:before="60" w:after="60"/>
              <w:rPr>
                <w:rFonts w:cs="Arial"/>
              </w:rPr>
            </w:pPr>
            <w:r w:rsidRPr="00537E71">
              <w:rPr>
                <w:rFonts w:cs="Arial"/>
              </w:rPr>
              <w:t>19.3</w:t>
            </w:r>
          </w:p>
        </w:tc>
        <w:tc>
          <w:tcPr>
            <w:tcW w:w="1863" w:type="dxa"/>
            <w:hideMark/>
          </w:tcPr>
          <w:p w14:paraId="02CBDE17" w14:textId="77777777" w:rsidR="00FD7D59" w:rsidRPr="00537E71" w:rsidRDefault="00FD7D59" w:rsidP="001213B7">
            <w:pPr>
              <w:pStyle w:val="Body"/>
              <w:spacing w:before="60" w:after="60"/>
              <w:rPr>
                <w:rFonts w:cs="Arial"/>
              </w:rPr>
            </w:pPr>
            <w:r w:rsidRPr="00537E71">
              <w:rPr>
                <w:rFonts w:cs="Arial"/>
              </w:rPr>
              <w:t>25.8</w:t>
            </w:r>
          </w:p>
        </w:tc>
        <w:tc>
          <w:tcPr>
            <w:tcW w:w="1863" w:type="dxa"/>
          </w:tcPr>
          <w:p w14:paraId="6213C6CF" w14:textId="77777777" w:rsidR="00FD7D59" w:rsidRPr="00537E71" w:rsidRDefault="00FD7D59" w:rsidP="001213B7">
            <w:pPr>
              <w:pStyle w:val="Body"/>
              <w:spacing w:before="60" w:after="60"/>
              <w:rPr>
                <w:rFonts w:cs="Arial"/>
              </w:rPr>
            </w:pPr>
            <w:r w:rsidRPr="00537E71">
              <w:rPr>
                <w:rFonts w:cs="Arial"/>
                <w:color w:val="000000"/>
              </w:rPr>
              <w:t>17.4</w:t>
            </w:r>
          </w:p>
        </w:tc>
        <w:tc>
          <w:tcPr>
            <w:tcW w:w="1863" w:type="dxa"/>
          </w:tcPr>
          <w:p w14:paraId="2BBEE4B8" w14:textId="77777777" w:rsidR="00FD7D59" w:rsidRPr="00537E71" w:rsidRDefault="00FD7D59" w:rsidP="001213B7">
            <w:pPr>
              <w:pStyle w:val="Body"/>
              <w:spacing w:before="60" w:after="60"/>
              <w:rPr>
                <w:rFonts w:cs="Arial"/>
              </w:rPr>
            </w:pPr>
            <w:r w:rsidRPr="00537E71">
              <w:rPr>
                <w:rFonts w:cs="Arial"/>
                <w:color w:val="000000"/>
              </w:rPr>
              <w:t>23.1</w:t>
            </w:r>
          </w:p>
        </w:tc>
      </w:tr>
      <w:tr w:rsidR="00FD7D59" w:rsidRPr="000530B1" w14:paraId="3218F859" w14:textId="77777777" w:rsidTr="001213B7">
        <w:tc>
          <w:tcPr>
            <w:tcW w:w="2641" w:type="dxa"/>
            <w:hideMark/>
          </w:tcPr>
          <w:p w14:paraId="5AD71978" w14:textId="77777777" w:rsidR="00FD7D59" w:rsidRPr="00537E71" w:rsidRDefault="00FD7D59" w:rsidP="001213B7">
            <w:pPr>
              <w:pStyle w:val="Body"/>
              <w:spacing w:before="60" w:after="60"/>
              <w:rPr>
                <w:rFonts w:cs="Arial"/>
              </w:rPr>
            </w:pPr>
            <w:r w:rsidRPr="00537E71">
              <w:rPr>
                <w:rFonts w:cs="Arial"/>
              </w:rPr>
              <w:t xml:space="preserve">Negative effect of financial circumstances on study </w:t>
            </w:r>
          </w:p>
        </w:tc>
        <w:tc>
          <w:tcPr>
            <w:tcW w:w="1863" w:type="dxa"/>
            <w:hideMark/>
          </w:tcPr>
          <w:p w14:paraId="08F9094F" w14:textId="77777777" w:rsidR="00FD7D59" w:rsidRPr="00537E71" w:rsidRDefault="00FD7D59" w:rsidP="001213B7">
            <w:pPr>
              <w:pStyle w:val="Body"/>
              <w:spacing w:before="60" w:after="60"/>
              <w:rPr>
                <w:rFonts w:cs="Arial"/>
              </w:rPr>
            </w:pPr>
            <w:r w:rsidRPr="00537E71">
              <w:rPr>
                <w:rFonts w:cs="Arial"/>
              </w:rPr>
              <w:t>24.9</w:t>
            </w:r>
          </w:p>
        </w:tc>
        <w:tc>
          <w:tcPr>
            <w:tcW w:w="1863" w:type="dxa"/>
            <w:hideMark/>
          </w:tcPr>
          <w:p w14:paraId="54E6C0B6" w14:textId="77777777" w:rsidR="00FD7D59" w:rsidRPr="00537E71" w:rsidRDefault="00FD7D59" w:rsidP="001213B7">
            <w:pPr>
              <w:pStyle w:val="Body"/>
              <w:spacing w:before="60" w:after="60"/>
              <w:rPr>
                <w:rFonts w:cs="Arial"/>
              </w:rPr>
            </w:pPr>
            <w:r w:rsidRPr="00537E71">
              <w:rPr>
                <w:rFonts w:cs="Arial"/>
              </w:rPr>
              <w:t>38.6</w:t>
            </w:r>
          </w:p>
        </w:tc>
        <w:tc>
          <w:tcPr>
            <w:tcW w:w="1863" w:type="dxa"/>
          </w:tcPr>
          <w:p w14:paraId="337BFBFB" w14:textId="77777777" w:rsidR="00FD7D59" w:rsidRPr="00537E71" w:rsidRDefault="00FD7D59" w:rsidP="001213B7">
            <w:pPr>
              <w:pStyle w:val="Body"/>
              <w:spacing w:before="60" w:after="60"/>
              <w:rPr>
                <w:rFonts w:cs="Arial"/>
              </w:rPr>
            </w:pPr>
            <w:r w:rsidRPr="00537E71">
              <w:rPr>
                <w:rFonts w:cs="Arial"/>
                <w:color w:val="000000"/>
              </w:rPr>
              <w:t>23.5</w:t>
            </w:r>
          </w:p>
        </w:tc>
        <w:tc>
          <w:tcPr>
            <w:tcW w:w="1863" w:type="dxa"/>
          </w:tcPr>
          <w:p w14:paraId="367E9B4F" w14:textId="77777777" w:rsidR="00FD7D59" w:rsidRPr="00537E71" w:rsidRDefault="00FD7D59" w:rsidP="001213B7">
            <w:pPr>
              <w:pStyle w:val="Body"/>
              <w:spacing w:before="60" w:after="60"/>
              <w:rPr>
                <w:rFonts w:cs="Arial"/>
              </w:rPr>
            </w:pPr>
            <w:r w:rsidRPr="00537E71">
              <w:rPr>
                <w:rFonts w:cs="Arial"/>
                <w:color w:val="000000"/>
              </w:rPr>
              <w:t>30.8</w:t>
            </w:r>
          </w:p>
        </w:tc>
      </w:tr>
      <w:tr w:rsidR="00FD7D59" w:rsidRPr="000530B1" w14:paraId="313F0A54" w14:textId="77777777" w:rsidTr="001213B7">
        <w:tc>
          <w:tcPr>
            <w:tcW w:w="2641" w:type="dxa"/>
            <w:hideMark/>
          </w:tcPr>
          <w:p w14:paraId="02FC2F39" w14:textId="05B3C6B0" w:rsidR="00FD7D59" w:rsidRPr="00537E71" w:rsidRDefault="00FD7D59" w:rsidP="001213B7">
            <w:pPr>
              <w:pStyle w:val="Body"/>
              <w:spacing w:before="60" w:after="60"/>
              <w:rPr>
                <w:rFonts w:cs="Arial"/>
              </w:rPr>
            </w:pPr>
            <w:r w:rsidRPr="00537E71">
              <w:rPr>
                <w:rFonts w:cs="Arial"/>
              </w:rPr>
              <w:t>Negative effect of paid work on</w:t>
            </w:r>
            <w:r w:rsidR="00F04168" w:rsidRPr="00537E71">
              <w:rPr>
                <w:rFonts w:cs="Arial"/>
              </w:rPr>
              <w:t> </w:t>
            </w:r>
            <w:r w:rsidRPr="00537E71">
              <w:rPr>
                <w:rFonts w:cs="Arial"/>
              </w:rPr>
              <w:t xml:space="preserve">study </w:t>
            </w:r>
          </w:p>
        </w:tc>
        <w:tc>
          <w:tcPr>
            <w:tcW w:w="1863" w:type="dxa"/>
            <w:hideMark/>
          </w:tcPr>
          <w:p w14:paraId="1FAC5CB9" w14:textId="77777777" w:rsidR="00FD7D59" w:rsidRPr="00537E71" w:rsidRDefault="00FD7D59" w:rsidP="001213B7">
            <w:pPr>
              <w:pStyle w:val="Body"/>
              <w:spacing w:before="60" w:after="60"/>
              <w:rPr>
                <w:rFonts w:cs="Arial"/>
              </w:rPr>
            </w:pPr>
            <w:r w:rsidRPr="00537E71">
              <w:rPr>
                <w:rFonts w:cs="Arial"/>
              </w:rPr>
              <w:t>36.8</w:t>
            </w:r>
          </w:p>
        </w:tc>
        <w:tc>
          <w:tcPr>
            <w:tcW w:w="1863" w:type="dxa"/>
            <w:hideMark/>
          </w:tcPr>
          <w:p w14:paraId="326DF5D5" w14:textId="77777777" w:rsidR="00FD7D59" w:rsidRPr="00537E71" w:rsidRDefault="00FD7D59" w:rsidP="001213B7">
            <w:pPr>
              <w:pStyle w:val="Body"/>
              <w:spacing w:before="60" w:after="60"/>
              <w:rPr>
                <w:rFonts w:cs="Arial"/>
              </w:rPr>
            </w:pPr>
            <w:r w:rsidRPr="00537E71">
              <w:rPr>
                <w:rFonts w:cs="Arial"/>
              </w:rPr>
              <w:t>45.5</w:t>
            </w:r>
          </w:p>
        </w:tc>
        <w:tc>
          <w:tcPr>
            <w:tcW w:w="1863" w:type="dxa"/>
          </w:tcPr>
          <w:p w14:paraId="3F7CC7F1" w14:textId="77777777" w:rsidR="00FD7D59" w:rsidRPr="00537E71" w:rsidRDefault="00FD7D59" w:rsidP="001213B7">
            <w:pPr>
              <w:pStyle w:val="Body"/>
              <w:spacing w:before="60" w:after="60"/>
              <w:rPr>
                <w:rFonts w:cs="Arial"/>
              </w:rPr>
            </w:pPr>
            <w:r w:rsidRPr="00537E71">
              <w:rPr>
                <w:rFonts w:cs="Arial"/>
                <w:color w:val="000000"/>
              </w:rPr>
              <w:t>43.4</w:t>
            </w:r>
          </w:p>
        </w:tc>
        <w:tc>
          <w:tcPr>
            <w:tcW w:w="1863" w:type="dxa"/>
          </w:tcPr>
          <w:p w14:paraId="310F410B" w14:textId="77777777" w:rsidR="00FD7D59" w:rsidRPr="00537E71" w:rsidRDefault="00FD7D59" w:rsidP="001213B7">
            <w:pPr>
              <w:pStyle w:val="Body"/>
              <w:spacing w:before="60" w:after="60"/>
              <w:rPr>
                <w:rFonts w:cs="Arial"/>
              </w:rPr>
            </w:pPr>
            <w:r w:rsidRPr="00537E71">
              <w:rPr>
                <w:rFonts w:cs="Arial"/>
                <w:color w:val="000000"/>
              </w:rPr>
              <w:t>47.4</w:t>
            </w:r>
          </w:p>
        </w:tc>
      </w:tr>
    </w:tbl>
    <w:p w14:paraId="6D72930F" w14:textId="77777777" w:rsidR="00F31456" w:rsidRPr="000530B1" w:rsidRDefault="00F31456" w:rsidP="00BD3AE0">
      <w:pPr>
        <w:pStyle w:val="Heading1numaccessible"/>
      </w:pPr>
      <w:bookmarkStart w:id="131" w:name="_Toc228442935"/>
      <w:bookmarkStart w:id="132" w:name="_Toc228444695"/>
      <w:bookmarkStart w:id="133" w:name="_Toc228442936"/>
      <w:bookmarkStart w:id="134" w:name="_Toc228444696"/>
      <w:bookmarkStart w:id="135" w:name="_Toc228442937"/>
      <w:bookmarkStart w:id="136" w:name="_Toc228444697"/>
      <w:bookmarkStart w:id="137" w:name="_Toc228442938"/>
      <w:bookmarkStart w:id="138" w:name="_Toc228444698"/>
      <w:bookmarkStart w:id="139" w:name="_Toc228442939"/>
      <w:bookmarkStart w:id="140" w:name="_Toc228444699"/>
      <w:bookmarkStart w:id="141" w:name="_Toc195645859"/>
      <w:bookmarkStart w:id="142" w:name="_Toc239764800"/>
      <w:bookmarkEnd w:id="131"/>
      <w:bookmarkEnd w:id="132"/>
      <w:bookmarkEnd w:id="133"/>
      <w:bookmarkEnd w:id="134"/>
      <w:bookmarkEnd w:id="135"/>
      <w:bookmarkEnd w:id="136"/>
      <w:bookmarkEnd w:id="137"/>
      <w:bookmarkEnd w:id="138"/>
      <w:bookmarkEnd w:id="139"/>
      <w:bookmarkEnd w:id="140"/>
      <w:r w:rsidRPr="000530B1">
        <w:lastRenderedPageBreak/>
        <w:t>Study area</w:t>
      </w:r>
      <w:bookmarkEnd w:id="141"/>
      <w:bookmarkEnd w:id="142"/>
    </w:p>
    <w:tbl>
      <w:tblPr>
        <w:tblStyle w:val="TableGrid"/>
        <w:tblW w:w="0" w:type="auto"/>
        <w:tblBorders>
          <w:top w:val="single" w:sz="18" w:space="0" w:color="C2185B"/>
          <w:left w:val="single" w:sz="18" w:space="0" w:color="C2185B"/>
          <w:bottom w:val="single" w:sz="18" w:space="0" w:color="C2185B"/>
          <w:right w:val="single" w:sz="18" w:space="0" w:color="C2185B"/>
          <w:insideH w:val="single" w:sz="18" w:space="0" w:color="C2185B"/>
          <w:insideV w:val="single" w:sz="18" w:space="0" w:color="C2185B"/>
        </w:tblBorders>
        <w:tblLook w:val="04A0" w:firstRow="1" w:lastRow="0" w:firstColumn="1" w:lastColumn="0" w:noHBand="0" w:noVBand="1"/>
      </w:tblPr>
      <w:tblGrid>
        <w:gridCol w:w="10091"/>
      </w:tblGrid>
      <w:tr w:rsidR="00E077B0" w14:paraId="1D2BBDB7" w14:textId="77777777" w:rsidTr="001473BE">
        <w:trPr>
          <w:cnfStyle w:val="100000000000" w:firstRow="1" w:lastRow="0" w:firstColumn="0" w:lastColumn="0" w:oddVBand="0" w:evenVBand="0" w:oddHBand="0" w:evenHBand="0" w:firstRowFirstColumn="0" w:firstRowLastColumn="0" w:lastRowFirstColumn="0" w:lastRowLastColumn="0"/>
        </w:trPr>
        <w:tc>
          <w:tcPr>
            <w:tcW w:w="10091" w:type="dxa"/>
            <w:vAlign w:val="top"/>
          </w:tcPr>
          <w:p w14:paraId="48FC96A3" w14:textId="6782624B" w:rsidR="00E077B0" w:rsidRPr="00E077B0" w:rsidRDefault="00E077B0" w:rsidP="007951B1">
            <w:pPr>
              <w:pStyle w:val="Body"/>
              <w:rPr>
                <w:b w:val="0"/>
                <w:bCs/>
              </w:rPr>
            </w:pPr>
            <w:r w:rsidRPr="00E077B0">
              <w:rPr>
                <w:b w:val="0"/>
                <w:bCs/>
              </w:rPr>
              <w:t>Across study areas, higher or lower Overall Educational Experience ratings generally align with higher or lower Teaching Quality and Engagement or Skills Development ratings, underscoring their importance in shaping students’ overall evaluations of their educational experience.</w:t>
            </w:r>
          </w:p>
        </w:tc>
      </w:tr>
    </w:tbl>
    <w:p w14:paraId="70632ED3" w14:textId="7D929AA2" w:rsidR="00927BE2" w:rsidRPr="000530B1" w:rsidRDefault="00913593" w:rsidP="00927BE2">
      <w:pPr>
        <w:pStyle w:val="Body"/>
        <w:tabs>
          <w:tab w:val="left" w:pos="2196"/>
        </w:tabs>
      </w:pPr>
      <w:r w:rsidRPr="000530B1">
        <w:rPr>
          <w:lang w:eastAsia="en-GB"/>
        </w:rPr>
        <w:t>Student</w:t>
      </w:r>
      <w:r w:rsidR="00B65AA4" w:rsidRPr="000530B1">
        <w:rPr>
          <w:lang w:eastAsia="en-GB"/>
        </w:rPr>
        <w:t xml:space="preserve"> ratings vary</w:t>
      </w:r>
      <w:r w:rsidR="00AE0005" w:rsidRPr="000530B1">
        <w:rPr>
          <w:lang w:eastAsia="en-GB"/>
        </w:rPr>
        <w:t xml:space="preserve"> across study areas. </w:t>
      </w:r>
      <w:r w:rsidR="006A5E85" w:rsidRPr="000530B1">
        <w:rPr>
          <w:lang w:eastAsia="en-GB"/>
        </w:rPr>
        <w:t>In 2025, undergraduate Overall Educational Experience</w:t>
      </w:r>
      <w:r w:rsidR="00853A32" w:rsidRPr="000530B1">
        <w:rPr>
          <w:lang w:eastAsia="en-GB"/>
        </w:rPr>
        <w:t xml:space="preserve"> ratings ranged from 86.6 per cent positive for Agriculture and environmental studies to </w:t>
      </w:r>
      <w:r w:rsidR="0073445D" w:rsidRPr="000530B1">
        <w:rPr>
          <w:lang w:eastAsia="en-GB"/>
        </w:rPr>
        <w:t>66.7 per cent for Computing and information systems</w:t>
      </w:r>
      <w:r w:rsidR="005558DE" w:rsidRPr="000530B1">
        <w:rPr>
          <w:lang w:eastAsia="en-GB"/>
        </w:rPr>
        <w:t xml:space="preserve"> (</w:t>
      </w:r>
      <w:r w:rsidR="00F45FA0" w:rsidRPr="000530B1">
        <w:rPr>
          <w:b/>
          <w:lang w:eastAsia="en-GB"/>
        </w:rPr>
        <w:t>Figure 35</w:t>
      </w:r>
      <w:r w:rsidR="005558DE" w:rsidRPr="000530B1">
        <w:rPr>
          <w:bCs/>
          <w:lang w:eastAsia="en-GB"/>
        </w:rPr>
        <w:t>)</w:t>
      </w:r>
      <w:r w:rsidR="005558DE" w:rsidRPr="000530B1">
        <w:rPr>
          <w:lang w:eastAsia="en-GB"/>
        </w:rPr>
        <w:t>.</w:t>
      </w:r>
    </w:p>
    <w:p w14:paraId="6A0C4059" w14:textId="57670007" w:rsidR="00F31456" w:rsidRPr="000530B1" w:rsidRDefault="000C6530" w:rsidP="00194EE0">
      <w:pPr>
        <w:pStyle w:val="Captionaccessible"/>
      </w:pPr>
      <w:bookmarkStart w:id="143" w:name="_Toc199513075"/>
      <w:bookmarkStart w:id="144" w:name="_Toc239764900"/>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35</w:t>
      </w:r>
      <w:r w:rsidR="00F45FA0">
        <w:rPr>
          <w:noProof/>
        </w:rPr>
        <w:fldChar w:fldCharType="end"/>
      </w:r>
      <w:r w:rsidR="001A2248" w:rsidRPr="000530B1">
        <w:tab/>
      </w:r>
      <w:r w:rsidR="00F31456" w:rsidRPr="000530B1">
        <w:t>Overall Educational Experience by study area, undergraduate, 2025 (%</w:t>
      </w:r>
      <w:r w:rsidR="00A935E5">
        <w:t> </w:t>
      </w:r>
      <w:r w:rsidR="00F31456" w:rsidRPr="000530B1">
        <w:t>positive</w:t>
      </w:r>
      <w:r w:rsidR="00A935E5">
        <w:t> </w:t>
      </w:r>
      <w:r w:rsidR="00F31456" w:rsidRPr="000530B1">
        <w:t>rating)</w:t>
      </w:r>
      <w:bookmarkEnd w:id="143"/>
      <w:bookmarkEnd w:id="144"/>
    </w:p>
    <w:p w14:paraId="2C740D6E" w14:textId="2FD7D3D4" w:rsidR="005A3109" w:rsidRPr="00F04168" w:rsidRDefault="00DC0DAD" w:rsidP="005D2CBA">
      <w:pPr>
        <w:pStyle w:val="Body"/>
        <w:spacing w:before="0" w:after="0"/>
        <w:rPr>
          <w:rFonts w:eastAsiaTheme="minorHAnsi"/>
        </w:rPr>
      </w:pPr>
      <w:r>
        <w:rPr>
          <w:rFonts w:eastAsiaTheme="minorHAnsi"/>
          <w:noProof/>
        </w:rPr>
        <w:drawing>
          <wp:inline distT="0" distB="0" distL="0" distR="0" wp14:anchorId="71887E53" wp14:editId="49CE1A53">
            <wp:extent cx="6408000" cy="7049119"/>
            <wp:effectExtent l="0" t="0" r="0" b="0"/>
            <wp:docPr id="100377048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08000" cy="7049119"/>
                    </a:xfrm>
                    <a:prstGeom prst="rect">
                      <a:avLst/>
                    </a:prstGeom>
                    <a:noFill/>
                  </pic:spPr>
                </pic:pic>
              </a:graphicData>
            </a:graphic>
          </wp:inline>
        </w:drawing>
      </w:r>
    </w:p>
    <w:p w14:paraId="02CB1142" w14:textId="216A6CA9" w:rsidR="00F31456" w:rsidRPr="000530B1" w:rsidRDefault="002B111F" w:rsidP="00F04168">
      <w:pPr>
        <w:pStyle w:val="Body"/>
        <w:rPr>
          <w:rFonts w:eastAsiaTheme="minorHAnsi"/>
          <w:lang w:val="en-GB" w:eastAsia="en-GB"/>
        </w:rPr>
      </w:pPr>
      <w:bookmarkStart w:id="145" w:name="_Hlk222148709"/>
      <w:r w:rsidRPr="000530B1">
        <w:rPr>
          <w:rFonts w:eastAsiaTheme="minorHAnsi"/>
          <w:lang w:val="en-GB" w:eastAsia="en-GB"/>
        </w:rPr>
        <w:lastRenderedPageBreak/>
        <w:t xml:space="preserve">In 2025, the </w:t>
      </w:r>
      <w:r w:rsidR="004E3385" w:rsidRPr="000530B1">
        <w:rPr>
          <w:rFonts w:eastAsiaTheme="minorHAnsi"/>
          <w:lang w:val="en-GB" w:eastAsia="en-GB"/>
        </w:rPr>
        <w:t>greatest</w:t>
      </w:r>
      <w:r w:rsidRPr="000530B1">
        <w:rPr>
          <w:rFonts w:eastAsiaTheme="minorHAnsi"/>
          <w:lang w:val="en-GB" w:eastAsia="en-GB"/>
        </w:rPr>
        <w:t xml:space="preserve"> variation in </w:t>
      </w:r>
      <w:r w:rsidR="004E3385" w:rsidRPr="000530B1">
        <w:rPr>
          <w:rFonts w:eastAsiaTheme="minorHAnsi"/>
          <w:lang w:val="en-GB" w:eastAsia="en-GB"/>
        </w:rPr>
        <w:t xml:space="preserve">focus area </w:t>
      </w:r>
      <w:r w:rsidRPr="000530B1">
        <w:rPr>
          <w:rFonts w:eastAsiaTheme="minorHAnsi"/>
          <w:lang w:val="en-GB" w:eastAsia="en-GB"/>
        </w:rPr>
        <w:t xml:space="preserve">ratings </w:t>
      </w:r>
      <w:r w:rsidR="004E3385" w:rsidRPr="000530B1">
        <w:rPr>
          <w:rFonts w:eastAsiaTheme="minorHAnsi"/>
          <w:lang w:val="en-GB" w:eastAsia="en-GB"/>
        </w:rPr>
        <w:t>across</w:t>
      </w:r>
      <w:r w:rsidRPr="000530B1">
        <w:rPr>
          <w:rFonts w:eastAsiaTheme="minorHAnsi"/>
          <w:lang w:val="en-GB" w:eastAsia="en-GB"/>
        </w:rPr>
        <w:t xml:space="preserve"> study areas was observed in the Peer Engagement focus area</w:t>
      </w:r>
      <w:r w:rsidR="006D4BBE" w:rsidRPr="000530B1">
        <w:rPr>
          <w:rFonts w:eastAsiaTheme="minorHAnsi"/>
          <w:lang w:val="en-GB" w:eastAsia="en-GB"/>
        </w:rPr>
        <w:t xml:space="preserve"> (</w:t>
      </w:r>
      <w:r w:rsidR="006D4BBE" w:rsidRPr="000530B1">
        <w:rPr>
          <w:rFonts w:eastAsiaTheme="minorHAnsi"/>
          <w:b/>
          <w:bCs/>
          <w:lang w:val="en-GB" w:eastAsia="en-GB"/>
        </w:rPr>
        <w:fldChar w:fldCharType="begin"/>
      </w:r>
      <w:r w:rsidR="006D4BBE" w:rsidRPr="000530B1">
        <w:rPr>
          <w:rFonts w:eastAsiaTheme="minorHAnsi"/>
          <w:b/>
          <w:bCs/>
          <w:lang w:val="en-GB" w:eastAsia="en-GB"/>
        </w:rPr>
        <w:instrText xml:space="preserve"> REF _Ref196824678 \h  \* MERGEFORMAT </w:instrText>
      </w:r>
      <w:r w:rsidR="006D4BBE" w:rsidRPr="000530B1">
        <w:rPr>
          <w:rFonts w:eastAsiaTheme="minorHAnsi"/>
          <w:b/>
          <w:bCs/>
          <w:lang w:val="en-GB" w:eastAsia="en-GB"/>
        </w:rPr>
      </w:r>
      <w:r w:rsidR="006D4BBE" w:rsidRPr="000530B1">
        <w:rPr>
          <w:rFonts w:eastAsiaTheme="minorHAnsi"/>
          <w:b/>
          <w:bCs/>
          <w:lang w:val="en-GB" w:eastAsia="en-GB"/>
        </w:rPr>
        <w:fldChar w:fldCharType="separate"/>
      </w:r>
      <w:r w:rsidR="001A2248" w:rsidRPr="000530B1">
        <w:rPr>
          <w:b/>
          <w:bCs/>
        </w:rPr>
        <w:t xml:space="preserve">Table </w:t>
      </w:r>
      <w:r w:rsidR="001A2248" w:rsidRPr="000530B1">
        <w:rPr>
          <w:b/>
          <w:bCs/>
          <w:noProof/>
        </w:rPr>
        <w:t>3</w:t>
      </w:r>
      <w:r w:rsidR="006D4BBE" w:rsidRPr="000530B1">
        <w:rPr>
          <w:rFonts w:eastAsiaTheme="minorHAnsi"/>
          <w:b/>
          <w:bCs/>
          <w:lang w:val="en-GB" w:eastAsia="en-GB"/>
        </w:rPr>
        <w:fldChar w:fldCharType="end"/>
      </w:r>
      <w:r w:rsidR="006D4BBE" w:rsidRPr="000530B1">
        <w:rPr>
          <w:rFonts w:eastAsiaTheme="minorHAnsi"/>
          <w:lang w:val="en-GB" w:eastAsia="en-GB"/>
        </w:rPr>
        <w:t>)</w:t>
      </w:r>
      <w:r w:rsidRPr="000530B1">
        <w:rPr>
          <w:rFonts w:eastAsiaTheme="minorHAnsi"/>
          <w:lang w:val="en-GB" w:eastAsia="en-GB"/>
        </w:rPr>
        <w:t>. This likely reflects differences in teaching and learning approaches across disciplines, including how courses are structured and delivered</w:t>
      </w:r>
      <w:r w:rsidR="006D4BBE" w:rsidRPr="000530B1">
        <w:rPr>
          <w:rFonts w:eastAsiaTheme="minorHAnsi"/>
          <w:lang w:val="en-GB" w:eastAsia="en-GB"/>
        </w:rPr>
        <w:t>, which would impact the frequency of interactions students have with their peers</w:t>
      </w:r>
      <w:r w:rsidRPr="000530B1">
        <w:rPr>
          <w:rFonts w:eastAsiaTheme="minorHAnsi"/>
          <w:lang w:val="en-GB" w:eastAsia="en-GB"/>
        </w:rPr>
        <w:t>.</w:t>
      </w:r>
      <w:r w:rsidR="00F31456" w:rsidRPr="000530B1">
        <w:rPr>
          <w:rFonts w:eastAsiaTheme="minorHAnsi"/>
          <w:lang w:val="en-GB" w:eastAsia="en-GB"/>
        </w:rPr>
        <w:t xml:space="preserve"> </w:t>
      </w:r>
    </w:p>
    <w:p w14:paraId="3B6F1147" w14:textId="6D1FCD2F" w:rsidR="002B1E3A" w:rsidRPr="000530B1" w:rsidRDefault="00F23F49" w:rsidP="002B1E3A">
      <w:pPr>
        <w:pStyle w:val="Body"/>
        <w:rPr>
          <w:rFonts w:eastAsiaTheme="minorHAnsi"/>
        </w:rPr>
      </w:pPr>
      <w:r w:rsidRPr="000530B1">
        <w:t>There</w:t>
      </w:r>
      <w:r w:rsidR="00953973" w:rsidRPr="000530B1">
        <w:t xml:space="preserve"> was no consistent relationship between ratings across individual focus areas and ratings of Overall Educational Experience. </w:t>
      </w:r>
      <w:r w:rsidR="002B1E3A" w:rsidRPr="000530B1">
        <w:t xml:space="preserve">However, </w:t>
      </w:r>
      <w:r w:rsidR="002B1E3A" w:rsidRPr="000530B1">
        <w:rPr>
          <w:b/>
          <w:bCs/>
        </w:rPr>
        <w:fldChar w:fldCharType="begin"/>
      </w:r>
      <w:r w:rsidR="002B1E3A" w:rsidRPr="000530B1">
        <w:rPr>
          <w:b/>
          <w:bCs/>
        </w:rPr>
        <w:instrText xml:space="preserve"> REF _Ref196824678 \h  \* MERGEFORMAT </w:instrText>
      </w:r>
      <w:r w:rsidR="002B1E3A" w:rsidRPr="000530B1">
        <w:rPr>
          <w:b/>
          <w:bCs/>
        </w:rPr>
      </w:r>
      <w:r w:rsidR="002B1E3A" w:rsidRPr="000530B1">
        <w:rPr>
          <w:b/>
          <w:bCs/>
        </w:rPr>
        <w:fldChar w:fldCharType="separate"/>
      </w:r>
      <w:r w:rsidR="001A2248" w:rsidRPr="000530B1">
        <w:rPr>
          <w:b/>
          <w:bCs/>
        </w:rPr>
        <w:t xml:space="preserve">Table </w:t>
      </w:r>
      <w:r w:rsidR="001A2248" w:rsidRPr="000530B1">
        <w:rPr>
          <w:b/>
          <w:bCs/>
          <w:noProof/>
        </w:rPr>
        <w:t>3</w:t>
      </w:r>
      <w:r w:rsidR="002B1E3A" w:rsidRPr="000530B1">
        <w:rPr>
          <w:b/>
          <w:bCs/>
        </w:rPr>
        <w:fldChar w:fldCharType="end"/>
      </w:r>
      <w:r w:rsidR="002B1E3A" w:rsidRPr="000530B1">
        <w:t xml:space="preserve"> shows that in general, high or low Overall Educational Experience ratings do correspond to high or low ratings (relative to the average) of Teaching Quality and Engagement or Skills Development. This underscores the importance of these two focus areas in students’ overall assessments of the quality of their educational experience.</w:t>
      </w:r>
    </w:p>
    <w:p w14:paraId="2EF6A22B" w14:textId="77777777" w:rsidR="002B1E3A" w:rsidRPr="00245D19" w:rsidRDefault="002B1E3A" w:rsidP="002B1E3A">
      <w:pPr>
        <w:pStyle w:val="Body"/>
      </w:pPr>
      <w:r w:rsidRPr="000530B1">
        <w:t>It should also be noted that broad disciplinary aggregations often hide much of the detail that is relevant to schools, faculties, and academic departments. More detailed SES results disaggregated by 45 study areas are available from the QILT website in the additional tables associated with this report.</w:t>
      </w:r>
      <w:r w:rsidRPr="00245D19">
        <w:rPr>
          <w:rStyle w:val="FootnoteReference"/>
          <w:sz w:val="20"/>
        </w:rPr>
        <w:footnoteReference w:id="6"/>
      </w:r>
      <w:r w:rsidRPr="00245D19">
        <w:t xml:space="preserve"> </w:t>
      </w:r>
    </w:p>
    <w:bookmarkEnd w:id="145"/>
    <w:p w14:paraId="2DAD2EFE" w14:textId="40184DC1" w:rsidR="00164480" w:rsidRPr="000530B1" w:rsidRDefault="00164480" w:rsidP="00F31456">
      <w:pPr>
        <w:pStyle w:val="Body"/>
        <w:rPr>
          <w:rFonts w:eastAsiaTheme="minorHAnsi" w:cs="Arial"/>
          <w:lang w:val="en-GB" w:eastAsia="en-GB"/>
        </w:rPr>
        <w:sectPr w:rsidR="00164480" w:rsidRPr="000530B1" w:rsidSect="002D7A52">
          <w:pgSz w:w="11900" w:h="16840"/>
          <w:pgMar w:top="1134" w:right="851" w:bottom="1134" w:left="851" w:header="567" w:footer="567" w:gutter="0"/>
          <w:cols w:space="708"/>
          <w:docGrid w:linePitch="360"/>
        </w:sectPr>
      </w:pPr>
    </w:p>
    <w:p w14:paraId="67F09E63" w14:textId="52814DDA" w:rsidR="00F31456" w:rsidRPr="000530B1" w:rsidRDefault="00F31456" w:rsidP="00257CDC">
      <w:pPr>
        <w:pStyle w:val="Captionaccessible"/>
      </w:pPr>
      <w:bookmarkStart w:id="146" w:name="_Ref193726808"/>
      <w:bookmarkStart w:id="147" w:name="_Ref196824678"/>
      <w:bookmarkStart w:id="148" w:name="_Ref195571342"/>
      <w:bookmarkStart w:id="149" w:name="_Toc199513038"/>
      <w:bookmarkStart w:id="150" w:name="_Toc239764863"/>
      <w:r w:rsidRPr="000530B1">
        <w:lastRenderedPageBreak/>
        <w:t xml:space="preserve">Table </w:t>
      </w:r>
      <w:bookmarkEnd w:id="146"/>
      <w:r w:rsidRPr="000530B1">
        <w:fldChar w:fldCharType="begin"/>
      </w:r>
      <w:r w:rsidRPr="000530B1">
        <w:instrText xml:space="preserve"> SEQ Table \* ARABIC </w:instrText>
      </w:r>
      <w:r w:rsidRPr="000530B1">
        <w:fldChar w:fldCharType="separate"/>
      </w:r>
      <w:r w:rsidR="0009233A" w:rsidRPr="000530B1">
        <w:rPr>
          <w:noProof/>
        </w:rPr>
        <w:t>3</w:t>
      </w:r>
      <w:r w:rsidRPr="000530B1">
        <w:fldChar w:fldCharType="end"/>
      </w:r>
      <w:bookmarkEnd w:id="147"/>
      <w:r w:rsidR="001A2248" w:rsidRPr="000530B1">
        <w:tab/>
      </w:r>
      <w:r w:rsidR="005D741F" w:rsidRPr="000530B1">
        <w:t>U</w:t>
      </w:r>
      <w:r w:rsidRPr="000530B1">
        <w:t>ndergraduate student experience by study area, 2025 (% positive rating)</w:t>
      </w:r>
      <w:bookmarkEnd w:id="148"/>
      <w:bookmarkEnd w:id="149"/>
      <w:bookmarkEnd w:id="150"/>
    </w:p>
    <w:tbl>
      <w:tblPr>
        <w:tblW w:w="15196" w:type="dxa"/>
        <w:tblLayout w:type="fixed"/>
        <w:tblLook w:val="04A0" w:firstRow="1" w:lastRow="0" w:firstColumn="1" w:lastColumn="0" w:noHBand="0" w:noVBand="1"/>
      </w:tblPr>
      <w:tblGrid>
        <w:gridCol w:w="3813"/>
        <w:gridCol w:w="1897"/>
        <w:gridCol w:w="1788"/>
        <w:gridCol w:w="2006"/>
        <w:gridCol w:w="1897"/>
        <w:gridCol w:w="1484"/>
        <w:gridCol w:w="2311"/>
      </w:tblGrid>
      <w:tr w:rsidR="007461CB" w:rsidRPr="000530B1" w14:paraId="728015FE" w14:textId="77777777" w:rsidTr="00257CDC">
        <w:trPr>
          <w:trHeight w:val="20"/>
          <w:tblHeader/>
        </w:trPr>
        <w:tc>
          <w:tcPr>
            <w:tcW w:w="3813" w:type="dxa"/>
            <w:tcBorders>
              <w:top w:val="single" w:sz="4" w:space="0" w:color="auto"/>
              <w:left w:val="single" w:sz="12" w:space="0" w:color="FFFFFF"/>
              <w:bottom w:val="single" w:sz="4" w:space="0" w:color="auto"/>
              <w:right w:val="single" w:sz="12" w:space="0" w:color="FFFFFF"/>
            </w:tcBorders>
            <w:shd w:val="clear" w:color="000000" w:fill="FFFFFF"/>
            <w:hideMark/>
          </w:tcPr>
          <w:p w14:paraId="36472929" w14:textId="77777777" w:rsidR="00F31456" w:rsidRPr="007858B1" w:rsidRDefault="00F31456" w:rsidP="00257CDC">
            <w:pPr>
              <w:spacing w:before="26" w:after="26"/>
              <w:ind w:left="57" w:right="57"/>
              <w:rPr>
                <w:rFonts w:eastAsia="Times New Roman" w:cs="Arial"/>
                <w:b/>
                <w:bCs/>
                <w:szCs w:val="20"/>
                <w:lang w:eastAsia="en-AU"/>
              </w:rPr>
            </w:pPr>
            <w:bookmarkStart w:id="151" w:name="_Hlk217218859"/>
            <w:r w:rsidRPr="007858B1">
              <w:rPr>
                <w:rFonts w:eastAsia="Times New Roman" w:cs="Arial"/>
                <w:b/>
                <w:bCs/>
                <w:szCs w:val="20"/>
                <w:lang w:eastAsia="en-AU"/>
              </w:rPr>
              <w:t>Study area</w:t>
            </w:r>
          </w:p>
        </w:tc>
        <w:tc>
          <w:tcPr>
            <w:tcW w:w="1897" w:type="dxa"/>
            <w:tcBorders>
              <w:top w:val="single" w:sz="4" w:space="0" w:color="auto"/>
              <w:left w:val="nil"/>
              <w:bottom w:val="single" w:sz="4" w:space="0" w:color="auto"/>
              <w:right w:val="single" w:sz="12" w:space="0" w:color="FFFFFF"/>
            </w:tcBorders>
            <w:shd w:val="clear" w:color="000000" w:fill="FFFFFF"/>
            <w:hideMark/>
          </w:tcPr>
          <w:p w14:paraId="6302CF80" w14:textId="77777777" w:rsidR="00F31456" w:rsidRPr="00772B5B" w:rsidRDefault="00F31456" w:rsidP="00257CDC">
            <w:pPr>
              <w:spacing w:before="26" w:after="26"/>
              <w:ind w:left="57" w:right="57"/>
              <w:rPr>
                <w:rFonts w:eastAsia="Times New Roman" w:cs="Arial"/>
                <w:b/>
                <w:bCs/>
                <w:szCs w:val="20"/>
                <w:lang w:eastAsia="en-AU"/>
              </w:rPr>
            </w:pPr>
            <w:r w:rsidRPr="00772B5B">
              <w:rPr>
                <w:rFonts w:eastAsia="Times New Roman" w:cs="Arial"/>
                <w:b/>
                <w:bCs/>
                <w:szCs w:val="20"/>
                <w:lang w:eastAsia="en-AU"/>
              </w:rPr>
              <w:t>Skills Development</w:t>
            </w:r>
          </w:p>
        </w:tc>
        <w:tc>
          <w:tcPr>
            <w:tcW w:w="1788" w:type="dxa"/>
            <w:tcBorders>
              <w:top w:val="single" w:sz="4" w:space="0" w:color="auto"/>
              <w:left w:val="nil"/>
              <w:bottom w:val="single" w:sz="4" w:space="0" w:color="auto"/>
              <w:right w:val="single" w:sz="12" w:space="0" w:color="FFFFFF"/>
            </w:tcBorders>
            <w:shd w:val="clear" w:color="000000" w:fill="FFFFFF"/>
            <w:hideMark/>
          </w:tcPr>
          <w:p w14:paraId="7DDF57E2" w14:textId="77777777" w:rsidR="00F31456" w:rsidRPr="00772B5B" w:rsidRDefault="00F31456" w:rsidP="00257CDC">
            <w:pPr>
              <w:spacing w:before="26" w:after="26"/>
              <w:ind w:left="57" w:right="57"/>
              <w:rPr>
                <w:rFonts w:eastAsia="Times New Roman" w:cs="Arial"/>
                <w:b/>
                <w:bCs/>
                <w:szCs w:val="20"/>
                <w:lang w:eastAsia="en-AU"/>
              </w:rPr>
            </w:pPr>
            <w:r w:rsidRPr="00772B5B">
              <w:rPr>
                <w:rFonts w:eastAsia="Times New Roman" w:cs="Arial"/>
                <w:b/>
                <w:bCs/>
                <w:szCs w:val="20"/>
                <w:lang w:eastAsia="en-AU"/>
              </w:rPr>
              <w:t>Peer Engagement</w:t>
            </w:r>
          </w:p>
        </w:tc>
        <w:tc>
          <w:tcPr>
            <w:tcW w:w="2006" w:type="dxa"/>
            <w:tcBorders>
              <w:top w:val="single" w:sz="4" w:space="0" w:color="auto"/>
              <w:left w:val="nil"/>
              <w:bottom w:val="single" w:sz="4" w:space="0" w:color="auto"/>
              <w:right w:val="single" w:sz="12" w:space="0" w:color="FFFFFF"/>
            </w:tcBorders>
            <w:shd w:val="clear" w:color="000000" w:fill="FFFFFF"/>
            <w:hideMark/>
          </w:tcPr>
          <w:p w14:paraId="7C3B7900" w14:textId="77777777" w:rsidR="00F31456" w:rsidRPr="00772B5B" w:rsidRDefault="00F31456" w:rsidP="00257CDC">
            <w:pPr>
              <w:spacing w:before="26" w:after="26"/>
              <w:ind w:left="57" w:right="57"/>
              <w:rPr>
                <w:rFonts w:eastAsia="Times New Roman" w:cs="Arial"/>
                <w:b/>
                <w:bCs/>
                <w:szCs w:val="20"/>
                <w:lang w:eastAsia="en-AU"/>
              </w:rPr>
            </w:pPr>
            <w:r w:rsidRPr="00772B5B">
              <w:rPr>
                <w:rFonts w:eastAsia="Times New Roman" w:cs="Arial"/>
                <w:b/>
                <w:bCs/>
                <w:szCs w:val="20"/>
                <w:lang w:eastAsia="en-AU"/>
              </w:rPr>
              <w:t>Teaching Quality and Engagement</w:t>
            </w:r>
          </w:p>
        </w:tc>
        <w:tc>
          <w:tcPr>
            <w:tcW w:w="1897" w:type="dxa"/>
            <w:tcBorders>
              <w:top w:val="single" w:sz="4" w:space="0" w:color="auto"/>
              <w:left w:val="nil"/>
              <w:bottom w:val="single" w:sz="4" w:space="0" w:color="auto"/>
              <w:right w:val="single" w:sz="12" w:space="0" w:color="FFFFFF"/>
            </w:tcBorders>
            <w:shd w:val="clear" w:color="000000" w:fill="FFFFFF"/>
            <w:hideMark/>
          </w:tcPr>
          <w:p w14:paraId="109DF79A" w14:textId="77777777" w:rsidR="00F31456" w:rsidRPr="00772B5B" w:rsidRDefault="00F31456" w:rsidP="00257CDC">
            <w:pPr>
              <w:spacing w:before="26" w:after="26"/>
              <w:ind w:left="57" w:right="57"/>
              <w:rPr>
                <w:rFonts w:eastAsia="Times New Roman" w:cs="Arial"/>
                <w:b/>
                <w:bCs/>
                <w:szCs w:val="20"/>
                <w:lang w:eastAsia="en-AU"/>
              </w:rPr>
            </w:pPr>
            <w:r w:rsidRPr="00772B5B">
              <w:rPr>
                <w:rFonts w:eastAsia="Times New Roman" w:cs="Arial"/>
                <w:b/>
                <w:bCs/>
                <w:szCs w:val="20"/>
                <w:lang w:eastAsia="en-AU"/>
              </w:rPr>
              <w:t>Student Support and Services</w:t>
            </w:r>
          </w:p>
        </w:tc>
        <w:tc>
          <w:tcPr>
            <w:tcW w:w="1484" w:type="dxa"/>
            <w:tcBorders>
              <w:top w:val="single" w:sz="4" w:space="0" w:color="auto"/>
              <w:left w:val="nil"/>
              <w:bottom w:val="single" w:sz="4" w:space="0" w:color="auto"/>
              <w:right w:val="single" w:sz="12" w:space="0" w:color="FFFFFF"/>
            </w:tcBorders>
            <w:shd w:val="clear" w:color="000000" w:fill="FFFFFF"/>
            <w:hideMark/>
          </w:tcPr>
          <w:p w14:paraId="17309980" w14:textId="77777777" w:rsidR="00F31456" w:rsidRPr="00772B5B" w:rsidRDefault="00F31456" w:rsidP="00257CDC">
            <w:pPr>
              <w:spacing w:before="26" w:after="26"/>
              <w:ind w:left="57" w:right="57"/>
              <w:rPr>
                <w:rFonts w:eastAsia="Times New Roman" w:cs="Arial"/>
                <w:b/>
                <w:bCs/>
                <w:szCs w:val="20"/>
                <w:lang w:eastAsia="en-AU"/>
              </w:rPr>
            </w:pPr>
            <w:r w:rsidRPr="00772B5B">
              <w:rPr>
                <w:rFonts w:eastAsia="Times New Roman" w:cs="Arial"/>
                <w:b/>
                <w:bCs/>
                <w:szCs w:val="20"/>
                <w:lang w:eastAsia="en-AU"/>
              </w:rPr>
              <w:t>Learning Resources</w:t>
            </w:r>
          </w:p>
        </w:tc>
        <w:tc>
          <w:tcPr>
            <w:tcW w:w="2311" w:type="dxa"/>
            <w:tcBorders>
              <w:top w:val="single" w:sz="4" w:space="0" w:color="auto"/>
              <w:left w:val="nil"/>
              <w:bottom w:val="single" w:sz="4" w:space="0" w:color="auto"/>
              <w:right w:val="single" w:sz="12" w:space="0" w:color="FFFFFF"/>
            </w:tcBorders>
            <w:shd w:val="clear" w:color="000000" w:fill="FFFFFF"/>
            <w:hideMark/>
          </w:tcPr>
          <w:p w14:paraId="3E7D9313" w14:textId="77777777" w:rsidR="00F31456" w:rsidRPr="00772B5B" w:rsidRDefault="00F31456" w:rsidP="00257CDC">
            <w:pPr>
              <w:spacing w:before="26" w:after="26"/>
              <w:ind w:left="57" w:right="57"/>
              <w:rPr>
                <w:rFonts w:eastAsia="Times New Roman" w:cs="Arial"/>
                <w:b/>
                <w:bCs/>
                <w:szCs w:val="20"/>
                <w:lang w:eastAsia="en-AU"/>
              </w:rPr>
            </w:pPr>
            <w:r w:rsidRPr="00772B5B">
              <w:rPr>
                <w:rFonts w:eastAsia="Times New Roman" w:cs="Arial"/>
                <w:b/>
                <w:bCs/>
                <w:szCs w:val="20"/>
                <w:lang w:eastAsia="en-AU"/>
              </w:rPr>
              <w:t>Overall Educational Experience</w:t>
            </w:r>
          </w:p>
        </w:tc>
      </w:tr>
      <w:tr w:rsidR="007461CB" w:rsidRPr="000530B1" w14:paraId="393C6307" w14:textId="77777777" w:rsidTr="00257CDC">
        <w:trPr>
          <w:trHeight w:val="20"/>
        </w:trPr>
        <w:tc>
          <w:tcPr>
            <w:tcW w:w="3813" w:type="dxa"/>
            <w:tcBorders>
              <w:top w:val="nil"/>
              <w:left w:val="nil"/>
              <w:bottom w:val="single" w:sz="4" w:space="0" w:color="auto"/>
              <w:right w:val="nil"/>
            </w:tcBorders>
            <w:noWrap/>
            <w:hideMark/>
          </w:tcPr>
          <w:p w14:paraId="36D8A62A"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Agriculture and environmental studies</w:t>
            </w:r>
          </w:p>
        </w:tc>
        <w:tc>
          <w:tcPr>
            <w:tcW w:w="1897" w:type="dxa"/>
            <w:tcBorders>
              <w:top w:val="single" w:sz="4" w:space="0" w:color="auto"/>
              <w:left w:val="nil"/>
              <w:bottom w:val="single" w:sz="4" w:space="0" w:color="auto"/>
              <w:right w:val="nil"/>
            </w:tcBorders>
            <w:shd w:val="clear" w:color="000000" w:fill="F1F7D6"/>
            <w:noWrap/>
            <w:hideMark/>
          </w:tcPr>
          <w:p w14:paraId="306B5A8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84.2</w:t>
            </w:r>
          </w:p>
        </w:tc>
        <w:tc>
          <w:tcPr>
            <w:tcW w:w="1788" w:type="dxa"/>
            <w:tcBorders>
              <w:top w:val="single" w:sz="4" w:space="0" w:color="auto"/>
              <w:left w:val="nil"/>
              <w:bottom w:val="single" w:sz="4" w:space="0" w:color="auto"/>
              <w:right w:val="nil"/>
            </w:tcBorders>
            <w:shd w:val="clear" w:color="000000" w:fill="FDEEE5"/>
            <w:noWrap/>
            <w:hideMark/>
          </w:tcPr>
          <w:p w14:paraId="217C822D"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58.8</w:t>
            </w:r>
          </w:p>
        </w:tc>
        <w:tc>
          <w:tcPr>
            <w:tcW w:w="2006" w:type="dxa"/>
            <w:tcBorders>
              <w:top w:val="single" w:sz="4" w:space="0" w:color="auto"/>
              <w:left w:val="nil"/>
              <w:bottom w:val="single" w:sz="4" w:space="0" w:color="auto"/>
              <w:right w:val="nil"/>
            </w:tcBorders>
            <w:shd w:val="clear" w:color="000000" w:fill="D3E483"/>
            <w:noWrap/>
            <w:hideMark/>
          </w:tcPr>
          <w:p w14:paraId="409AB45E"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88.7</w:t>
            </w:r>
          </w:p>
        </w:tc>
        <w:tc>
          <w:tcPr>
            <w:tcW w:w="1897" w:type="dxa"/>
            <w:tcBorders>
              <w:top w:val="single" w:sz="4" w:space="0" w:color="auto"/>
              <w:left w:val="nil"/>
              <w:bottom w:val="single" w:sz="4" w:space="0" w:color="auto"/>
              <w:right w:val="nil"/>
            </w:tcBorders>
            <w:shd w:val="clear" w:color="000000" w:fill="F2F7DA"/>
            <w:noWrap/>
            <w:hideMark/>
          </w:tcPr>
          <w:p w14:paraId="0A06409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74.0</w:t>
            </w:r>
          </w:p>
        </w:tc>
        <w:tc>
          <w:tcPr>
            <w:tcW w:w="1484" w:type="dxa"/>
            <w:tcBorders>
              <w:top w:val="single" w:sz="4" w:space="0" w:color="auto"/>
              <w:left w:val="nil"/>
              <w:bottom w:val="single" w:sz="4" w:space="0" w:color="auto"/>
              <w:right w:val="nil"/>
            </w:tcBorders>
            <w:shd w:val="clear" w:color="000000" w:fill="D3E483"/>
            <w:noWrap/>
            <w:hideMark/>
          </w:tcPr>
          <w:p w14:paraId="2CE8641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89.7</w:t>
            </w:r>
          </w:p>
        </w:tc>
        <w:tc>
          <w:tcPr>
            <w:tcW w:w="2311" w:type="dxa"/>
            <w:tcBorders>
              <w:top w:val="single" w:sz="4" w:space="0" w:color="auto"/>
              <w:left w:val="nil"/>
              <w:bottom w:val="single" w:sz="4" w:space="0" w:color="auto"/>
              <w:right w:val="nil"/>
            </w:tcBorders>
            <w:shd w:val="clear" w:color="000000" w:fill="D3E483"/>
            <w:noWrap/>
            <w:hideMark/>
          </w:tcPr>
          <w:p w14:paraId="6A5425D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86.6</w:t>
            </w:r>
          </w:p>
        </w:tc>
      </w:tr>
      <w:tr w:rsidR="007461CB" w:rsidRPr="000530B1" w14:paraId="0391E542" w14:textId="77777777" w:rsidTr="00257CDC">
        <w:trPr>
          <w:trHeight w:val="20"/>
        </w:trPr>
        <w:tc>
          <w:tcPr>
            <w:tcW w:w="3813" w:type="dxa"/>
            <w:tcBorders>
              <w:top w:val="nil"/>
              <w:left w:val="nil"/>
              <w:bottom w:val="single" w:sz="4" w:space="0" w:color="auto"/>
              <w:right w:val="nil"/>
            </w:tcBorders>
            <w:noWrap/>
            <w:hideMark/>
          </w:tcPr>
          <w:p w14:paraId="5CAFC6AD"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Architecture and built environment</w:t>
            </w:r>
          </w:p>
        </w:tc>
        <w:tc>
          <w:tcPr>
            <w:tcW w:w="1897" w:type="dxa"/>
            <w:tcBorders>
              <w:top w:val="single" w:sz="4" w:space="0" w:color="auto"/>
              <w:left w:val="nil"/>
              <w:bottom w:val="single" w:sz="4" w:space="0" w:color="auto"/>
              <w:right w:val="nil"/>
            </w:tcBorders>
            <w:shd w:val="clear" w:color="000000" w:fill="FBD8C4"/>
            <w:noWrap/>
            <w:hideMark/>
          </w:tcPr>
          <w:p w14:paraId="5E65D175"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78.8</w:t>
            </w:r>
          </w:p>
        </w:tc>
        <w:tc>
          <w:tcPr>
            <w:tcW w:w="1788" w:type="dxa"/>
            <w:tcBorders>
              <w:top w:val="single" w:sz="4" w:space="0" w:color="auto"/>
              <w:left w:val="nil"/>
              <w:bottom w:val="single" w:sz="4" w:space="0" w:color="auto"/>
              <w:right w:val="nil"/>
            </w:tcBorders>
            <w:shd w:val="clear" w:color="000000" w:fill="F8FBEA"/>
            <w:noWrap/>
            <w:hideMark/>
          </w:tcPr>
          <w:p w14:paraId="032163F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65.1</w:t>
            </w:r>
          </w:p>
        </w:tc>
        <w:tc>
          <w:tcPr>
            <w:tcW w:w="2006" w:type="dxa"/>
            <w:tcBorders>
              <w:top w:val="single" w:sz="4" w:space="0" w:color="auto"/>
              <w:left w:val="nil"/>
              <w:bottom w:val="single" w:sz="4" w:space="0" w:color="auto"/>
              <w:right w:val="nil"/>
            </w:tcBorders>
            <w:shd w:val="clear" w:color="000000" w:fill="FDE9DD"/>
            <w:noWrap/>
            <w:hideMark/>
          </w:tcPr>
          <w:p w14:paraId="3304311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78.9</w:t>
            </w:r>
          </w:p>
        </w:tc>
        <w:tc>
          <w:tcPr>
            <w:tcW w:w="1897" w:type="dxa"/>
            <w:tcBorders>
              <w:top w:val="single" w:sz="4" w:space="0" w:color="auto"/>
              <w:left w:val="nil"/>
              <w:bottom w:val="single" w:sz="4" w:space="0" w:color="auto"/>
              <w:right w:val="nil"/>
            </w:tcBorders>
            <w:shd w:val="clear" w:color="000000" w:fill="F9C1A0"/>
            <w:noWrap/>
            <w:hideMark/>
          </w:tcPr>
          <w:p w14:paraId="42DB90E7"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67.4</w:t>
            </w:r>
          </w:p>
        </w:tc>
        <w:tc>
          <w:tcPr>
            <w:tcW w:w="1484" w:type="dxa"/>
            <w:tcBorders>
              <w:top w:val="single" w:sz="4" w:space="0" w:color="auto"/>
              <w:left w:val="nil"/>
              <w:bottom w:val="single" w:sz="4" w:space="0" w:color="auto"/>
              <w:right w:val="nil"/>
            </w:tcBorders>
            <w:shd w:val="clear" w:color="000000" w:fill="FBD7C2"/>
            <w:noWrap/>
            <w:hideMark/>
          </w:tcPr>
          <w:p w14:paraId="7C52C71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79.3</w:t>
            </w:r>
          </w:p>
        </w:tc>
        <w:tc>
          <w:tcPr>
            <w:tcW w:w="2311" w:type="dxa"/>
            <w:tcBorders>
              <w:top w:val="single" w:sz="4" w:space="0" w:color="auto"/>
              <w:left w:val="nil"/>
              <w:bottom w:val="single" w:sz="4" w:space="0" w:color="auto"/>
              <w:right w:val="nil"/>
            </w:tcBorders>
            <w:shd w:val="clear" w:color="000000" w:fill="FDE7DB"/>
            <w:noWrap/>
            <w:hideMark/>
          </w:tcPr>
          <w:p w14:paraId="0EAC5051"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73.7</w:t>
            </w:r>
          </w:p>
        </w:tc>
      </w:tr>
      <w:tr w:rsidR="007461CB" w:rsidRPr="000530B1" w14:paraId="6EF32426" w14:textId="77777777" w:rsidTr="00257CDC">
        <w:trPr>
          <w:trHeight w:val="20"/>
        </w:trPr>
        <w:tc>
          <w:tcPr>
            <w:tcW w:w="3813" w:type="dxa"/>
            <w:tcBorders>
              <w:top w:val="nil"/>
              <w:left w:val="nil"/>
              <w:bottom w:val="single" w:sz="4" w:space="0" w:color="auto"/>
              <w:right w:val="nil"/>
            </w:tcBorders>
            <w:noWrap/>
            <w:hideMark/>
          </w:tcPr>
          <w:p w14:paraId="0F14C070"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Business and management</w:t>
            </w:r>
          </w:p>
        </w:tc>
        <w:tc>
          <w:tcPr>
            <w:tcW w:w="1897" w:type="dxa"/>
            <w:tcBorders>
              <w:top w:val="single" w:sz="4" w:space="0" w:color="auto"/>
              <w:left w:val="nil"/>
              <w:bottom w:val="single" w:sz="4" w:space="0" w:color="auto"/>
              <w:right w:val="nil"/>
            </w:tcBorders>
            <w:shd w:val="clear" w:color="000000" w:fill="FBD3BB"/>
            <w:noWrap/>
            <w:hideMark/>
          </w:tcPr>
          <w:p w14:paraId="2A2749A7"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78.4</w:t>
            </w:r>
          </w:p>
        </w:tc>
        <w:tc>
          <w:tcPr>
            <w:tcW w:w="1788" w:type="dxa"/>
            <w:tcBorders>
              <w:top w:val="single" w:sz="4" w:space="0" w:color="auto"/>
              <w:left w:val="nil"/>
              <w:bottom w:val="single" w:sz="4" w:space="0" w:color="auto"/>
              <w:right w:val="nil"/>
            </w:tcBorders>
            <w:shd w:val="clear" w:color="000000" w:fill="FBFDF2"/>
            <w:noWrap/>
            <w:hideMark/>
          </w:tcPr>
          <w:p w14:paraId="404151A7"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63.8</w:t>
            </w:r>
          </w:p>
        </w:tc>
        <w:tc>
          <w:tcPr>
            <w:tcW w:w="2006" w:type="dxa"/>
            <w:tcBorders>
              <w:top w:val="single" w:sz="4" w:space="0" w:color="auto"/>
              <w:left w:val="nil"/>
              <w:bottom w:val="single" w:sz="4" w:space="0" w:color="auto"/>
              <w:right w:val="nil"/>
            </w:tcBorders>
            <w:shd w:val="clear" w:color="000000" w:fill="FACBB0"/>
            <w:noWrap/>
            <w:hideMark/>
          </w:tcPr>
          <w:p w14:paraId="24E6402C"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76.7</w:t>
            </w:r>
          </w:p>
        </w:tc>
        <w:tc>
          <w:tcPr>
            <w:tcW w:w="1897" w:type="dxa"/>
            <w:tcBorders>
              <w:top w:val="single" w:sz="4" w:space="0" w:color="auto"/>
              <w:left w:val="nil"/>
              <w:bottom w:val="single" w:sz="4" w:space="0" w:color="auto"/>
              <w:right w:val="nil"/>
            </w:tcBorders>
            <w:shd w:val="clear" w:color="000000" w:fill="F5F9E1"/>
            <w:noWrap/>
            <w:hideMark/>
          </w:tcPr>
          <w:p w14:paraId="30389CEB"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73.5</w:t>
            </w:r>
          </w:p>
        </w:tc>
        <w:tc>
          <w:tcPr>
            <w:tcW w:w="1484" w:type="dxa"/>
            <w:tcBorders>
              <w:top w:val="single" w:sz="4" w:space="0" w:color="auto"/>
              <w:left w:val="nil"/>
              <w:bottom w:val="single" w:sz="4" w:space="0" w:color="auto"/>
              <w:right w:val="nil"/>
            </w:tcBorders>
            <w:shd w:val="clear" w:color="000000" w:fill="FEF8F4"/>
            <w:noWrap/>
            <w:hideMark/>
          </w:tcPr>
          <w:p w14:paraId="06E8C169"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82.6</w:t>
            </w:r>
          </w:p>
        </w:tc>
        <w:tc>
          <w:tcPr>
            <w:tcW w:w="2311" w:type="dxa"/>
            <w:tcBorders>
              <w:top w:val="single" w:sz="4" w:space="0" w:color="auto"/>
              <w:left w:val="nil"/>
              <w:bottom w:val="single" w:sz="4" w:space="0" w:color="auto"/>
              <w:right w:val="nil"/>
            </w:tcBorders>
            <w:shd w:val="clear" w:color="000000" w:fill="FCE1D1"/>
            <w:noWrap/>
            <w:hideMark/>
          </w:tcPr>
          <w:p w14:paraId="2A508B0C"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73.0</w:t>
            </w:r>
          </w:p>
        </w:tc>
      </w:tr>
      <w:tr w:rsidR="007461CB" w:rsidRPr="000530B1" w14:paraId="5E18CB84" w14:textId="77777777" w:rsidTr="00257CDC">
        <w:trPr>
          <w:trHeight w:val="20"/>
        </w:trPr>
        <w:tc>
          <w:tcPr>
            <w:tcW w:w="3813" w:type="dxa"/>
            <w:tcBorders>
              <w:top w:val="nil"/>
              <w:left w:val="nil"/>
              <w:bottom w:val="single" w:sz="4" w:space="0" w:color="auto"/>
              <w:right w:val="nil"/>
            </w:tcBorders>
            <w:noWrap/>
            <w:hideMark/>
          </w:tcPr>
          <w:p w14:paraId="00BEA904"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Communications</w:t>
            </w:r>
          </w:p>
        </w:tc>
        <w:tc>
          <w:tcPr>
            <w:tcW w:w="1897" w:type="dxa"/>
            <w:tcBorders>
              <w:top w:val="single" w:sz="4" w:space="0" w:color="auto"/>
              <w:left w:val="nil"/>
              <w:bottom w:val="single" w:sz="4" w:space="0" w:color="auto"/>
              <w:right w:val="nil"/>
            </w:tcBorders>
            <w:shd w:val="clear" w:color="000000" w:fill="F8FBE9"/>
            <w:noWrap/>
            <w:hideMark/>
          </w:tcPr>
          <w:p w14:paraId="2D669E73"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82.9</w:t>
            </w:r>
          </w:p>
        </w:tc>
        <w:tc>
          <w:tcPr>
            <w:tcW w:w="1788" w:type="dxa"/>
            <w:tcBorders>
              <w:top w:val="single" w:sz="4" w:space="0" w:color="auto"/>
              <w:left w:val="nil"/>
              <w:bottom w:val="single" w:sz="4" w:space="0" w:color="auto"/>
              <w:right w:val="nil"/>
            </w:tcBorders>
            <w:shd w:val="clear" w:color="000000" w:fill="F1F6D6"/>
            <w:noWrap/>
            <w:hideMark/>
          </w:tcPr>
          <w:p w14:paraId="54D96AC2"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68.7</w:t>
            </w:r>
          </w:p>
        </w:tc>
        <w:tc>
          <w:tcPr>
            <w:tcW w:w="2006" w:type="dxa"/>
            <w:tcBorders>
              <w:top w:val="single" w:sz="4" w:space="0" w:color="auto"/>
              <w:left w:val="nil"/>
              <w:bottom w:val="single" w:sz="4" w:space="0" w:color="auto"/>
              <w:right w:val="nil"/>
            </w:tcBorders>
            <w:shd w:val="clear" w:color="000000" w:fill="F0F6D4"/>
            <w:noWrap/>
            <w:hideMark/>
          </w:tcPr>
          <w:p w14:paraId="33E176AC"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83.4</w:t>
            </w:r>
          </w:p>
        </w:tc>
        <w:tc>
          <w:tcPr>
            <w:tcW w:w="1897" w:type="dxa"/>
            <w:tcBorders>
              <w:top w:val="single" w:sz="4" w:space="0" w:color="auto"/>
              <w:left w:val="nil"/>
              <w:bottom w:val="single" w:sz="4" w:space="0" w:color="auto"/>
              <w:right w:val="nil"/>
            </w:tcBorders>
            <w:shd w:val="clear" w:color="000000" w:fill="FCDCC9"/>
            <w:noWrap/>
            <w:hideMark/>
          </w:tcPr>
          <w:p w14:paraId="6B926CB7"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69.1</w:t>
            </w:r>
          </w:p>
        </w:tc>
        <w:tc>
          <w:tcPr>
            <w:tcW w:w="1484" w:type="dxa"/>
            <w:tcBorders>
              <w:top w:val="single" w:sz="4" w:space="0" w:color="auto"/>
              <w:left w:val="nil"/>
              <w:bottom w:val="single" w:sz="4" w:space="0" w:color="auto"/>
              <w:right w:val="nil"/>
            </w:tcBorders>
            <w:shd w:val="clear" w:color="000000" w:fill="F2F7D9"/>
            <w:noWrap/>
            <w:hideMark/>
          </w:tcPr>
          <w:p w14:paraId="6B618637"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85.3</w:t>
            </w:r>
          </w:p>
        </w:tc>
        <w:tc>
          <w:tcPr>
            <w:tcW w:w="2311" w:type="dxa"/>
            <w:tcBorders>
              <w:top w:val="single" w:sz="4" w:space="0" w:color="auto"/>
              <w:left w:val="nil"/>
              <w:bottom w:val="single" w:sz="4" w:space="0" w:color="auto"/>
              <w:right w:val="nil"/>
            </w:tcBorders>
            <w:shd w:val="clear" w:color="000000" w:fill="FCFDF4"/>
            <w:noWrap/>
            <w:hideMark/>
          </w:tcPr>
          <w:p w14:paraId="1766CED0"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77.4</w:t>
            </w:r>
          </w:p>
        </w:tc>
      </w:tr>
      <w:tr w:rsidR="007461CB" w:rsidRPr="000530B1" w14:paraId="76B65534" w14:textId="77777777" w:rsidTr="00257CDC">
        <w:trPr>
          <w:trHeight w:val="20"/>
        </w:trPr>
        <w:tc>
          <w:tcPr>
            <w:tcW w:w="3813" w:type="dxa"/>
            <w:tcBorders>
              <w:top w:val="nil"/>
              <w:left w:val="nil"/>
              <w:bottom w:val="single" w:sz="4" w:space="0" w:color="auto"/>
              <w:right w:val="nil"/>
            </w:tcBorders>
            <w:noWrap/>
            <w:hideMark/>
          </w:tcPr>
          <w:p w14:paraId="78446B81"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Computing and information systems</w:t>
            </w:r>
          </w:p>
        </w:tc>
        <w:tc>
          <w:tcPr>
            <w:tcW w:w="1897" w:type="dxa"/>
            <w:tcBorders>
              <w:top w:val="single" w:sz="4" w:space="0" w:color="auto"/>
              <w:left w:val="nil"/>
              <w:bottom w:val="single" w:sz="4" w:space="0" w:color="auto"/>
              <w:right w:val="nil"/>
            </w:tcBorders>
            <w:shd w:val="clear" w:color="000000" w:fill="F8AD81"/>
            <w:noWrap/>
            <w:hideMark/>
          </w:tcPr>
          <w:p w14:paraId="73DD2AEC"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75.8</w:t>
            </w:r>
          </w:p>
        </w:tc>
        <w:tc>
          <w:tcPr>
            <w:tcW w:w="1788" w:type="dxa"/>
            <w:tcBorders>
              <w:top w:val="single" w:sz="4" w:space="0" w:color="auto"/>
              <w:left w:val="nil"/>
              <w:bottom w:val="single" w:sz="4" w:space="0" w:color="auto"/>
              <w:right w:val="nil"/>
            </w:tcBorders>
            <w:shd w:val="clear" w:color="000000" w:fill="FDFEF9"/>
            <w:noWrap/>
            <w:hideMark/>
          </w:tcPr>
          <w:p w14:paraId="06C491B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62.6</w:t>
            </w:r>
          </w:p>
        </w:tc>
        <w:tc>
          <w:tcPr>
            <w:tcW w:w="2006" w:type="dxa"/>
            <w:tcBorders>
              <w:top w:val="single" w:sz="4" w:space="0" w:color="auto"/>
              <w:left w:val="nil"/>
              <w:bottom w:val="single" w:sz="4" w:space="0" w:color="auto"/>
              <w:right w:val="nil"/>
            </w:tcBorders>
            <w:shd w:val="clear" w:color="000000" w:fill="F8AF85"/>
            <w:noWrap/>
            <w:hideMark/>
          </w:tcPr>
          <w:p w14:paraId="3E166482"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74.6</w:t>
            </w:r>
          </w:p>
        </w:tc>
        <w:tc>
          <w:tcPr>
            <w:tcW w:w="1897" w:type="dxa"/>
            <w:tcBorders>
              <w:top w:val="single" w:sz="4" w:space="0" w:color="auto"/>
              <w:left w:val="nil"/>
              <w:bottom w:val="single" w:sz="4" w:space="0" w:color="auto"/>
              <w:right w:val="nil"/>
            </w:tcBorders>
            <w:shd w:val="clear" w:color="000000" w:fill="F9FBEC"/>
            <w:noWrap/>
            <w:hideMark/>
          </w:tcPr>
          <w:p w14:paraId="7C1A98F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72.7</w:t>
            </w:r>
          </w:p>
        </w:tc>
        <w:tc>
          <w:tcPr>
            <w:tcW w:w="1484" w:type="dxa"/>
            <w:tcBorders>
              <w:top w:val="single" w:sz="4" w:space="0" w:color="auto"/>
              <w:left w:val="nil"/>
              <w:bottom w:val="single" w:sz="4" w:space="0" w:color="auto"/>
              <w:right w:val="nil"/>
            </w:tcBorders>
            <w:shd w:val="clear" w:color="000000" w:fill="FCE6D9"/>
            <w:noWrap/>
            <w:hideMark/>
          </w:tcPr>
          <w:p w14:paraId="236ABEA8"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80.8</w:t>
            </w:r>
          </w:p>
        </w:tc>
        <w:tc>
          <w:tcPr>
            <w:tcW w:w="2311" w:type="dxa"/>
            <w:tcBorders>
              <w:top w:val="single" w:sz="4" w:space="0" w:color="auto"/>
              <w:left w:val="nil"/>
              <w:bottom w:val="single" w:sz="4" w:space="0" w:color="auto"/>
              <w:right w:val="nil"/>
            </w:tcBorders>
            <w:shd w:val="clear" w:color="000000" w:fill="F8AD81"/>
            <w:noWrap/>
            <w:hideMark/>
          </w:tcPr>
          <w:p w14:paraId="5120E9CE"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66.7</w:t>
            </w:r>
          </w:p>
        </w:tc>
      </w:tr>
      <w:tr w:rsidR="007461CB" w:rsidRPr="000530B1" w14:paraId="374A476E" w14:textId="77777777" w:rsidTr="00257CDC">
        <w:trPr>
          <w:trHeight w:val="20"/>
        </w:trPr>
        <w:tc>
          <w:tcPr>
            <w:tcW w:w="3813" w:type="dxa"/>
            <w:tcBorders>
              <w:top w:val="nil"/>
              <w:left w:val="nil"/>
              <w:bottom w:val="single" w:sz="4" w:space="0" w:color="auto"/>
              <w:right w:val="nil"/>
            </w:tcBorders>
            <w:noWrap/>
            <w:hideMark/>
          </w:tcPr>
          <w:p w14:paraId="4BEFB622"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Creative arts</w:t>
            </w:r>
          </w:p>
        </w:tc>
        <w:tc>
          <w:tcPr>
            <w:tcW w:w="1897" w:type="dxa"/>
            <w:tcBorders>
              <w:top w:val="single" w:sz="4" w:space="0" w:color="auto"/>
              <w:left w:val="nil"/>
              <w:bottom w:val="single" w:sz="4" w:space="0" w:color="auto"/>
              <w:right w:val="nil"/>
            </w:tcBorders>
            <w:shd w:val="clear" w:color="000000" w:fill="FAFCF1"/>
            <w:noWrap/>
            <w:hideMark/>
          </w:tcPr>
          <w:p w14:paraId="462B1523"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82.4</w:t>
            </w:r>
          </w:p>
        </w:tc>
        <w:tc>
          <w:tcPr>
            <w:tcW w:w="1788" w:type="dxa"/>
            <w:tcBorders>
              <w:top w:val="single" w:sz="4" w:space="0" w:color="auto"/>
              <w:left w:val="nil"/>
              <w:bottom w:val="single" w:sz="4" w:space="0" w:color="auto"/>
              <w:right w:val="nil"/>
            </w:tcBorders>
            <w:shd w:val="clear" w:color="000000" w:fill="EFF5D1"/>
            <w:noWrap/>
            <w:hideMark/>
          </w:tcPr>
          <w:p w14:paraId="7DD6B0EF"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69.6</w:t>
            </w:r>
          </w:p>
        </w:tc>
        <w:tc>
          <w:tcPr>
            <w:tcW w:w="2006" w:type="dxa"/>
            <w:tcBorders>
              <w:top w:val="single" w:sz="4" w:space="0" w:color="auto"/>
              <w:left w:val="nil"/>
              <w:bottom w:val="single" w:sz="4" w:space="0" w:color="auto"/>
              <w:right w:val="nil"/>
            </w:tcBorders>
            <w:shd w:val="clear" w:color="000000" w:fill="E8F1BD"/>
            <w:noWrap/>
            <w:hideMark/>
          </w:tcPr>
          <w:p w14:paraId="304EBD22"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84.9</w:t>
            </w:r>
          </w:p>
        </w:tc>
        <w:tc>
          <w:tcPr>
            <w:tcW w:w="1897" w:type="dxa"/>
            <w:tcBorders>
              <w:top w:val="single" w:sz="4" w:space="0" w:color="auto"/>
              <w:left w:val="nil"/>
              <w:bottom w:val="single" w:sz="4" w:space="0" w:color="auto"/>
              <w:right w:val="nil"/>
            </w:tcBorders>
            <w:shd w:val="clear" w:color="000000" w:fill="FAC4A5"/>
            <w:noWrap/>
            <w:hideMark/>
          </w:tcPr>
          <w:p w14:paraId="57BA8203"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67.6</w:t>
            </w:r>
          </w:p>
        </w:tc>
        <w:tc>
          <w:tcPr>
            <w:tcW w:w="1484" w:type="dxa"/>
            <w:tcBorders>
              <w:top w:val="single" w:sz="4" w:space="0" w:color="auto"/>
              <w:left w:val="nil"/>
              <w:bottom w:val="single" w:sz="4" w:space="0" w:color="auto"/>
              <w:right w:val="nil"/>
            </w:tcBorders>
            <w:shd w:val="clear" w:color="000000" w:fill="FDE8DC"/>
            <w:noWrap/>
            <w:hideMark/>
          </w:tcPr>
          <w:p w14:paraId="291AA3EE"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81.0</w:t>
            </w:r>
          </w:p>
        </w:tc>
        <w:tc>
          <w:tcPr>
            <w:tcW w:w="2311" w:type="dxa"/>
            <w:tcBorders>
              <w:top w:val="single" w:sz="4" w:space="0" w:color="auto"/>
              <w:left w:val="nil"/>
              <w:bottom w:val="single" w:sz="4" w:space="0" w:color="auto"/>
              <w:right w:val="nil"/>
            </w:tcBorders>
            <w:shd w:val="clear" w:color="000000" w:fill="F9FBEC"/>
            <w:noWrap/>
            <w:hideMark/>
          </w:tcPr>
          <w:p w14:paraId="7E0F9815"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78.1</w:t>
            </w:r>
          </w:p>
        </w:tc>
      </w:tr>
      <w:tr w:rsidR="007461CB" w:rsidRPr="000530B1" w14:paraId="688DD992" w14:textId="77777777" w:rsidTr="00257CDC">
        <w:trPr>
          <w:trHeight w:val="20"/>
        </w:trPr>
        <w:tc>
          <w:tcPr>
            <w:tcW w:w="3813" w:type="dxa"/>
            <w:tcBorders>
              <w:top w:val="nil"/>
              <w:left w:val="nil"/>
              <w:bottom w:val="single" w:sz="4" w:space="0" w:color="auto"/>
              <w:right w:val="nil"/>
            </w:tcBorders>
            <w:noWrap/>
            <w:hideMark/>
          </w:tcPr>
          <w:p w14:paraId="37A30CB8"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Dentistry</w:t>
            </w:r>
          </w:p>
        </w:tc>
        <w:tc>
          <w:tcPr>
            <w:tcW w:w="1897" w:type="dxa"/>
            <w:tcBorders>
              <w:top w:val="single" w:sz="4" w:space="0" w:color="auto"/>
              <w:left w:val="nil"/>
              <w:bottom w:val="single" w:sz="4" w:space="0" w:color="auto"/>
              <w:right w:val="nil"/>
            </w:tcBorders>
            <w:shd w:val="clear" w:color="000000" w:fill="EDF4CC"/>
            <w:noWrap/>
            <w:hideMark/>
          </w:tcPr>
          <w:p w14:paraId="052BCCCF"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84.9</w:t>
            </w:r>
          </w:p>
        </w:tc>
        <w:tc>
          <w:tcPr>
            <w:tcW w:w="1788" w:type="dxa"/>
            <w:tcBorders>
              <w:top w:val="single" w:sz="4" w:space="0" w:color="auto"/>
              <w:left w:val="nil"/>
              <w:bottom w:val="single" w:sz="4" w:space="0" w:color="auto"/>
              <w:right w:val="nil"/>
            </w:tcBorders>
            <w:shd w:val="clear" w:color="000000" w:fill="E6F0B8"/>
            <w:noWrap/>
            <w:hideMark/>
          </w:tcPr>
          <w:p w14:paraId="7C5CCC21"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73.9</w:t>
            </w:r>
          </w:p>
        </w:tc>
        <w:tc>
          <w:tcPr>
            <w:tcW w:w="2006" w:type="dxa"/>
            <w:tcBorders>
              <w:top w:val="single" w:sz="4" w:space="0" w:color="auto"/>
              <w:left w:val="nil"/>
              <w:bottom w:val="single" w:sz="4" w:space="0" w:color="auto"/>
              <w:right w:val="nil"/>
            </w:tcBorders>
            <w:shd w:val="clear" w:color="000000" w:fill="F8AD81"/>
            <w:noWrap/>
            <w:hideMark/>
          </w:tcPr>
          <w:p w14:paraId="0F10114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74.4</w:t>
            </w:r>
          </w:p>
        </w:tc>
        <w:tc>
          <w:tcPr>
            <w:tcW w:w="1897" w:type="dxa"/>
            <w:tcBorders>
              <w:top w:val="single" w:sz="4" w:space="0" w:color="auto"/>
              <w:left w:val="nil"/>
              <w:bottom w:val="single" w:sz="4" w:space="0" w:color="auto"/>
              <w:right w:val="nil"/>
            </w:tcBorders>
            <w:shd w:val="clear" w:color="000000" w:fill="F8AD81"/>
            <w:noWrap/>
            <w:hideMark/>
          </w:tcPr>
          <w:p w14:paraId="76731A2B"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66.1</w:t>
            </w:r>
          </w:p>
        </w:tc>
        <w:tc>
          <w:tcPr>
            <w:tcW w:w="1484" w:type="dxa"/>
            <w:tcBorders>
              <w:top w:val="single" w:sz="4" w:space="0" w:color="auto"/>
              <w:left w:val="nil"/>
              <w:bottom w:val="single" w:sz="4" w:space="0" w:color="auto"/>
              <w:right w:val="nil"/>
            </w:tcBorders>
            <w:shd w:val="clear" w:color="000000" w:fill="F8AD81"/>
            <w:noWrap/>
            <w:hideMark/>
          </w:tcPr>
          <w:p w14:paraId="38BFD3DD"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75.0</w:t>
            </w:r>
          </w:p>
        </w:tc>
        <w:tc>
          <w:tcPr>
            <w:tcW w:w="2311" w:type="dxa"/>
            <w:tcBorders>
              <w:top w:val="single" w:sz="4" w:space="0" w:color="auto"/>
              <w:left w:val="nil"/>
              <w:bottom w:val="single" w:sz="4" w:space="0" w:color="auto"/>
              <w:right w:val="nil"/>
            </w:tcBorders>
            <w:shd w:val="clear" w:color="000000" w:fill="FBDBC7"/>
            <w:noWrap/>
            <w:hideMark/>
          </w:tcPr>
          <w:p w14:paraId="322FA30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72.2</w:t>
            </w:r>
          </w:p>
        </w:tc>
      </w:tr>
      <w:tr w:rsidR="007461CB" w:rsidRPr="000530B1" w14:paraId="0CDF9007" w14:textId="77777777" w:rsidTr="00257CDC">
        <w:trPr>
          <w:trHeight w:val="20"/>
        </w:trPr>
        <w:tc>
          <w:tcPr>
            <w:tcW w:w="3813" w:type="dxa"/>
            <w:tcBorders>
              <w:top w:val="nil"/>
              <w:left w:val="nil"/>
              <w:bottom w:val="single" w:sz="4" w:space="0" w:color="auto"/>
              <w:right w:val="nil"/>
            </w:tcBorders>
            <w:noWrap/>
            <w:hideMark/>
          </w:tcPr>
          <w:p w14:paraId="24E09F51"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Engineering</w:t>
            </w:r>
          </w:p>
        </w:tc>
        <w:tc>
          <w:tcPr>
            <w:tcW w:w="1897" w:type="dxa"/>
            <w:tcBorders>
              <w:top w:val="single" w:sz="4" w:space="0" w:color="auto"/>
              <w:left w:val="nil"/>
              <w:bottom w:val="single" w:sz="4" w:space="0" w:color="auto"/>
              <w:right w:val="nil"/>
            </w:tcBorders>
            <w:shd w:val="clear" w:color="000000" w:fill="FBD4BD"/>
            <w:noWrap/>
            <w:hideMark/>
          </w:tcPr>
          <w:p w14:paraId="584CA1C5"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78.5</w:t>
            </w:r>
          </w:p>
        </w:tc>
        <w:tc>
          <w:tcPr>
            <w:tcW w:w="1788" w:type="dxa"/>
            <w:tcBorders>
              <w:top w:val="single" w:sz="4" w:space="0" w:color="auto"/>
              <w:left w:val="nil"/>
              <w:bottom w:val="single" w:sz="4" w:space="0" w:color="auto"/>
              <w:right w:val="nil"/>
            </w:tcBorders>
            <w:shd w:val="clear" w:color="000000" w:fill="F8FBEB"/>
            <w:noWrap/>
            <w:hideMark/>
          </w:tcPr>
          <w:p w14:paraId="0EE6D70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64.9</w:t>
            </w:r>
          </w:p>
        </w:tc>
        <w:tc>
          <w:tcPr>
            <w:tcW w:w="2006" w:type="dxa"/>
            <w:tcBorders>
              <w:top w:val="single" w:sz="4" w:space="0" w:color="auto"/>
              <w:left w:val="nil"/>
              <w:bottom w:val="single" w:sz="4" w:space="0" w:color="auto"/>
              <w:right w:val="nil"/>
            </w:tcBorders>
            <w:shd w:val="clear" w:color="000000" w:fill="F8B58D"/>
            <w:noWrap/>
            <w:hideMark/>
          </w:tcPr>
          <w:p w14:paraId="48D35CC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75.0</w:t>
            </w:r>
          </w:p>
        </w:tc>
        <w:tc>
          <w:tcPr>
            <w:tcW w:w="1897" w:type="dxa"/>
            <w:tcBorders>
              <w:top w:val="single" w:sz="4" w:space="0" w:color="auto"/>
              <w:left w:val="nil"/>
              <w:bottom w:val="single" w:sz="4" w:space="0" w:color="auto"/>
              <w:right w:val="nil"/>
            </w:tcBorders>
            <w:shd w:val="clear" w:color="000000" w:fill="FBD9C4"/>
            <w:noWrap/>
            <w:hideMark/>
          </w:tcPr>
          <w:p w14:paraId="6F9A9A6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68.9</w:t>
            </w:r>
          </w:p>
        </w:tc>
        <w:tc>
          <w:tcPr>
            <w:tcW w:w="1484" w:type="dxa"/>
            <w:tcBorders>
              <w:top w:val="single" w:sz="4" w:space="0" w:color="auto"/>
              <w:left w:val="nil"/>
              <w:bottom w:val="single" w:sz="4" w:space="0" w:color="auto"/>
              <w:right w:val="nil"/>
            </w:tcBorders>
            <w:shd w:val="clear" w:color="000000" w:fill="FAFCF0"/>
            <w:noWrap/>
            <w:hideMark/>
          </w:tcPr>
          <w:p w14:paraId="19223B09"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84.1</w:t>
            </w:r>
          </w:p>
        </w:tc>
        <w:tc>
          <w:tcPr>
            <w:tcW w:w="2311" w:type="dxa"/>
            <w:tcBorders>
              <w:top w:val="single" w:sz="4" w:space="0" w:color="auto"/>
              <w:left w:val="nil"/>
              <w:bottom w:val="single" w:sz="4" w:space="0" w:color="auto"/>
              <w:right w:val="nil"/>
            </w:tcBorders>
            <w:shd w:val="clear" w:color="000000" w:fill="FBD5BF"/>
            <w:noWrap/>
            <w:hideMark/>
          </w:tcPr>
          <w:p w14:paraId="513F8509"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71.6</w:t>
            </w:r>
          </w:p>
        </w:tc>
      </w:tr>
      <w:tr w:rsidR="007461CB" w:rsidRPr="000530B1" w14:paraId="181BD45F" w14:textId="77777777" w:rsidTr="00257CDC">
        <w:trPr>
          <w:trHeight w:val="20"/>
        </w:trPr>
        <w:tc>
          <w:tcPr>
            <w:tcW w:w="3813" w:type="dxa"/>
            <w:tcBorders>
              <w:top w:val="nil"/>
              <w:left w:val="nil"/>
              <w:bottom w:val="single" w:sz="4" w:space="0" w:color="auto"/>
              <w:right w:val="nil"/>
            </w:tcBorders>
            <w:noWrap/>
            <w:hideMark/>
          </w:tcPr>
          <w:p w14:paraId="77A50347"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Health services and support</w:t>
            </w:r>
          </w:p>
        </w:tc>
        <w:tc>
          <w:tcPr>
            <w:tcW w:w="1897" w:type="dxa"/>
            <w:tcBorders>
              <w:top w:val="single" w:sz="4" w:space="0" w:color="auto"/>
              <w:left w:val="nil"/>
              <w:bottom w:val="single" w:sz="4" w:space="0" w:color="auto"/>
              <w:right w:val="nil"/>
            </w:tcBorders>
            <w:shd w:val="clear" w:color="000000" w:fill="F9FBEC"/>
            <w:noWrap/>
            <w:hideMark/>
          </w:tcPr>
          <w:p w14:paraId="107BB77A"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82.7</w:t>
            </w:r>
          </w:p>
        </w:tc>
        <w:tc>
          <w:tcPr>
            <w:tcW w:w="1788" w:type="dxa"/>
            <w:tcBorders>
              <w:top w:val="single" w:sz="4" w:space="0" w:color="auto"/>
              <w:left w:val="nil"/>
              <w:bottom w:val="single" w:sz="4" w:space="0" w:color="auto"/>
              <w:right w:val="nil"/>
            </w:tcBorders>
            <w:shd w:val="clear" w:color="000000" w:fill="FDE9DE"/>
            <w:noWrap/>
            <w:hideMark/>
          </w:tcPr>
          <w:p w14:paraId="753A8062"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58.1</w:t>
            </w:r>
          </w:p>
        </w:tc>
        <w:tc>
          <w:tcPr>
            <w:tcW w:w="2006" w:type="dxa"/>
            <w:tcBorders>
              <w:top w:val="single" w:sz="4" w:space="0" w:color="auto"/>
              <w:left w:val="nil"/>
              <w:bottom w:val="single" w:sz="4" w:space="0" w:color="auto"/>
              <w:right w:val="nil"/>
            </w:tcBorders>
            <w:shd w:val="clear" w:color="000000" w:fill="F0F6D5"/>
            <w:noWrap/>
            <w:hideMark/>
          </w:tcPr>
          <w:p w14:paraId="605C313A"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83.3</w:t>
            </w:r>
          </w:p>
        </w:tc>
        <w:tc>
          <w:tcPr>
            <w:tcW w:w="1897" w:type="dxa"/>
            <w:tcBorders>
              <w:top w:val="single" w:sz="4" w:space="0" w:color="auto"/>
              <w:left w:val="nil"/>
              <w:bottom w:val="single" w:sz="4" w:space="0" w:color="auto"/>
              <w:right w:val="nil"/>
            </w:tcBorders>
            <w:shd w:val="clear" w:color="000000" w:fill="F8FBEB"/>
            <w:noWrap/>
            <w:hideMark/>
          </w:tcPr>
          <w:p w14:paraId="4BD96133"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72.8</w:t>
            </w:r>
          </w:p>
        </w:tc>
        <w:tc>
          <w:tcPr>
            <w:tcW w:w="1484" w:type="dxa"/>
            <w:tcBorders>
              <w:top w:val="single" w:sz="4" w:space="0" w:color="auto"/>
              <w:left w:val="nil"/>
              <w:bottom w:val="single" w:sz="4" w:space="0" w:color="auto"/>
              <w:right w:val="nil"/>
            </w:tcBorders>
            <w:shd w:val="clear" w:color="000000" w:fill="FBFDF2"/>
            <w:noWrap/>
            <w:hideMark/>
          </w:tcPr>
          <w:p w14:paraId="6D72C747"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84.0</w:t>
            </w:r>
          </w:p>
        </w:tc>
        <w:tc>
          <w:tcPr>
            <w:tcW w:w="2311" w:type="dxa"/>
            <w:tcBorders>
              <w:top w:val="single" w:sz="4" w:space="0" w:color="auto"/>
              <w:left w:val="nil"/>
              <w:bottom w:val="single" w:sz="4" w:space="0" w:color="auto"/>
              <w:right w:val="nil"/>
            </w:tcBorders>
            <w:shd w:val="clear" w:color="000000" w:fill="F1F6D6"/>
            <w:noWrap/>
            <w:hideMark/>
          </w:tcPr>
          <w:p w14:paraId="6753E241"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79.9</w:t>
            </w:r>
          </w:p>
        </w:tc>
      </w:tr>
      <w:tr w:rsidR="007461CB" w:rsidRPr="000530B1" w14:paraId="5403CF12" w14:textId="77777777" w:rsidTr="00257CDC">
        <w:trPr>
          <w:trHeight w:val="20"/>
        </w:trPr>
        <w:tc>
          <w:tcPr>
            <w:tcW w:w="3813" w:type="dxa"/>
            <w:tcBorders>
              <w:top w:val="nil"/>
              <w:left w:val="nil"/>
              <w:bottom w:val="single" w:sz="4" w:space="0" w:color="auto"/>
              <w:right w:val="nil"/>
            </w:tcBorders>
            <w:noWrap/>
            <w:hideMark/>
          </w:tcPr>
          <w:p w14:paraId="7EAF048B"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Humanities, culture and social sciences</w:t>
            </w:r>
          </w:p>
        </w:tc>
        <w:tc>
          <w:tcPr>
            <w:tcW w:w="1897" w:type="dxa"/>
            <w:tcBorders>
              <w:top w:val="single" w:sz="4" w:space="0" w:color="auto"/>
              <w:left w:val="nil"/>
              <w:bottom w:val="single" w:sz="4" w:space="0" w:color="auto"/>
              <w:right w:val="nil"/>
            </w:tcBorders>
            <w:shd w:val="clear" w:color="000000" w:fill="FDF3EC"/>
            <w:noWrap/>
            <w:hideMark/>
          </w:tcPr>
          <w:p w14:paraId="1B4E4601"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80.6</w:t>
            </w:r>
          </w:p>
        </w:tc>
        <w:tc>
          <w:tcPr>
            <w:tcW w:w="1788" w:type="dxa"/>
            <w:tcBorders>
              <w:top w:val="single" w:sz="4" w:space="0" w:color="auto"/>
              <w:left w:val="nil"/>
              <w:bottom w:val="single" w:sz="4" w:space="0" w:color="auto"/>
              <w:right w:val="nil"/>
            </w:tcBorders>
            <w:shd w:val="clear" w:color="000000" w:fill="FBD9C5"/>
            <w:noWrap/>
            <w:hideMark/>
          </w:tcPr>
          <w:p w14:paraId="24E0516F"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55.6</w:t>
            </w:r>
          </w:p>
        </w:tc>
        <w:tc>
          <w:tcPr>
            <w:tcW w:w="2006" w:type="dxa"/>
            <w:tcBorders>
              <w:top w:val="single" w:sz="4" w:space="0" w:color="auto"/>
              <w:left w:val="nil"/>
              <w:bottom w:val="single" w:sz="4" w:space="0" w:color="auto"/>
              <w:right w:val="nil"/>
            </w:tcBorders>
            <w:shd w:val="clear" w:color="000000" w:fill="ECF4C9"/>
            <w:noWrap/>
            <w:hideMark/>
          </w:tcPr>
          <w:p w14:paraId="4CA0C439"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84.1</w:t>
            </w:r>
          </w:p>
        </w:tc>
        <w:tc>
          <w:tcPr>
            <w:tcW w:w="1897" w:type="dxa"/>
            <w:tcBorders>
              <w:top w:val="single" w:sz="4" w:space="0" w:color="auto"/>
              <w:left w:val="nil"/>
              <w:bottom w:val="single" w:sz="4" w:space="0" w:color="auto"/>
              <w:right w:val="nil"/>
            </w:tcBorders>
            <w:shd w:val="clear" w:color="000000" w:fill="F9BE9B"/>
            <w:noWrap/>
            <w:hideMark/>
          </w:tcPr>
          <w:p w14:paraId="4E94A1B0"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67.2</w:t>
            </w:r>
          </w:p>
        </w:tc>
        <w:tc>
          <w:tcPr>
            <w:tcW w:w="1484" w:type="dxa"/>
            <w:tcBorders>
              <w:top w:val="single" w:sz="4" w:space="0" w:color="auto"/>
              <w:left w:val="nil"/>
              <w:bottom w:val="single" w:sz="4" w:space="0" w:color="auto"/>
              <w:right w:val="nil"/>
            </w:tcBorders>
            <w:shd w:val="clear" w:color="000000" w:fill="F9FCEE"/>
            <w:noWrap/>
            <w:hideMark/>
          </w:tcPr>
          <w:p w14:paraId="370BB4C1"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84.2</w:t>
            </w:r>
          </w:p>
        </w:tc>
        <w:tc>
          <w:tcPr>
            <w:tcW w:w="2311" w:type="dxa"/>
            <w:tcBorders>
              <w:top w:val="single" w:sz="4" w:space="0" w:color="auto"/>
              <w:left w:val="nil"/>
              <w:bottom w:val="single" w:sz="4" w:space="0" w:color="auto"/>
              <w:right w:val="nil"/>
            </w:tcBorders>
            <w:shd w:val="clear" w:color="000000" w:fill="F6FAE4"/>
            <w:noWrap/>
            <w:hideMark/>
          </w:tcPr>
          <w:p w14:paraId="57222575"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78.7</w:t>
            </w:r>
          </w:p>
        </w:tc>
      </w:tr>
      <w:tr w:rsidR="007461CB" w:rsidRPr="000530B1" w14:paraId="3A4E9BA9" w14:textId="77777777" w:rsidTr="00257CDC">
        <w:trPr>
          <w:trHeight w:val="20"/>
        </w:trPr>
        <w:tc>
          <w:tcPr>
            <w:tcW w:w="3813" w:type="dxa"/>
            <w:tcBorders>
              <w:top w:val="nil"/>
              <w:left w:val="nil"/>
              <w:bottom w:val="single" w:sz="4" w:space="0" w:color="auto"/>
              <w:right w:val="nil"/>
            </w:tcBorders>
            <w:noWrap/>
            <w:hideMark/>
          </w:tcPr>
          <w:p w14:paraId="312BD003"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Law and paralegal studies</w:t>
            </w:r>
          </w:p>
        </w:tc>
        <w:tc>
          <w:tcPr>
            <w:tcW w:w="1897" w:type="dxa"/>
            <w:tcBorders>
              <w:top w:val="single" w:sz="4" w:space="0" w:color="auto"/>
              <w:left w:val="nil"/>
              <w:bottom w:val="single" w:sz="4" w:space="0" w:color="auto"/>
              <w:right w:val="nil"/>
            </w:tcBorders>
            <w:shd w:val="clear" w:color="000000" w:fill="EEF5CD"/>
            <w:noWrap/>
            <w:hideMark/>
          </w:tcPr>
          <w:p w14:paraId="78D7E132"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84.8</w:t>
            </w:r>
          </w:p>
        </w:tc>
        <w:tc>
          <w:tcPr>
            <w:tcW w:w="1788" w:type="dxa"/>
            <w:tcBorders>
              <w:top w:val="single" w:sz="4" w:space="0" w:color="auto"/>
              <w:left w:val="nil"/>
              <w:bottom w:val="single" w:sz="4" w:space="0" w:color="auto"/>
              <w:right w:val="nil"/>
            </w:tcBorders>
            <w:shd w:val="clear" w:color="000000" w:fill="FBD4BE"/>
            <w:noWrap/>
            <w:hideMark/>
          </w:tcPr>
          <w:p w14:paraId="0CE740C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54.8</w:t>
            </w:r>
          </w:p>
        </w:tc>
        <w:tc>
          <w:tcPr>
            <w:tcW w:w="2006" w:type="dxa"/>
            <w:tcBorders>
              <w:top w:val="single" w:sz="4" w:space="0" w:color="auto"/>
              <w:left w:val="nil"/>
              <w:bottom w:val="single" w:sz="4" w:space="0" w:color="auto"/>
              <w:right w:val="nil"/>
            </w:tcBorders>
            <w:shd w:val="clear" w:color="000000" w:fill="F1F7D7"/>
            <w:noWrap/>
            <w:hideMark/>
          </w:tcPr>
          <w:p w14:paraId="1EAC4D9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83.2</w:t>
            </w:r>
          </w:p>
        </w:tc>
        <w:tc>
          <w:tcPr>
            <w:tcW w:w="1897" w:type="dxa"/>
            <w:tcBorders>
              <w:top w:val="single" w:sz="4" w:space="0" w:color="auto"/>
              <w:left w:val="nil"/>
              <w:bottom w:val="single" w:sz="4" w:space="0" w:color="auto"/>
              <w:right w:val="nil"/>
            </w:tcBorders>
            <w:shd w:val="clear" w:color="000000" w:fill="FBDAC7"/>
            <w:noWrap/>
            <w:hideMark/>
          </w:tcPr>
          <w:p w14:paraId="532937AD"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69.0</w:t>
            </w:r>
          </w:p>
        </w:tc>
        <w:tc>
          <w:tcPr>
            <w:tcW w:w="1484" w:type="dxa"/>
            <w:tcBorders>
              <w:top w:val="single" w:sz="4" w:space="0" w:color="auto"/>
              <w:left w:val="nil"/>
              <w:bottom w:val="single" w:sz="4" w:space="0" w:color="auto"/>
              <w:right w:val="nil"/>
            </w:tcBorders>
            <w:shd w:val="clear" w:color="000000" w:fill="FFFFFE"/>
            <w:noWrap/>
            <w:hideMark/>
          </w:tcPr>
          <w:p w14:paraId="6F49CCEC"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83.4</w:t>
            </w:r>
          </w:p>
        </w:tc>
        <w:tc>
          <w:tcPr>
            <w:tcW w:w="2311" w:type="dxa"/>
            <w:tcBorders>
              <w:top w:val="single" w:sz="4" w:space="0" w:color="auto"/>
              <w:left w:val="nil"/>
              <w:bottom w:val="single" w:sz="4" w:space="0" w:color="auto"/>
              <w:right w:val="nil"/>
            </w:tcBorders>
            <w:shd w:val="clear" w:color="000000" w:fill="EFF5D0"/>
            <w:noWrap/>
            <w:hideMark/>
          </w:tcPr>
          <w:p w14:paraId="7D477B35"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80.4</w:t>
            </w:r>
          </w:p>
        </w:tc>
      </w:tr>
      <w:tr w:rsidR="007461CB" w:rsidRPr="000530B1" w14:paraId="17768F93" w14:textId="77777777" w:rsidTr="00257CDC">
        <w:trPr>
          <w:trHeight w:val="20"/>
        </w:trPr>
        <w:tc>
          <w:tcPr>
            <w:tcW w:w="3813" w:type="dxa"/>
            <w:tcBorders>
              <w:top w:val="nil"/>
              <w:left w:val="nil"/>
              <w:bottom w:val="single" w:sz="4" w:space="0" w:color="auto"/>
              <w:right w:val="nil"/>
            </w:tcBorders>
            <w:noWrap/>
            <w:hideMark/>
          </w:tcPr>
          <w:p w14:paraId="74B68286"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Medicine</w:t>
            </w:r>
          </w:p>
        </w:tc>
        <w:tc>
          <w:tcPr>
            <w:tcW w:w="1897" w:type="dxa"/>
            <w:tcBorders>
              <w:top w:val="single" w:sz="4" w:space="0" w:color="auto"/>
              <w:left w:val="nil"/>
              <w:bottom w:val="single" w:sz="4" w:space="0" w:color="auto"/>
              <w:right w:val="nil"/>
            </w:tcBorders>
            <w:shd w:val="clear" w:color="000000" w:fill="D3E483"/>
            <w:noWrap/>
            <w:hideMark/>
          </w:tcPr>
          <w:p w14:paraId="18BA509C"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89.8</w:t>
            </w:r>
          </w:p>
        </w:tc>
        <w:tc>
          <w:tcPr>
            <w:tcW w:w="1788" w:type="dxa"/>
            <w:tcBorders>
              <w:top w:val="single" w:sz="4" w:space="0" w:color="auto"/>
              <w:left w:val="nil"/>
              <w:bottom w:val="single" w:sz="4" w:space="0" w:color="auto"/>
              <w:right w:val="nil"/>
            </w:tcBorders>
            <w:shd w:val="clear" w:color="000000" w:fill="D3E483"/>
            <w:noWrap/>
            <w:hideMark/>
          </w:tcPr>
          <w:p w14:paraId="3EB322F3"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83.1</w:t>
            </w:r>
          </w:p>
        </w:tc>
        <w:tc>
          <w:tcPr>
            <w:tcW w:w="2006" w:type="dxa"/>
            <w:tcBorders>
              <w:top w:val="single" w:sz="4" w:space="0" w:color="auto"/>
              <w:left w:val="nil"/>
              <w:bottom w:val="single" w:sz="4" w:space="0" w:color="auto"/>
              <w:right w:val="nil"/>
            </w:tcBorders>
            <w:shd w:val="clear" w:color="000000" w:fill="FCFDF5"/>
            <w:noWrap/>
            <w:hideMark/>
          </w:tcPr>
          <w:p w14:paraId="7950998B"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81.2</w:t>
            </w:r>
          </w:p>
        </w:tc>
        <w:tc>
          <w:tcPr>
            <w:tcW w:w="1897" w:type="dxa"/>
            <w:tcBorders>
              <w:top w:val="single" w:sz="4" w:space="0" w:color="auto"/>
              <w:left w:val="nil"/>
              <w:bottom w:val="single" w:sz="4" w:space="0" w:color="auto"/>
              <w:right w:val="nil"/>
            </w:tcBorders>
            <w:shd w:val="clear" w:color="000000" w:fill="FDEADF"/>
            <w:noWrap/>
            <w:hideMark/>
          </w:tcPr>
          <w:p w14:paraId="241F5E7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70.0</w:t>
            </w:r>
          </w:p>
        </w:tc>
        <w:tc>
          <w:tcPr>
            <w:tcW w:w="1484" w:type="dxa"/>
            <w:tcBorders>
              <w:top w:val="single" w:sz="4" w:space="0" w:color="auto"/>
              <w:left w:val="nil"/>
              <w:bottom w:val="single" w:sz="4" w:space="0" w:color="auto"/>
              <w:right w:val="nil"/>
            </w:tcBorders>
            <w:shd w:val="clear" w:color="000000" w:fill="FBD0B7"/>
            <w:noWrap/>
            <w:hideMark/>
          </w:tcPr>
          <w:p w14:paraId="62779D2C"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78.6</w:t>
            </w:r>
          </w:p>
        </w:tc>
        <w:tc>
          <w:tcPr>
            <w:tcW w:w="2311" w:type="dxa"/>
            <w:tcBorders>
              <w:top w:val="single" w:sz="4" w:space="0" w:color="auto"/>
              <w:left w:val="nil"/>
              <w:bottom w:val="single" w:sz="4" w:space="0" w:color="auto"/>
              <w:right w:val="nil"/>
            </w:tcBorders>
            <w:shd w:val="clear" w:color="000000" w:fill="ECF3C8"/>
            <w:noWrap/>
            <w:hideMark/>
          </w:tcPr>
          <w:p w14:paraId="21D585B1"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81.0</w:t>
            </w:r>
          </w:p>
        </w:tc>
      </w:tr>
      <w:tr w:rsidR="007461CB" w:rsidRPr="000530B1" w14:paraId="2764B6D8" w14:textId="77777777" w:rsidTr="00257CDC">
        <w:trPr>
          <w:trHeight w:val="20"/>
        </w:trPr>
        <w:tc>
          <w:tcPr>
            <w:tcW w:w="3813" w:type="dxa"/>
            <w:tcBorders>
              <w:top w:val="nil"/>
              <w:left w:val="nil"/>
              <w:bottom w:val="single" w:sz="4" w:space="0" w:color="auto"/>
              <w:right w:val="nil"/>
            </w:tcBorders>
            <w:noWrap/>
            <w:hideMark/>
          </w:tcPr>
          <w:p w14:paraId="3A6EBDB0"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Nursing</w:t>
            </w:r>
          </w:p>
        </w:tc>
        <w:tc>
          <w:tcPr>
            <w:tcW w:w="1897" w:type="dxa"/>
            <w:tcBorders>
              <w:top w:val="single" w:sz="4" w:space="0" w:color="auto"/>
              <w:left w:val="nil"/>
              <w:bottom w:val="single" w:sz="4" w:space="0" w:color="auto"/>
              <w:right w:val="nil"/>
            </w:tcBorders>
            <w:shd w:val="clear" w:color="000000" w:fill="EDF4CA"/>
            <w:noWrap/>
            <w:hideMark/>
          </w:tcPr>
          <w:p w14:paraId="456FE71F"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85.0</w:t>
            </w:r>
          </w:p>
        </w:tc>
        <w:tc>
          <w:tcPr>
            <w:tcW w:w="1788" w:type="dxa"/>
            <w:tcBorders>
              <w:top w:val="single" w:sz="4" w:space="0" w:color="auto"/>
              <w:left w:val="nil"/>
              <w:bottom w:val="single" w:sz="4" w:space="0" w:color="auto"/>
              <w:right w:val="nil"/>
            </w:tcBorders>
            <w:shd w:val="clear" w:color="000000" w:fill="FDFEF8"/>
            <w:noWrap/>
            <w:hideMark/>
          </w:tcPr>
          <w:p w14:paraId="7102767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62.8</w:t>
            </w:r>
          </w:p>
        </w:tc>
        <w:tc>
          <w:tcPr>
            <w:tcW w:w="2006" w:type="dxa"/>
            <w:tcBorders>
              <w:top w:val="single" w:sz="4" w:space="0" w:color="auto"/>
              <w:left w:val="nil"/>
              <w:bottom w:val="single" w:sz="4" w:space="0" w:color="auto"/>
              <w:right w:val="nil"/>
            </w:tcBorders>
            <w:shd w:val="clear" w:color="000000" w:fill="FCE6D9"/>
            <w:noWrap/>
            <w:hideMark/>
          </w:tcPr>
          <w:p w14:paraId="068783C8"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78.7</w:t>
            </w:r>
          </w:p>
        </w:tc>
        <w:tc>
          <w:tcPr>
            <w:tcW w:w="1897" w:type="dxa"/>
            <w:tcBorders>
              <w:top w:val="single" w:sz="4" w:space="0" w:color="auto"/>
              <w:left w:val="nil"/>
              <w:bottom w:val="single" w:sz="4" w:space="0" w:color="auto"/>
              <w:right w:val="nil"/>
            </w:tcBorders>
            <w:shd w:val="clear" w:color="000000" w:fill="F0F6D3"/>
            <w:noWrap/>
            <w:hideMark/>
          </w:tcPr>
          <w:p w14:paraId="17D74D53"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74.5</w:t>
            </w:r>
          </w:p>
        </w:tc>
        <w:tc>
          <w:tcPr>
            <w:tcW w:w="1484" w:type="dxa"/>
            <w:tcBorders>
              <w:top w:val="single" w:sz="4" w:space="0" w:color="auto"/>
              <w:left w:val="nil"/>
              <w:bottom w:val="single" w:sz="4" w:space="0" w:color="auto"/>
              <w:right w:val="nil"/>
            </w:tcBorders>
            <w:shd w:val="clear" w:color="000000" w:fill="F9FCEE"/>
            <w:noWrap/>
            <w:hideMark/>
          </w:tcPr>
          <w:p w14:paraId="39BE2F70"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84.2</w:t>
            </w:r>
          </w:p>
        </w:tc>
        <w:tc>
          <w:tcPr>
            <w:tcW w:w="2311" w:type="dxa"/>
            <w:tcBorders>
              <w:top w:val="single" w:sz="4" w:space="0" w:color="auto"/>
              <w:left w:val="nil"/>
              <w:bottom w:val="single" w:sz="4" w:space="0" w:color="auto"/>
              <w:right w:val="nil"/>
            </w:tcBorders>
            <w:shd w:val="clear" w:color="000000" w:fill="FCFDF6"/>
            <w:noWrap/>
            <w:hideMark/>
          </w:tcPr>
          <w:p w14:paraId="502E9DB3"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77.3</w:t>
            </w:r>
          </w:p>
        </w:tc>
      </w:tr>
      <w:tr w:rsidR="007461CB" w:rsidRPr="000530B1" w14:paraId="06BFE03C" w14:textId="77777777" w:rsidTr="00257CDC">
        <w:trPr>
          <w:trHeight w:val="20"/>
        </w:trPr>
        <w:tc>
          <w:tcPr>
            <w:tcW w:w="3813" w:type="dxa"/>
            <w:tcBorders>
              <w:top w:val="nil"/>
              <w:left w:val="nil"/>
              <w:bottom w:val="single" w:sz="4" w:space="0" w:color="auto"/>
              <w:right w:val="nil"/>
            </w:tcBorders>
            <w:noWrap/>
            <w:hideMark/>
          </w:tcPr>
          <w:p w14:paraId="5DC735A3"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Pharmacy</w:t>
            </w:r>
          </w:p>
        </w:tc>
        <w:tc>
          <w:tcPr>
            <w:tcW w:w="1897" w:type="dxa"/>
            <w:tcBorders>
              <w:top w:val="single" w:sz="4" w:space="0" w:color="auto"/>
              <w:left w:val="nil"/>
              <w:bottom w:val="single" w:sz="4" w:space="0" w:color="auto"/>
              <w:right w:val="nil"/>
            </w:tcBorders>
            <w:shd w:val="clear" w:color="000000" w:fill="EBF3C4"/>
            <w:noWrap/>
            <w:hideMark/>
          </w:tcPr>
          <w:p w14:paraId="3E619EC2"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85.4</w:t>
            </w:r>
          </w:p>
        </w:tc>
        <w:tc>
          <w:tcPr>
            <w:tcW w:w="1788" w:type="dxa"/>
            <w:tcBorders>
              <w:top w:val="single" w:sz="4" w:space="0" w:color="auto"/>
              <w:left w:val="nil"/>
              <w:bottom w:val="single" w:sz="4" w:space="0" w:color="auto"/>
              <w:right w:val="nil"/>
            </w:tcBorders>
            <w:shd w:val="clear" w:color="000000" w:fill="F2F7D8"/>
            <w:noWrap/>
            <w:hideMark/>
          </w:tcPr>
          <w:p w14:paraId="42144B92"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68.3</w:t>
            </w:r>
          </w:p>
        </w:tc>
        <w:tc>
          <w:tcPr>
            <w:tcW w:w="2006" w:type="dxa"/>
            <w:tcBorders>
              <w:top w:val="single" w:sz="4" w:space="0" w:color="auto"/>
              <w:left w:val="nil"/>
              <w:bottom w:val="single" w:sz="4" w:space="0" w:color="auto"/>
              <w:right w:val="nil"/>
            </w:tcBorders>
            <w:shd w:val="clear" w:color="000000" w:fill="FFFFFE"/>
            <w:noWrap/>
            <w:hideMark/>
          </w:tcPr>
          <w:p w14:paraId="1FA40ABD"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80.6</w:t>
            </w:r>
          </w:p>
        </w:tc>
        <w:tc>
          <w:tcPr>
            <w:tcW w:w="1897" w:type="dxa"/>
            <w:tcBorders>
              <w:top w:val="single" w:sz="4" w:space="0" w:color="auto"/>
              <w:left w:val="nil"/>
              <w:bottom w:val="single" w:sz="4" w:space="0" w:color="auto"/>
              <w:right w:val="nil"/>
            </w:tcBorders>
            <w:shd w:val="clear" w:color="000000" w:fill="FCFDF6"/>
            <w:noWrap/>
            <w:hideMark/>
          </w:tcPr>
          <w:p w14:paraId="733CC14F"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72.0</w:t>
            </w:r>
          </w:p>
        </w:tc>
        <w:tc>
          <w:tcPr>
            <w:tcW w:w="1484" w:type="dxa"/>
            <w:tcBorders>
              <w:top w:val="single" w:sz="4" w:space="0" w:color="auto"/>
              <w:left w:val="nil"/>
              <w:bottom w:val="single" w:sz="4" w:space="0" w:color="auto"/>
              <w:right w:val="nil"/>
            </w:tcBorders>
            <w:shd w:val="clear" w:color="000000" w:fill="FEFBF8"/>
            <w:noWrap/>
            <w:hideMark/>
          </w:tcPr>
          <w:p w14:paraId="7CD0ECEE"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82.9</w:t>
            </w:r>
          </w:p>
        </w:tc>
        <w:tc>
          <w:tcPr>
            <w:tcW w:w="2311" w:type="dxa"/>
            <w:tcBorders>
              <w:top w:val="single" w:sz="4" w:space="0" w:color="auto"/>
              <w:left w:val="nil"/>
              <w:bottom w:val="single" w:sz="4" w:space="0" w:color="auto"/>
              <w:right w:val="nil"/>
            </w:tcBorders>
            <w:shd w:val="clear" w:color="000000" w:fill="FDFEF8"/>
            <w:noWrap/>
            <w:hideMark/>
          </w:tcPr>
          <w:p w14:paraId="761E62C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77.1</w:t>
            </w:r>
          </w:p>
        </w:tc>
      </w:tr>
      <w:tr w:rsidR="007461CB" w:rsidRPr="000530B1" w14:paraId="45806FC2" w14:textId="77777777" w:rsidTr="00257CDC">
        <w:trPr>
          <w:trHeight w:val="20"/>
        </w:trPr>
        <w:tc>
          <w:tcPr>
            <w:tcW w:w="3813" w:type="dxa"/>
            <w:tcBorders>
              <w:top w:val="nil"/>
              <w:left w:val="nil"/>
              <w:bottom w:val="single" w:sz="4" w:space="0" w:color="auto"/>
              <w:right w:val="nil"/>
            </w:tcBorders>
            <w:noWrap/>
            <w:hideMark/>
          </w:tcPr>
          <w:p w14:paraId="0A0A07FC"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Psychology</w:t>
            </w:r>
          </w:p>
        </w:tc>
        <w:tc>
          <w:tcPr>
            <w:tcW w:w="1897" w:type="dxa"/>
            <w:tcBorders>
              <w:top w:val="single" w:sz="4" w:space="0" w:color="auto"/>
              <w:left w:val="nil"/>
              <w:bottom w:val="single" w:sz="4" w:space="0" w:color="auto"/>
              <w:right w:val="nil"/>
            </w:tcBorders>
            <w:shd w:val="clear" w:color="000000" w:fill="FDFEFA"/>
            <w:noWrap/>
            <w:hideMark/>
          </w:tcPr>
          <w:p w14:paraId="3DE10C23"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81.8</w:t>
            </w:r>
          </w:p>
        </w:tc>
        <w:tc>
          <w:tcPr>
            <w:tcW w:w="1788" w:type="dxa"/>
            <w:tcBorders>
              <w:top w:val="single" w:sz="4" w:space="0" w:color="auto"/>
              <w:left w:val="nil"/>
              <w:bottom w:val="single" w:sz="4" w:space="0" w:color="auto"/>
              <w:right w:val="nil"/>
            </w:tcBorders>
            <w:shd w:val="clear" w:color="000000" w:fill="F8AD81"/>
            <w:noWrap/>
            <w:hideMark/>
          </w:tcPr>
          <w:p w14:paraId="7D9B806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48.6</w:t>
            </w:r>
          </w:p>
        </w:tc>
        <w:tc>
          <w:tcPr>
            <w:tcW w:w="2006" w:type="dxa"/>
            <w:tcBorders>
              <w:top w:val="single" w:sz="4" w:space="0" w:color="auto"/>
              <w:left w:val="nil"/>
              <w:bottom w:val="single" w:sz="4" w:space="0" w:color="auto"/>
              <w:right w:val="nil"/>
            </w:tcBorders>
            <w:shd w:val="clear" w:color="000000" w:fill="F0F6D4"/>
            <w:noWrap/>
            <w:hideMark/>
          </w:tcPr>
          <w:p w14:paraId="519968D3"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83.4</w:t>
            </w:r>
          </w:p>
        </w:tc>
        <w:tc>
          <w:tcPr>
            <w:tcW w:w="1897" w:type="dxa"/>
            <w:tcBorders>
              <w:top w:val="single" w:sz="4" w:space="0" w:color="auto"/>
              <w:left w:val="nil"/>
              <w:bottom w:val="single" w:sz="4" w:space="0" w:color="auto"/>
              <w:right w:val="nil"/>
            </w:tcBorders>
            <w:shd w:val="clear" w:color="000000" w:fill="F9FCEE"/>
            <w:noWrap/>
            <w:hideMark/>
          </w:tcPr>
          <w:p w14:paraId="05574118"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72.6</w:t>
            </w:r>
          </w:p>
        </w:tc>
        <w:tc>
          <w:tcPr>
            <w:tcW w:w="1484" w:type="dxa"/>
            <w:tcBorders>
              <w:top w:val="single" w:sz="4" w:space="0" w:color="auto"/>
              <w:left w:val="nil"/>
              <w:bottom w:val="single" w:sz="4" w:space="0" w:color="auto"/>
              <w:right w:val="nil"/>
            </w:tcBorders>
            <w:shd w:val="clear" w:color="000000" w:fill="F8FBEA"/>
            <w:noWrap/>
            <w:hideMark/>
          </w:tcPr>
          <w:p w14:paraId="7F68F268"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84.4</w:t>
            </w:r>
          </w:p>
        </w:tc>
        <w:tc>
          <w:tcPr>
            <w:tcW w:w="2311" w:type="dxa"/>
            <w:tcBorders>
              <w:top w:val="single" w:sz="4" w:space="0" w:color="auto"/>
              <w:left w:val="nil"/>
              <w:bottom w:val="single" w:sz="4" w:space="0" w:color="auto"/>
              <w:right w:val="nil"/>
            </w:tcBorders>
            <w:shd w:val="clear" w:color="000000" w:fill="F4F8DE"/>
            <w:noWrap/>
            <w:hideMark/>
          </w:tcPr>
          <w:p w14:paraId="782884ED"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79.2</w:t>
            </w:r>
          </w:p>
        </w:tc>
      </w:tr>
      <w:tr w:rsidR="007461CB" w:rsidRPr="000530B1" w14:paraId="20CDBCD3" w14:textId="77777777" w:rsidTr="00257CDC">
        <w:trPr>
          <w:trHeight w:val="20"/>
        </w:trPr>
        <w:tc>
          <w:tcPr>
            <w:tcW w:w="3813" w:type="dxa"/>
            <w:tcBorders>
              <w:top w:val="nil"/>
              <w:left w:val="nil"/>
              <w:bottom w:val="single" w:sz="4" w:space="0" w:color="auto"/>
              <w:right w:val="nil"/>
            </w:tcBorders>
            <w:noWrap/>
            <w:hideMark/>
          </w:tcPr>
          <w:p w14:paraId="6B4C4276"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Rehabilitation</w:t>
            </w:r>
          </w:p>
        </w:tc>
        <w:tc>
          <w:tcPr>
            <w:tcW w:w="1897" w:type="dxa"/>
            <w:tcBorders>
              <w:top w:val="single" w:sz="4" w:space="0" w:color="auto"/>
              <w:left w:val="nil"/>
              <w:bottom w:val="single" w:sz="4" w:space="0" w:color="auto"/>
              <w:right w:val="nil"/>
            </w:tcBorders>
            <w:shd w:val="clear" w:color="000000" w:fill="DCEA9D"/>
            <w:noWrap/>
            <w:hideMark/>
          </w:tcPr>
          <w:p w14:paraId="679E92AA"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88.1</w:t>
            </w:r>
          </w:p>
        </w:tc>
        <w:tc>
          <w:tcPr>
            <w:tcW w:w="1788" w:type="dxa"/>
            <w:tcBorders>
              <w:top w:val="single" w:sz="4" w:space="0" w:color="auto"/>
              <w:left w:val="nil"/>
              <w:bottom w:val="single" w:sz="4" w:space="0" w:color="auto"/>
              <w:right w:val="nil"/>
            </w:tcBorders>
            <w:shd w:val="clear" w:color="000000" w:fill="E6F0B9"/>
            <w:noWrap/>
            <w:hideMark/>
          </w:tcPr>
          <w:p w14:paraId="496D6FE1"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73.8</w:t>
            </w:r>
          </w:p>
        </w:tc>
        <w:tc>
          <w:tcPr>
            <w:tcW w:w="2006" w:type="dxa"/>
            <w:tcBorders>
              <w:top w:val="single" w:sz="4" w:space="0" w:color="auto"/>
              <w:left w:val="nil"/>
              <w:bottom w:val="single" w:sz="4" w:space="0" w:color="auto"/>
              <w:right w:val="nil"/>
            </w:tcBorders>
            <w:shd w:val="clear" w:color="000000" w:fill="EAF2C2"/>
            <w:noWrap/>
            <w:hideMark/>
          </w:tcPr>
          <w:p w14:paraId="0669E8B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84.6</w:t>
            </w:r>
          </w:p>
        </w:tc>
        <w:tc>
          <w:tcPr>
            <w:tcW w:w="1897" w:type="dxa"/>
            <w:tcBorders>
              <w:top w:val="single" w:sz="4" w:space="0" w:color="auto"/>
              <w:left w:val="nil"/>
              <w:bottom w:val="single" w:sz="4" w:space="0" w:color="auto"/>
              <w:right w:val="nil"/>
            </w:tcBorders>
            <w:shd w:val="clear" w:color="000000" w:fill="FEFEFA"/>
            <w:noWrap/>
            <w:hideMark/>
          </w:tcPr>
          <w:p w14:paraId="2810EC5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71.7</w:t>
            </w:r>
          </w:p>
        </w:tc>
        <w:tc>
          <w:tcPr>
            <w:tcW w:w="1484" w:type="dxa"/>
            <w:tcBorders>
              <w:top w:val="single" w:sz="4" w:space="0" w:color="auto"/>
              <w:left w:val="nil"/>
              <w:bottom w:val="single" w:sz="4" w:space="0" w:color="auto"/>
              <w:right w:val="nil"/>
            </w:tcBorders>
            <w:shd w:val="clear" w:color="000000" w:fill="F7FAE8"/>
            <w:noWrap/>
            <w:hideMark/>
          </w:tcPr>
          <w:p w14:paraId="2C470911"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84.5</w:t>
            </w:r>
          </w:p>
        </w:tc>
        <w:tc>
          <w:tcPr>
            <w:tcW w:w="2311" w:type="dxa"/>
            <w:tcBorders>
              <w:top w:val="single" w:sz="4" w:space="0" w:color="auto"/>
              <w:left w:val="nil"/>
              <w:bottom w:val="single" w:sz="4" w:space="0" w:color="auto"/>
              <w:right w:val="nil"/>
            </w:tcBorders>
            <w:shd w:val="clear" w:color="000000" w:fill="E4EFB3"/>
            <w:noWrap/>
            <w:hideMark/>
          </w:tcPr>
          <w:p w14:paraId="3C338DA5"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82.7</w:t>
            </w:r>
          </w:p>
        </w:tc>
      </w:tr>
      <w:tr w:rsidR="007461CB" w:rsidRPr="000530B1" w14:paraId="3BABC66B" w14:textId="77777777" w:rsidTr="00257CDC">
        <w:trPr>
          <w:trHeight w:val="20"/>
        </w:trPr>
        <w:tc>
          <w:tcPr>
            <w:tcW w:w="3813" w:type="dxa"/>
            <w:tcBorders>
              <w:top w:val="nil"/>
              <w:left w:val="nil"/>
              <w:bottom w:val="single" w:sz="4" w:space="0" w:color="auto"/>
              <w:right w:val="nil"/>
            </w:tcBorders>
            <w:noWrap/>
            <w:hideMark/>
          </w:tcPr>
          <w:p w14:paraId="0FD1A1E1"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Science and mathematics</w:t>
            </w:r>
          </w:p>
        </w:tc>
        <w:tc>
          <w:tcPr>
            <w:tcW w:w="1897" w:type="dxa"/>
            <w:tcBorders>
              <w:top w:val="single" w:sz="4" w:space="0" w:color="auto"/>
              <w:left w:val="nil"/>
              <w:bottom w:val="single" w:sz="4" w:space="0" w:color="auto"/>
              <w:right w:val="nil"/>
            </w:tcBorders>
            <w:shd w:val="clear" w:color="000000" w:fill="FCE4D6"/>
            <w:noWrap/>
            <w:hideMark/>
          </w:tcPr>
          <w:p w14:paraId="783BE331"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79.6</w:t>
            </w:r>
          </w:p>
        </w:tc>
        <w:tc>
          <w:tcPr>
            <w:tcW w:w="1788" w:type="dxa"/>
            <w:tcBorders>
              <w:top w:val="single" w:sz="4" w:space="0" w:color="auto"/>
              <w:left w:val="nil"/>
              <w:bottom w:val="single" w:sz="4" w:space="0" w:color="auto"/>
              <w:right w:val="nil"/>
            </w:tcBorders>
            <w:shd w:val="clear" w:color="000000" w:fill="FEF7F4"/>
            <w:noWrap/>
            <w:hideMark/>
          </w:tcPr>
          <w:p w14:paraId="2C87C052"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60.3</w:t>
            </w:r>
          </w:p>
        </w:tc>
        <w:tc>
          <w:tcPr>
            <w:tcW w:w="2006" w:type="dxa"/>
            <w:tcBorders>
              <w:top w:val="single" w:sz="4" w:space="0" w:color="auto"/>
              <w:left w:val="nil"/>
              <w:bottom w:val="single" w:sz="4" w:space="0" w:color="auto"/>
              <w:right w:val="nil"/>
            </w:tcBorders>
            <w:shd w:val="clear" w:color="000000" w:fill="F5F9E1"/>
            <w:noWrap/>
            <w:hideMark/>
          </w:tcPr>
          <w:p w14:paraId="6EE9C475"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82.5</w:t>
            </w:r>
          </w:p>
        </w:tc>
        <w:tc>
          <w:tcPr>
            <w:tcW w:w="1897" w:type="dxa"/>
            <w:tcBorders>
              <w:top w:val="single" w:sz="4" w:space="0" w:color="auto"/>
              <w:left w:val="nil"/>
              <w:bottom w:val="single" w:sz="4" w:space="0" w:color="auto"/>
              <w:right w:val="nil"/>
            </w:tcBorders>
            <w:shd w:val="clear" w:color="000000" w:fill="FBD9C4"/>
            <w:noWrap/>
            <w:hideMark/>
          </w:tcPr>
          <w:p w14:paraId="19229EF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68.9</w:t>
            </w:r>
          </w:p>
        </w:tc>
        <w:tc>
          <w:tcPr>
            <w:tcW w:w="1484" w:type="dxa"/>
            <w:tcBorders>
              <w:top w:val="single" w:sz="4" w:space="0" w:color="auto"/>
              <w:left w:val="nil"/>
              <w:bottom w:val="single" w:sz="4" w:space="0" w:color="auto"/>
              <w:right w:val="nil"/>
            </w:tcBorders>
            <w:shd w:val="clear" w:color="000000" w:fill="E4EFB2"/>
            <w:noWrap/>
            <w:hideMark/>
          </w:tcPr>
          <w:p w14:paraId="603910EB"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87.3</w:t>
            </w:r>
          </w:p>
        </w:tc>
        <w:tc>
          <w:tcPr>
            <w:tcW w:w="2311" w:type="dxa"/>
            <w:tcBorders>
              <w:top w:val="single" w:sz="4" w:space="0" w:color="auto"/>
              <w:left w:val="nil"/>
              <w:bottom w:val="single" w:sz="4" w:space="0" w:color="auto"/>
              <w:right w:val="nil"/>
            </w:tcBorders>
            <w:shd w:val="clear" w:color="000000" w:fill="FCFDF4"/>
            <w:noWrap/>
            <w:hideMark/>
          </w:tcPr>
          <w:p w14:paraId="084AE12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77.4</w:t>
            </w:r>
          </w:p>
        </w:tc>
      </w:tr>
      <w:tr w:rsidR="007461CB" w:rsidRPr="000530B1" w14:paraId="285C8F92" w14:textId="77777777" w:rsidTr="00257CDC">
        <w:trPr>
          <w:trHeight w:val="20"/>
        </w:trPr>
        <w:tc>
          <w:tcPr>
            <w:tcW w:w="3813" w:type="dxa"/>
            <w:tcBorders>
              <w:top w:val="nil"/>
              <w:left w:val="nil"/>
              <w:bottom w:val="single" w:sz="4" w:space="0" w:color="auto"/>
              <w:right w:val="nil"/>
            </w:tcBorders>
            <w:noWrap/>
            <w:hideMark/>
          </w:tcPr>
          <w:p w14:paraId="47E7D462"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Social work</w:t>
            </w:r>
          </w:p>
        </w:tc>
        <w:tc>
          <w:tcPr>
            <w:tcW w:w="1897" w:type="dxa"/>
            <w:tcBorders>
              <w:top w:val="single" w:sz="4" w:space="0" w:color="auto"/>
              <w:left w:val="nil"/>
              <w:bottom w:val="single" w:sz="4" w:space="0" w:color="auto"/>
              <w:right w:val="nil"/>
            </w:tcBorders>
            <w:shd w:val="clear" w:color="000000" w:fill="DDEBA0"/>
            <w:noWrap/>
            <w:hideMark/>
          </w:tcPr>
          <w:p w14:paraId="23CB817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87.9</w:t>
            </w:r>
          </w:p>
        </w:tc>
        <w:tc>
          <w:tcPr>
            <w:tcW w:w="1788" w:type="dxa"/>
            <w:tcBorders>
              <w:top w:val="single" w:sz="4" w:space="0" w:color="auto"/>
              <w:left w:val="nil"/>
              <w:bottom w:val="single" w:sz="4" w:space="0" w:color="auto"/>
              <w:right w:val="nil"/>
            </w:tcBorders>
            <w:shd w:val="clear" w:color="000000" w:fill="FDFEFA"/>
            <w:noWrap/>
            <w:hideMark/>
          </w:tcPr>
          <w:p w14:paraId="51320E6A"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62.4</w:t>
            </w:r>
          </w:p>
        </w:tc>
        <w:tc>
          <w:tcPr>
            <w:tcW w:w="2006" w:type="dxa"/>
            <w:tcBorders>
              <w:top w:val="single" w:sz="4" w:space="0" w:color="auto"/>
              <w:left w:val="nil"/>
              <w:bottom w:val="single" w:sz="4" w:space="0" w:color="auto"/>
              <w:right w:val="nil"/>
            </w:tcBorders>
            <w:shd w:val="clear" w:color="000000" w:fill="EAF2C2"/>
            <w:noWrap/>
            <w:hideMark/>
          </w:tcPr>
          <w:p w14:paraId="085FD918"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84.6</w:t>
            </w:r>
          </w:p>
        </w:tc>
        <w:tc>
          <w:tcPr>
            <w:tcW w:w="1897" w:type="dxa"/>
            <w:tcBorders>
              <w:top w:val="single" w:sz="4" w:space="0" w:color="auto"/>
              <w:left w:val="nil"/>
              <w:bottom w:val="single" w:sz="4" w:space="0" w:color="auto"/>
              <w:right w:val="nil"/>
            </w:tcBorders>
            <w:shd w:val="clear" w:color="000000" w:fill="F6FAE5"/>
            <w:noWrap/>
            <w:hideMark/>
          </w:tcPr>
          <w:p w14:paraId="6018265D"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73.2</w:t>
            </w:r>
          </w:p>
        </w:tc>
        <w:tc>
          <w:tcPr>
            <w:tcW w:w="1484" w:type="dxa"/>
            <w:tcBorders>
              <w:top w:val="single" w:sz="4" w:space="0" w:color="auto"/>
              <w:left w:val="nil"/>
              <w:bottom w:val="single" w:sz="4" w:space="0" w:color="auto"/>
              <w:right w:val="nil"/>
            </w:tcBorders>
            <w:shd w:val="clear" w:color="000000" w:fill="FACAAE"/>
            <w:noWrap/>
            <w:hideMark/>
          </w:tcPr>
          <w:p w14:paraId="1984A3EA"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78.0</w:t>
            </w:r>
          </w:p>
        </w:tc>
        <w:tc>
          <w:tcPr>
            <w:tcW w:w="2311" w:type="dxa"/>
            <w:tcBorders>
              <w:top w:val="single" w:sz="4" w:space="0" w:color="auto"/>
              <w:left w:val="nil"/>
              <w:bottom w:val="single" w:sz="4" w:space="0" w:color="auto"/>
              <w:right w:val="nil"/>
            </w:tcBorders>
            <w:shd w:val="clear" w:color="000000" w:fill="F2F7D9"/>
            <w:noWrap/>
            <w:hideMark/>
          </w:tcPr>
          <w:p w14:paraId="10911197"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79.6</w:t>
            </w:r>
          </w:p>
        </w:tc>
      </w:tr>
      <w:tr w:rsidR="007461CB" w:rsidRPr="000530B1" w14:paraId="26B9A6C1" w14:textId="77777777" w:rsidTr="00257CDC">
        <w:trPr>
          <w:trHeight w:val="20"/>
        </w:trPr>
        <w:tc>
          <w:tcPr>
            <w:tcW w:w="3813" w:type="dxa"/>
            <w:tcBorders>
              <w:top w:val="nil"/>
              <w:left w:val="nil"/>
              <w:bottom w:val="single" w:sz="4" w:space="0" w:color="auto"/>
              <w:right w:val="nil"/>
            </w:tcBorders>
            <w:noWrap/>
            <w:hideMark/>
          </w:tcPr>
          <w:p w14:paraId="01FC92FC"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Teacher education</w:t>
            </w:r>
          </w:p>
        </w:tc>
        <w:tc>
          <w:tcPr>
            <w:tcW w:w="1897" w:type="dxa"/>
            <w:tcBorders>
              <w:top w:val="single" w:sz="4" w:space="0" w:color="auto"/>
              <w:left w:val="nil"/>
              <w:bottom w:val="single" w:sz="4" w:space="0" w:color="auto"/>
              <w:right w:val="nil"/>
            </w:tcBorders>
            <w:shd w:val="clear" w:color="000000" w:fill="FBFDF4"/>
            <w:noWrap/>
            <w:hideMark/>
          </w:tcPr>
          <w:p w14:paraId="519F70D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82.2</w:t>
            </w:r>
          </w:p>
        </w:tc>
        <w:tc>
          <w:tcPr>
            <w:tcW w:w="1788" w:type="dxa"/>
            <w:tcBorders>
              <w:top w:val="single" w:sz="4" w:space="0" w:color="auto"/>
              <w:left w:val="nil"/>
              <w:bottom w:val="single" w:sz="4" w:space="0" w:color="auto"/>
              <w:right w:val="nil"/>
            </w:tcBorders>
            <w:shd w:val="clear" w:color="000000" w:fill="FCE5D7"/>
            <w:noWrap/>
            <w:hideMark/>
          </w:tcPr>
          <w:p w14:paraId="6CB8B0C9"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57.4</w:t>
            </w:r>
          </w:p>
        </w:tc>
        <w:tc>
          <w:tcPr>
            <w:tcW w:w="2006" w:type="dxa"/>
            <w:tcBorders>
              <w:top w:val="single" w:sz="4" w:space="0" w:color="auto"/>
              <w:left w:val="nil"/>
              <w:bottom w:val="single" w:sz="4" w:space="0" w:color="auto"/>
              <w:right w:val="nil"/>
            </w:tcBorders>
            <w:shd w:val="clear" w:color="000000" w:fill="FDFEF9"/>
            <w:noWrap/>
            <w:hideMark/>
          </w:tcPr>
          <w:p w14:paraId="04630735"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80.9</w:t>
            </w:r>
          </w:p>
        </w:tc>
        <w:tc>
          <w:tcPr>
            <w:tcW w:w="1897" w:type="dxa"/>
            <w:tcBorders>
              <w:top w:val="single" w:sz="4" w:space="0" w:color="auto"/>
              <w:left w:val="nil"/>
              <w:bottom w:val="single" w:sz="4" w:space="0" w:color="auto"/>
              <w:right w:val="nil"/>
            </w:tcBorders>
            <w:shd w:val="clear" w:color="000000" w:fill="FCFDF4"/>
            <w:noWrap/>
            <w:hideMark/>
          </w:tcPr>
          <w:p w14:paraId="66183D37"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72.1</w:t>
            </w:r>
          </w:p>
        </w:tc>
        <w:tc>
          <w:tcPr>
            <w:tcW w:w="1484" w:type="dxa"/>
            <w:tcBorders>
              <w:top w:val="single" w:sz="4" w:space="0" w:color="auto"/>
              <w:left w:val="nil"/>
              <w:bottom w:val="single" w:sz="4" w:space="0" w:color="auto"/>
              <w:right w:val="nil"/>
            </w:tcBorders>
            <w:shd w:val="clear" w:color="000000" w:fill="FCE3D4"/>
            <w:noWrap/>
            <w:hideMark/>
          </w:tcPr>
          <w:p w14:paraId="4AF1535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80.5</w:t>
            </w:r>
          </w:p>
        </w:tc>
        <w:tc>
          <w:tcPr>
            <w:tcW w:w="2311" w:type="dxa"/>
            <w:tcBorders>
              <w:top w:val="single" w:sz="4" w:space="0" w:color="auto"/>
              <w:left w:val="nil"/>
              <w:bottom w:val="single" w:sz="4" w:space="0" w:color="auto"/>
              <w:right w:val="nil"/>
            </w:tcBorders>
            <w:shd w:val="clear" w:color="000000" w:fill="F5F9E3"/>
            <w:noWrap/>
            <w:hideMark/>
          </w:tcPr>
          <w:p w14:paraId="27168A05"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78.8</w:t>
            </w:r>
          </w:p>
        </w:tc>
      </w:tr>
      <w:tr w:rsidR="007461CB" w:rsidRPr="000530B1" w14:paraId="0DF9EEDC" w14:textId="77777777" w:rsidTr="00257CDC">
        <w:trPr>
          <w:trHeight w:val="20"/>
        </w:trPr>
        <w:tc>
          <w:tcPr>
            <w:tcW w:w="3813" w:type="dxa"/>
            <w:tcBorders>
              <w:top w:val="nil"/>
              <w:left w:val="nil"/>
              <w:bottom w:val="single" w:sz="4" w:space="0" w:color="auto"/>
              <w:right w:val="nil"/>
            </w:tcBorders>
            <w:noWrap/>
            <w:hideMark/>
          </w:tcPr>
          <w:p w14:paraId="3B3EF1C9"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Tourism, hospitality, personal services, sport and recreation</w:t>
            </w:r>
          </w:p>
        </w:tc>
        <w:tc>
          <w:tcPr>
            <w:tcW w:w="1897" w:type="dxa"/>
            <w:tcBorders>
              <w:top w:val="single" w:sz="4" w:space="0" w:color="auto"/>
              <w:left w:val="nil"/>
              <w:bottom w:val="single" w:sz="4" w:space="0" w:color="auto"/>
              <w:right w:val="nil"/>
            </w:tcBorders>
            <w:shd w:val="clear" w:color="000000" w:fill="E5EFB4"/>
            <w:noWrap/>
            <w:hideMark/>
          </w:tcPr>
          <w:p w14:paraId="78CE8448"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86.5</w:t>
            </w:r>
          </w:p>
        </w:tc>
        <w:tc>
          <w:tcPr>
            <w:tcW w:w="1788" w:type="dxa"/>
            <w:tcBorders>
              <w:top w:val="single" w:sz="4" w:space="0" w:color="auto"/>
              <w:left w:val="nil"/>
              <w:bottom w:val="single" w:sz="4" w:space="0" w:color="auto"/>
              <w:right w:val="nil"/>
            </w:tcBorders>
            <w:shd w:val="clear" w:color="000000" w:fill="EDF4CB"/>
            <w:noWrap/>
            <w:hideMark/>
          </w:tcPr>
          <w:p w14:paraId="25B5BD50"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70.5</w:t>
            </w:r>
          </w:p>
        </w:tc>
        <w:tc>
          <w:tcPr>
            <w:tcW w:w="2006" w:type="dxa"/>
            <w:tcBorders>
              <w:top w:val="single" w:sz="4" w:space="0" w:color="auto"/>
              <w:left w:val="nil"/>
              <w:bottom w:val="single" w:sz="4" w:space="0" w:color="auto"/>
              <w:right w:val="nil"/>
            </w:tcBorders>
            <w:shd w:val="clear" w:color="000000" w:fill="EAF2C3"/>
            <w:noWrap/>
            <w:hideMark/>
          </w:tcPr>
          <w:p w14:paraId="482C62FB"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84.5</w:t>
            </w:r>
          </w:p>
        </w:tc>
        <w:tc>
          <w:tcPr>
            <w:tcW w:w="1897" w:type="dxa"/>
            <w:tcBorders>
              <w:top w:val="single" w:sz="4" w:space="0" w:color="auto"/>
              <w:left w:val="nil"/>
              <w:bottom w:val="single" w:sz="4" w:space="0" w:color="auto"/>
              <w:right w:val="nil"/>
            </w:tcBorders>
            <w:shd w:val="clear" w:color="000000" w:fill="D3E483"/>
            <w:noWrap/>
            <w:hideMark/>
          </w:tcPr>
          <w:p w14:paraId="69DE0482"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80.3</w:t>
            </w:r>
          </w:p>
        </w:tc>
        <w:tc>
          <w:tcPr>
            <w:tcW w:w="1484" w:type="dxa"/>
            <w:tcBorders>
              <w:top w:val="single" w:sz="4" w:space="0" w:color="auto"/>
              <w:left w:val="nil"/>
              <w:bottom w:val="single" w:sz="4" w:space="0" w:color="auto"/>
              <w:right w:val="nil"/>
            </w:tcBorders>
            <w:shd w:val="clear" w:color="000000" w:fill="F2F7D9"/>
            <w:noWrap/>
            <w:hideMark/>
          </w:tcPr>
          <w:p w14:paraId="055FDA74"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85.3</w:t>
            </w:r>
          </w:p>
        </w:tc>
        <w:tc>
          <w:tcPr>
            <w:tcW w:w="2311" w:type="dxa"/>
            <w:tcBorders>
              <w:top w:val="single" w:sz="4" w:space="0" w:color="auto"/>
              <w:left w:val="nil"/>
              <w:bottom w:val="single" w:sz="4" w:space="0" w:color="auto"/>
              <w:right w:val="nil"/>
            </w:tcBorders>
            <w:shd w:val="clear" w:color="000000" w:fill="E2EEAD"/>
            <w:noWrap/>
            <w:hideMark/>
          </w:tcPr>
          <w:p w14:paraId="494C44D8"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83.2</w:t>
            </w:r>
          </w:p>
        </w:tc>
      </w:tr>
      <w:tr w:rsidR="007461CB" w:rsidRPr="000530B1" w14:paraId="0C688F3D" w14:textId="77777777" w:rsidTr="00257CDC">
        <w:trPr>
          <w:trHeight w:val="20"/>
        </w:trPr>
        <w:tc>
          <w:tcPr>
            <w:tcW w:w="3813" w:type="dxa"/>
            <w:tcBorders>
              <w:top w:val="nil"/>
              <w:left w:val="nil"/>
              <w:bottom w:val="single" w:sz="4" w:space="0" w:color="auto"/>
              <w:right w:val="nil"/>
            </w:tcBorders>
            <w:noWrap/>
            <w:hideMark/>
          </w:tcPr>
          <w:p w14:paraId="484D1FF9" w14:textId="77777777" w:rsidR="00F31456" w:rsidRPr="00BD3AE0" w:rsidRDefault="00F31456" w:rsidP="00257CDC">
            <w:pPr>
              <w:spacing w:before="26" w:after="26"/>
              <w:ind w:left="57" w:right="57"/>
              <w:rPr>
                <w:rFonts w:eastAsia="Times New Roman" w:cs="Arial"/>
                <w:color w:val="000000"/>
                <w:szCs w:val="20"/>
                <w:lang w:eastAsia="en-AU"/>
              </w:rPr>
            </w:pPr>
            <w:r w:rsidRPr="00BD3AE0">
              <w:rPr>
                <w:rFonts w:eastAsia="Times New Roman" w:cs="Arial"/>
                <w:color w:val="000000"/>
                <w:szCs w:val="20"/>
                <w:lang w:eastAsia="en-AU"/>
              </w:rPr>
              <w:t>Veterinary science</w:t>
            </w:r>
          </w:p>
        </w:tc>
        <w:tc>
          <w:tcPr>
            <w:tcW w:w="1897" w:type="dxa"/>
            <w:tcBorders>
              <w:top w:val="single" w:sz="4" w:space="0" w:color="auto"/>
              <w:left w:val="nil"/>
              <w:bottom w:val="single" w:sz="4" w:space="0" w:color="auto"/>
              <w:right w:val="nil"/>
            </w:tcBorders>
            <w:shd w:val="clear" w:color="000000" w:fill="EDF4CC"/>
            <w:noWrap/>
            <w:hideMark/>
          </w:tcPr>
          <w:p w14:paraId="51D07A2F"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84.9</w:t>
            </w:r>
          </w:p>
        </w:tc>
        <w:tc>
          <w:tcPr>
            <w:tcW w:w="1788" w:type="dxa"/>
            <w:tcBorders>
              <w:top w:val="single" w:sz="4" w:space="0" w:color="auto"/>
              <w:left w:val="nil"/>
              <w:bottom w:val="single" w:sz="4" w:space="0" w:color="auto"/>
              <w:right w:val="nil"/>
            </w:tcBorders>
            <w:shd w:val="clear" w:color="000000" w:fill="E7F1BB"/>
            <w:noWrap/>
            <w:hideMark/>
          </w:tcPr>
          <w:p w14:paraId="45EC380A"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73.3</w:t>
            </w:r>
          </w:p>
        </w:tc>
        <w:tc>
          <w:tcPr>
            <w:tcW w:w="2006" w:type="dxa"/>
            <w:tcBorders>
              <w:top w:val="single" w:sz="4" w:space="0" w:color="auto"/>
              <w:left w:val="nil"/>
              <w:bottom w:val="single" w:sz="4" w:space="0" w:color="auto"/>
              <w:right w:val="nil"/>
            </w:tcBorders>
            <w:shd w:val="clear" w:color="000000" w:fill="E3EEAF"/>
            <w:noWrap/>
            <w:hideMark/>
          </w:tcPr>
          <w:p w14:paraId="122E9EBE"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85.8</w:t>
            </w:r>
          </w:p>
        </w:tc>
        <w:tc>
          <w:tcPr>
            <w:tcW w:w="1897" w:type="dxa"/>
            <w:tcBorders>
              <w:top w:val="single" w:sz="4" w:space="0" w:color="auto"/>
              <w:left w:val="nil"/>
              <w:bottom w:val="single" w:sz="4" w:space="0" w:color="auto"/>
              <w:right w:val="nil"/>
            </w:tcBorders>
            <w:shd w:val="clear" w:color="000000" w:fill="F9BB96"/>
            <w:noWrap/>
            <w:hideMark/>
          </w:tcPr>
          <w:p w14:paraId="218CA0F6"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67.0</w:t>
            </w:r>
          </w:p>
        </w:tc>
        <w:tc>
          <w:tcPr>
            <w:tcW w:w="1484" w:type="dxa"/>
            <w:tcBorders>
              <w:top w:val="single" w:sz="4" w:space="0" w:color="auto"/>
              <w:left w:val="nil"/>
              <w:bottom w:val="single" w:sz="4" w:space="0" w:color="auto"/>
              <w:right w:val="nil"/>
            </w:tcBorders>
            <w:shd w:val="clear" w:color="000000" w:fill="F0F6D5"/>
            <w:noWrap/>
            <w:hideMark/>
          </w:tcPr>
          <w:p w14:paraId="2B07D137"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85.5</w:t>
            </w:r>
          </w:p>
        </w:tc>
        <w:tc>
          <w:tcPr>
            <w:tcW w:w="2311" w:type="dxa"/>
            <w:tcBorders>
              <w:top w:val="single" w:sz="4" w:space="0" w:color="auto"/>
              <w:left w:val="nil"/>
              <w:bottom w:val="single" w:sz="4" w:space="0" w:color="auto"/>
              <w:right w:val="nil"/>
            </w:tcBorders>
            <w:shd w:val="clear" w:color="000000" w:fill="DAE895"/>
            <w:noWrap/>
            <w:hideMark/>
          </w:tcPr>
          <w:p w14:paraId="65F1E845" w14:textId="77777777" w:rsidR="00F31456" w:rsidRPr="00772B5B" w:rsidRDefault="00F31456" w:rsidP="00257CDC">
            <w:pPr>
              <w:spacing w:before="26" w:after="26"/>
              <w:ind w:left="57" w:right="57"/>
              <w:rPr>
                <w:rFonts w:eastAsia="Times New Roman" w:cs="Arial"/>
                <w:color w:val="000000"/>
                <w:szCs w:val="20"/>
                <w:lang w:eastAsia="en-AU"/>
              </w:rPr>
            </w:pPr>
            <w:r w:rsidRPr="00772B5B">
              <w:rPr>
                <w:rFonts w:eastAsia="Times New Roman" w:cs="Arial"/>
                <w:color w:val="000000"/>
                <w:szCs w:val="20"/>
                <w:lang w:eastAsia="en-AU"/>
              </w:rPr>
              <w:t>85.2</w:t>
            </w:r>
          </w:p>
        </w:tc>
      </w:tr>
      <w:tr w:rsidR="007461CB" w:rsidRPr="000530B1" w14:paraId="5E90EDF4" w14:textId="77777777" w:rsidTr="00257CDC">
        <w:trPr>
          <w:trHeight w:val="20"/>
        </w:trPr>
        <w:tc>
          <w:tcPr>
            <w:tcW w:w="3813" w:type="dxa"/>
            <w:tcBorders>
              <w:top w:val="nil"/>
              <w:left w:val="nil"/>
              <w:bottom w:val="single" w:sz="4" w:space="0" w:color="auto"/>
              <w:right w:val="nil"/>
            </w:tcBorders>
            <w:noWrap/>
            <w:hideMark/>
          </w:tcPr>
          <w:p w14:paraId="224BC76B" w14:textId="77777777" w:rsidR="00F31456" w:rsidRPr="007858B1" w:rsidRDefault="00F31456" w:rsidP="00257CDC">
            <w:pPr>
              <w:spacing w:before="26" w:after="26"/>
              <w:ind w:left="57" w:right="57"/>
              <w:rPr>
                <w:rFonts w:eastAsia="Times New Roman" w:cs="Arial"/>
                <w:b/>
                <w:bCs/>
                <w:color w:val="000000"/>
                <w:szCs w:val="20"/>
                <w:lang w:eastAsia="en-AU"/>
              </w:rPr>
            </w:pPr>
            <w:r w:rsidRPr="007858B1">
              <w:rPr>
                <w:rFonts w:eastAsia="Times New Roman" w:cs="Arial"/>
                <w:b/>
                <w:bCs/>
                <w:color w:val="000000"/>
                <w:szCs w:val="20"/>
                <w:lang w:eastAsia="en-AU"/>
              </w:rPr>
              <w:t>Total</w:t>
            </w:r>
          </w:p>
        </w:tc>
        <w:tc>
          <w:tcPr>
            <w:tcW w:w="1897" w:type="dxa"/>
            <w:tcBorders>
              <w:top w:val="nil"/>
              <w:left w:val="nil"/>
              <w:bottom w:val="single" w:sz="4" w:space="0" w:color="auto"/>
              <w:right w:val="nil"/>
            </w:tcBorders>
            <w:noWrap/>
            <w:hideMark/>
          </w:tcPr>
          <w:p w14:paraId="502E0672" w14:textId="77777777" w:rsidR="00F31456" w:rsidRPr="00772B5B" w:rsidRDefault="00F31456" w:rsidP="00257CDC">
            <w:pPr>
              <w:spacing w:before="26" w:after="26"/>
              <w:ind w:left="57" w:right="57"/>
              <w:rPr>
                <w:rFonts w:eastAsia="Times New Roman" w:cs="Arial"/>
                <w:b/>
                <w:bCs/>
                <w:color w:val="000000"/>
                <w:szCs w:val="20"/>
                <w:lang w:eastAsia="en-AU"/>
              </w:rPr>
            </w:pPr>
            <w:r w:rsidRPr="00772B5B">
              <w:rPr>
                <w:rFonts w:eastAsia="Times New Roman" w:cs="Arial"/>
                <w:b/>
                <w:bCs/>
                <w:color w:val="000000"/>
                <w:szCs w:val="20"/>
                <w:lang w:eastAsia="en-AU"/>
              </w:rPr>
              <w:t>81.4</w:t>
            </w:r>
          </w:p>
        </w:tc>
        <w:tc>
          <w:tcPr>
            <w:tcW w:w="1788" w:type="dxa"/>
            <w:tcBorders>
              <w:top w:val="nil"/>
              <w:left w:val="nil"/>
              <w:bottom w:val="single" w:sz="4" w:space="0" w:color="auto"/>
              <w:right w:val="nil"/>
            </w:tcBorders>
            <w:noWrap/>
            <w:hideMark/>
          </w:tcPr>
          <w:p w14:paraId="10BA348F" w14:textId="77777777" w:rsidR="00F31456" w:rsidRPr="00772B5B" w:rsidRDefault="00F31456" w:rsidP="00257CDC">
            <w:pPr>
              <w:spacing w:before="26" w:after="26"/>
              <w:ind w:left="57" w:right="57"/>
              <w:rPr>
                <w:rFonts w:eastAsia="Times New Roman" w:cs="Arial"/>
                <w:b/>
                <w:bCs/>
                <w:color w:val="000000"/>
                <w:szCs w:val="20"/>
                <w:lang w:eastAsia="en-AU"/>
              </w:rPr>
            </w:pPr>
            <w:r w:rsidRPr="00772B5B">
              <w:rPr>
                <w:rFonts w:eastAsia="Times New Roman" w:cs="Arial"/>
                <w:b/>
                <w:bCs/>
                <w:color w:val="000000"/>
                <w:szCs w:val="20"/>
                <w:lang w:eastAsia="en-AU"/>
              </w:rPr>
              <w:t>61.4</w:t>
            </w:r>
          </w:p>
        </w:tc>
        <w:tc>
          <w:tcPr>
            <w:tcW w:w="2006" w:type="dxa"/>
            <w:tcBorders>
              <w:top w:val="nil"/>
              <w:left w:val="nil"/>
              <w:bottom w:val="single" w:sz="4" w:space="0" w:color="auto"/>
              <w:right w:val="nil"/>
            </w:tcBorders>
            <w:noWrap/>
            <w:hideMark/>
          </w:tcPr>
          <w:p w14:paraId="527F1010" w14:textId="77777777" w:rsidR="00F31456" w:rsidRPr="00772B5B" w:rsidRDefault="00F31456" w:rsidP="00257CDC">
            <w:pPr>
              <w:spacing w:before="26" w:after="26"/>
              <w:ind w:left="57" w:right="57"/>
              <w:rPr>
                <w:rFonts w:eastAsia="Times New Roman" w:cs="Arial"/>
                <w:b/>
                <w:bCs/>
                <w:color w:val="000000"/>
                <w:szCs w:val="20"/>
                <w:lang w:eastAsia="en-AU"/>
              </w:rPr>
            </w:pPr>
            <w:r w:rsidRPr="00772B5B">
              <w:rPr>
                <w:rFonts w:eastAsia="Times New Roman" w:cs="Arial"/>
                <w:b/>
                <w:bCs/>
                <w:color w:val="000000"/>
                <w:szCs w:val="20"/>
                <w:lang w:eastAsia="en-AU"/>
              </w:rPr>
              <w:t>80.5</w:t>
            </w:r>
          </w:p>
        </w:tc>
        <w:tc>
          <w:tcPr>
            <w:tcW w:w="1897" w:type="dxa"/>
            <w:tcBorders>
              <w:top w:val="nil"/>
              <w:left w:val="nil"/>
              <w:bottom w:val="single" w:sz="4" w:space="0" w:color="auto"/>
              <w:right w:val="nil"/>
            </w:tcBorders>
            <w:noWrap/>
            <w:hideMark/>
          </w:tcPr>
          <w:p w14:paraId="6F9825E7" w14:textId="77777777" w:rsidR="00F31456" w:rsidRPr="00772B5B" w:rsidRDefault="00F31456" w:rsidP="00257CDC">
            <w:pPr>
              <w:spacing w:before="26" w:after="26"/>
              <w:ind w:left="57" w:right="57"/>
              <w:rPr>
                <w:rFonts w:eastAsia="Times New Roman" w:cs="Arial"/>
                <w:b/>
                <w:bCs/>
                <w:color w:val="000000"/>
                <w:szCs w:val="20"/>
                <w:lang w:eastAsia="en-AU"/>
              </w:rPr>
            </w:pPr>
            <w:r w:rsidRPr="00772B5B">
              <w:rPr>
                <w:rFonts w:eastAsia="Times New Roman" w:cs="Arial"/>
                <w:b/>
                <w:bCs/>
                <w:color w:val="000000"/>
                <w:szCs w:val="20"/>
                <w:lang w:eastAsia="en-AU"/>
              </w:rPr>
              <w:t>71.3</w:t>
            </w:r>
          </w:p>
        </w:tc>
        <w:tc>
          <w:tcPr>
            <w:tcW w:w="1484" w:type="dxa"/>
            <w:tcBorders>
              <w:top w:val="nil"/>
              <w:left w:val="nil"/>
              <w:bottom w:val="single" w:sz="4" w:space="0" w:color="auto"/>
              <w:right w:val="nil"/>
            </w:tcBorders>
            <w:noWrap/>
            <w:hideMark/>
          </w:tcPr>
          <w:p w14:paraId="3AF304EE" w14:textId="77777777" w:rsidR="00F31456" w:rsidRPr="00772B5B" w:rsidRDefault="00F31456" w:rsidP="00257CDC">
            <w:pPr>
              <w:spacing w:before="26" w:after="26"/>
              <w:ind w:left="57" w:right="57"/>
              <w:rPr>
                <w:rFonts w:eastAsia="Times New Roman" w:cs="Arial"/>
                <w:b/>
                <w:bCs/>
                <w:color w:val="000000"/>
                <w:szCs w:val="20"/>
                <w:lang w:eastAsia="en-AU"/>
              </w:rPr>
            </w:pPr>
            <w:r w:rsidRPr="00772B5B">
              <w:rPr>
                <w:rFonts w:eastAsia="Times New Roman" w:cs="Arial"/>
                <w:b/>
                <w:bCs/>
                <w:color w:val="000000"/>
                <w:szCs w:val="20"/>
                <w:lang w:eastAsia="en-AU"/>
              </w:rPr>
              <w:t>83.3</w:t>
            </w:r>
          </w:p>
        </w:tc>
        <w:tc>
          <w:tcPr>
            <w:tcW w:w="2311" w:type="dxa"/>
            <w:tcBorders>
              <w:top w:val="nil"/>
              <w:left w:val="nil"/>
              <w:bottom w:val="single" w:sz="4" w:space="0" w:color="auto"/>
              <w:right w:val="nil"/>
            </w:tcBorders>
            <w:noWrap/>
            <w:hideMark/>
          </w:tcPr>
          <w:p w14:paraId="1810FB99" w14:textId="77777777" w:rsidR="00F31456" w:rsidRPr="00772B5B" w:rsidRDefault="00F31456" w:rsidP="00257CDC">
            <w:pPr>
              <w:spacing w:before="26" w:after="26"/>
              <w:ind w:left="57" w:right="57"/>
              <w:rPr>
                <w:rFonts w:eastAsia="Times New Roman" w:cs="Arial"/>
                <w:b/>
                <w:bCs/>
                <w:color w:val="000000"/>
                <w:szCs w:val="20"/>
                <w:lang w:eastAsia="en-AU"/>
              </w:rPr>
            </w:pPr>
            <w:r w:rsidRPr="00772B5B">
              <w:rPr>
                <w:rFonts w:eastAsia="Times New Roman" w:cs="Arial"/>
                <w:b/>
                <w:bCs/>
                <w:color w:val="000000"/>
                <w:szCs w:val="20"/>
                <w:lang w:eastAsia="en-AU"/>
              </w:rPr>
              <w:t>76.5</w:t>
            </w:r>
          </w:p>
        </w:tc>
      </w:tr>
    </w:tbl>
    <w:bookmarkEnd w:id="151"/>
    <w:p w14:paraId="17F52F85" w14:textId="77777777" w:rsidR="001D33BB" w:rsidRDefault="001D33BB" w:rsidP="00257CDC">
      <w:pPr>
        <w:pStyle w:val="BaseFigureNotes"/>
        <w:spacing w:before="60" w:after="0"/>
        <w:rPr>
          <w:lang w:eastAsia="en-GB"/>
        </w:rPr>
      </w:pPr>
      <w:r w:rsidRPr="00772B5B">
        <w:rPr>
          <w:b/>
          <w:bCs/>
          <w:spacing w:val="-2"/>
          <w:sz w:val="17"/>
          <w:szCs w:val="17"/>
          <w:lang w:eastAsia="en-GB"/>
        </w:rPr>
        <w:t>Note:</w:t>
      </w:r>
      <w:r w:rsidRPr="00772B5B">
        <w:rPr>
          <w:spacing w:val="-2"/>
          <w:sz w:val="17"/>
          <w:szCs w:val="17"/>
          <w:lang w:eastAsia="en-GB"/>
        </w:rPr>
        <w:t xml:space="preserve"> Cells are shaded to indicate relative position within each focus area, with green shading indicating results above the national average and orange shading indicating results below the national average</w:t>
      </w:r>
      <w:r w:rsidRPr="000530B1">
        <w:rPr>
          <w:lang w:eastAsia="en-GB"/>
        </w:rPr>
        <w:t>.</w:t>
      </w:r>
    </w:p>
    <w:p w14:paraId="6C17ABA7" w14:textId="706A978A" w:rsidR="00350237" w:rsidRPr="000530B1" w:rsidRDefault="00350237" w:rsidP="001213B7">
      <w:pPr>
        <w:pStyle w:val="Body"/>
        <w:spacing w:before="100" w:after="100"/>
        <w:rPr>
          <w:rFonts w:eastAsiaTheme="minorHAnsi" w:cs="Arial"/>
          <w:lang w:eastAsia="en-GB"/>
        </w:rPr>
      </w:pPr>
      <w:r w:rsidRPr="000530B1">
        <w:rPr>
          <w:rFonts w:eastAsiaTheme="minorHAnsi" w:cs="Arial"/>
          <w:lang w:eastAsia="en-GB"/>
        </w:rPr>
        <w:t xml:space="preserve">Similar patterns of variation </w:t>
      </w:r>
      <w:r w:rsidR="006D0E15" w:rsidRPr="000530B1">
        <w:rPr>
          <w:rFonts w:eastAsiaTheme="minorHAnsi" w:cs="Arial"/>
          <w:lang w:eastAsia="en-GB"/>
        </w:rPr>
        <w:t xml:space="preserve">between study areas </w:t>
      </w:r>
      <w:r w:rsidR="00404D3B" w:rsidRPr="000530B1">
        <w:rPr>
          <w:rFonts w:eastAsiaTheme="minorHAnsi" w:cs="Arial"/>
          <w:lang w:eastAsia="en-GB"/>
        </w:rPr>
        <w:t>were observed at the postgraduate coursework level</w:t>
      </w:r>
      <w:r w:rsidR="00811299" w:rsidRPr="000530B1">
        <w:rPr>
          <w:rFonts w:eastAsiaTheme="minorHAnsi" w:cs="Arial"/>
          <w:lang w:eastAsia="en-GB"/>
        </w:rPr>
        <w:t xml:space="preserve"> but the order </w:t>
      </w:r>
      <w:r w:rsidR="002571AA" w:rsidRPr="000530B1">
        <w:rPr>
          <w:rFonts w:eastAsiaTheme="minorHAnsi" w:cs="Arial"/>
          <w:lang w:eastAsia="en-GB"/>
        </w:rPr>
        <w:t xml:space="preserve">of </w:t>
      </w:r>
      <w:r w:rsidR="00095660" w:rsidRPr="000530B1">
        <w:rPr>
          <w:rFonts w:eastAsiaTheme="minorHAnsi" w:cs="Arial"/>
          <w:lang w:eastAsia="en-GB"/>
        </w:rPr>
        <w:t xml:space="preserve">Overall Educational Experience </w:t>
      </w:r>
      <w:r w:rsidR="00811299" w:rsidRPr="000530B1">
        <w:rPr>
          <w:rFonts w:eastAsiaTheme="minorHAnsi" w:cs="Arial"/>
          <w:lang w:eastAsia="en-GB"/>
        </w:rPr>
        <w:t>ratings varied</w:t>
      </w:r>
      <w:r w:rsidR="00257CDC">
        <w:rPr>
          <w:rFonts w:eastAsiaTheme="minorHAnsi" w:cs="Arial"/>
          <w:lang w:eastAsia="en-GB"/>
        </w:rPr>
        <w:t xml:space="preserve"> </w:t>
      </w:r>
      <w:r w:rsidR="00811299" w:rsidRPr="000530B1">
        <w:rPr>
          <w:rFonts w:eastAsiaTheme="minorHAnsi" w:cs="Arial"/>
          <w:lang w:eastAsia="en-GB"/>
        </w:rPr>
        <w:t xml:space="preserve">greatly </w:t>
      </w:r>
      <w:r w:rsidR="00B3707C" w:rsidRPr="000530B1">
        <w:rPr>
          <w:rFonts w:eastAsiaTheme="minorHAnsi" w:cs="Arial"/>
          <w:lang w:eastAsia="en-GB"/>
        </w:rPr>
        <w:t>t</w:t>
      </w:r>
      <w:r w:rsidR="00811299" w:rsidRPr="000530B1">
        <w:rPr>
          <w:rFonts w:eastAsiaTheme="minorHAnsi" w:cs="Arial"/>
          <w:lang w:eastAsia="en-GB"/>
        </w:rPr>
        <w:t xml:space="preserve">o </w:t>
      </w:r>
      <w:r w:rsidR="00601BC9" w:rsidRPr="000530B1">
        <w:rPr>
          <w:rFonts w:eastAsiaTheme="minorHAnsi" w:cs="Arial"/>
          <w:lang w:eastAsia="en-GB"/>
        </w:rPr>
        <w:t>undergraduate ratings</w:t>
      </w:r>
      <w:r w:rsidR="00261472" w:rsidRPr="000530B1">
        <w:rPr>
          <w:rFonts w:eastAsiaTheme="minorHAnsi" w:cs="Arial"/>
          <w:lang w:eastAsia="en-GB"/>
        </w:rPr>
        <w:t xml:space="preserve"> (</w:t>
      </w:r>
      <w:r w:rsidR="00F45FA0" w:rsidRPr="000530B1">
        <w:rPr>
          <w:rFonts w:eastAsiaTheme="minorHAnsi" w:cs="Arial"/>
          <w:b/>
          <w:bCs/>
          <w:lang w:eastAsia="en-GB"/>
        </w:rPr>
        <w:t>Figure 36</w:t>
      </w:r>
      <w:r w:rsidR="00261472" w:rsidRPr="000530B1">
        <w:rPr>
          <w:rFonts w:eastAsiaTheme="minorHAnsi" w:cs="Arial"/>
          <w:lang w:eastAsia="en-GB"/>
        </w:rPr>
        <w:t>)</w:t>
      </w:r>
      <w:r w:rsidR="00601BC9" w:rsidRPr="000530B1">
        <w:rPr>
          <w:rFonts w:eastAsiaTheme="minorHAnsi" w:cs="Arial"/>
          <w:lang w:eastAsia="en-GB"/>
        </w:rPr>
        <w:t xml:space="preserve">. For instance, </w:t>
      </w:r>
      <w:r w:rsidR="008D1583" w:rsidRPr="000530B1">
        <w:rPr>
          <w:rFonts w:eastAsiaTheme="minorHAnsi" w:cs="Arial"/>
          <w:lang w:eastAsia="en-GB"/>
        </w:rPr>
        <w:t xml:space="preserve">81.0 per cent of </w:t>
      </w:r>
      <w:r w:rsidR="003D07B4" w:rsidRPr="000530B1">
        <w:rPr>
          <w:rFonts w:eastAsiaTheme="minorHAnsi" w:cs="Arial"/>
          <w:lang w:eastAsia="en-GB"/>
        </w:rPr>
        <w:t>undergraduates from Medicine rated Overall Educational Experience</w:t>
      </w:r>
      <w:r w:rsidR="00E5004C" w:rsidRPr="000530B1">
        <w:rPr>
          <w:rFonts w:eastAsiaTheme="minorHAnsi" w:cs="Arial"/>
          <w:lang w:eastAsia="en-GB"/>
        </w:rPr>
        <w:t>, making it the fifth highest study area in 2025. In contrast, it was the second lowest rated at the postgraduate coursework level</w:t>
      </w:r>
      <w:r w:rsidR="005163CE" w:rsidRPr="000530B1">
        <w:rPr>
          <w:rFonts w:eastAsiaTheme="minorHAnsi" w:cs="Arial"/>
          <w:lang w:eastAsia="en-GB"/>
        </w:rPr>
        <w:t xml:space="preserve"> with only 69.8 per cent of students rating it positively.</w:t>
      </w:r>
    </w:p>
    <w:p w14:paraId="7454F853" w14:textId="41A348C0" w:rsidR="001D33BB" w:rsidRPr="000530B1" w:rsidRDefault="00C067FB" w:rsidP="001213B7">
      <w:pPr>
        <w:pStyle w:val="Body"/>
        <w:spacing w:after="100"/>
        <w:rPr>
          <w:rFonts w:eastAsiaTheme="minorHAnsi" w:cs="Arial"/>
          <w:lang w:eastAsia="en-GB"/>
        </w:rPr>
      </w:pPr>
      <w:r w:rsidRPr="000530B1">
        <w:rPr>
          <w:rFonts w:eastAsiaTheme="minorHAnsi" w:cs="Arial"/>
          <w:lang w:eastAsia="en-GB"/>
        </w:rPr>
        <w:t xml:space="preserve">Notably, the Computing and information systems and Dentistry study areas reported relatively low Overall Educational Experience ratings at both levels of study. The consistency of these results across levels suggests that factors </w:t>
      </w:r>
      <w:r w:rsidR="00E92A31" w:rsidRPr="000530B1">
        <w:rPr>
          <w:rFonts w:eastAsiaTheme="minorHAnsi" w:cs="Arial"/>
          <w:lang w:eastAsia="en-GB"/>
        </w:rPr>
        <w:t>shared across courses within t</w:t>
      </w:r>
      <w:r w:rsidR="004E0050" w:rsidRPr="000530B1">
        <w:rPr>
          <w:rFonts w:eastAsiaTheme="minorHAnsi" w:cs="Arial"/>
          <w:lang w:eastAsia="en-GB"/>
        </w:rPr>
        <w:t>hese</w:t>
      </w:r>
      <w:r w:rsidRPr="000530B1">
        <w:rPr>
          <w:rFonts w:eastAsiaTheme="minorHAnsi" w:cs="Arial"/>
          <w:lang w:eastAsia="en-GB"/>
        </w:rPr>
        <w:t xml:space="preserve"> study areas may be influencing students’ overall</w:t>
      </w:r>
      <w:r w:rsidR="00364616">
        <w:rPr>
          <w:rFonts w:eastAsiaTheme="minorHAnsi" w:cs="Arial"/>
          <w:lang w:eastAsia="en-GB"/>
        </w:rPr>
        <w:t xml:space="preserve"> </w:t>
      </w:r>
      <w:r w:rsidRPr="000530B1">
        <w:rPr>
          <w:rFonts w:eastAsiaTheme="minorHAnsi" w:cs="Arial"/>
          <w:lang w:eastAsia="en-GB"/>
        </w:rPr>
        <w:t>evaluations.</w:t>
      </w:r>
    </w:p>
    <w:p w14:paraId="5CFDF80E" w14:textId="77777777" w:rsidR="003D7077" w:rsidRDefault="00F31456" w:rsidP="003D7077">
      <w:pPr>
        <w:pStyle w:val="Captionaccessible"/>
        <w:spacing w:after="0"/>
      </w:pPr>
      <w:bookmarkStart w:id="152" w:name="_Toc199513076"/>
      <w:bookmarkStart w:id="153" w:name="_Ref196824778"/>
      <w:bookmarkStart w:id="154" w:name="_Toc199513039"/>
      <w:bookmarkStart w:id="155" w:name="_Toc239764901"/>
      <w:r w:rsidRPr="000530B1">
        <w:lastRenderedPageBreak/>
        <w:t xml:space="preserve">Figure </w:t>
      </w:r>
      <w:r w:rsidR="00F45FA0">
        <w:fldChar w:fldCharType="begin"/>
      </w:r>
      <w:r w:rsidR="00F45FA0">
        <w:instrText xml:space="preserve"> SEQ Figure \* ARABIC </w:instrText>
      </w:r>
      <w:r w:rsidR="00F45FA0">
        <w:fldChar w:fldCharType="separate"/>
      </w:r>
      <w:r w:rsidR="00F45FA0" w:rsidRPr="000530B1">
        <w:rPr>
          <w:noProof/>
        </w:rPr>
        <w:t>36</w:t>
      </w:r>
      <w:r w:rsidR="00F45FA0">
        <w:rPr>
          <w:noProof/>
        </w:rPr>
        <w:fldChar w:fldCharType="end"/>
      </w:r>
      <w:r w:rsidR="001A2248" w:rsidRPr="000530B1">
        <w:tab/>
      </w:r>
      <w:r w:rsidRPr="000530B1">
        <w:t>Overall Educational Experience by study area, postgraduate coursework, 2025</w:t>
      </w:r>
      <w:r w:rsidR="003D7077">
        <w:t xml:space="preserve"> </w:t>
      </w:r>
      <w:r w:rsidRPr="000530B1">
        <w:t>(%</w:t>
      </w:r>
      <w:r w:rsidR="003D7077">
        <w:t xml:space="preserve"> </w:t>
      </w:r>
      <w:r w:rsidRPr="000530B1">
        <w:t>positive</w:t>
      </w:r>
      <w:r w:rsidR="003D7077">
        <w:t xml:space="preserve"> </w:t>
      </w:r>
      <w:r w:rsidRPr="000530B1">
        <w:t>rating)</w:t>
      </w:r>
      <w:bookmarkEnd w:id="152"/>
      <w:bookmarkEnd w:id="155"/>
    </w:p>
    <w:p w14:paraId="435CDAAC" w14:textId="0D41CB5F" w:rsidR="003D7077" w:rsidRPr="003D7077" w:rsidRDefault="003D7077" w:rsidP="003D7077">
      <w:pPr>
        <w:pStyle w:val="Captionaccessible"/>
        <w:spacing w:after="0"/>
        <w:rPr>
          <w:rStyle w:val="BodyChar"/>
          <w:rFonts w:eastAsia="Aptos"/>
        </w:rPr>
      </w:pPr>
      <w:r>
        <w:rPr>
          <w:noProof/>
        </w:rPr>
        <w:drawing>
          <wp:inline distT="0" distB="0" distL="0" distR="0" wp14:anchorId="34DCF60B" wp14:editId="00216B24">
            <wp:extent cx="9648000" cy="5924144"/>
            <wp:effectExtent l="0" t="0" r="0" b="635"/>
            <wp:docPr id="1610469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648000" cy="5924144"/>
                    </a:xfrm>
                    <a:prstGeom prst="rect">
                      <a:avLst/>
                    </a:prstGeom>
                    <a:noFill/>
                  </pic:spPr>
                </pic:pic>
              </a:graphicData>
            </a:graphic>
          </wp:inline>
        </w:drawing>
      </w:r>
    </w:p>
    <w:p w14:paraId="3B4F3330" w14:textId="3B841557" w:rsidR="003D7077" w:rsidRDefault="003D7077" w:rsidP="003D7077">
      <w:pPr>
        <w:pStyle w:val="Body"/>
        <w:rPr>
          <w:rStyle w:val="BodyChar"/>
          <w:rFonts w:eastAsiaTheme="minorHAnsi"/>
        </w:rPr>
        <w:sectPr w:rsidR="003D7077" w:rsidSect="00364616">
          <w:headerReference w:type="default" r:id="rId72"/>
          <w:pgSz w:w="16840" w:h="11900" w:orient="landscape"/>
          <w:pgMar w:top="1134" w:right="851" w:bottom="1134" w:left="851" w:header="567" w:footer="567" w:gutter="0"/>
          <w:cols w:space="708"/>
          <w:docGrid w:linePitch="360"/>
        </w:sectPr>
      </w:pPr>
      <w:bookmarkStart w:id="156" w:name="_Ref217386944"/>
    </w:p>
    <w:p w14:paraId="49F9A86D" w14:textId="77777777" w:rsidR="000D6029" w:rsidRDefault="00E22F5E" w:rsidP="003D7077">
      <w:pPr>
        <w:pStyle w:val="Note"/>
        <w:spacing w:after="120"/>
        <w:rPr>
          <w:rStyle w:val="BodyChar"/>
          <w:rFonts w:eastAsiaTheme="minorHAnsi"/>
        </w:rPr>
      </w:pPr>
      <w:r w:rsidRPr="00F65881">
        <w:rPr>
          <w:rStyle w:val="BodyChar"/>
          <w:rFonts w:eastAsiaTheme="minorHAnsi"/>
        </w:rPr>
        <w:lastRenderedPageBreak/>
        <w:t xml:space="preserve">Postgraduate coursework student ratings of Overall Educational Experience were highest from the </w:t>
      </w:r>
      <w:r w:rsidR="003A40E3" w:rsidRPr="00F65881">
        <w:rPr>
          <w:rStyle w:val="BodyChar"/>
          <w:rFonts w:eastAsiaTheme="minorHAnsi"/>
        </w:rPr>
        <w:t>Humanities</w:t>
      </w:r>
      <w:r w:rsidRPr="00F65881">
        <w:rPr>
          <w:rStyle w:val="BodyChar"/>
          <w:rFonts w:eastAsiaTheme="minorHAnsi"/>
        </w:rPr>
        <w:t>, culture and social sciences study area</w:t>
      </w:r>
      <w:r w:rsidR="003A40E3" w:rsidRPr="00F65881">
        <w:rPr>
          <w:rStyle w:val="BodyChar"/>
          <w:rFonts w:eastAsiaTheme="minorHAnsi"/>
        </w:rPr>
        <w:t xml:space="preserve"> (84.9 per cent positive</w:t>
      </w:r>
      <w:r w:rsidR="00BD5D18" w:rsidRPr="00F65881">
        <w:rPr>
          <w:rStyle w:val="BodyChar"/>
          <w:rFonts w:eastAsiaTheme="minorHAnsi"/>
        </w:rPr>
        <w:t>)</w:t>
      </w:r>
      <w:r w:rsidR="003A40E3" w:rsidRPr="00F65881">
        <w:rPr>
          <w:rStyle w:val="BodyChar"/>
          <w:rFonts w:eastAsiaTheme="minorHAnsi"/>
        </w:rPr>
        <w:t>.</w:t>
      </w:r>
      <w:r w:rsidR="005D6C3C" w:rsidRPr="00F65881">
        <w:rPr>
          <w:rStyle w:val="BodyChar"/>
          <w:rFonts w:eastAsiaTheme="minorHAnsi"/>
        </w:rPr>
        <w:t xml:space="preserve"> Notably, the Humanities, culture and social sciences focus area also recorded the highest Teaching Quality and Enga</w:t>
      </w:r>
      <w:r w:rsidR="00515FEE" w:rsidRPr="00F65881">
        <w:rPr>
          <w:rStyle w:val="BodyChar"/>
          <w:rFonts w:eastAsiaTheme="minorHAnsi"/>
        </w:rPr>
        <w:t xml:space="preserve">gement rating (90.6 per cent positive), </w:t>
      </w:r>
      <w:bookmarkStart w:id="157" w:name="_Ref217387485"/>
      <w:r w:rsidR="00F263E8" w:rsidRPr="00F65881">
        <w:rPr>
          <w:rStyle w:val="BodyChar"/>
          <w:rFonts w:eastAsiaTheme="minorHAnsi"/>
        </w:rPr>
        <w:t>reinforcing the close association between Teaching Quality and Engagement and students’ overall evaluations of their educational experience</w:t>
      </w:r>
      <w:r w:rsidR="008D7E1C" w:rsidRPr="00F65881">
        <w:rPr>
          <w:rStyle w:val="BodyChar"/>
          <w:rFonts w:eastAsiaTheme="minorHAnsi"/>
        </w:rPr>
        <w:t xml:space="preserve"> (</w:t>
      </w:r>
      <w:r w:rsidR="00E729D5" w:rsidRPr="00F65881">
        <w:rPr>
          <w:rStyle w:val="BodyChar"/>
          <w:rFonts w:eastAsiaTheme="minorHAnsi"/>
        </w:rPr>
        <w:fldChar w:fldCharType="begin"/>
      </w:r>
      <w:r w:rsidR="00E729D5" w:rsidRPr="00F65881">
        <w:rPr>
          <w:rStyle w:val="BodyChar"/>
          <w:rFonts w:eastAsiaTheme="minorHAnsi"/>
        </w:rPr>
        <w:instrText xml:space="preserve"> REF _Ref220085309 \h  \* MERGEFORMAT </w:instrText>
      </w:r>
      <w:r w:rsidR="00E729D5" w:rsidRPr="00F65881">
        <w:rPr>
          <w:rStyle w:val="BodyChar"/>
          <w:rFonts w:eastAsiaTheme="minorHAnsi"/>
        </w:rPr>
      </w:r>
      <w:r w:rsidR="00E729D5" w:rsidRPr="00F65881">
        <w:rPr>
          <w:rStyle w:val="BodyChar"/>
          <w:rFonts w:eastAsiaTheme="minorHAnsi"/>
        </w:rPr>
        <w:fldChar w:fldCharType="separate"/>
      </w:r>
      <w:r w:rsidR="001A2248" w:rsidRPr="00F65881">
        <w:rPr>
          <w:rStyle w:val="BodyChar"/>
          <w:rFonts w:eastAsiaTheme="minorHAnsi"/>
        </w:rPr>
        <w:t>Table 4</w:t>
      </w:r>
      <w:r w:rsidR="00E729D5" w:rsidRPr="00F65881">
        <w:rPr>
          <w:rStyle w:val="BodyChar"/>
          <w:rFonts w:eastAsiaTheme="minorHAnsi"/>
        </w:rPr>
        <w:fldChar w:fldCharType="end"/>
      </w:r>
      <w:r w:rsidR="00E729D5" w:rsidRPr="00F65881">
        <w:rPr>
          <w:rStyle w:val="BodyChar"/>
          <w:rFonts w:eastAsiaTheme="minorHAnsi"/>
        </w:rPr>
        <w:t>)</w:t>
      </w:r>
      <w:r w:rsidR="00F263E8" w:rsidRPr="00F65881">
        <w:rPr>
          <w:rStyle w:val="BodyChar"/>
          <w:rFonts w:eastAsiaTheme="minorHAnsi"/>
        </w:rPr>
        <w:t>.</w:t>
      </w:r>
    </w:p>
    <w:p w14:paraId="5AF22764" w14:textId="6BBE12B4" w:rsidR="000F0BA4" w:rsidRPr="00E377A6" w:rsidRDefault="00F31456" w:rsidP="003D7077">
      <w:pPr>
        <w:pStyle w:val="Captionaccessible"/>
        <w:spacing w:after="80"/>
      </w:pPr>
      <w:bookmarkStart w:id="158" w:name="_Ref220085309"/>
      <w:bookmarkStart w:id="159" w:name="_Toc239764864"/>
      <w:r w:rsidRPr="000530B1">
        <w:t xml:space="preserve">Table </w:t>
      </w:r>
      <w:r w:rsidR="0009233A">
        <w:fldChar w:fldCharType="begin"/>
      </w:r>
      <w:r w:rsidR="0009233A">
        <w:instrText xml:space="preserve"> SEQ Table \* ARABIC </w:instrText>
      </w:r>
      <w:r w:rsidR="0009233A">
        <w:fldChar w:fldCharType="separate"/>
      </w:r>
      <w:r w:rsidR="0009233A" w:rsidRPr="000530B1">
        <w:rPr>
          <w:noProof/>
        </w:rPr>
        <w:t>4</w:t>
      </w:r>
      <w:r w:rsidR="0009233A">
        <w:rPr>
          <w:noProof/>
        </w:rPr>
        <w:fldChar w:fldCharType="end"/>
      </w:r>
      <w:bookmarkEnd w:id="153"/>
      <w:bookmarkEnd w:id="156"/>
      <w:bookmarkEnd w:id="157"/>
      <w:bookmarkEnd w:id="158"/>
      <w:r w:rsidR="001A2248" w:rsidRPr="000530B1">
        <w:tab/>
      </w:r>
      <w:r w:rsidR="005D741F" w:rsidRPr="000530B1">
        <w:t>P</w:t>
      </w:r>
      <w:r w:rsidRPr="000530B1">
        <w:t>ostgraduate coursework student experience by study area, 2025 (% positive rating)</w:t>
      </w:r>
      <w:bookmarkEnd w:id="154"/>
      <w:bookmarkEnd w:id="159"/>
    </w:p>
    <w:tbl>
      <w:tblPr>
        <w:tblW w:w="15196" w:type="dxa"/>
        <w:tblLayout w:type="fixed"/>
        <w:tblLook w:val="04A0" w:firstRow="1" w:lastRow="0" w:firstColumn="1" w:lastColumn="0" w:noHBand="0" w:noVBand="1"/>
      </w:tblPr>
      <w:tblGrid>
        <w:gridCol w:w="3813"/>
        <w:gridCol w:w="1842"/>
        <w:gridCol w:w="1843"/>
        <w:gridCol w:w="1985"/>
        <w:gridCol w:w="1842"/>
        <w:gridCol w:w="1701"/>
        <w:gridCol w:w="2170"/>
      </w:tblGrid>
      <w:tr w:rsidR="007461CB" w:rsidRPr="000530B1" w14:paraId="0878571B" w14:textId="77777777" w:rsidTr="003D7077">
        <w:trPr>
          <w:trHeight w:val="329"/>
          <w:tblHeader/>
        </w:trPr>
        <w:tc>
          <w:tcPr>
            <w:tcW w:w="3813" w:type="dxa"/>
            <w:tcBorders>
              <w:top w:val="single" w:sz="4" w:space="0" w:color="auto"/>
              <w:left w:val="single" w:sz="12" w:space="0" w:color="FFFFFF"/>
              <w:bottom w:val="single" w:sz="4" w:space="0" w:color="auto"/>
              <w:right w:val="single" w:sz="12" w:space="0" w:color="FFFFFF"/>
            </w:tcBorders>
            <w:shd w:val="clear" w:color="000000" w:fill="FFFFFF"/>
            <w:hideMark/>
          </w:tcPr>
          <w:p w14:paraId="64BD0154" w14:textId="77777777" w:rsidR="00F31456" w:rsidRPr="00C27938" w:rsidRDefault="00F31456" w:rsidP="003D7077">
            <w:pPr>
              <w:spacing w:before="50" w:after="50"/>
              <w:rPr>
                <w:rFonts w:eastAsia="Times New Roman" w:cs="Arial"/>
                <w:b/>
                <w:bCs/>
                <w:szCs w:val="20"/>
                <w:lang w:eastAsia="en-AU"/>
              </w:rPr>
            </w:pPr>
            <w:r w:rsidRPr="00C27938">
              <w:rPr>
                <w:rFonts w:eastAsia="Times New Roman" w:cs="Arial"/>
                <w:b/>
                <w:bCs/>
                <w:szCs w:val="20"/>
                <w:lang w:eastAsia="en-AU"/>
              </w:rPr>
              <w:t>Study area</w:t>
            </w:r>
          </w:p>
        </w:tc>
        <w:tc>
          <w:tcPr>
            <w:tcW w:w="1842" w:type="dxa"/>
            <w:tcBorders>
              <w:top w:val="single" w:sz="4" w:space="0" w:color="auto"/>
              <w:left w:val="nil"/>
              <w:bottom w:val="single" w:sz="4" w:space="0" w:color="auto"/>
              <w:right w:val="single" w:sz="12" w:space="0" w:color="FFFFFF"/>
            </w:tcBorders>
            <w:shd w:val="clear" w:color="000000" w:fill="FFFFFF"/>
            <w:hideMark/>
          </w:tcPr>
          <w:p w14:paraId="41E8E050" w14:textId="77777777" w:rsidR="00F31456" w:rsidRPr="00C27938" w:rsidRDefault="00F31456" w:rsidP="003D7077">
            <w:pPr>
              <w:spacing w:before="50" w:after="50"/>
              <w:rPr>
                <w:rFonts w:eastAsia="Times New Roman" w:cs="Arial"/>
                <w:b/>
                <w:bCs/>
                <w:szCs w:val="20"/>
                <w:lang w:eastAsia="en-AU"/>
              </w:rPr>
            </w:pPr>
            <w:r w:rsidRPr="00C27938">
              <w:rPr>
                <w:rFonts w:eastAsia="Times New Roman" w:cs="Arial"/>
                <w:b/>
                <w:bCs/>
                <w:szCs w:val="20"/>
                <w:lang w:eastAsia="en-AU"/>
              </w:rPr>
              <w:t>Skills Development</w:t>
            </w:r>
          </w:p>
        </w:tc>
        <w:tc>
          <w:tcPr>
            <w:tcW w:w="1843" w:type="dxa"/>
            <w:tcBorders>
              <w:top w:val="single" w:sz="4" w:space="0" w:color="auto"/>
              <w:left w:val="nil"/>
              <w:bottom w:val="single" w:sz="4" w:space="0" w:color="auto"/>
              <w:right w:val="single" w:sz="12" w:space="0" w:color="FFFFFF"/>
            </w:tcBorders>
            <w:shd w:val="clear" w:color="000000" w:fill="FFFFFF"/>
            <w:hideMark/>
          </w:tcPr>
          <w:p w14:paraId="1DF22D03" w14:textId="77777777" w:rsidR="00F31456" w:rsidRPr="00C27938" w:rsidRDefault="00F31456" w:rsidP="003D7077">
            <w:pPr>
              <w:spacing w:before="50" w:after="50"/>
              <w:rPr>
                <w:rFonts w:eastAsia="Times New Roman" w:cs="Arial"/>
                <w:b/>
                <w:bCs/>
                <w:szCs w:val="20"/>
                <w:lang w:eastAsia="en-AU"/>
              </w:rPr>
            </w:pPr>
            <w:r w:rsidRPr="00C27938">
              <w:rPr>
                <w:rFonts w:eastAsia="Times New Roman" w:cs="Arial"/>
                <w:b/>
                <w:bCs/>
                <w:szCs w:val="20"/>
                <w:lang w:eastAsia="en-AU"/>
              </w:rPr>
              <w:t>Peer Engagement</w:t>
            </w:r>
          </w:p>
        </w:tc>
        <w:tc>
          <w:tcPr>
            <w:tcW w:w="1985" w:type="dxa"/>
            <w:tcBorders>
              <w:top w:val="single" w:sz="4" w:space="0" w:color="auto"/>
              <w:left w:val="nil"/>
              <w:bottom w:val="single" w:sz="4" w:space="0" w:color="auto"/>
              <w:right w:val="single" w:sz="12" w:space="0" w:color="FFFFFF"/>
            </w:tcBorders>
            <w:shd w:val="clear" w:color="000000" w:fill="FFFFFF"/>
            <w:hideMark/>
          </w:tcPr>
          <w:p w14:paraId="6EB59EA9" w14:textId="77777777" w:rsidR="00F31456" w:rsidRPr="00C27938" w:rsidRDefault="00F31456" w:rsidP="003D7077">
            <w:pPr>
              <w:spacing w:before="50" w:after="50"/>
              <w:rPr>
                <w:rFonts w:eastAsia="Times New Roman" w:cs="Arial"/>
                <w:b/>
                <w:bCs/>
                <w:szCs w:val="20"/>
                <w:lang w:eastAsia="en-AU"/>
              </w:rPr>
            </w:pPr>
            <w:r w:rsidRPr="00C27938">
              <w:rPr>
                <w:rFonts w:eastAsia="Times New Roman" w:cs="Arial"/>
                <w:b/>
                <w:bCs/>
                <w:szCs w:val="20"/>
                <w:lang w:eastAsia="en-AU"/>
              </w:rPr>
              <w:t>Teaching Quality and Engagement</w:t>
            </w:r>
          </w:p>
        </w:tc>
        <w:tc>
          <w:tcPr>
            <w:tcW w:w="1842" w:type="dxa"/>
            <w:tcBorders>
              <w:top w:val="single" w:sz="4" w:space="0" w:color="auto"/>
              <w:left w:val="nil"/>
              <w:bottom w:val="single" w:sz="4" w:space="0" w:color="auto"/>
              <w:right w:val="single" w:sz="12" w:space="0" w:color="FFFFFF"/>
            </w:tcBorders>
            <w:shd w:val="clear" w:color="000000" w:fill="FFFFFF"/>
            <w:hideMark/>
          </w:tcPr>
          <w:p w14:paraId="489499AD" w14:textId="77777777" w:rsidR="00F31456" w:rsidRPr="00C27938" w:rsidRDefault="00F31456" w:rsidP="003D7077">
            <w:pPr>
              <w:spacing w:before="50" w:after="50"/>
              <w:rPr>
                <w:rFonts w:eastAsia="Times New Roman" w:cs="Arial"/>
                <w:b/>
                <w:bCs/>
                <w:szCs w:val="20"/>
                <w:lang w:eastAsia="en-AU"/>
              </w:rPr>
            </w:pPr>
            <w:r w:rsidRPr="00C27938">
              <w:rPr>
                <w:rFonts w:eastAsia="Times New Roman" w:cs="Arial"/>
                <w:b/>
                <w:bCs/>
                <w:szCs w:val="20"/>
                <w:lang w:eastAsia="en-AU"/>
              </w:rPr>
              <w:t>Student Support and Services</w:t>
            </w:r>
          </w:p>
        </w:tc>
        <w:tc>
          <w:tcPr>
            <w:tcW w:w="1701" w:type="dxa"/>
            <w:tcBorders>
              <w:top w:val="single" w:sz="4" w:space="0" w:color="auto"/>
              <w:left w:val="nil"/>
              <w:bottom w:val="single" w:sz="4" w:space="0" w:color="auto"/>
              <w:right w:val="single" w:sz="12" w:space="0" w:color="FFFFFF"/>
            </w:tcBorders>
            <w:shd w:val="clear" w:color="000000" w:fill="FFFFFF"/>
            <w:hideMark/>
          </w:tcPr>
          <w:p w14:paraId="07D86B6D" w14:textId="77777777" w:rsidR="00F31456" w:rsidRPr="00C27938" w:rsidRDefault="00F31456" w:rsidP="003D7077">
            <w:pPr>
              <w:spacing w:before="50" w:after="50"/>
              <w:rPr>
                <w:rFonts w:eastAsia="Times New Roman" w:cs="Arial"/>
                <w:b/>
                <w:bCs/>
                <w:szCs w:val="20"/>
                <w:lang w:eastAsia="en-AU"/>
              </w:rPr>
            </w:pPr>
            <w:r w:rsidRPr="00C27938">
              <w:rPr>
                <w:rFonts w:eastAsia="Times New Roman" w:cs="Arial"/>
                <w:b/>
                <w:bCs/>
                <w:szCs w:val="20"/>
                <w:lang w:eastAsia="en-AU"/>
              </w:rPr>
              <w:t>Learning Resources</w:t>
            </w:r>
          </w:p>
        </w:tc>
        <w:tc>
          <w:tcPr>
            <w:tcW w:w="2170" w:type="dxa"/>
            <w:tcBorders>
              <w:top w:val="single" w:sz="4" w:space="0" w:color="auto"/>
              <w:left w:val="nil"/>
              <w:bottom w:val="single" w:sz="4" w:space="0" w:color="auto"/>
              <w:right w:val="single" w:sz="12" w:space="0" w:color="FFFFFF"/>
            </w:tcBorders>
            <w:shd w:val="clear" w:color="000000" w:fill="FFFFFF"/>
            <w:hideMark/>
          </w:tcPr>
          <w:p w14:paraId="149DE574" w14:textId="77777777" w:rsidR="00F31456" w:rsidRPr="00C27938" w:rsidRDefault="00F31456" w:rsidP="003D7077">
            <w:pPr>
              <w:spacing w:before="50" w:after="50"/>
              <w:rPr>
                <w:rFonts w:eastAsia="Times New Roman" w:cs="Arial"/>
                <w:b/>
                <w:bCs/>
                <w:szCs w:val="20"/>
                <w:lang w:eastAsia="en-AU"/>
              </w:rPr>
            </w:pPr>
            <w:r w:rsidRPr="00C27938">
              <w:rPr>
                <w:rFonts w:eastAsia="Times New Roman" w:cs="Arial"/>
                <w:b/>
                <w:bCs/>
                <w:szCs w:val="20"/>
                <w:lang w:eastAsia="en-AU"/>
              </w:rPr>
              <w:t>Overall Educational Experience</w:t>
            </w:r>
          </w:p>
        </w:tc>
      </w:tr>
      <w:tr w:rsidR="007461CB" w:rsidRPr="000530B1" w14:paraId="5C07F950" w14:textId="77777777" w:rsidTr="003D7077">
        <w:trPr>
          <w:trHeight w:val="329"/>
        </w:trPr>
        <w:tc>
          <w:tcPr>
            <w:tcW w:w="3813" w:type="dxa"/>
            <w:tcBorders>
              <w:top w:val="nil"/>
              <w:left w:val="nil"/>
              <w:bottom w:val="single" w:sz="4" w:space="0" w:color="auto"/>
              <w:right w:val="nil"/>
            </w:tcBorders>
            <w:noWrap/>
            <w:hideMark/>
          </w:tcPr>
          <w:p w14:paraId="0BB2509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Agriculture and environmental studies</w:t>
            </w:r>
          </w:p>
        </w:tc>
        <w:tc>
          <w:tcPr>
            <w:tcW w:w="1842" w:type="dxa"/>
            <w:tcBorders>
              <w:top w:val="single" w:sz="4" w:space="0" w:color="auto"/>
              <w:left w:val="nil"/>
              <w:bottom w:val="single" w:sz="4" w:space="0" w:color="auto"/>
              <w:right w:val="nil"/>
            </w:tcBorders>
            <w:shd w:val="clear" w:color="000000" w:fill="F3F8DD"/>
            <w:noWrap/>
            <w:hideMark/>
          </w:tcPr>
          <w:p w14:paraId="52CBA4E0"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86.3</w:t>
            </w:r>
          </w:p>
        </w:tc>
        <w:tc>
          <w:tcPr>
            <w:tcW w:w="1843" w:type="dxa"/>
            <w:tcBorders>
              <w:top w:val="single" w:sz="4" w:space="0" w:color="auto"/>
              <w:left w:val="nil"/>
              <w:bottom w:val="single" w:sz="4" w:space="0" w:color="auto"/>
              <w:right w:val="nil"/>
            </w:tcBorders>
            <w:shd w:val="clear" w:color="000000" w:fill="F3F8DE"/>
            <w:noWrap/>
            <w:hideMark/>
          </w:tcPr>
          <w:p w14:paraId="6980F94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67.7</w:t>
            </w:r>
          </w:p>
        </w:tc>
        <w:tc>
          <w:tcPr>
            <w:tcW w:w="1985" w:type="dxa"/>
            <w:tcBorders>
              <w:top w:val="single" w:sz="4" w:space="0" w:color="auto"/>
              <w:left w:val="nil"/>
              <w:bottom w:val="single" w:sz="4" w:space="0" w:color="auto"/>
              <w:right w:val="nil"/>
            </w:tcBorders>
            <w:shd w:val="clear" w:color="000000" w:fill="E8F1BD"/>
            <w:noWrap/>
            <w:hideMark/>
          </w:tcPr>
          <w:p w14:paraId="13E89CD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87.4</w:t>
            </w:r>
          </w:p>
        </w:tc>
        <w:tc>
          <w:tcPr>
            <w:tcW w:w="1842" w:type="dxa"/>
            <w:tcBorders>
              <w:top w:val="single" w:sz="4" w:space="0" w:color="auto"/>
              <w:left w:val="nil"/>
              <w:bottom w:val="single" w:sz="4" w:space="0" w:color="auto"/>
              <w:right w:val="nil"/>
            </w:tcBorders>
            <w:shd w:val="clear" w:color="000000" w:fill="F9FCEE"/>
            <w:noWrap/>
            <w:hideMark/>
          </w:tcPr>
          <w:p w14:paraId="5DD6DCB2"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78.3</w:t>
            </w:r>
          </w:p>
        </w:tc>
        <w:tc>
          <w:tcPr>
            <w:tcW w:w="1701" w:type="dxa"/>
            <w:tcBorders>
              <w:top w:val="single" w:sz="4" w:space="0" w:color="auto"/>
              <w:left w:val="nil"/>
              <w:bottom w:val="single" w:sz="4" w:space="0" w:color="auto"/>
              <w:right w:val="nil"/>
            </w:tcBorders>
            <w:shd w:val="clear" w:color="000000" w:fill="D6E68A"/>
            <w:noWrap/>
            <w:hideMark/>
          </w:tcPr>
          <w:p w14:paraId="16DD6FA9"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91.1</w:t>
            </w:r>
          </w:p>
        </w:tc>
        <w:tc>
          <w:tcPr>
            <w:tcW w:w="2170" w:type="dxa"/>
            <w:tcBorders>
              <w:top w:val="single" w:sz="4" w:space="0" w:color="auto"/>
              <w:left w:val="nil"/>
              <w:bottom w:val="single" w:sz="4" w:space="0" w:color="auto"/>
              <w:right w:val="nil"/>
            </w:tcBorders>
            <w:shd w:val="clear" w:color="000000" w:fill="F5F9E2"/>
            <w:noWrap/>
            <w:hideMark/>
          </w:tcPr>
          <w:p w14:paraId="48115573"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79.5</w:t>
            </w:r>
          </w:p>
        </w:tc>
      </w:tr>
      <w:tr w:rsidR="007461CB" w:rsidRPr="000530B1" w14:paraId="566CCECA" w14:textId="77777777" w:rsidTr="003D7077">
        <w:trPr>
          <w:trHeight w:val="329"/>
        </w:trPr>
        <w:tc>
          <w:tcPr>
            <w:tcW w:w="3813" w:type="dxa"/>
            <w:tcBorders>
              <w:top w:val="nil"/>
              <w:left w:val="nil"/>
              <w:bottom w:val="single" w:sz="4" w:space="0" w:color="auto"/>
              <w:right w:val="nil"/>
            </w:tcBorders>
            <w:noWrap/>
            <w:hideMark/>
          </w:tcPr>
          <w:p w14:paraId="38F4586A"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Architecture and built environment</w:t>
            </w:r>
          </w:p>
        </w:tc>
        <w:tc>
          <w:tcPr>
            <w:tcW w:w="1842" w:type="dxa"/>
            <w:tcBorders>
              <w:top w:val="single" w:sz="4" w:space="0" w:color="auto"/>
              <w:left w:val="nil"/>
              <w:bottom w:val="single" w:sz="4" w:space="0" w:color="auto"/>
              <w:right w:val="nil"/>
            </w:tcBorders>
            <w:shd w:val="clear" w:color="000000" w:fill="FEFFFC"/>
            <w:noWrap/>
            <w:hideMark/>
          </w:tcPr>
          <w:p w14:paraId="10F0B8F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84.3</w:t>
            </w:r>
          </w:p>
        </w:tc>
        <w:tc>
          <w:tcPr>
            <w:tcW w:w="1843" w:type="dxa"/>
            <w:tcBorders>
              <w:top w:val="single" w:sz="4" w:space="0" w:color="auto"/>
              <w:left w:val="nil"/>
              <w:bottom w:val="single" w:sz="4" w:space="0" w:color="auto"/>
              <w:right w:val="nil"/>
            </w:tcBorders>
            <w:shd w:val="clear" w:color="000000" w:fill="E5F0B6"/>
            <w:noWrap/>
            <w:hideMark/>
          </w:tcPr>
          <w:p w14:paraId="7DF5C3F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74.3</w:t>
            </w:r>
          </w:p>
        </w:tc>
        <w:tc>
          <w:tcPr>
            <w:tcW w:w="1985" w:type="dxa"/>
            <w:tcBorders>
              <w:top w:val="single" w:sz="4" w:space="0" w:color="auto"/>
              <w:left w:val="nil"/>
              <w:bottom w:val="single" w:sz="4" w:space="0" w:color="auto"/>
              <w:right w:val="nil"/>
            </w:tcBorders>
            <w:shd w:val="clear" w:color="000000" w:fill="FEF6F2"/>
            <w:noWrap/>
            <w:hideMark/>
          </w:tcPr>
          <w:p w14:paraId="586C80F9"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82.4</w:t>
            </w:r>
          </w:p>
        </w:tc>
        <w:tc>
          <w:tcPr>
            <w:tcW w:w="1842" w:type="dxa"/>
            <w:tcBorders>
              <w:top w:val="single" w:sz="4" w:space="0" w:color="auto"/>
              <w:left w:val="nil"/>
              <w:bottom w:val="single" w:sz="4" w:space="0" w:color="auto"/>
              <w:right w:val="nil"/>
            </w:tcBorders>
            <w:shd w:val="clear" w:color="000000" w:fill="FDEDE3"/>
            <w:noWrap/>
            <w:hideMark/>
          </w:tcPr>
          <w:p w14:paraId="559CB5FC"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70.7</w:t>
            </w:r>
          </w:p>
        </w:tc>
        <w:tc>
          <w:tcPr>
            <w:tcW w:w="1701" w:type="dxa"/>
            <w:tcBorders>
              <w:top w:val="single" w:sz="4" w:space="0" w:color="auto"/>
              <w:left w:val="nil"/>
              <w:bottom w:val="single" w:sz="4" w:space="0" w:color="auto"/>
              <w:right w:val="nil"/>
            </w:tcBorders>
            <w:shd w:val="clear" w:color="000000" w:fill="FDEFE6"/>
            <w:noWrap/>
            <w:hideMark/>
          </w:tcPr>
          <w:p w14:paraId="77FE631A"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81.1</w:t>
            </w:r>
          </w:p>
        </w:tc>
        <w:tc>
          <w:tcPr>
            <w:tcW w:w="2170" w:type="dxa"/>
            <w:tcBorders>
              <w:top w:val="single" w:sz="4" w:space="0" w:color="auto"/>
              <w:left w:val="nil"/>
              <w:bottom w:val="single" w:sz="4" w:space="0" w:color="auto"/>
              <w:right w:val="nil"/>
            </w:tcBorders>
            <w:shd w:val="clear" w:color="000000" w:fill="FDE8DC"/>
            <w:noWrap/>
            <w:hideMark/>
          </w:tcPr>
          <w:p w14:paraId="752CE57C"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74.0</w:t>
            </w:r>
          </w:p>
        </w:tc>
      </w:tr>
      <w:tr w:rsidR="007461CB" w:rsidRPr="000530B1" w14:paraId="6067748C" w14:textId="77777777" w:rsidTr="003D7077">
        <w:trPr>
          <w:trHeight w:val="329"/>
        </w:trPr>
        <w:tc>
          <w:tcPr>
            <w:tcW w:w="3813" w:type="dxa"/>
            <w:tcBorders>
              <w:top w:val="nil"/>
              <w:left w:val="nil"/>
              <w:bottom w:val="single" w:sz="4" w:space="0" w:color="auto"/>
              <w:right w:val="nil"/>
            </w:tcBorders>
            <w:noWrap/>
            <w:hideMark/>
          </w:tcPr>
          <w:p w14:paraId="27460841"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Business and management</w:t>
            </w:r>
          </w:p>
        </w:tc>
        <w:tc>
          <w:tcPr>
            <w:tcW w:w="1842" w:type="dxa"/>
            <w:tcBorders>
              <w:top w:val="single" w:sz="4" w:space="0" w:color="auto"/>
              <w:left w:val="nil"/>
              <w:bottom w:val="single" w:sz="4" w:space="0" w:color="auto"/>
              <w:right w:val="nil"/>
            </w:tcBorders>
            <w:shd w:val="clear" w:color="000000" w:fill="F9FBED"/>
            <w:noWrap/>
            <w:hideMark/>
          </w:tcPr>
          <w:p w14:paraId="44B77C88"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85.3</w:t>
            </w:r>
          </w:p>
        </w:tc>
        <w:tc>
          <w:tcPr>
            <w:tcW w:w="1843" w:type="dxa"/>
            <w:tcBorders>
              <w:top w:val="single" w:sz="4" w:space="0" w:color="auto"/>
              <w:left w:val="nil"/>
              <w:bottom w:val="single" w:sz="4" w:space="0" w:color="auto"/>
              <w:right w:val="nil"/>
            </w:tcBorders>
            <w:shd w:val="clear" w:color="000000" w:fill="EFF5D0"/>
            <w:noWrap/>
            <w:hideMark/>
          </w:tcPr>
          <w:p w14:paraId="4E313BD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69.9</w:t>
            </w:r>
          </w:p>
        </w:tc>
        <w:tc>
          <w:tcPr>
            <w:tcW w:w="1985" w:type="dxa"/>
            <w:tcBorders>
              <w:top w:val="single" w:sz="4" w:space="0" w:color="auto"/>
              <w:left w:val="nil"/>
              <w:bottom w:val="single" w:sz="4" w:space="0" w:color="auto"/>
              <w:right w:val="nil"/>
            </w:tcBorders>
            <w:shd w:val="clear" w:color="000000" w:fill="F7FAE8"/>
            <w:noWrap/>
            <w:hideMark/>
          </w:tcPr>
          <w:p w14:paraId="51D2213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85.0</w:t>
            </w:r>
          </w:p>
        </w:tc>
        <w:tc>
          <w:tcPr>
            <w:tcW w:w="1842" w:type="dxa"/>
            <w:tcBorders>
              <w:top w:val="single" w:sz="4" w:space="0" w:color="auto"/>
              <w:left w:val="nil"/>
              <w:bottom w:val="single" w:sz="4" w:space="0" w:color="auto"/>
              <w:right w:val="nil"/>
            </w:tcBorders>
            <w:shd w:val="clear" w:color="000000" w:fill="D3E483"/>
            <w:noWrap/>
            <w:hideMark/>
          </w:tcPr>
          <w:p w14:paraId="055120F6"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82.0</w:t>
            </w:r>
          </w:p>
        </w:tc>
        <w:tc>
          <w:tcPr>
            <w:tcW w:w="1701" w:type="dxa"/>
            <w:tcBorders>
              <w:top w:val="single" w:sz="4" w:space="0" w:color="auto"/>
              <w:left w:val="nil"/>
              <w:bottom w:val="single" w:sz="4" w:space="0" w:color="auto"/>
              <w:right w:val="nil"/>
            </w:tcBorders>
            <w:shd w:val="clear" w:color="000000" w:fill="EEF5CD"/>
            <w:noWrap/>
            <w:hideMark/>
          </w:tcPr>
          <w:p w14:paraId="146A3903"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87.9</w:t>
            </w:r>
          </w:p>
        </w:tc>
        <w:tc>
          <w:tcPr>
            <w:tcW w:w="2170" w:type="dxa"/>
            <w:tcBorders>
              <w:top w:val="single" w:sz="4" w:space="0" w:color="auto"/>
              <w:left w:val="nil"/>
              <w:bottom w:val="single" w:sz="4" w:space="0" w:color="auto"/>
              <w:right w:val="nil"/>
            </w:tcBorders>
            <w:shd w:val="clear" w:color="000000" w:fill="F6F9E4"/>
            <w:noWrap/>
            <w:hideMark/>
          </w:tcPr>
          <w:p w14:paraId="4A19F20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79.4</w:t>
            </w:r>
          </w:p>
        </w:tc>
      </w:tr>
      <w:tr w:rsidR="007461CB" w:rsidRPr="000530B1" w14:paraId="21AB411A" w14:textId="77777777" w:rsidTr="003D7077">
        <w:trPr>
          <w:trHeight w:val="329"/>
        </w:trPr>
        <w:tc>
          <w:tcPr>
            <w:tcW w:w="3813" w:type="dxa"/>
            <w:tcBorders>
              <w:top w:val="nil"/>
              <w:left w:val="nil"/>
              <w:bottom w:val="single" w:sz="4" w:space="0" w:color="auto"/>
              <w:right w:val="nil"/>
            </w:tcBorders>
            <w:noWrap/>
            <w:hideMark/>
          </w:tcPr>
          <w:p w14:paraId="7BEF15E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Communications</w:t>
            </w:r>
          </w:p>
        </w:tc>
        <w:tc>
          <w:tcPr>
            <w:tcW w:w="1842" w:type="dxa"/>
            <w:tcBorders>
              <w:top w:val="single" w:sz="4" w:space="0" w:color="auto"/>
              <w:left w:val="nil"/>
              <w:bottom w:val="single" w:sz="4" w:space="0" w:color="auto"/>
              <w:right w:val="nil"/>
            </w:tcBorders>
            <w:shd w:val="clear" w:color="000000" w:fill="F4F8DF"/>
            <w:noWrap/>
            <w:hideMark/>
          </w:tcPr>
          <w:p w14:paraId="1E28CA44"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86.2</w:t>
            </w:r>
          </w:p>
        </w:tc>
        <w:tc>
          <w:tcPr>
            <w:tcW w:w="1843" w:type="dxa"/>
            <w:tcBorders>
              <w:top w:val="single" w:sz="4" w:space="0" w:color="auto"/>
              <w:left w:val="nil"/>
              <w:bottom w:val="single" w:sz="4" w:space="0" w:color="auto"/>
              <w:right w:val="nil"/>
            </w:tcBorders>
            <w:shd w:val="clear" w:color="000000" w:fill="E5EFB4"/>
            <w:noWrap/>
            <w:hideMark/>
          </w:tcPr>
          <w:p w14:paraId="1DE449C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74.7</w:t>
            </w:r>
          </w:p>
        </w:tc>
        <w:tc>
          <w:tcPr>
            <w:tcW w:w="1985" w:type="dxa"/>
            <w:tcBorders>
              <w:top w:val="single" w:sz="4" w:space="0" w:color="auto"/>
              <w:left w:val="nil"/>
              <w:bottom w:val="single" w:sz="4" w:space="0" w:color="auto"/>
              <w:right w:val="nil"/>
            </w:tcBorders>
            <w:shd w:val="clear" w:color="000000" w:fill="E6F0B8"/>
            <w:noWrap/>
            <w:hideMark/>
          </w:tcPr>
          <w:p w14:paraId="59EF1E2D"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87.7</w:t>
            </w:r>
          </w:p>
        </w:tc>
        <w:tc>
          <w:tcPr>
            <w:tcW w:w="1842" w:type="dxa"/>
            <w:tcBorders>
              <w:top w:val="single" w:sz="4" w:space="0" w:color="auto"/>
              <w:left w:val="nil"/>
              <w:bottom w:val="single" w:sz="4" w:space="0" w:color="auto"/>
              <w:right w:val="nil"/>
            </w:tcBorders>
            <w:shd w:val="clear" w:color="000000" w:fill="FEFDFC"/>
            <w:noWrap/>
            <w:hideMark/>
          </w:tcPr>
          <w:p w14:paraId="456577BE"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77.0</w:t>
            </w:r>
          </w:p>
        </w:tc>
        <w:tc>
          <w:tcPr>
            <w:tcW w:w="1701" w:type="dxa"/>
            <w:tcBorders>
              <w:top w:val="single" w:sz="4" w:space="0" w:color="auto"/>
              <w:left w:val="nil"/>
              <w:bottom w:val="single" w:sz="4" w:space="0" w:color="auto"/>
              <w:right w:val="nil"/>
            </w:tcBorders>
            <w:shd w:val="clear" w:color="000000" w:fill="D4E586"/>
            <w:noWrap/>
            <w:hideMark/>
          </w:tcPr>
          <w:p w14:paraId="60AF943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91.3</w:t>
            </w:r>
          </w:p>
        </w:tc>
        <w:tc>
          <w:tcPr>
            <w:tcW w:w="2170" w:type="dxa"/>
            <w:tcBorders>
              <w:top w:val="single" w:sz="4" w:space="0" w:color="auto"/>
              <w:left w:val="nil"/>
              <w:bottom w:val="single" w:sz="4" w:space="0" w:color="auto"/>
              <w:right w:val="nil"/>
            </w:tcBorders>
            <w:shd w:val="clear" w:color="000000" w:fill="EFF6D2"/>
            <w:noWrap/>
            <w:hideMark/>
          </w:tcPr>
          <w:p w14:paraId="4AD67DF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80.4</w:t>
            </w:r>
          </w:p>
        </w:tc>
      </w:tr>
      <w:tr w:rsidR="007461CB" w:rsidRPr="000530B1" w14:paraId="50D838E5" w14:textId="77777777" w:rsidTr="003D7077">
        <w:trPr>
          <w:trHeight w:val="329"/>
        </w:trPr>
        <w:tc>
          <w:tcPr>
            <w:tcW w:w="3813" w:type="dxa"/>
            <w:tcBorders>
              <w:top w:val="nil"/>
              <w:left w:val="nil"/>
              <w:bottom w:val="single" w:sz="4" w:space="0" w:color="auto"/>
              <w:right w:val="nil"/>
            </w:tcBorders>
            <w:noWrap/>
            <w:hideMark/>
          </w:tcPr>
          <w:p w14:paraId="41ED4A2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Computing and information systems</w:t>
            </w:r>
          </w:p>
        </w:tc>
        <w:tc>
          <w:tcPr>
            <w:tcW w:w="1842" w:type="dxa"/>
            <w:tcBorders>
              <w:top w:val="single" w:sz="4" w:space="0" w:color="auto"/>
              <w:left w:val="nil"/>
              <w:bottom w:val="single" w:sz="4" w:space="0" w:color="auto"/>
              <w:right w:val="nil"/>
            </w:tcBorders>
            <w:shd w:val="clear" w:color="000000" w:fill="FAC5A6"/>
            <w:noWrap/>
            <w:hideMark/>
          </w:tcPr>
          <w:p w14:paraId="47428D7D"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81.5</w:t>
            </w:r>
          </w:p>
        </w:tc>
        <w:tc>
          <w:tcPr>
            <w:tcW w:w="1843" w:type="dxa"/>
            <w:tcBorders>
              <w:top w:val="single" w:sz="4" w:space="0" w:color="auto"/>
              <w:left w:val="nil"/>
              <w:bottom w:val="single" w:sz="4" w:space="0" w:color="auto"/>
              <w:right w:val="nil"/>
            </w:tcBorders>
            <w:shd w:val="clear" w:color="000000" w:fill="EBF3C7"/>
            <w:noWrap/>
            <w:hideMark/>
          </w:tcPr>
          <w:p w14:paraId="5F3ACDA6"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71.5</w:t>
            </w:r>
          </w:p>
        </w:tc>
        <w:tc>
          <w:tcPr>
            <w:tcW w:w="1985" w:type="dxa"/>
            <w:tcBorders>
              <w:top w:val="single" w:sz="4" w:space="0" w:color="auto"/>
              <w:left w:val="nil"/>
              <w:bottom w:val="single" w:sz="4" w:space="0" w:color="auto"/>
              <w:right w:val="nil"/>
            </w:tcBorders>
            <w:shd w:val="clear" w:color="000000" w:fill="FCE5D8"/>
            <w:noWrap/>
            <w:hideMark/>
          </w:tcPr>
          <w:p w14:paraId="6DF03FF4"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79.7</w:t>
            </w:r>
          </w:p>
        </w:tc>
        <w:tc>
          <w:tcPr>
            <w:tcW w:w="1842" w:type="dxa"/>
            <w:tcBorders>
              <w:top w:val="single" w:sz="4" w:space="0" w:color="auto"/>
              <w:left w:val="nil"/>
              <w:bottom w:val="single" w:sz="4" w:space="0" w:color="auto"/>
              <w:right w:val="nil"/>
            </w:tcBorders>
            <w:shd w:val="clear" w:color="000000" w:fill="F0F6D4"/>
            <w:noWrap/>
            <w:hideMark/>
          </w:tcPr>
          <w:p w14:paraId="34D26E00"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79.2</w:t>
            </w:r>
          </w:p>
        </w:tc>
        <w:tc>
          <w:tcPr>
            <w:tcW w:w="1701" w:type="dxa"/>
            <w:tcBorders>
              <w:top w:val="single" w:sz="4" w:space="0" w:color="auto"/>
              <w:left w:val="nil"/>
              <w:bottom w:val="single" w:sz="4" w:space="0" w:color="auto"/>
              <w:right w:val="nil"/>
            </w:tcBorders>
            <w:shd w:val="clear" w:color="000000" w:fill="FDFEF9"/>
            <w:noWrap/>
            <w:hideMark/>
          </w:tcPr>
          <w:p w14:paraId="07D2C14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85.8</w:t>
            </w:r>
          </w:p>
        </w:tc>
        <w:tc>
          <w:tcPr>
            <w:tcW w:w="2170" w:type="dxa"/>
            <w:tcBorders>
              <w:top w:val="single" w:sz="4" w:space="0" w:color="auto"/>
              <w:left w:val="nil"/>
              <w:bottom w:val="single" w:sz="4" w:space="0" w:color="auto"/>
              <w:right w:val="nil"/>
            </w:tcBorders>
            <w:shd w:val="clear" w:color="000000" w:fill="FCDBC9"/>
            <w:noWrap/>
            <w:hideMark/>
          </w:tcPr>
          <w:p w14:paraId="3B4E95DE"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71.9</w:t>
            </w:r>
          </w:p>
        </w:tc>
      </w:tr>
      <w:tr w:rsidR="007461CB" w:rsidRPr="000530B1" w14:paraId="11222BD5" w14:textId="77777777" w:rsidTr="003D7077">
        <w:trPr>
          <w:trHeight w:val="329"/>
        </w:trPr>
        <w:tc>
          <w:tcPr>
            <w:tcW w:w="3813" w:type="dxa"/>
            <w:tcBorders>
              <w:top w:val="nil"/>
              <w:left w:val="nil"/>
              <w:bottom w:val="single" w:sz="4" w:space="0" w:color="auto"/>
              <w:right w:val="nil"/>
            </w:tcBorders>
            <w:noWrap/>
            <w:hideMark/>
          </w:tcPr>
          <w:p w14:paraId="120B7B7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Creative arts</w:t>
            </w:r>
          </w:p>
        </w:tc>
        <w:tc>
          <w:tcPr>
            <w:tcW w:w="1842" w:type="dxa"/>
            <w:tcBorders>
              <w:top w:val="single" w:sz="4" w:space="0" w:color="auto"/>
              <w:left w:val="nil"/>
              <w:bottom w:val="single" w:sz="4" w:space="0" w:color="auto"/>
              <w:right w:val="nil"/>
            </w:tcBorders>
            <w:shd w:val="clear" w:color="000000" w:fill="FDFEF8"/>
            <w:noWrap/>
            <w:hideMark/>
          </w:tcPr>
          <w:p w14:paraId="5D8C48A3"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84.6</w:t>
            </w:r>
          </w:p>
        </w:tc>
        <w:tc>
          <w:tcPr>
            <w:tcW w:w="1843" w:type="dxa"/>
            <w:tcBorders>
              <w:top w:val="single" w:sz="4" w:space="0" w:color="auto"/>
              <w:left w:val="nil"/>
              <w:bottom w:val="single" w:sz="4" w:space="0" w:color="auto"/>
              <w:right w:val="nil"/>
            </w:tcBorders>
            <w:shd w:val="clear" w:color="000000" w:fill="E5F0B6"/>
            <w:noWrap/>
            <w:hideMark/>
          </w:tcPr>
          <w:p w14:paraId="69CB8F32"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74.3</w:t>
            </w:r>
          </w:p>
        </w:tc>
        <w:tc>
          <w:tcPr>
            <w:tcW w:w="1985" w:type="dxa"/>
            <w:tcBorders>
              <w:top w:val="single" w:sz="4" w:space="0" w:color="auto"/>
              <w:left w:val="nil"/>
              <w:bottom w:val="single" w:sz="4" w:space="0" w:color="auto"/>
              <w:right w:val="nil"/>
            </w:tcBorders>
            <w:shd w:val="clear" w:color="000000" w:fill="EBF3C6"/>
            <w:noWrap/>
            <w:hideMark/>
          </w:tcPr>
          <w:p w14:paraId="4141664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86.9</w:t>
            </w:r>
          </w:p>
        </w:tc>
        <w:tc>
          <w:tcPr>
            <w:tcW w:w="1842" w:type="dxa"/>
            <w:tcBorders>
              <w:top w:val="single" w:sz="4" w:space="0" w:color="auto"/>
              <w:left w:val="nil"/>
              <w:bottom w:val="single" w:sz="4" w:space="0" w:color="auto"/>
              <w:right w:val="nil"/>
            </w:tcBorders>
            <w:shd w:val="clear" w:color="000000" w:fill="FDEFE7"/>
            <w:noWrap/>
            <w:hideMark/>
          </w:tcPr>
          <w:p w14:paraId="04FD87F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71.6</w:t>
            </w:r>
          </w:p>
        </w:tc>
        <w:tc>
          <w:tcPr>
            <w:tcW w:w="1701" w:type="dxa"/>
            <w:tcBorders>
              <w:top w:val="single" w:sz="4" w:space="0" w:color="auto"/>
              <w:left w:val="nil"/>
              <w:bottom w:val="single" w:sz="4" w:space="0" w:color="auto"/>
              <w:right w:val="nil"/>
            </w:tcBorders>
            <w:shd w:val="clear" w:color="000000" w:fill="F9FBED"/>
            <w:noWrap/>
            <w:hideMark/>
          </w:tcPr>
          <w:p w14:paraId="0D55BDDD"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86.4</w:t>
            </w:r>
          </w:p>
        </w:tc>
        <w:tc>
          <w:tcPr>
            <w:tcW w:w="2170" w:type="dxa"/>
            <w:tcBorders>
              <w:top w:val="single" w:sz="4" w:space="0" w:color="auto"/>
              <w:left w:val="nil"/>
              <w:bottom w:val="single" w:sz="4" w:space="0" w:color="auto"/>
              <w:right w:val="nil"/>
            </w:tcBorders>
            <w:shd w:val="clear" w:color="000000" w:fill="FEFDFC"/>
            <w:noWrap/>
            <w:hideMark/>
          </w:tcPr>
          <w:p w14:paraId="2D61846E"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77.5</w:t>
            </w:r>
          </w:p>
        </w:tc>
      </w:tr>
      <w:tr w:rsidR="007461CB" w:rsidRPr="000530B1" w14:paraId="0D00F718" w14:textId="77777777" w:rsidTr="003D7077">
        <w:trPr>
          <w:trHeight w:val="329"/>
        </w:trPr>
        <w:tc>
          <w:tcPr>
            <w:tcW w:w="3813" w:type="dxa"/>
            <w:tcBorders>
              <w:top w:val="nil"/>
              <w:left w:val="nil"/>
              <w:bottom w:val="single" w:sz="4" w:space="0" w:color="auto"/>
              <w:right w:val="nil"/>
            </w:tcBorders>
            <w:noWrap/>
            <w:hideMark/>
          </w:tcPr>
          <w:p w14:paraId="66F842D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Dentistry</w:t>
            </w:r>
          </w:p>
        </w:tc>
        <w:tc>
          <w:tcPr>
            <w:tcW w:w="1842" w:type="dxa"/>
            <w:tcBorders>
              <w:top w:val="single" w:sz="4" w:space="0" w:color="auto"/>
              <w:left w:val="nil"/>
              <w:bottom w:val="single" w:sz="4" w:space="0" w:color="auto"/>
              <w:right w:val="nil"/>
            </w:tcBorders>
            <w:shd w:val="clear" w:color="000000" w:fill="FBD7C1"/>
            <w:noWrap/>
            <w:hideMark/>
          </w:tcPr>
          <w:p w14:paraId="5D2A6390"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82.3</w:t>
            </w:r>
          </w:p>
        </w:tc>
        <w:tc>
          <w:tcPr>
            <w:tcW w:w="1843" w:type="dxa"/>
            <w:tcBorders>
              <w:top w:val="single" w:sz="4" w:space="0" w:color="auto"/>
              <w:left w:val="nil"/>
              <w:bottom w:val="single" w:sz="4" w:space="0" w:color="auto"/>
              <w:right w:val="nil"/>
            </w:tcBorders>
            <w:shd w:val="clear" w:color="000000" w:fill="F8FBEA"/>
            <w:noWrap/>
            <w:hideMark/>
          </w:tcPr>
          <w:p w14:paraId="3E3A837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65.6</w:t>
            </w:r>
          </w:p>
        </w:tc>
        <w:tc>
          <w:tcPr>
            <w:tcW w:w="1985" w:type="dxa"/>
            <w:tcBorders>
              <w:top w:val="single" w:sz="4" w:space="0" w:color="auto"/>
              <w:left w:val="nil"/>
              <w:bottom w:val="single" w:sz="4" w:space="0" w:color="auto"/>
              <w:right w:val="nil"/>
            </w:tcBorders>
            <w:shd w:val="clear" w:color="000000" w:fill="F8AD81"/>
            <w:noWrap/>
            <w:hideMark/>
          </w:tcPr>
          <w:p w14:paraId="65D38676"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70.6</w:t>
            </w:r>
          </w:p>
        </w:tc>
        <w:tc>
          <w:tcPr>
            <w:tcW w:w="1842" w:type="dxa"/>
            <w:tcBorders>
              <w:top w:val="single" w:sz="4" w:space="0" w:color="auto"/>
              <w:left w:val="nil"/>
              <w:bottom w:val="single" w:sz="4" w:space="0" w:color="auto"/>
              <w:right w:val="nil"/>
            </w:tcBorders>
            <w:shd w:val="clear" w:color="000000" w:fill="F8AD81"/>
            <w:noWrap/>
            <w:hideMark/>
          </w:tcPr>
          <w:p w14:paraId="7EDA4936"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45.1</w:t>
            </w:r>
          </w:p>
        </w:tc>
        <w:tc>
          <w:tcPr>
            <w:tcW w:w="1701" w:type="dxa"/>
            <w:tcBorders>
              <w:top w:val="single" w:sz="4" w:space="0" w:color="auto"/>
              <w:left w:val="nil"/>
              <w:bottom w:val="single" w:sz="4" w:space="0" w:color="auto"/>
              <w:right w:val="nil"/>
            </w:tcBorders>
            <w:shd w:val="clear" w:color="000000" w:fill="F8B58E"/>
            <w:noWrap/>
            <w:hideMark/>
          </w:tcPr>
          <w:p w14:paraId="17378F7C"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64.9</w:t>
            </w:r>
          </w:p>
        </w:tc>
        <w:tc>
          <w:tcPr>
            <w:tcW w:w="2170" w:type="dxa"/>
            <w:tcBorders>
              <w:top w:val="single" w:sz="4" w:space="0" w:color="auto"/>
              <w:left w:val="nil"/>
              <w:bottom w:val="single" w:sz="4" w:space="0" w:color="auto"/>
              <w:right w:val="nil"/>
            </w:tcBorders>
            <w:shd w:val="clear" w:color="000000" w:fill="F8AD81"/>
            <w:noWrap/>
            <w:hideMark/>
          </w:tcPr>
          <w:p w14:paraId="49884D0E"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64.0</w:t>
            </w:r>
          </w:p>
        </w:tc>
      </w:tr>
      <w:tr w:rsidR="007461CB" w:rsidRPr="000530B1" w14:paraId="59F2622A" w14:textId="77777777" w:rsidTr="003D7077">
        <w:trPr>
          <w:trHeight w:val="329"/>
        </w:trPr>
        <w:tc>
          <w:tcPr>
            <w:tcW w:w="3813" w:type="dxa"/>
            <w:tcBorders>
              <w:top w:val="nil"/>
              <w:left w:val="nil"/>
              <w:bottom w:val="single" w:sz="4" w:space="0" w:color="auto"/>
              <w:right w:val="nil"/>
            </w:tcBorders>
            <w:noWrap/>
            <w:hideMark/>
          </w:tcPr>
          <w:p w14:paraId="7914017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Engineering</w:t>
            </w:r>
          </w:p>
        </w:tc>
        <w:tc>
          <w:tcPr>
            <w:tcW w:w="1842" w:type="dxa"/>
            <w:tcBorders>
              <w:top w:val="single" w:sz="4" w:space="0" w:color="auto"/>
              <w:left w:val="nil"/>
              <w:bottom w:val="single" w:sz="4" w:space="0" w:color="auto"/>
              <w:right w:val="nil"/>
            </w:tcBorders>
            <w:shd w:val="clear" w:color="000000" w:fill="F9FBED"/>
            <w:noWrap/>
            <w:hideMark/>
          </w:tcPr>
          <w:p w14:paraId="0F8A64A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85.3</w:t>
            </w:r>
          </w:p>
        </w:tc>
        <w:tc>
          <w:tcPr>
            <w:tcW w:w="1843" w:type="dxa"/>
            <w:tcBorders>
              <w:top w:val="single" w:sz="4" w:space="0" w:color="auto"/>
              <w:left w:val="nil"/>
              <w:bottom w:val="single" w:sz="4" w:space="0" w:color="auto"/>
              <w:right w:val="nil"/>
            </w:tcBorders>
            <w:shd w:val="clear" w:color="000000" w:fill="E9F2C0"/>
            <w:noWrap/>
            <w:hideMark/>
          </w:tcPr>
          <w:p w14:paraId="4B44AD9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72.7</w:t>
            </w:r>
          </w:p>
        </w:tc>
        <w:tc>
          <w:tcPr>
            <w:tcW w:w="1985" w:type="dxa"/>
            <w:tcBorders>
              <w:top w:val="single" w:sz="4" w:space="0" w:color="auto"/>
              <w:left w:val="nil"/>
              <w:bottom w:val="single" w:sz="4" w:space="0" w:color="auto"/>
              <w:right w:val="nil"/>
            </w:tcBorders>
            <w:shd w:val="clear" w:color="000000" w:fill="FCFDF5"/>
            <w:noWrap/>
            <w:hideMark/>
          </w:tcPr>
          <w:p w14:paraId="24C45FE9"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84.3</w:t>
            </w:r>
          </w:p>
        </w:tc>
        <w:tc>
          <w:tcPr>
            <w:tcW w:w="1842" w:type="dxa"/>
            <w:tcBorders>
              <w:top w:val="single" w:sz="4" w:space="0" w:color="auto"/>
              <w:left w:val="nil"/>
              <w:bottom w:val="single" w:sz="4" w:space="0" w:color="auto"/>
              <w:right w:val="nil"/>
            </w:tcBorders>
            <w:shd w:val="clear" w:color="000000" w:fill="E0ECA6"/>
            <w:noWrap/>
            <w:hideMark/>
          </w:tcPr>
          <w:p w14:paraId="1CA03042"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80.8</w:t>
            </w:r>
          </w:p>
        </w:tc>
        <w:tc>
          <w:tcPr>
            <w:tcW w:w="1701" w:type="dxa"/>
            <w:tcBorders>
              <w:top w:val="single" w:sz="4" w:space="0" w:color="auto"/>
              <w:left w:val="nil"/>
              <w:bottom w:val="single" w:sz="4" w:space="0" w:color="auto"/>
              <w:right w:val="nil"/>
            </w:tcBorders>
            <w:shd w:val="clear" w:color="000000" w:fill="D5E588"/>
            <w:noWrap/>
            <w:hideMark/>
          </w:tcPr>
          <w:p w14:paraId="486819C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91.2</w:t>
            </w:r>
          </w:p>
        </w:tc>
        <w:tc>
          <w:tcPr>
            <w:tcW w:w="2170" w:type="dxa"/>
            <w:tcBorders>
              <w:top w:val="single" w:sz="4" w:space="0" w:color="auto"/>
              <w:left w:val="nil"/>
              <w:bottom w:val="single" w:sz="4" w:space="0" w:color="auto"/>
              <w:right w:val="nil"/>
            </w:tcBorders>
            <w:shd w:val="clear" w:color="000000" w:fill="FEF6F1"/>
            <w:noWrap/>
            <w:hideMark/>
          </w:tcPr>
          <w:p w14:paraId="5CB2FF20"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76.3</w:t>
            </w:r>
          </w:p>
        </w:tc>
      </w:tr>
      <w:tr w:rsidR="007461CB" w:rsidRPr="000530B1" w14:paraId="32067B4A" w14:textId="77777777" w:rsidTr="003D7077">
        <w:trPr>
          <w:trHeight w:val="329"/>
        </w:trPr>
        <w:tc>
          <w:tcPr>
            <w:tcW w:w="3813" w:type="dxa"/>
            <w:tcBorders>
              <w:top w:val="nil"/>
              <w:left w:val="nil"/>
              <w:bottom w:val="single" w:sz="4" w:space="0" w:color="auto"/>
              <w:right w:val="nil"/>
            </w:tcBorders>
            <w:noWrap/>
            <w:hideMark/>
          </w:tcPr>
          <w:p w14:paraId="42ACC28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Health services and support</w:t>
            </w:r>
          </w:p>
        </w:tc>
        <w:tc>
          <w:tcPr>
            <w:tcW w:w="1842" w:type="dxa"/>
            <w:tcBorders>
              <w:top w:val="single" w:sz="4" w:space="0" w:color="auto"/>
              <w:left w:val="nil"/>
              <w:bottom w:val="single" w:sz="4" w:space="0" w:color="auto"/>
              <w:right w:val="nil"/>
            </w:tcBorders>
            <w:shd w:val="clear" w:color="000000" w:fill="F7FAE7"/>
            <w:noWrap/>
            <w:hideMark/>
          </w:tcPr>
          <w:p w14:paraId="78B02DCD"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85.7</w:t>
            </w:r>
          </w:p>
        </w:tc>
        <w:tc>
          <w:tcPr>
            <w:tcW w:w="1843" w:type="dxa"/>
            <w:tcBorders>
              <w:top w:val="single" w:sz="4" w:space="0" w:color="auto"/>
              <w:left w:val="nil"/>
              <w:bottom w:val="single" w:sz="4" w:space="0" w:color="auto"/>
              <w:right w:val="nil"/>
            </w:tcBorders>
            <w:shd w:val="clear" w:color="000000" w:fill="FBDBC8"/>
            <w:noWrap/>
            <w:hideMark/>
          </w:tcPr>
          <w:p w14:paraId="19DA137A"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50.3</w:t>
            </w:r>
          </w:p>
        </w:tc>
        <w:tc>
          <w:tcPr>
            <w:tcW w:w="1985" w:type="dxa"/>
            <w:tcBorders>
              <w:top w:val="single" w:sz="4" w:space="0" w:color="auto"/>
              <w:left w:val="nil"/>
              <w:bottom w:val="single" w:sz="4" w:space="0" w:color="auto"/>
              <w:right w:val="nil"/>
            </w:tcBorders>
            <w:shd w:val="clear" w:color="000000" w:fill="E7F1BB"/>
            <w:noWrap/>
            <w:hideMark/>
          </w:tcPr>
          <w:p w14:paraId="5E29E87D"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87.5</w:t>
            </w:r>
          </w:p>
        </w:tc>
        <w:tc>
          <w:tcPr>
            <w:tcW w:w="1842" w:type="dxa"/>
            <w:tcBorders>
              <w:top w:val="single" w:sz="4" w:space="0" w:color="auto"/>
              <w:left w:val="nil"/>
              <w:bottom w:val="single" w:sz="4" w:space="0" w:color="auto"/>
              <w:right w:val="nil"/>
            </w:tcBorders>
            <w:shd w:val="clear" w:color="000000" w:fill="FAFCF1"/>
            <w:noWrap/>
            <w:hideMark/>
          </w:tcPr>
          <w:p w14:paraId="08C8F3F5"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78.2</w:t>
            </w:r>
          </w:p>
        </w:tc>
        <w:tc>
          <w:tcPr>
            <w:tcW w:w="1701" w:type="dxa"/>
            <w:tcBorders>
              <w:top w:val="single" w:sz="4" w:space="0" w:color="auto"/>
              <w:left w:val="nil"/>
              <w:bottom w:val="single" w:sz="4" w:space="0" w:color="auto"/>
              <w:right w:val="nil"/>
            </w:tcBorders>
            <w:shd w:val="clear" w:color="000000" w:fill="F7FAE6"/>
            <w:noWrap/>
            <w:hideMark/>
          </w:tcPr>
          <w:p w14:paraId="2043AABD"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86.7</w:t>
            </w:r>
          </w:p>
        </w:tc>
        <w:tc>
          <w:tcPr>
            <w:tcW w:w="2170" w:type="dxa"/>
            <w:tcBorders>
              <w:top w:val="single" w:sz="4" w:space="0" w:color="auto"/>
              <w:left w:val="nil"/>
              <w:bottom w:val="single" w:sz="4" w:space="0" w:color="auto"/>
              <w:right w:val="nil"/>
            </w:tcBorders>
            <w:shd w:val="clear" w:color="000000" w:fill="E0ECA6"/>
            <w:noWrap/>
            <w:hideMark/>
          </w:tcPr>
          <w:p w14:paraId="5EF9D8FE"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82.9</w:t>
            </w:r>
          </w:p>
        </w:tc>
      </w:tr>
      <w:tr w:rsidR="007461CB" w:rsidRPr="000530B1" w14:paraId="5FDC6C9A" w14:textId="77777777" w:rsidTr="003D7077">
        <w:trPr>
          <w:trHeight w:val="329"/>
        </w:trPr>
        <w:tc>
          <w:tcPr>
            <w:tcW w:w="3813" w:type="dxa"/>
            <w:tcBorders>
              <w:top w:val="nil"/>
              <w:left w:val="nil"/>
              <w:bottom w:val="single" w:sz="4" w:space="0" w:color="auto"/>
              <w:right w:val="nil"/>
            </w:tcBorders>
            <w:noWrap/>
            <w:hideMark/>
          </w:tcPr>
          <w:p w14:paraId="3DB498C1"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Humanities, culture and social sciences</w:t>
            </w:r>
          </w:p>
        </w:tc>
        <w:tc>
          <w:tcPr>
            <w:tcW w:w="1842" w:type="dxa"/>
            <w:tcBorders>
              <w:top w:val="single" w:sz="4" w:space="0" w:color="auto"/>
              <w:left w:val="nil"/>
              <w:bottom w:val="single" w:sz="4" w:space="0" w:color="auto"/>
              <w:right w:val="nil"/>
            </w:tcBorders>
            <w:shd w:val="clear" w:color="000000" w:fill="EDF4CC"/>
            <w:noWrap/>
            <w:hideMark/>
          </w:tcPr>
          <w:p w14:paraId="5454F9E8"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87.4</w:t>
            </w:r>
          </w:p>
        </w:tc>
        <w:tc>
          <w:tcPr>
            <w:tcW w:w="1843" w:type="dxa"/>
            <w:tcBorders>
              <w:top w:val="single" w:sz="4" w:space="0" w:color="auto"/>
              <w:left w:val="nil"/>
              <w:bottom w:val="single" w:sz="4" w:space="0" w:color="auto"/>
              <w:right w:val="nil"/>
            </w:tcBorders>
            <w:shd w:val="clear" w:color="000000" w:fill="FEF5F1"/>
            <w:noWrap/>
            <w:hideMark/>
          </w:tcPr>
          <w:p w14:paraId="5B04124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59.0</w:t>
            </w:r>
          </w:p>
        </w:tc>
        <w:tc>
          <w:tcPr>
            <w:tcW w:w="1985" w:type="dxa"/>
            <w:tcBorders>
              <w:top w:val="single" w:sz="4" w:space="0" w:color="auto"/>
              <w:left w:val="nil"/>
              <w:bottom w:val="single" w:sz="4" w:space="0" w:color="auto"/>
              <w:right w:val="nil"/>
            </w:tcBorders>
            <w:shd w:val="clear" w:color="000000" w:fill="D3E483"/>
            <w:noWrap/>
            <w:hideMark/>
          </w:tcPr>
          <w:p w14:paraId="463EBF5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90.6</w:t>
            </w:r>
          </w:p>
        </w:tc>
        <w:tc>
          <w:tcPr>
            <w:tcW w:w="1842" w:type="dxa"/>
            <w:tcBorders>
              <w:top w:val="single" w:sz="4" w:space="0" w:color="auto"/>
              <w:left w:val="nil"/>
              <w:bottom w:val="single" w:sz="4" w:space="0" w:color="auto"/>
              <w:right w:val="nil"/>
            </w:tcBorders>
            <w:shd w:val="clear" w:color="000000" w:fill="E9F2C0"/>
            <w:noWrap/>
            <w:hideMark/>
          </w:tcPr>
          <w:p w14:paraId="703FE66A"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79.9</w:t>
            </w:r>
          </w:p>
        </w:tc>
        <w:tc>
          <w:tcPr>
            <w:tcW w:w="1701" w:type="dxa"/>
            <w:tcBorders>
              <w:top w:val="single" w:sz="4" w:space="0" w:color="auto"/>
              <w:left w:val="nil"/>
              <w:bottom w:val="single" w:sz="4" w:space="0" w:color="auto"/>
              <w:right w:val="nil"/>
            </w:tcBorders>
            <w:shd w:val="clear" w:color="000000" w:fill="D3E483"/>
            <w:noWrap/>
            <w:hideMark/>
          </w:tcPr>
          <w:p w14:paraId="5E7760F9"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91.4</w:t>
            </w:r>
          </w:p>
        </w:tc>
        <w:tc>
          <w:tcPr>
            <w:tcW w:w="2170" w:type="dxa"/>
            <w:tcBorders>
              <w:top w:val="single" w:sz="4" w:space="0" w:color="auto"/>
              <w:left w:val="nil"/>
              <w:bottom w:val="single" w:sz="4" w:space="0" w:color="auto"/>
              <w:right w:val="nil"/>
            </w:tcBorders>
            <w:shd w:val="clear" w:color="000000" w:fill="D3E483"/>
            <w:noWrap/>
            <w:hideMark/>
          </w:tcPr>
          <w:p w14:paraId="24D02306"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84.9</w:t>
            </w:r>
          </w:p>
        </w:tc>
      </w:tr>
      <w:tr w:rsidR="007461CB" w:rsidRPr="000530B1" w14:paraId="7D6A10AB" w14:textId="77777777" w:rsidTr="003D7077">
        <w:trPr>
          <w:trHeight w:val="329"/>
        </w:trPr>
        <w:tc>
          <w:tcPr>
            <w:tcW w:w="3813" w:type="dxa"/>
            <w:tcBorders>
              <w:top w:val="nil"/>
              <w:left w:val="nil"/>
              <w:bottom w:val="single" w:sz="4" w:space="0" w:color="auto"/>
              <w:right w:val="nil"/>
            </w:tcBorders>
            <w:noWrap/>
            <w:hideMark/>
          </w:tcPr>
          <w:p w14:paraId="263F3E7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Law and paralegal studies</w:t>
            </w:r>
          </w:p>
        </w:tc>
        <w:tc>
          <w:tcPr>
            <w:tcW w:w="1842" w:type="dxa"/>
            <w:tcBorders>
              <w:top w:val="single" w:sz="4" w:space="0" w:color="auto"/>
              <w:left w:val="nil"/>
              <w:bottom w:val="single" w:sz="4" w:space="0" w:color="auto"/>
              <w:right w:val="nil"/>
            </w:tcBorders>
            <w:shd w:val="clear" w:color="000000" w:fill="F8AD81"/>
            <w:noWrap/>
            <w:hideMark/>
          </w:tcPr>
          <w:p w14:paraId="634C31F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80.4</w:t>
            </w:r>
          </w:p>
        </w:tc>
        <w:tc>
          <w:tcPr>
            <w:tcW w:w="1843" w:type="dxa"/>
            <w:tcBorders>
              <w:top w:val="single" w:sz="4" w:space="0" w:color="auto"/>
              <w:left w:val="nil"/>
              <w:bottom w:val="single" w:sz="4" w:space="0" w:color="auto"/>
              <w:right w:val="nil"/>
            </w:tcBorders>
            <w:shd w:val="clear" w:color="000000" w:fill="FBD3BC"/>
            <w:noWrap/>
            <w:hideMark/>
          </w:tcPr>
          <w:p w14:paraId="7D26EA83"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47.6</w:t>
            </w:r>
          </w:p>
        </w:tc>
        <w:tc>
          <w:tcPr>
            <w:tcW w:w="1985" w:type="dxa"/>
            <w:tcBorders>
              <w:top w:val="single" w:sz="4" w:space="0" w:color="auto"/>
              <w:left w:val="nil"/>
              <w:bottom w:val="single" w:sz="4" w:space="0" w:color="auto"/>
              <w:right w:val="nil"/>
            </w:tcBorders>
            <w:shd w:val="clear" w:color="000000" w:fill="FDEFE6"/>
            <w:noWrap/>
            <w:hideMark/>
          </w:tcPr>
          <w:p w14:paraId="58FF8C7D"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81.2</w:t>
            </w:r>
          </w:p>
        </w:tc>
        <w:tc>
          <w:tcPr>
            <w:tcW w:w="1842" w:type="dxa"/>
            <w:tcBorders>
              <w:top w:val="single" w:sz="4" w:space="0" w:color="auto"/>
              <w:left w:val="nil"/>
              <w:bottom w:val="single" w:sz="4" w:space="0" w:color="auto"/>
              <w:right w:val="nil"/>
            </w:tcBorders>
            <w:shd w:val="clear" w:color="000000" w:fill="FDECE3"/>
            <w:noWrap/>
            <w:hideMark/>
          </w:tcPr>
          <w:p w14:paraId="5EBD7CA3"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70.5</w:t>
            </w:r>
          </w:p>
        </w:tc>
        <w:tc>
          <w:tcPr>
            <w:tcW w:w="1701" w:type="dxa"/>
            <w:tcBorders>
              <w:top w:val="single" w:sz="4" w:space="0" w:color="auto"/>
              <w:left w:val="nil"/>
              <w:bottom w:val="single" w:sz="4" w:space="0" w:color="auto"/>
              <w:right w:val="nil"/>
            </w:tcBorders>
            <w:shd w:val="clear" w:color="000000" w:fill="FDEFE7"/>
            <w:noWrap/>
            <w:hideMark/>
          </w:tcPr>
          <w:p w14:paraId="26636244"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81.2</w:t>
            </w:r>
          </w:p>
        </w:tc>
        <w:tc>
          <w:tcPr>
            <w:tcW w:w="2170" w:type="dxa"/>
            <w:tcBorders>
              <w:top w:val="single" w:sz="4" w:space="0" w:color="auto"/>
              <w:left w:val="nil"/>
              <w:bottom w:val="single" w:sz="4" w:space="0" w:color="auto"/>
              <w:right w:val="nil"/>
            </w:tcBorders>
            <w:shd w:val="clear" w:color="000000" w:fill="FDEFE7"/>
            <w:noWrap/>
            <w:hideMark/>
          </w:tcPr>
          <w:p w14:paraId="4DBD9781"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75.2</w:t>
            </w:r>
          </w:p>
        </w:tc>
      </w:tr>
      <w:tr w:rsidR="007461CB" w:rsidRPr="000530B1" w14:paraId="4655D9DA" w14:textId="77777777" w:rsidTr="003D7077">
        <w:trPr>
          <w:trHeight w:val="329"/>
        </w:trPr>
        <w:tc>
          <w:tcPr>
            <w:tcW w:w="3813" w:type="dxa"/>
            <w:tcBorders>
              <w:top w:val="nil"/>
              <w:left w:val="nil"/>
              <w:bottom w:val="single" w:sz="4" w:space="0" w:color="auto"/>
              <w:right w:val="nil"/>
            </w:tcBorders>
            <w:noWrap/>
            <w:hideMark/>
          </w:tcPr>
          <w:p w14:paraId="690E6408"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Medicine</w:t>
            </w:r>
          </w:p>
        </w:tc>
        <w:tc>
          <w:tcPr>
            <w:tcW w:w="1842" w:type="dxa"/>
            <w:tcBorders>
              <w:top w:val="single" w:sz="4" w:space="0" w:color="auto"/>
              <w:left w:val="nil"/>
              <w:bottom w:val="single" w:sz="4" w:space="0" w:color="auto"/>
              <w:right w:val="nil"/>
            </w:tcBorders>
            <w:shd w:val="clear" w:color="000000" w:fill="FCDFCF"/>
            <w:noWrap/>
            <w:hideMark/>
          </w:tcPr>
          <w:p w14:paraId="6820871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82.7</w:t>
            </w:r>
          </w:p>
        </w:tc>
        <w:tc>
          <w:tcPr>
            <w:tcW w:w="1843" w:type="dxa"/>
            <w:tcBorders>
              <w:top w:val="single" w:sz="4" w:space="0" w:color="auto"/>
              <w:left w:val="nil"/>
              <w:bottom w:val="single" w:sz="4" w:space="0" w:color="auto"/>
              <w:right w:val="nil"/>
            </w:tcBorders>
            <w:shd w:val="clear" w:color="000000" w:fill="F3F8DE"/>
            <w:noWrap/>
            <w:hideMark/>
          </w:tcPr>
          <w:p w14:paraId="42EC0ED8"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67.7</w:t>
            </w:r>
          </w:p>
        </w:tc>
        <w:tc>
          <w:tcPr>
            <w:tcW w:w="1985" w:type="dxa"/>
            <w:tcBorders>
              <w:top w:val="single" w:sz="4" w:space="0" w:color="auto"/>
              <w:left w:val="nil"/>
              <w:bottom w:val="single" w:sz="4" w:space="0" w:color="auto"/>
              <w:right w:val="nil"/>
            </w:tcBorders>
            <w:shd w:val="clear" w:color="000000" w:fill="F8B187"/>
            <w:noWrap/>
            <w:hideMark/>
          </w:tcPr>
          <w:p w14:paraId="75024DD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71.3</w:t>
            </w:r>
          </w:p>
        </w:tc>
        <w:tc>
          <w:tcPr>
            <w:tcW w:w="1842" w:type="dxa"/>
            <w:tcBorders>
              <w:top w:val="single" w:sz="4" w:space="0" w:color="auto"/>
              <w:left w:val="nil"/>
              <w:bottom w:val="single" w:sz="4" w:space="0" w:color="auto"/>
              <w:right w:val="nil"/>
            </w:tcBorders>
            <w:shd w:val="clear" w:color="000000" w:fill="FACAAE"/>
            <w:noWrap/>
            <w:hideMark/>
          </w:tcPr>
          <w:p w14:paraId="7471BF25"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56.9</w:t>
            </w:r>
          </w:p>
        </w:tc>
        <w:tc>
          <w:tcPr>
            <w:tcW w:w="1701" w:type="dxa"/>
            <w:tcBorders>
              <w:top w:val="single" w:sz="4" w:space="0" w:color="auto"/>
              <w:left w:val="nil"/>
              <w:bottom w:val="single" w:sz="4" w:space="0" w:color="auto"/>
              <w:right w:val="nil"/>
            </w:tcBorders>
            <w:shd w:val="clear" w:color="000000" w:fill="F8AD81"/>
            <w:noWrap/>
            <w:hideMark/>
          </w:tcPr>
          <w:p w14:paraId="4ABEE08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62.5</w:t>
            </w:r>
          </w:p>
        </w:tc>
        <w:tc>
          <w:tcPr>
            <w:tcW w:w="2170" w:type="dxa"/>
            <w:tcBorders>
              <w:top w:val="single" w:sz="4" w:space="0" w:color="auto"/>
              <w:left w:val="nil"/>
              <w:bottom w:val="single" w:sz="4" w:space="0" w:color="auto"/>
              <w:right w:val="nil"/>
            </w:tcBorders>
            <w:shd w:val="clear" w:color="000000" w:fill="FACFB5"/>
            <w:noWrap/>
            <w:hideMark/>
          </w:tcPr>
          <w:p w14:paraId="17B99A01"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69.8</w:t>
            </w:r>
          </w:p>
        </w:tc>
      </w:tr>
      <w:tr w:rsidR="007461CB" w:rsidRPr="000530B1" w14:paraId="2EDEBBBA" w14:textId="77777777" w:rsidTr="003D7077">
        <w:trPr>
          <w:trHeight w:val="329"/>
        </w:trPr>
        <w:tc>
          <w:tcPr>
            <w:tcW w:w="3813" w:type="dxa"/>
            <w:tcBorders>
              <w:top w:val="nil"/>
              <w:left w:val="nil"/>
              <w:bottom w:val="single" w:sz="4" w:space="0" w:color="auto"/>
              <w:right w:val="nil"/>
            </w:tcBorders>
            <w:noWrap/>
            <w:hideMark/>
          </w:tcPr>
          <w:p w14:paraId="6693509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Nursing</w:t>
            </w:r>
          </w:p>
        </w:tc>
        <w:tc>
          <w:tcPr>
            <w:tcW w:w="1842" w:type="dxa"/>
            <w:tcBorders>
              <w:top w:val="single" w:sz="4" w:space="0" w:color="auto"/>
              <w:left w:val="nil"/>
              <w:bottom w:val="single" w:sz="4" w:space="0" w:color="auto"/>
              <w:right w:val="nil"/>
            </w:tcBorders>
            <w:shd w:val="clear" w:color="000000" w:fill="FBFDF3"/>
            <w:noWrap/>
            <w:hideMark/>
          </w:tcPr>
          <w:p w14:paraId="3C87AD3D"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84.9</w:t>
            </w:r>
          </w:p>
        </w:tc>
        <w:tc>
          <w:tcPr>
            <w:tcW w:w="1843" w:type="dxa"/>
            <w:tcBorders>
              <w:top w:val="single" w:sz="4" w:space="0" w:color="auto"/>
              <w:left w:val="nil"/>
              <w:bottom w:val="single" w:sz="4" w:space="0" w:color="auto"/>
              <w:right w:val="nil"/>
            </w:tcBorders>
            <w:shd w:val="clear" w:color="000000" w:fill="F8AD81"/>
            <w:noWrap/>
            <w:hideMark/>
          </w:tcPr>
          <w:p w14:paraId="3C0DC4B8"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34.7</w:t>
            </w:r>
          </w:p>
        </w:tc>
        <w:tc>
          <w:tcPr>
            <w:tcW w:w="1985" w:type="dxa"/>
            <w:tcBorders>
              <w:top w:val="single" w:sz="4" w:space="0" w:color="auto"/>
              <w:left w:val="nil"/>
              <w:bottom w:val="single" w:sz="4" w:space="0" w:color="auto"/>
              <w:right w:val="nil"/>
            </w:tcBorders>
            <w:shd w:val="clear" w:color="000000" w:fill="F4F8DF"/>
            <w:noWrap/>
            <w:hideMark/>
          </w:tcPr>
          <w:p w14:paraId="77408C39"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85.5</w:t>
            </w:r>
          </w:p>
        </w:tc>
        <w:tc>
          <w:tcPr>
            <w:tcW w:w="1842" w:type="dxa"/>
            <w:tcBorders>
              <w:top w:val="single" w:sz="4" w:space="0" w:color="auto"/>
              <w:left w:val="nil"/>
              <w:bottom w:val="single" w:sz="4" w:space="0" w:color="auto"/>
              <w:right w:val="nil"/>
            </w:tcBorders>
            <w:shd w:val="clear" w:color="000000" w:fill="E4EFB2"/>
            <w:noWrap/>
            <w:hideMark/>
          </w:tcPr>
          <w:p w14:paraId="02506E8E"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80.4</w:t>
            </w:r>
          </w:p>
        </w:tc>
        <w:tc>
          <w:tcPr>
            <w:tcW w:w="1701" w:type="dxa"/>
            <w:tcBorders>
              <w:top w:val="single" w:sz="4" w:space="0" w:color="auto"/>
              <w:left w:val="nil"/>
              <w:bottom w:val="single" w:sz="4" w:space="0" w:color="auto"/>
              <w:right w:val="nil"/>
            </w:tcBorders>
            <w:shd w:val="clear" w:color="000000" w:fill="F6FAE4"/>
            <w:noWrap/>
            <w:hideMark/>
          </w:tcPr>
          <w:p w14:paraId="62ADFD33"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86.8</w:t>
            </w:r>
          </w:p>
        </w:tc>
        <w:tc>
          <w:tcPr>
            <w:tcW w:w="2170" w:type="dxa"/>
            <w:tcBorders>
              <w:top w:val="single" w:sz="4" w:space="0" w:color="auto"/>
              <w:left w:val="nil"/>
              <w:bottom w:val="single" w:sz="4" w:space="0" w:color="auto"/>
              <w:right w:val="nil"/>
            </w:tcBorders>
            <w:shd w:val="clear" w:color="000000" w:fill="DFECA5"/>
            <w:noWrap/>
            <w:hideMark/>
          </w:tcPr>
          <w:p w14:paraId="47D76F89"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83.0</w:t>
            </w:r>
          </w:p>
        </w:tc>
      </w:tr>
      <w:tr w:rsidR="007461CB" w:rsidRPr="000530B1" w14:paraId="7779AB37" w14:textId="77777777" w:rsidTr="003D7077">
        <w:trPr>
          <w:trHeight w:val="329"/>
        </w:trPr>
        <w:tc>
          <w:tcPr>
            <w:tcW w:w="3813" w:type="dxa"/>
            <w:tcBorders>
              <w:top w:val="nil"/>
              <w:left w:val="nil"/>
              <w:bottom w:val="single" w:sz="4" w:space="0" w:color="auto"/>
              <w:right w:val="nil"/>
            </w:tcBorders>
            <w:noWrap/>
            <w:hideMark/>
          </w:tcPr>
          <w:p w14:paraId="31D4AA0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Pharmacy</w:t>
            </w:r>
          </w:p>
        </w:tc>
        <w:tc>
          <w:tcPr>
            <w:tcW w:w="1842" w:type="dxa"/>
            <w:tcBorders>
              <w:top w:val="single" w:sz="4" w:space="0" w:color="auto"/>
              <w:left w:val="nil"/>
              <w:bottom w:val="single" w:sz="4" w:space="0" w:color="auto"/>
              <w:right w:val="nil"/>
            </w:tcBorders>
            <w:shd w:val="clear" w:color="000000" w:fill="F0F6D3"/>
            <w:noWrap/>
            <w:hideMark/>
          </w:tcPr>
          <w:p w14:paraId="468CD2F9"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87.0</w:t>
            </w:r>
          </w:p>
        </w:tc>
        <w:tc>
          <w:tcPr>
            <w:tcW w:w="1843" w:type="dxa"/>
            <w:tcBorders>
              <w:top w:val="single" w:sz="4" w:space="0" w:color="auto"/>
              <w:left w:val="nil"/>
              <w:bottom w:val="single" w:sz="4" w:space="0" w:color="auto"/>
              <w:right w:val="nil"/>
            </w:tcBorders>
            <w:shd w:val="clear" w:color="000000" w:fill="F3F8DB"/>
            <w:noWrap/>
            <w:hideMark/>
          </w:tcPr>
          <w:p w14:paraId="238665E9"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68.1</w:t>
            </w:r>
          </w:p>
        </w:tc>
        <w:tc>
          <w:tcPr>
            <w:tcW w:w="1985" w:type="dxa"/>
            <w:tcBorders>
              <w:top w:val="single" w:sz="4" w:space="0" w:color="auto"/>
              <w:left w:val="nil"/>
              <w:bottom w:val="single" w:sz="4" w:space="0" w:color="auto"/>
              <w:right w:val="nil"/>
            </w:tcBorders>
            <w:shd w:val="clear" w:color="000000" w:fill="FEF4EE"/>
            <w:noWrap/>
            <w:hideMark/>
          </w:tcPr>
          <w:p w14:paraId="7600721C"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82.0</w:t>
            </w:r>
          </w:p>
        </w:tc>
        <w:tc>
          <w:tcPr>
            <w:tcW w:w="1842" w:type="dxa"/>
            <w:tcBorders>
              <w:top w:val="single" w:sz="4" w:space="0" w:color="auto"/>
              <w:left w:val="nil"/>
              <w:bottom w:val="single" w:sz="4" w:space="0" w:color="auto"/>
              <w:right w:val="nil"/>
            </w:tcBorders>
            <w:shd w:val="clear" w:color="000000" w:fill="FEF9F7"/>
            <w:noWrap/>
            <w:hideMark/>
          </w:tcPr>
          <w:p w14:paraId="0A268D8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75.7</w:t>
            </w:r>
          </w:p>
        </w:tc>
        <w:tc>
          <w:tcPr>
            <w:tcW w:w="1701" w:type="dxa"/>
            <w:tcBorders>
              <w:top w:val="single" w:sz="4" w:space="0" w:color="auto"/>
              <w:left w:val="nil"/>
              <w:bottom w:val="single" w:sz="4" w:space="0" w:color="auto"/>
              <w:right w:val="nil"/>
            </w:tcBorders>
            <w:shd w:val="clear" w:color="000000" w:fill="FEFBF8"/>
            <w:noWrap/>
            <w:hideMark/>
          </w:tcPr>
          <w:p w14:paraId="0410BA3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84.4</w:t>
            </w:r>
          </w:p>
        </w:tc>
        <w:tc>
          <w:tcPr>
            <w:tcW w:w="2170" w:type="dxa"/>
            <w:tcBorders>
              <w:top w:val="single" w:sz="4" w:space="0" w:color="auto"/>
              <w:left w:val="nil"/>
              <w:bottom w:val="single" w:sz="4" w:space="0" w:color="auto"/>
              <w:right w:val="nil"/>
            </w:tcBorders>
            <w:shd w:val="clear" w:color="000000" w:fill="FDECE2"/>
            <w:noWrap/>
            <w:hideMark/>
          </w:tcPr>
          <w:p w14:paraId="10C52DC5"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74.7</w:t>
            </w:r>
          </w:p>
        </w:tc>
      </w:tr>
      <w:tr w:rsidR="007461CB" w:rsidRPr="000530B1" w14:paraId="2FA301B9" w14:textId="77777777" w:rsidTr="003D7077">
        <w:trPr>
          <w:trHeight w:val="329"/>
        </w:trPr>
        <w:tc>
          <w:tcPr>
            <w:tcW w:w="3813" w:type="dxa"/>
            <w:tcBorders>
              <w:top w:val="nil"/>
              <w:left w:val="nil"/>
              <w:bottom w:val="single" w:sz="4" w:space="0" w:color="auto"/>
              <w:right w:val="nil"/>
            </w:tcBorders>
            <w:noWrap/>
            <w:hideMark/>
          </w:tcPr>
          <w:p w14:paraId="11AA5638"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Psychology</w:t>
            </w:r>
          </w:p>
        </w:tc>
        <w:tc>
          <w:tcPr>
            <w:tcW w:w="1842" w:type="dxa"/>
            <w:tcBorders>
              <w:top w:val="single" w:sz="4" w:space="0" w:color="auto"/>
              <w:left w:val="nil"/>
              <w:bottom w:val="single" w:sz="4" w:space="0" w:color="auto"/>
              <w:right w:val="nil"/>
            </w:tcBorders>
            <w:shd w:val="clear" w:color="000000" w:fill="FEFCFB"/>
            <w:noWrap/>
            <w:hideMark/>
          </w:tcPr>
          <w:p w14:paraId="4EBA51EC"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84.0</w:t>
            </w:r>
          </w:p>
        </w:tc>
        <w:tc>
          <w:tcPr>
            <w:tcW w:w="1843" w:type="dxa"/>
            <w:tcBorders>
              <w:top w:val="single" w:sz="4" w:space="0" w:color="auto"/>
              <w:left w:val="nil"/>
              <w:bottom w:val="single" w:sz="4" w:space="0" w:color="auto"/>
              <w:right w:val="nil"/>
            </w:tcBorders>
            <w:shd w:val="clear" w:color="000000" w:fill="FCE5D7"/>
            <w:noWrap/>
            <w:hideMark/>
          </w:tcPr>
          <w:p w14:paraId="5CE5B1A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53.5</w:t>
            </w:r>
          </w:p>
        </w:tc>
        <w:tc>
          <w:tcPr>
            <w:tcW w:w="1985" w:type="dxa"/>
            <w:tcBorders>
              <w:top w:val="single" w:sz="4" w:space="0" w:color="auto"/>
              <w:left w:val="nil"/>
              <w:bottom w:val="single" w:sz="4" w:space="0" w:color="auto"/>
              <w:right w:val="nil"/>
            </w:tcBorders>
            <w:shd w:val="clear" w:color="000000" w:fill="FEFDFC"/>
            <w:noWrap/>
            <w:hideMark/>
          </w:tcPr>
          <w:p w14:paraId="72DE7670"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83.4</w:t>
            </w:r>
          </w:p>
        </w:tc>
        <w:tc>
          <w:tcPr>
            <w:tcW w:w="1842" w:type="dxa"/>
            <w:tcBorders>
              <w:top w:val="single" w:sz="4" w:space="0" w:color="auto"/>
              <w:left w:val="nil"/>
              <w:bottom w:val="single" w:sz="4" w:space="0" w:color="auto"/>
              <w:right w:val="nil"/>
            </w:tcBorders>
            <w:shd w:val="clear" w:color="000000" w:fill="FDEBE1"/>
            <w:noWrap/>
            <w:hideMark/>
          </w:tcPr>
          <w:p w14:paraId="5B72AE28"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70.0</w:t>
            </w:r>
          </w:p>
        </w:tc>
        <w:tc>
          <w:tcPr>
            <w:tcW w:w="1701" w:type="dxa"/>
            <w:tcBorders>
              <w:top w:val="single" w:sz="4" w:space="0" w:color="auto"/>
              <w:left w:val="nil"/>
              <w:bottom w:val="single" w:sz="4" w:space="0" w:color="auto"/>
              <w:right w:val="nil"/>
            </w:tcBorders>
            <w:shd w:val="clear" w:color="000000" w:fill="FBDBC8"/>
            <w:noWrap/>
            <w:hideMark/>
          </w:tcPr>
          <w:p w14:paraId="59901DF4"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75.5</w:t>
            </w:r>
          </w:p>
        </w:tc>
        <w:tc>
          <w:tcPr>
            <w:tcW w:w="2170" w:type="dxa"/>
            <w:tcBorders>
              <w:top w:val="single" w:sz="4" w:space="0" w:color="auto"/>
              <w:left w:val="nil"/>
              <w:bottom w:val="single" w:sz="4" w:space="0" w:color="auto"/>
              <w:right w:val="nil"/>
            </w:tcBorders>
            <w:shd w:val="clear" w:color="000000" w:fill="FEFDFC"/>
            <w:noWrap/>
            <w:hideMark/>
          </w:tcPr>
          <w:p w14:paraId="08DA094A"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77.5</w:t>
            </w:r>
          </w:p>
        </w:tc>
      </w:tr>
      <w:tr w:rsidR="007461CB" w:rsidRPr="000530B1" w14:paraId="2EBF5CD1" w14:textId="77777777" w:rsidTr="003D7077">
        <w:trPr>
          <w:trHeight w:val="329"/>
        </w:trPr>
        <w:tc>
          <w:tcPr>
            <w:tcW w:w="3813" w:type="dxa"/>
            <w:tcBorders>
              <w:top w:val="nil"/>
              <w:left w:val="nil"/>
              <w:bottom w:val="single" w:sz="4" w:space="0" w:color="auto"/>
              <w:right w:val="nil"/>
            </w:tcBorders>
            <w:noWrap/>
            <w:hideMark/>
          </w:tcPr>
          <w:p w14:paraId="1B85E5A2"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Rehabilitation</w:t>
            </w:r>
          </w:p>
        </w:tc>
        <w:tc>
          <w:tcPr>
            <w:tcW w:w="1842" w:type="dxa"/>
            <w:tcBorders>
              <w:top w:val="single" w:sz="4" w:space="0" w:color="auto"/>
              <w:left w:val="nil"/>
              <w:bottom w:val="single" w:sz="4" w:space="0" w:color="auto"/>
              <w:right w:val="nil"/>
            </w:tcBorders>
            <w:shd w:val="clear" w:color="000000" w:fill="E6F0B8"/>
            <w:noWrap/>
            <w:hideMark/>
          </w:tcPr>
          <w:p w14:paraId="7AC74001"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88.7</w:t>
            </w:r>
          </w:p>
        </w:tc>
        <w:tc>
          <w:tcPr>
            <w:tcW w:w="1843" w:type="dxa"/>
            <w:tcBorders>
              <w:top w:val="single" w:sz="4" w:space="0" w:color="auto"/>
              <w:left w:val="nil"/>
              <w:bottom w:val="single" w:sz="4" w:space="0" w:color="auto"/>
              <w:right w:val="nil"/>
            </w:tcBorders>
            <w:shd w:val="clear" w:color="000000" w:fill="E2EEAD"/>
            <w:noWrap/>
            <w:hideMark/>
          </w:tcPr>
          <w:p w14:paraId="48EF637E"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75.8</w:t>
            </w:r>
          </w:p>
        </w:tc>
        <w:tc>
          <w:tcPr>
            <w:tcW w:w="1985" w:type="dxa"/>
            <w:tcBorders>
              <w:top w:val="single" w:sz="4" w:space="0" w:color="auto"/>
              <w:left w:val="nil"/>
              <w:bottom w:val="single" w:sz="4" w:space="0" w:color="auto"/>
              <w:right w:val="nil"/>
            </w:tcBorders>
            <w:shd w:val="clear" w:color="000000" w:fill="FDF2EB"/>
            <w:noWrap/>
            <w:hideMark/>
          </w:tcPr>
          <w:p w14:paraId="22C8BFCD"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81.7</w:t>
            </w:r>
          </w:p>
        </w:tc>
        <w:tc>
          <w:tcPr>
            <w:tcW w:w="1842" w:type="dxa"/>
            <w:tcBorders>
              <w:top w:val="single" w:sz="4" w:space="0" w:color="auto"/>
              <w:left w:val="nil"/>
              <w:bottom w:val="single" w:sz="4" w:space="0" w:color="auto"/>
              <w:right w:val="nil"/>
            </w:tcBorders>
            <w:shd w:val="clear" w:color="000000" w:fill="FCE6D9"/>
            <w:noWrap/>
            <w:hideMark/>
          </w:tcPr>
          <w:p w14:paraId="0A72EBF3"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68.0</w:t>
            </w:r>
          </w:p>
        </w:tc>
        <w:tc>
          <w:tcPr>
            <w:tcW w:w="1701" w:type="dxa"/>
            <w:tcBorders>
              <w:top w:val="single" w:sz="4" w:space="0" w:color="auto"/>
              <w:left w:val="nil"/>
              <w:bottom w:val="single" w:sz="4" w:space="0" w:color="auto"/>
              <w:right w:val="nil"/>
            </w:tcBorders>
            <w:shd w:val="clear" w:color="000000" w:fill="FDF0E8"/>
            <w:noWrap/>
            <w:hideMark/>
          </w:tcPr>
          <w:p w14:paraId="75D27FE6"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81.4</w:t>
            </w:r>
          </w:p>
        </w:tc>
        <w:tc>
          <w:tcPr>
            <w:tcW w:w="2170" w:type="dxa"/>
            <w:tcBorders>
              <w:top w:val="single" w:sz="4" w:space="0" w:color="auto"/>
              <w:left w:val="nil"/>
              <w:bottom w:val="single" w:sz="4" w:space="0" w:color="auto"/>
              <w:right w:val="nil"/>
            </w:tcBorders>
            <w:shd w:val="clear" w:color="000000" w:fill="FCE5D7"/>
            <w:noWrap/>
            <w:hideMark/>
          </w:tcPr>
          <w:p w14:paraId="2781845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73.5</w:t>
            </w:r>
          </w:p>
        </w:tc>
      </w:tr>
      <w:tr w:rsidR="007461CB" w:rsidRPr="000530B1" w14:paraId="3E87AB58" w14:textId="77777777" w:rsidTr="003D7077">
        <w:trPr>
          <w:trHeight w:val="329"/>
        </w:trPr>
        <w:tc>
          <w:tcPr>
            <w:tcW w:w="3813" w:type="dxa"/>
            <w:tcBorders>
              <w:top w:val="nil"/>
              <w:left w:val="nil"/>
              <w:bottom w:val="single" w:sz="4" w:space="0" w:color="auto"/>
              <w:right w:val="nil"/>
            </w:tcBorders>
            <w:noWrap/>
            <w:hideMark/>
          </w:tcPr>
          <w:p w14:paraId="7E589BE2"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Science and mathematics</w:t>
            </w:r>
          </w:p>
        </w:tc>
        <w:tc>
          <w:tcPr>
            <w:tcW w:w="1842" w:type="dxa"/>
            <w:tcBorders>
              <w:top w:val="single" w:sz="4" w:space="0" w:color="auto"/>
              <w:left w:val="nil"/>
              <w:bottom w:val="single" w:sz="4" w:space="0" w:color="auto"/>
              <w:right w:val="nil"/>
            </w:tcBorders>
            <w:shd w:val="clear" w:color="000000" w:fill="FEF8F4"/>
            <w:noWrap/>
            <w:hideMark/>
          </w:tcPr>
          <w:p w14:paraId="286124C4"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83.8</w:t>
            </w:r>
          </w:p>
        </w:tc>
        <w:tc>
          <w:tcPr>
            <w:tcW w:w="1843" w:type="dxa"/>
            <w:tcBorders>
              <w:top w:val="single" w:sz="4" w:space="0" w:color="auto"/>
              <w:left w:val="nil"/>
              <w:bottom w:val="single" w:sz="4" w:space="0" w:color="auto"/>
              <w:right w:val="nil"/>
            </w:tcBorders>
            <w:shd w:val="clear" w:color="000000" w:fill="FCFEF7"/>
            <w:noWrap/>
            <w:hideMark/>
          </w:tcPr>
          <w:p w14:paraId="31CC29D4"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63.5</w:t>
            </w:r>
          </w:p>
        </w:tc>
        <w:tc>
          <w:tcPr>
            <w:tcW w:w="1985" w:type="dxa"/>
            <w:tcBorders>
              <w:top w:val="single" w:sz="4" w:space="0" w:color="auto"/>
              <w:left w:val="nil"/>
              <w:bottom w:val="single" w:sz="4" w:space="0" w:color="auto"/>
              <w:right w:val="nil"/>
            </w:tcBorders>
            <w:shd w:val="clear" w:color="000000" w:fill="FAFCEF"/>
            <w:noWrap/>
            <w:hideMark/>
          </w:tcPr>
          <w:p w14:paraId="006D6D75"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84.6</w:t>
            </w:r>
          </w:p>
        </w:tc>
        <w:tc>
          <w:tcPr>
            <w:tcW w:w="1842" w:type="dxa"/>
            <w:tcBorders>
              <w:top w:val="single" w:sz="4" w:space="0" w:color="auto"/>
              <w:left w:val="nil"/>
              <w:bottom w:val="single" w:sz="4" w:space="0" w:color="auto"/>
              <w:right w:val="nil"/>
            </w:tcBorders>
            <w:shd w:val="clear" w:color="000000" w:fill="F2F7DA"/>
            <w:noWrap/>
            <w:hideMark/>
          </w:tcPr>
          <w:p w14:paraId="010CC0E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79.0</w:t>
            </w:r>
          </w:p>
        </w:tc>
        <w:tc>
          <w:tcPr>
            <w:tcW w:w="1701" w:type="dxa"/>
            <w:tcBorders>
              <w:top w:val="single" w:sz="4" w:space="0" w:color="auto"/>
              <w:left w:val="nil"/>
              <w:bottom w:val="single" w:sz="4" w:space="0" w:color="auto"/>
              <w:right w:val="nil"/>
            </w:tcBorders>
            <w:shd w:val="clear" w:color="000000" w:fill="DFECA5"/>
            <w:noWrap/>
            <w:hideMark/>
          </w:tcPr>
          <w:p w14:paraId="61511584"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89.8</w:t>
            </w:r>
          </w:p>
        </w:tc>
        <w:tc>
          <w:tcPr>
            <w:tcW w:w="2170" w:type="dxa"/>
            <w:tcBorders>
              <w:top w:val="single" w:sz="4" w:space="0" w:color="auto"/>
              <w:left w:val="nil"/>
              <w:bottom w:val="single" w:sz="4" w:space="0" w:color="auto"/>
              <w:right w:val="nil"/>
            </w:tcBorders>
            <w:shd w:val="clear" w:color="000000" w:fill="FEFDFC"/>
            <w:noWrap/>
            <w:hideMark/>
          </w:tcPr>
          <w:p w14:paraId="7EB345B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77.5</w:t>
            </w:r>
          </w:p>
        </w:tc>
      </w:tr>
      <w:tr w:rsidR="007461CB" w:rsidRPr="000530B1" w14:paraId="7BD15C39" w14:textId="77777777" w:rsidTr="003D7077">
        <w:trPr>
          <w:trHeight w:val="329"/>
        </w:trPr>
        <w:tc>
          <w:tcPr>
            <w:tcW w:w="3813" w:type="dxa"/>
            <w:tcBorders>
              <w:top w:val="nil"/>
              <w:left w:val="nil"/>
              <w:bottom w:val="single" w:sz="4" w:space="0" w:color="auto"/>
              <w:right w:val="nil"/>
            </w:tcBorders>
            <w:noWrap/>
            <w:hideMark/>
          </w:tcPr>
          <w:p w14:paraId="75C52BA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Social work</w:t>
            </w:r>
          </w:p>
        </w:tc>
        <w:tc>
          <w:tcPr>
            <w:tcW w:w="1842" w:type="dxa"/>
            <w:tcBorders>
              <w:top w:val="single" w:sz="4" w:space="0" w:color="auto"/>
              <w:left w:val="nil"/>
              <w:bottom w:val="single" w:sz="4" w:space="0" w:color="auto"/>
              <w:right w:val="nil"/>
            </w:tcBorders>
            <w:shd w:val="clear" w:color="000000" w:fill="F9FCEE"/>
            <w:noWrap/>
            <w:hideMark/>
          </w:tcPr>
          <w:p w14:paraId="282899F5"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85.2</w:t>
            </w:r>
          </w:p>
        </w:tc>
        <w:tc>
          <w:tcPr>
            <w:tcW w:w="1843" w:type="dxa"/>
            <w:tcBorders>
              <w:top w:val="single" w:sz="4" w:space="0" w:color="auto"/>
              <w:left w:val="nil"/>
              <w:bottom w:val="single" w:sz="4" w:space="0" w:color="auto"/>
              <w:right w:val="nil"/>
            </w:tcBorders>
            <w:shd w:val="clear" w:color="000000" w:fill="F9FBEC"/>
            <w:noWrap/>
            <w:hideMark/>
          </w:tcPr>
          <w:p w14:paraId="38A7223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65.3</w:t>
            </w:r>
          </w:p>
        </w:tc>
        <w:tc>
          <w:tcPr>
            <w:tcW w:w="1985" w:type="dxa"/>
            <w:tcBorders>
              <w:top w:val="single" w:sz="4" w:space="0" w:color="auto"/>
              <w:left w:val="nil"/>
              <w:bottom w:val="single" w:sz="4" w:space="0" w:color="auto"/>
              <w:right w:val="nil"/>
            </w:tcBorders>
            <w:shd w:val="clear" w:color="000000" w:fill="FEF6F1"/>
            <w:noWrap/>
            <w:hideMark/>
          </w:tcPr>
          <w:p w14:paraId="7ED9A758"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82.3</w:t>
            </w:r>
          </w:p>
        </w:tc>
        <w:tc>
          <w:tcPr>
            <w:tcW w:w="1842" w:type="dxa"/>
            <w:tcBorders>
              <w:top w:val="single" w:sz="4" w:space="0" w:color="auto"/>
              <w:left w:val="nil"/>
              <w:bottom w:val="single" w:sz="4" w:space="0" w:color="auto"/>
              <w:right w:val="nil"/>
            </w:tcBorders>
            <w:shd w:val="clear" w:color="000000" w:fill="FEF5F0"/>
            <w:noWrap/>
            <w:hideMark/>
          </w:tcPr>
          <w:p w14:paraId="7EF5E0B6"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73.9</w:t>
            </w:r>
          </w:p>
        </w:tc>
        <w:tc>
          <w:tcPr>
            <w:tcW w:w="1701" w:type="dxa"/>
            <w:tcBorders>
              <w:top w:val="single" w:sz="4" w:space="0" w:color="auto"/>
              <w:left w:val="nil"/>
              <w:bottom w:val="single" w:sz="4" w:space="0" w:color="auto"/>
              <w:right w:val="nil"/>
            </w:tcBorders>
            <w:shd w:val="clear" w:color="000000" w:fill="FDEEE5"/>
            <w:noWrap/>
            <w:hideMark/>
          </w:tcPr>
          <w:p w14:paraId="39BAAF29"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80.8</w:t>
            </w:r>
          </w:p>
        </w:tc>
        <w:tc>
          <w:tcPr>
            <w:tcW w:w="2170" w:type="dxa"/>
            <w:tcBorders>
              <w:top w:val="single" w:sz="4" w:space="0" w:color="auto"/>
              <w:left w:val="nil"/>
              <w:bottom w:val="single" w:sz="4" w:space="0" w:color="auto"/>
              <w:right w:val="nil"/>
            </w:tcBorders>
            <w:shd w:val="clear" w:color="000000" w:fill="FEF9F6"/>
            <w:noWrap/>
            <w:hideMark/>
          </w:tcPr>
          <w:p w14:paraId="49DE9A46"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76.9</w:t>
            </w:r>
          </w:p>
        </w:tc>
      </w:tr>
      <w:tr w:rsidR="007461CB" w:rsidRPr="000530B1" w14:paraId="455CEBD3" w14:textId="77777777" w:rsidTr="003D7077">
        <w:trPr>
          <w:trHeight w:val="329"/>
        </w:trPr>
        <w:tc>
          <w:tcPr>
            <w:tcW w:w="3813" w:type="dxa"/>
            <w:tcBorders>
              <w:top w:val="nil"/>
              <w:left w:val="nil"/>
              <w:bottom w:val="single" w:sz="4" w:space="0" w:color="auto"/>
              <w:right w:val="nil"/>
            </w:tcBorders>
            <w:noWrap/>
            <w:hideMark/>
          </w:tcPr>
          <w:p w14:paraId="29CBED05"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Teacher education</w:t>
            </w:r>
          </w:p>
        </w:tc>
        <w:tc>
          <w:tcPr>
            <w:tcW w:w="1842" w:type="dxa"/>
            <w:tcBorders>
              <w:top w:val="single" w:sz="4" w:space="0" w:color="auto"/>
              <w:left w:val="nil"/>
              <w:bottom w:val="single" w:sz="4" w:space="0" w:color="auto"/>
              <w:right w:val="nil"/>
            </w:tcBorders>
            <w:shd w:val="clear" w:color="000000" w:fill="FACEB4"/>
            <w:noWrap/>
            <w:hideMark/>
          </w:tcPr>
          <w:p w14:paraId="0F50AB7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81.9</w:t>
            </w:r>
          </w:p>
        </w:tc>
        <w:tc>
          <w:tcPr>
            <w:tcW w:w="1843" w:type="dxa"/>
            <w:tcBorders>
              <w:top w:val="single" w:sz="4" w:space="0" w:color="auto"/>
              <w:left w:val="nil"/>
              <w:bottom w:val="single" w:sz="4" w:space="0" w:color="auto"/>
              <w:right w:val="nil"/>
            </w:tcBorders>
            <w:shd w:val="clear" w:color="000000" w:fill="FCDDCA"/>
            <w:noWrap/>
            <w:hideMark/>
          </w:tcPr>
          <w:p w14:paraId="24CEB51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50.7</w:t>
            </w:r>
          </w:p>
        </w:tc>
        <w:tc>
          <w:tcPr>
            <w:tcW w:w="1985" w:type="dxa"/>
            <w:tcBorders>
              <w:top w:val="single" w:sz="4" w:space="0" w:color="auto"/>
              <w:left w:val="nil"/>
              <w:bottom w:val="single" w:sz="4" w:space="0" w:color="auto"/>
              <w:right w:val="nil"/>
            </w:tcBorders>
            <w:shd w:val="clear" w:color="000000" w:fill="FEFDFD"/>
            <w:noWrap/>
            <w:hideMark/>
          </w:tcPr>
          <w:p w14:paraId="29072547"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83.5</w:t>
            </w:r>
          </w:p>
        </w:tc>
        <w:tc>
          <w:tcPr>
            <w:tcW w:w="1842" w:type="dxa"/>
            <w:tcBorders>
              <w:top w:val="single" w:sz="4" w:space="0" w:color="auto"/>
              <w:left w:val="nil"/>
              <w:bottom w:val="single" w:sz="4" w:space="0" w:color="auto"/>
              <w:right w:val="nil"/>
            </w:tcBorders>
            <w:shd w:val="clear" w:color="000000" w:fill="FEF7F3"/>
            <w:noWrap/>
            <w:hideMark/>
          </w:tcPr>
          <w:p w14:paraId="122DE56B"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74.6</w:t>
            </w:r>
          </w:p>
        </w:tc>
        <w:tc>
          <w:tcPr>
            <w:tcW w:w="1701" w:type="dxa"/>
            <w:tcBorders>
              <w:top w:val="single" w:sz="4" w:space="0" w:color="auto"/>
              <w:left w:val="nil"/>
              <w:bottom w:val="single" w:sz="4" w:space="0" w:color="auto"/>
              <w:right w:val="nil"/>
            </w:tcBorders>
            <w:shd w:val="clear" w:color="000000" w:fill="FEF4EF"/>
            <w:noWrap/>
            <w:hideMark/>
          </w:tcPr>
          <w:p w14:paraId="05C6FE6F"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82.6</w:t>
            </w:r>
          </w:p>
        </w:tc>
        <w:tc>
          <w:tcPr>
            <w:tcW w:w="2170" w:type="dxa"/>
            <w:tcBorders>
              <w:top w:val="single" w:sz="4" w:space="0" w:color="auto"/>
              <w:left w:val="nil"/>
              <w:bottom w:val="single" w:sz="4" w:space="0" w:color="auto"/>
              <w:right w:val="nil"/>
            </w:tcBorders>
            <w:shd w:val="clear" w:color="000000" w:fill="FCFDF5"/>
            <w:noWrap/>
            <w:hideMark/>
          </w:tcPr>
          <w:p w14:paraId="3E1BA385"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78.4</w:t>
            </w:r>
          </w:p>
        </w:tc>
      </w:tr>
      <w:tr w:rsidR="007461CB" w:rsidRPr="000530B1" w14:paraId="115DF35A" w14:textId="77777777" w:rsidTr="003D7077">
        <w:trPr>
          <w:trHeight w:val="329"/>
        </w:trPr>
        <w:tc>
          <w:tcPr>
            <w:tcW w:w="3813" w:type="dxa"/>
            <w:tcBorders>
              <w:top w:val="nil"/>
              <w:left w:val="nil"/>
              <w:bottom w:val="single" w:sz="4" w:space="0" w:color="auto"/>
              <w:right w:val="nil"/>
            </w:tcBorders>
            <w:noWrap/>
            <w:hideMark/>
          </w:tcPr>
          <w:p w14:paraId="18CFD492" w14:textId="10057BBD" w:rsidR="00A04637"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Tourism, hospitality, personal services, sport</w:t>
            </w:r>
            <w:r w:rsidR="003D7077">
              <w:rPr>
                <w:rFonts w:eastAsia="Times New Roman" w:cs="Arial"/>
                <w:color w:val="000000"/>
                <w:szCs w:val="20"/>
                <w:lang w:eastAsia="en-AU"/>
              </w:rPr>
              <w:t xml:space="preserve"> </w:t>
            </w:r>
            <w:r w:rsidRPr="00C27938">
              <w:rPr>
                <w:rFonts w:eastAsia="Times New Roman" w:cs="Arial"/>
                <w:color w:val="000000"/>
                <w:szCs w:val="20"/>
                <w:lang w:eastAsia="en-AU"/>
              </w:rPr>
              <w:t>and recreation</w:t>
            </w:r>
          </w:p>
        </w:tc>
        <w:tc>
          <w:tcPr>
            <w:tcW w:w="1842" w:type="dxa"/>
            <w:tcBorders>
              <w:top w:val="single" w:sz="4" w:space="0" w:color="auto"/>
              <w:left w:val="nil"/>
              <w:bottom w:val="single" w:sz="4" w:space="0" w:color="auto"/>
              <w:right w:val="nil"/>
            </w:tcBorders>
            <w:shd w:val="clear" w:color="000000" w:fill="F6FAE5"/>
            <w:noWrap/>
            <w:hideMark/>
          </w:tcPr>
          <w:p w14:paraId="781AB37C"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85.8</w:t>
            </w:r>
          </w:p>
        </w:tc>
        <w:tc>
          <w:tcPr>
            <w:tcW w:w="1843" w:type="dxa"/>
            <w:tcBorders>
              <w:top w:val="single" w:sz="4" w:space="0" w:color="auto"/>
              <w:left w:val="nil"/>
              <w:bottom w:val="single" w:sz="4" w:space="0" w:color="auto"/>
              <w:right w:val="nil"/>
            </w:tcBorders>
            <w:shd w:val="clear" w:color="000000" w:fill="E7F0B9"/>
            <w:noWrap/>
            <w:hideMark/>
          </w:tcPr>
          <w:p w14:paraId="3364A312"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73.8</w:t>
            </w:r>
          </w:p>
        </w:tc>
        <w:tc>
          <w:tcPr>
            <w:tcW w:w="1985" w:type="dxa"/>
            <w:tcBorders>
              <w:top w:val="single" w:sz="4" w:space="0" w:color="auto"/>
              <w:left w:val="nil"/>
              <w:bottom w:val="single" w:sz="4" w:space="0" w:color="auto"/>
              <w:right w:val="nil"/>
            </w:tcBorders>
            <w:shd w:val="clear" w:color="000000" w:fill="E7F1BB"/>
            <w:noWrap/>
            <w:hideMark/>
          </w:tcPr>
          <w:p w14:paraId="36D0A94E"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87.5</w:t>
            </w:r>
          </w:p>
        </w:tc>
        <w:tc>
          <w:tcPr>
            <w:tcW w:w="1842" w:type="dxa"/>
            <w:tcBorders>
              <w:top w:val="single" w:sz="4" w:space="0" w:color="auto"/>
              <w:left w:val="nil"/>
              <w:bottom w:val="single" w:sz="4" w:space="0" w:color="auto"/>
              <w:right w:val="nil"/>
            </w:tcBorders>
            <w:shd w:val="clear" w:color="000000" w:fill="FEF6F2"/>
            <w:noWrap/>
            <w:hideMark/>
          </w:tcPr>
          <w:p w14:paraId="7DFBDEE9"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74.4</w:t>
            </w:r>
          </w:p>
        </w:tc>
        <w:tc>
          <w:tcPr>
            <w:tcW w:w="1701" w:type="dxa"/>
            <w:tcBorders>
              <w:top w:val="single" w:sz="4" w:space="0" w:color="auto"/>
              <w:left w:val="nil"/>
              <w:bottom w:val="single" w:sz="4" w:space="0" w:color="auto"/>
              <w:right w:val="nil"/>
            </w:tcBorders>
            <w:shd w:val="clear" w:color="000000" w:fill="E6F0B8"/>
            <w:noWrap/>
            <w:hideMark/>
          </w:tcPr>
          <w:p w14:paraId="42A39F15"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88.9</w:t>
            </w:r>
          </w:p>
        </w:tc>
        <w:tc>
          <w:tcPr>
            <w:tcW w:w="2170" w:type="dxa"/>
            <w:tcBorders>
              <w:top w:val="single" w:sz="4" w:space="0" w:color="auto"/>
              <w:left w:val="nil"/>
              <w:bottom w:val="single" w:sz="4" w:space="0" w:color="auto"/>
              <w:right w:val="nil"/>
            </w:tcBorders>
            <w:shd w:val="clear" w:color="000000" w:fill="DCE99A"/>
            <w:noWrap/>
            <w:hideMark/>
          </w:tcPr>
          <w:p w14:paraId="1A1ACE02"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83.6</w:t>
            </w:r>
          </w:p>
        </w:tc>
      </w:tr>
      <w:tr w:rsidR="007461CB" w:rsidRPr="000530B1" w14:paraId="50078A7B" w14:textId="77777777" w:rsidTr="003D7077">
        <w:trPr>
          <w:trHeight w:val="329"/>
        </w:trPr>
        <w:tc>
          <w:tcPr>
            <w:tcW w:w="3813" w:type="dxa"/>
            <w:tcBorders>
              <w:top w:val="nil"/>
              <w:left w:val="nil"/>
              <w:bottom w:val="single" w:sz="4" w:space="0" w:color="auto"/>
              <w:right w:val="nil"/>
            </w:tcBorders>
            <w:noWrap/>
            <w:hideMark/>
          </w:tcPr>
          <w:p w14:paraId="5C4D8841"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Veterinary science</w:t>
            </w:r>
          </w:p>
        </w:tc>
        <w:tc>
          <w:tcPr>
            <w:tcW w:w="1842" w:type="dxa"/>
            <w:tcBorders>
              <w:top w:val="single" w:sz="4" w:space="0" w:color="auto"/>
              <w:left w:val="nil"/>
              <w:bottom w:val="single" w:sz="4" w:space="0" w:color="auto"/>
              <w:right w:val="nil"/>
            </w:tcBorders>
            <w:shd w:val="clear" w:color="000000" w:fill="D3E483"/>
            <w:noWrap/>
            <w:hideMark/>
          </w:tcPr>
          <w:p w14:paraId="2571072C"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92.1</w:t>
            </w:r>
          </w:p>
        </w:tc>
        <w:tc>
          <w:tcPr>
            <w:tcW w:w="1843" w:type="dxa"/>
            <w:tcBorders>
              <w:top w:val="single" w:sz="4" w:space="0" w:color="auto"/>
              <w:left w:val="nil"/>
              <w:bottom w:val="single" w:sz="4" w:space="0" w:color="auto"/>
              <w:right w:val="nil"/>
            </w:tcBorders>
            <w:shd w:val="clear" w:color="000000" w:fill="D3E483"/>
            <w:noWrap/>
            <w:hideMark/>
          </w:tcPr>
          <w:p w14:paraId="7C2CE97D"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82.8</w:t>
            </w:r>
          </w:p>
        </w:tc>
        <w:tc>
          <w:tcPr>
            <w:tcW w:w="1985" w:type="dxa"/>
            <w:tcBorders>
              <w:top w:val="single" w:sz="4" w:space="0" w:color="auto"/>
              <w:left w:val="nil"/>
              <w:bottom w:val="single" w:sz="4" w:space="0" w:color="auto"/>
              <w:right w:val="nil"/>
            </w:tcBorders>
            <w:shd w:val="clear" w:color="000000" w:fill="FDF3EC"/>
            <w:noWrap/>
            <w:hideMark/>
          </w:tcPr>
          <w:p w14:paraId="62065DB0"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81.8</w:t>
            </w:r>
          </w:p>
        </w:tc>
        <w:tc>
          <w:tcPr>
            <w:tcW w:w="1842" w:type="dxa"/>
            <w:tcBorders>
              <w:top w:val="single" w:sz="4" w:space="0" w:color="auto"/>
              <w:left w:val="nil"/>
              <w:bottom w:val="single" w:sz="4" w:space="0" w:color="auto"/>
              <w:right w:val="nil"/>
            </w:tcBorders>
            <w:shd w:val="clear" w:color="000000" w:fill="F9B993"/>
            <w:noWrap/>
            <w:hideMark/>
          </w:tcPr>
          <w:p w14:paraId="29451DC1"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50.0</w:t>
            </w:r>
          </w:p>
        </w:tc>
        <w:tc>
          <w:tcPr>
            <w:tcW w:w="1701" w:type="dxa"/>
            <w:tcBorders>
              <w:top w:val="single" w:sz="4" w:space="0" w:color="auto"/>
              <w:left w:val="nil"/>
              <w:bottom w:val="single" w:sz="4" w:space="0" w:color="auto"/>
              <w:right w:val="nil"/>
            </w:tcBorders>
            <w:shd w:val="clear" w:color="000000" w:fill="FDF0E8"/>
            <w:noWrap/>
            <w:hideMark/>
          </w:tcPr>
          <w:p w14:paraId="5B932F68"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81.4</w:t>
            </w:r>
          </w:p>
        </w:tc>
        <w:tc>
          <w:tcPr>
            <w:tcW w:w="2170" w:type="dxa"/>
            <w:tcBorders>
              <w:top w:val="single" w:sz="4" w:space="0" w:color="auto"/>
              <w:left w:val="nil"/>
              <w:bottom w:val="single" w:sz="4" w:space="0" w:color="auto"/>
              <w:right w:val="nil"/>
            </w:tcBorders>
            <w:shd w:val="clear" w:color="000000" w:fill="FDF0E8"/>
            <w:noWrap/>
            <w:hideMark/>
          </w:tcPr>
          <w:p w14:paraId="388E8EC2" w14:textId="77777777" w:rsidR="00F31456" w:rsidRPr="00C27938" w:rsidRDefault="00F31456" w:rsidP="003D7077">
            <w:pPr>
              <w:spacing w:before="50" w:after="50"/>
              <w:rPr>
                <w:rFonts w:eastAsia="Times New Roman" w:cs="Arial"/>
                <w:color w:val="000000"/>
                <w:szCs w:val="20"/>
                <w:lang w:eastAsia="en-AU"/>
              </w:rPr>
            </w:pPr>
            <w:r w:rsidRPr="00C27938">
              <w:rPr>
                <w:rFonts w:eastAsia="Times New Roman" w:cs="Arial"/>
                <w:color w:val="000000"/>
                <w:szCs w:val="20"/>
                <w:lang w:eastAsia="en-AU"/>
              </w:rPr>
              <w:t>75.3</w:t>
            </w:r>
          </w:p>
        </w:tc>
      </w:tr>
      <w:tr w:rsidR="007461CB" w:rsidRPr="000530B1" w14:paraId="1C12A092" w14:textId="77777777" w:rsidTr="003D7077">
        <w:trPr>
          <w:trHeight w:val="329"/>
        </w:trPr>
        <w:tc>
          <w:tcPr>
            <w:tcW w:w="3813" w:type="dxa"/>
            <w:tcBorders>
              <w:top w:val="nil"/>
              <w:left w:val="nil"/>
              <w:bottom w:val="single" w:sz="4" w:space="0" w:color="auto"/>
              <w:right w:val="nil"/>
            </w:tcBorders>
            <w:noWrap/>
            <w:hideMark/>
          </w:tcPr>
          <w:p w14:paraId="4C588100" w14:textId="77777777" w:rsidR="00F31456" w:rsidRPr="00C27938" w:rsidRDefault="00F31456" w:rsidP="003D7077">
            <w:pPr>
              <w:spacing w:before="50" w:after="50"/>
              <w:rPr>
                <w:rFonts w:eastAsia="Times New Roman" w:cs="Arial"/>
                <w:b/>
                <w:bCs/>
                <w:color w:val="000000"/>
                <w:szCs w:val="20"/>
                <w:lang w:eastAsia="en-AU"/>
              </w:rPr>
            </w:pPr>
            <w:r w:rsidRPr="00C27938">
              <w:rPr>
                <w:rFonts w:eastAsia="Times New Roman" w:cs="Arial"/>
                <w:b/>
                <w:bCs/>
                <w:color w:val="000000"/>
                <w:szCs w:val="20"/>
                <w:lang w:eastAsia="en-AU"/>
              </w:rPr>
              <w:t>Total</w:t>
            </w:r>
          </w:p>
        </w:tc>
        <w:tc>
          <w:tcPr>
            <w:tcW w:w="1842" w:type="dxa"/>
            <w:tcBorders>
              <w:top w:val="nil"/>
              <w:left w:val="nil"/>
              <w:bottom w:val="single" w:sz="4" w:space="0" w:color="auto"/>
              <w:right w:val="nil"/>
            </w:tcBorders>
            <w:noWrap/>
            <w:hideMark/>
          </w:tcPr>
          <w:p w14:paraId="7A59C18D" w14:textId="77777777" w:rsidR="00F31456" w:rsidRPr="00C27938" w:rsidRDefault="00F31456" w:rsidP="003D7077">
            <w:pPr>
              <w:spacing w:before="50" w:after="50"/>
              <w:rPr>
                <w:rFonts w:eastAsia="Times New Roman" w:cs="Arial"/>
                <w:b/>
                <w:bCs/>
                <w:color w:val="000000"/>
                <w:szCs w:val="20"/>
                <w:lang w:eastAsia="en-AU"/>
              </w:rPr>
            </w:pPr>
            <w:r w:rsidRPr="00C27938">
              <w:rPr>
                <w:rFonts w:eastAsia="Times New Roman" w:cs="Arial"/>
                <w:b/>
                <w:bCs/>
                <w:color w:val="000000"/>
                <w:szCs w:val="20"/>
                <w:lang w:eastAsia="en-AU"/>
              </w:rPr>
              <w:t>84.1</w:t>
            </w:r>
          </w:p>
        </w:tc>
        <w:tc>
          <w:tcPr>
            <w:tcW w:w="1843" w:type="dxa"/>
            <w:tcBorders>
              <w:top w:val="nil"/>
              <w:left w:val="nil"/>
              <w:bottom w:val="single" w:sz="4" w:space="0" w:color="auto"/>
              <w:right w:val="nil"/>
            </w:tcBorders>
            <w:noWrap/>
            <w:hideMark/>
          </w:tcPr>
          <w:p w14:paraId="60633548" w14:textId="77777777" w:rsidR="00F31456" w:rsidRPr="00C27938" w:rsidRDefault="00F31456" w:rsidP="003D7077">
            <w:pPr>
              <w:spacing w:before="50" w:after="50"/>
              <w:rPr>
                <w:rFonts w:eastAsia="Times New Roman" w:cs="Arial"/>
                <w:b/>
                <w:bCs/>
                <w:color w:val="000000"/>
                <w:szCs w:val="20"/>
                <w:lang w:eastAsia="en-AU"/>
              </w:rPr>
            </w:pPr>
            <w:r w:rsidRPr="00C27938">
              <w:rPr>
                <w:rFonts w:eastAsia="Times New Roman" w:cs="Arial"/>
                <w:b/>
                <w:bCs/>
                <w:color w:val="000000"/>
                <w:szCs w:val="20"/>
                <w:lang w:eastAsia="en-AU"/>
              </w:rPr>
              <w:t>62.0</w:t>
            </w:r>
          </w:p>
        </w:tc>
        <w:tc>
          <w:tcPr>
            <w:tcW w:w="1985" w:type="dxa"/>
            <w:tcBorders>
              <w:top w:val="nil"/>
              <w:left w:val="nil"/>
              <w:bottom w:val="single" w:sz="4" w:space="0" w:color="auto"/>
              <w:right w:val="nil"/>
            </w:tcBorders>
            <w:noWrap/>
            <w:hideMark/>
          </w:tcPr>
          <w:p w14:paraId="58FFFD1F" w14:textId="77777777" w:rsidR="00F31456" w:rsidRPr="00C27938" w:rsidRDefault="00F31456" w:rsidP="003D7077">
            <w:pPr>
              <w:spacing w:before="50" w:after="50"/>
              <w:rPr>
                <w:rFonts w:eastAsia="Times New Roman" w:cs="Arial"/>
                <w:b/>
                <w:bCs/>
                <w:color w:val="000000"/>
                <w:szCs w:val="20"/>
                <w:lang w:eastAsia="en-AU"/>
              </w:rPr>
            </w:pPr>
            <w:r w:rsidRPr="00C27938">
              <w:rPr>
                <w:rFonts w:eastAsia="Times New Roman" w:cs="Arial"/>
                <w:b/>
                <w:bCs/>
                <w:color w:val="000000"/>
                <w:szCs w:val="20"/>
                <w:lang w:eastAsia="en-AU"/>
              </w:rPr>
              <w:t>83.7</w:t>
            </w:r>
          </w:p>
        </w:tc>
        <w:tc>
          <w:tcPr>
            <w:tcW w:w="1842" w:type="dxa"/>
            <w:tcBorders>
              <w:top w:val="nil"/>
              <w:left w:val="nil"/>
              <w:bottom w:val="single" w:sz="4" w:space="0" w:color="auto"/>
              <w:right w:val="nil"/>
            </w:tcBorders>
            <w:noWrap/>
            <w:hideMark/>
          </w:tcPr>
          <w:p w14:paraId="6F9E72AA" w14:textId="77777777" w:rsidR="00F31456" w:rsidRPr="00C27938" w:rsidRDefault="00F31456" w:rsidP="003D7077">
            <w:pPr>
              <w:spacing w:before="50" w:after="50"/>
              <w:rPr>
                <w:rFonts w:eastAsia="Times New Roman" w:cs="Arial"/>
                <w:b/>
                <w:bCs/>
                <w:color w:val="000000"/>
                <w:szCs w:val="20"/>
                <w:lang w:eastAsia="en-AU"/>
              </w:rPr>
            </w:pPr>
            <w:r w:rsidRPr="00C27938">
              <w:rPr>
                <w:rFonts w:eastAsia="Times New Roman" w:cs="Arial"/>
                <w:b/>
                <w:bCs/>
                <w:color w:val="000000"/>
                <w:szCs w:val="20"/>
                <w:lang w:eastAsia="en-AU"/>
              </w:rPr>
              <w:t>77.7</w:t>
            </w:r>
          </w:p>
        </w:tc>
        <w:tc>
          <w:tcPr>
            <w:tcW w:w="1701" w:type="dxa"/>
            <w:tcBorders>
              <w:top w:val="nil"/>
              <w:left w:val="nil"/>
              <w:bottom w:val="single" w:sz="4" w:space="0" w:color="auto"/>
              <w:right w:val="nil"/>
            </w:tcBorders>
            <w:noWrap/>
            <w:hideMark/>
          </w:tcPr>
          <w:p w14:paraId="2CA1CCE2" w14:textId="77777777" w:rsidR="00F31456" w:rsidRPr="00C27938" w:rsidRDefault="00F31456" w:rsidP="003D7077">
            <w:pPr>
              <w:spacing w:before="50" w:after="50"/>
              <w:rPr>
                <w:rFonts w:eastAsia="Times New Roman" w:cs="Arial"/>
                <w:b/>
                <w:bCs/>
                <w:color w:val="000000"/>
                <w:szCs w:val="20"/>
                <w:lang w:eastAsia="en-AU"/>
              </w:rPr>
            </w:pPr>
            <w:r w:rsidRPr="00C27938">
              <w:rPr>
                <w:rFonts w:eastAsia="Times New Roman" w:cs="Arial"/>
                <w:b/>
                <w:bCs/>
                <w:color w:val="000000"/>
                <w:szCs w:val="20"/>
                <w:lang w:eastAsia="en-AU"/>
              </w:rPr>
              <w:t>85.5</w:t>
            </w:r>
          </w:p>
        </w:tc>
        <w:tc>
          <w:tcPr>
            <w:tcW w:w="2170" w:type="dxa"/>
            <w:tcBorders>
              <w:top w:val="nil"/>
              <w:left w:val="nil"/>
              <w:bottom w:val="single" w:sz="4" w:space="0" w:color="auto"/>
              <w:right w:val="nil"/>
            </w:tcBorders>
            <w:noWrap/>
            <w:hideMark/>
          </w:tcPr>
          <w:p w14:paraId="563DCDF2" w14:textId="77777777" w:rsidR="00F31456" w:rsidRPr="00C27938" w:rsidRDefault="00F31456" w:rsidP="003D7077">
            <w:pPr>
              <w:spacing w:before="50" w:after="50"/>
              <w:rPr>
                <w:rFonts w:eastAsia="Times New Roman" w:cs="Arial"/>
                <w:b/>
                <w:bCs/>
                <w:color w:val="000000"/>
                <w:szCs w:val="20"/>
                <w:lang w:eastAsia="en-AU"/>
              </w:rPr>
            </w:pPr>
            <w:r w:rsidRPr="00C27938">
              <w:rPr>
                <w:rFonts w:eastAsia="Times New Roman" w:cs="Arial"/>
                <w:b/>
                <w:bCs/>
                <w:color w:val="000000"/>
                <w:szCs w:val="20"/>
                <w:lang w:eastAsia="en-AU"/>
              </w:rPr>
              <w:t>77.8</w:t>
            </w:r>
          </w:p>
        </w:tc>
      </w:tr>
    </w:tbl>
    <w:p w14:paraId="153FCEBA" w14:textId="77777777" w:rsidR="001D33BB" w:rsidRPr="00772B5B" w:rsidRDefault="001D33BB" w:rsidP="003D7077">
      <w:pPr>
        <w:pStyle w:val="BaseFigureNotes"/>
        <w:spacing w:before="80" w:after="0"/>
        <w:rPr>
          <w:spacing w:val="-2"/>
          <w:sz w:val="17"/>
          <w:szCs w:val="17"/>
          <w:lang w:eastAsia="en-GB"/>
        </w:rPr>
      </w:pPr>
      <w:r w:rsidRPr="00772B5B">
        <w:rPr>
          <w:b/>
          <w:bCs/>
          <w:spacing w:val="-2"/>
          <w:sz w:val="17"/>
          <w:szCs w:val="17"/>
          <w:lang w:eastAsia="en-GB"/>
        </w:rPr>
        <w:t>Note:</w:t>
      </w:r>
      <w:r w:rsidRPr="00772B5B">
        <w:rPr>
          <w:spacing w:val="-2"/>
          <w:sz w:val="17"/>
          <w:szCs w:val="17"/>
          <w:lang w:eastAsia="en-GB"/>
        </w:rPr>
        <w:t xml:space="preserve"> Cells are shaded to indicate relative position within each focus area, with green shading indicating results above the national average and orange shading indicating results below the national average.</w:t>
      </w:r>
    </w:p>
    <w:p w14:paraId="46C09716" w14:textId="77777777" w:rsidR="00F31456" w:rsidRPr="000530B1" w:rsidRDefault="00F31456" w:rsidP="00F31456">
      <w:pPr>
        <w:tabs>
          <w:tab w:val="left" w:pos="3636"/>
        </w:tabs>
        <w:rPr>
          <w:lang w:val="en-GB"/>
        </w:rPr>
        <w:sectPr w:rsidR="00F31456" w:rsidRPr="000530B1" w:rsidSect="002D7A52">
          <w:pgSz w:w="16840" w:h="11900" w:orient="landscape"/>
          <w:pgMar w:top="1021" w:right="851" w:bottom="1021" w:left="851" w:header="567" w:footer="567" w:gutter="0"/>
          <w:cols w:space="708"/>
          <w:docGrid w:linePitch="360"/>
        </w:sectPr>
      </w:pPr>
    </w:p>
    <w:p w14:paraId="372BFC2B" w14:textId="77777777" w:rsidR="005278D0" w:rsidRPr="000530B1" w:rsidRDefault="005278D0" w:rsidP="009C6108">
      <w:pPr>
        <w:pStyle w:val="Heading1numaccessible"/>
        <w:spacing w:after="200"/>
      </w:pPr>
      <w:bookmarkStart w:id="160" w:name="_Toc195645860"/>
      <w:bookmarkStart w:id="161" w:name="_Toc239764801"/>
      <w:r w:rsidRPr="000530B1">
        <w:lastRenderedPageBreak/>
        <w:t>Institution</w:t>
      </w:r>
      <w:bookmarkEnd w:id="160"/>
      <w:bookmarkEnd w:id="161"/>
    </w:p>
    <w:p w14:paraId="2D75BBE3" w14:textId="77777777" w:rsidR="005278D0" w:rsidRPr="00F04B5B" w:rsidRDefault="005278D0" w:rsidP="009C6108">
      <w:pPr>
        <w:pStyle w:val="Heading2"/>
        <w:spacing w:before="200"/>
      </w:pPr>
      <w:bookmarkStart w:id="162" w:name="_Toc239764802"/>
      <w:r w:rsidRPr="00F04B5B">
        <w:t>Institution type</w:t>
      </w:r>
      <w:bookmarkEnd w:id="162"/>
    </w:p>
    <w:p w14:paraId="113E9EC3" w14:textId="3B0B3523" w:rsidR="005278D0" w:rsidRPr="000530B1" w:rsidRDefault="005278D0" w:rsidP="00CC1AB5">
      <w:pPr>
        <w:pStyle w:val="Body"/>
        <w:spacing w:before="60" w:after="60"/>
        <w:rPr>
          <w:vertAlign w:val="superscript"/>
        </w:rPr>
      </w:pPr>
      <w:r w:rsidRPr="000530B1">
        <w:t>In 2025, 88.5 per cent of undergraduate respondents and 83.9 per cent of postgraduate coursework respondents to the SES were enrolled in courses at universities, while 11.5 per cent of undergraduates and 16.1 per cent of postgraduate coursework respondents were studying at a non-university higher education institution (NUHEI)</w:t>
      </w:r>
      <w:r w:rsidR="00245D19">
        <w:t>.</w:t>
      </w:r>
      <w:r w:rsidRPr="003A03B7">
        <w:rPr>
          <w:vertAlign w:val="superscript"/>
        </w:rPr>
        <w:footnoteReference w:id="7"/>
      </w:r>
      <w:r w:rsidRPr="003A03B7">
        <w:rPr>
          <w:vertAlign w:val="superscript"/>
        </w:rPr>
        <w:t xml:space="preserve"> </w:t>
      </w:r>
    </w:p>
    <w:p w14:paraId="7BFA1568" w14:textId="77777777" w:rsidR="003D7077" w:rsidRDefault="005278D0" w:rsidP="00CC1AB5">
      <w:pPr>
        <w:pStyle w:val="Body"/>
        <w:spacing w:before="60"/>
        <w:sectPr w:rsidR="003D7077" w:rsidSect="00BF2051">
          <w:headerReference w:type="default" r:id="rId73"/>
          <w:pgSz w:w="11900" w:h="16840"/>
          <w:pgMar w:top="851" w:right="1134" w:bottom="851" w:left="1134" w:header="567" w:footer="567" w:gutter="0"/>
          <w:cols w:space="708"/>
          <w:docGrid w:linePitch="360"/>
        </w:sectPr>
      </w:pPr>
      <w:bookmarkStart w:id="163" w:name="_Hlk171435446"/>
      <w:r w:rsidRPr="000530B1">
        <w:t>Student ratings at NUHEIs are generally higher than at universities for both undergraduate and postgraduate coursework students, except for Learning Resources, which is consistently rated lower. This trend continued in 2025 (</w:t>
      </w:r>
      <w:r w:rsidR="00F45FA0" w:rsidRPr="000530B1">
        <w:rPr>
          <w:b/>
          <w:bCs/>
        </w:rPr>
        <w:t>Figure 37</w:t>
      </w:r>
      <w:r w:rsidRPr="000530B1">
        <w:t>).</w:t>
      </w:r>
    </w:p>
    <w:p w14:paraId="52E2E7AD" w14:textId="4E7E7893" w:rsidR="005278D0" w:rsidRPr="000530B1" w:rsidRDefault="003D7077" w:rsidP="00194EE0">
      <w:pPr>
        <w:pStyle w:val="Captionaccessible"/>
      </w:pPr>
      <w:bookmarkStart w:id="164" w:name="_Toc239764902"/>
      <w:bookmarkEnd w:id="163"/>
      <w:r w:rsidRPr="00BF2051">
        <w:rPr>
          <w:noProof/>
          <w:sz w:val="22"/>
          <w:szCs w:val="22"/>
        </w:rPr>
        <w:lastRenderedPageBreak/>
        <w:drawing>
          <wp:anchor distT="0" distB="0" distL="114300" distR="114300" simplePos="0" relativeHeight="251671565" behindDoc="0" locked="0" layoutInCell="1" allowOverlap="1" wp14:anchorId="42EB3235" wp14:editId="201F7019">
            <wp:simplePos x="0" y="0"/>
            <wp:positionH relativeFrom="margin">
              <wp:posOffset>7567930</wp:posOffset>
            </wp:positionH>
            <wp:positionV relativeFrom="paragraph">
              <wp:posOffset>150339</wp:posOffset>
            </wp:positionV>
            <wp:extent cx="1822101" cy="394335"/>
            <wp:effectExtent l="0" t="0" r="6985" b="5715"/>
            <wp:wrapNone/>
            <wp:docPr id="18" name="Picture 17">
              <a:extLst xmlns:a="http://schemas.openxmlformats.org/drawingml/2006/main">
                <a:ext uri="{FF2B5EF4-FFF2-40B4-BE49-F238E27FC236}">
                  <a16:creationId xmlns:a16="http://schemas.microsoft.com/office/drawing/2014/main" id="{61878716-171C-0128-C751-F42210F519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61878716-171C-0128-C751-F42210F519D9}"/>
                        </a:ext>
                      </a:extLst>
                    </pic:cNvPr>
                    <pic:cNvPicPr>
                      <a:picLocks noChangeAspect="1"/>
                    </pic:cNvPicPr>
                  </pic:nvPicPr>
                  <pic:blipFill rotWithShape="1">
                    <a:blip r:embed="rId74" cstate="email">
                      <a:extLst>
                        <a:ext uri="{28A0092B-C50C-407E-A947-70E740481C1C}">
                          <a14:useLocalDpi xmlns:a14="http://schemas.microsoft.com/office/drawing/2010/main" val="0"/>
                        </a:ext>
                      </a:extLst>
                    </a:blip>
                    <a:srcRect l="41745" r="41069" b="87692"/>
                    <a:stretch>
                      <a:fillRect/>
                    </a:stretch>
                  </pic:blipFill>
                  <pic:spPr>
                    <a:xfrm>
                      <a:off x="0" y="0"/>
                      <a:ext cx="1822101" cy="394335"/>
                    </a:xfrm>
                    <a:prstGeom prst="rect">
                      <a:avLst/>
                    </a:prstGeom>
                  </pic:spPr>
                </pic:pic>
              </a:graphicData>
            </a:graphic>
            <wp14:sizeRelH relativeFrom="margin">
              <wp14:pctWidth>0</wp14:pctWidth>
            </wp14:sizeRelH>
            <wp14:sizeRelV relativeFrom="margin">
              <wp14:pctHeight>0</wp14:pctHeight>
            </wp14:sizeRelV>
          </wp:anchor>
        </w:drawing>
      </w:r>
      <w:r w:rsidR="005278D0"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37</w:t>
      </w:r>
      <w:r w:rsidR="00F45FA0">
        <w:rPr>
          <w:noProof/>
        </w:rPr>
        <w:fldChar w:fldCharType="end"/>
      </w:r>
      <w:r w:rsidR="001A2248" w:rsidRPr="000530B1">
        <w:tab/>
      </w:r>
      <w:r w:rsidR="00A91FBD" w:rsidRPr="000530B1">
        <w:t xml:space="preserve">Student </w:t>
      </w:r>
      <w:r w:rsidR="005278D0" w:rsidRPr="000530B1">
        <w:t>experience by institution type</w:t>
      </w:r>
      <w:r w:rsidR="001862CE" w:rsidRPr="000530B1">
        <w:t xml:space="preserve"> and course level</w:t>
      </w:r>
      <w:r w:rsidR="005278D0" w:rsidRPr="000530B1">
        <w:t>, 2025 (% positive rating)</w:t>
      </w:r>
      <w:bookmarkEnd w:id="164"/>
    </w:p>
    <w:p w14:paraId="21CD1707" w14:textId="7E3EE906" w:rsidR="00CF401D" w:rsidRDefault="00A97B4D" w:rsidP="003A03B7">
      <w:pPr>
        <w:pStyle w:val="Body"/>
        <w:spacing w:before="60"/>
        <w:jc w:val="center"/>
        <w:rPr>
          <w:noProof/>
        </w:rPr>
      </w:pPr>
      <w:r w:rsidRPr="000530B1">
        <w:rPr>
          <w:noProof/>
        </w:rPr>
        <w:drawing>
          <wp:inline distT="0" distB="0" distL="0" distR="0" wp14:anchorId="47C19AEF" wp14:editId="3D626614">
            <wp:extent cx="9647555" cy="2880000"/>
            <wp:effectExtent l="0" t="0" r="0" b="0"/>
            <wp:docPr id="1082401128" name="Chart 1">
              <a:extLst xmlns:a="http://schemas.openxmlformats.org/drawingml/2006/main">
                <a:ext uri="{FF2B5EF4-FFF2-40B4-BE49-F238E27FC236}">
                  <a16:creationId xmlns:a16="http://schemas.microsoft.com/office/drawing/2014/main" id="{52D28ABD-3A37-7BA5-4E79-8BE7E9D2DA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C8FB063" w14:textId="6555A5F8" w:rsidR="005278D0" w:rsidRPr="000530B1" w:rsidRDefault="008F01D8" w:rsidP="003A03B7">
      <w:pPr>
        <w:pStyle w:val="Body"/>
        <w:jc w:val="center"/>
        <w:rPr>
          <w:noProof/>
        </w:rPr>
      </w:pPr>
      <w:r w:rsidRPr="000530B1">
        <w:rPr>
          <w:noProof/>
        </w:rPr>
        <w:drawing>
          <wp:inline distT="0" distB="0" distL="0" distR="0" wp14:anchorId="1BC26855" wp14:editId="3E46CE3A">
            <wp:extent cx="9647555" cy="2880000"/>
            <wp:effectExtent l="0" t="0" r="0" b="0"/>
            <wp:docPr id="215689210" name="Chart 1">
              <a:extLst xmlns:a="http://schemas.openxmlformats.org/drawingml/2006/main">
                <a:ext uri="{FF2B5EF4-FFF2-40B4-BE49-F238E27FC236}">
                  <a16:creationId xmlns:a16="http://schemas.microsoft.com/office/drawing/2014/main" id="{FB5653AB-30A4-47A2-AFA6-A78D7744F2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11C3031" w14:textId="77777777" w:rsidR="00C21695" w:rsidRDefault="00C21695" w:rsidP="00236A9A">
      <w:pPr>
        <w:pStyle w:val="Body"/>
        <w:sectPr w:rsidR="00C21695" w:rsidSect="003D7077">
          <w:pgSz w:w="16840" w:h="11900" w:orient="landscape"/>
          <w:pgMar w:top="1134" w:right="851" w:bottom="1134" w:left="851" w:header="567" w:footer="567" w:gutter="0"/>
          <w:cols w:space="708"/>
          <w:docGrid w:linePitch="360"/>
        </w:sectPr>
      </w:pPr>
    </w:p>
    <w:p w14:paraId="37C3E405" w14:textId="7203FAB6" w:rsidR="00236A9A" w:rsidRPr="000530B1" w:rsidRDefault="00236A9A" w:rsidP="00157D61">
      <w:pPr>
        <w:pStyle w:val="Body"/>
        <w:spacing w:after="100"/>
      </w:pPr>
      <w:r w:rsidRPr="000530B1">
        <w:lastRenderedPageBreak/>
        <w:t>In general, NUHEIs are typically smaller, more specialised providers that focus on a narrower range of disciplines and qualifications than universities. They often deliver professionally oriented courses in areas such as business, creative arts, health and theology, and are more likely to enrol either international students or domestic students who are older, studying part-time and studying externally or online. These institutional and student profile differences are important context when interpreting comparisons between NUHEIs and universities.</w:t>
      </w:r>
    </w:p>
    <w:p w14:paraId="3D703345" w14:textId="16D05283" w:rsidR="00F65881" w:rsidRDefault="00561C10" w:rsidP="00157D61">
      <w:pPr>
        <w:pStyle w:val="Body"/>
        <w:spacing w:after="100"/>
        <w:rPr>
          <w:spacing w:val="-2"/>
        </w:rPr>
      </w:pPr>
      <w:r w:rsidRPr="003A03B7">
        <w:rPr>
          <w:spacing w:val="-2"/>
        </w:rPr>
        <w:t xml:space="preserve">Key differences </w:t>
      </w:r>
      <w:r w:rsidR="00945039" w:rsidRPr="003A03B7">
        <w:rPr>
          <w:spacing w:val="-2"/>
        </w:rPr>
        <w:t>likely influencing student ratings between NUHEIs and universities</w:t>
      </w:r>
      <w:r w:rsidR="009802DE" w:rsidRPr="003A03B7">
        <w:rPr>
          <w:spacing w:val="-2"/>
        </w:rPr>
        <w:t xml:space="preserve"> across both levels of study include </w:t>
      </w:r>
      <w:r w:rsidR="009055F7" w:rsidRPr="003A03B7">
        <w:rPr>
          <w:spacing w:val="-2"/>
        </w:rPr>
        <w:t xml:space="preserve">the greater proportions of </w:t>
      </w:r>
      <w:r w:rsidR="00816D03" w:rsidRPr="003A03B7">
        <w:rPr>
          <w:spacing w:val="-2"/>
        </w:rPr>
        <w:t>international students,</w:t>
      </w:r>
      <w:r w:rsidR="001F045E" w:rsidRPr="003A03B7">
        <w:rPr>
          <w:spacing w:val="-2"/>
        </w:rPr>
        <w:t xml:space="preserve"> as well as</w:t>
      </w:r>
      <w:r w:rsidR="00816D03" w:rsidRPr="003A03B7">
        <w:rPr>
          <w:spacing w:val="-2"/>
        </w:rPr>
        <w:t xml:space="preserve"> students aged 25 </w:t>
      </w:r>
      <w:r w:rsidR="00C326DE" w:rsidRPr="003A03B7">
        <w:rPr>
          <w:spacing w:val="-2"/>
        </w:rPr>
        <w:t xml:space="preserve">years </w:t>
      </w:r>
      <w:r w:rsidR="00816D03" w:rsidRPr="003A03B7">
        <w:rPr>
          <w:spacing w:val="-2"/>
        </w:rPr>
        <w:t xml:space="preserve">and over. </w:t>
      </w:r>
      <w:r w:rsidR="008906CF" w:rsidRPr="003A03B7">
        <w:rPr>
          <w:spacing w:val="-2"/>
        </w:rPr>
        <w:t xml:space="preserve">These differences in student profile between institution types are presented in </w:t>
      </w:r>
      <w:r w:rsidR="008906CF" w:rsidRPr="003A03B7">
        <w:rPr>
          <w:b/>
          <w:bCs/>
          <w:spacing w:val="-2"/>
        </w:rPr>
        <w:fldChar w:fldCharType="begin"/>
      </w:r>
      <w:r w:rsidR="008906CF" w:rsidRPr="003A03B7">
        <w:rPr>
          <w:b/>
          <w:bCs/>
          <w:spacing w:val="-2"/>
        </w:rPr>
        <w:instrText xml:space="preserve"> REF _Ref217377912 \h  \* MERGEFORMAT </w:instrText>
      </w:r>
      <w:r w:rsidR="008906CF" w:rsidRPr="003A03B7">
        <w:rPr>
          <w:b/>
          <w:bCs/>
          <w:spacing w:val="-2"/>
        </w:rPr>
      </w:r>
      <w:r w:rsidR="008906CF" w:rsidRPr="003A03B7">
        <w:rPr>
          <w:b/>
          <w:bCs/>
          <w:spacing w:val="-2"/>
        </w:rPr>
        <w:fldChar w:fldCharType="separate"/>
      </w:r>
      <w:r w:rsidR="000C6530" w:rsidRPr="003A03B7">
        <w:rPr>
          <w:b/>
          <w:spacing w:val="-2"/>
        </w:rPr>
        <w:t>Figure 3</w:t>
      </w:r>
      <w:r w:rsidR="008906CF" w:rsidRPr="003A03B7">
        <w:rPr>
          <w:b/>
          <w:bCs/>
          <w:spacing w:val="-2"/>
        </w:rPr>
        <w:fldChar w:fldCharType="end"/>
      </w:r>
      <w:r w:rsidR="00F45FA0" w:rsidRPr="003A03B7">
        <w:rPr>
          <w:b/>
          <w:bCs/>
          <w:spacing w:val="-2"/>
        </w:rPr>
        <w:t>8</w:t>
      </w:r>
      <w:r w:rsidR="008906CF" w:rsidRPr="003A03B7">
        <w:rPr>
          <w:b/>
          <w:bCs/>
          <w:spacing w:val="-2"/>
        </w:rPr>
        <w:t xml:space="preserve"> </w:t>
      </w:r>
      <w:r w:rsidR="008906CF" w:rsidRPr="003A03B7">
        <w:rPr>
          <w:spacing w:val="-2"/>
        </w:rPr>
        <w:t>for 2025.</w:t>
      </w:r>
      <w:r w:rsidR="0010474C" w:rsidRPr="003A03B7">
        <w:rPr>
          <w:spacing w:val="-2"/>
        </w:rPr>
        <w:t xml:space="preserve"> </w:t>
      </w:r>
      <w:r w:rsidR="00297301" w:rsidRPr="003A03B7">
        <w:rPr>
          <w:spacing w:val="-2"/>
        </w:rPr>
        <w:t xml:space="preserve">Both </w:t>
      </w:r>
      <w:r w:rsidR="00351517" w:rsidRPr="003A03B7">
        <w:rPr>
          <w:spacing w:val="-2"/>
        </w:rPr>
        <w:t xml:space="preserve">sub-groups were </w:t>
      </w:r>
      <w:r w:rsidR="0010474C" w:rsidRPr="003A03B7">
        <w:rPr>
          <w:spacing w:val="-2"/>
        </w:rPr>
        <w:t xml:space="preserve">more </w:t>
      </w:r>
      <w:r w:rsidR="00351517" w:rsidRPr="003A03B7">
        <w:rPr>
          <w:spacing w:val="-2"/>
        </w:rPr>
        <w:t>likely to rate their student experience higher than their counterparts</w:t>
      </w:r>
      <w:r w:rsidR="0014371F" w:rsidRPr="003A03B7">
        <w:rPr>
          <w:spacing w:val="-2"/>
        </w:rPr>
        <w:t xml:space="preserve"> (see </w:t>
      </w:r>
      <w:hyperlink w:anchor="_Demographic_and_equity" w:history="1">
        <w:r w:rsidR="0014371F" w:rsidRPr="003A03B7">
          <w:rPr>
            <w:rStyle w:val="Hyperlink"/>
            <w:spacing w:val="-2"/>
          </w:rPr>
          <w:t>Demographic and equity groups</w:t>
        </w:r>
      </w:hyperlink>
      <w:r w:rsidR="00B76D73" w:rsidRPr="003A03B7">
        <w:rPr>
          <w:spacing w:val="-2"/>
        </w:rPr>
        <w:t xml:space="preserve"> and the 2025 SES International Report available on the QILT</w:t>
      </w:r>
      <w:r w:rsidR="003A03B7" w:rsidRPr="003A03B7">
        <w:rPr>
          <w:spacing w:val="-2"/>
        </w:rPr>
        <w:t xml:space="preserve"> </w:t>
      </w:r>
      <w:r w:rsidR="00B76D73" w:rsidRPr="003A03B7">
        <w:rPr>
          <w:spacing w:val="-2"/>
        </w:rPr>
        <w:t>website</w:t>
      </w:r>
      <w:r w:rsidR="0014371F" w:rsidRPr="003A03B7">
        <w:rPr>
          <w:spacing w:val="-2"/>
        </w:rPr>
        <w:t>).</w:t>
      </w:r>
    </w:p>
    <w:p w14:paraId="3244501E" w14:textId="35697548" w:rsidR="00F04B5B" w:rsidRPr="00157D61" w:rsidRDefault="00117ABF" w:rsidP="00D73D34">
      <w:pPr>
        <w:pStyle w:val="Captionaccessible"/>
        <w:spacing w:after="0"/>
        <w:rPr>
          <w:rFonts w:cs="Arial"/>
          <w:color w:val="000000"/>
          <w:sz w:val="25"/>
          <w:szCs w:val="25"/>
        </w:rPr>
      </w:pPr>
      <w:bookmarkStart w:id="165" w:name="_Toc239764903"/>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38</w:t>
      </w:r>
      <w:r w:rsidR="00F45FA0">
        <w:rPr>
          <w:noProof/>
        </w:rPr>
        <w:fldChar w:fldCharType="end"/>
      </w:r>
      <w:r w:rsidR="00FD503F" w:rsidRPr="000530B1">
        <w:tab/>
      </w:r>
      <w:r w:rsidR="00C15057" w:rsidRPr="000530B1">
        <w:t>Demographic differences between universities and NUHEIs, 2025 (% based on responses to the 2025 SES)</w:t>
      </w:r>
      <w:bookmarkEnd w:id="165"/>
    </w:p>
    <w:p w14:paraId="1378A360" w14:textId="682371DA" w:rsidR="00157D61" w:rsidRDefault="00D73D34" w:rsidP="00D73D34">
      <w:pPr>
        <w:pStyle w:val="Body"/>
        <w:spacing w:before="0"/>
        <w:jc w:val="center"/>
      </w:pPr>
      <w:r w:rsidRPr="00D73D34">
        <w:drawing>
          <wp:inline distT="0" distB="0" distL="0" distR="0" wp14:anchorId="32D3A571" wp14:editId="2D61FDBF">
            <wp:extent cx="6228000" cy="6910161"/>
            <wp:effectExtent l="0" t="0" r="1905" b="5080"/>
            <wp:docPr id="101086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861785" name=""/>
                    <pic:cNvPicPr/>
                  </pic:nvPicPr>
                  <pic:blipFill>
                    <a:blip r:embed="rId77"/>
                    <a:stretch>
                      <a:fillRect/>
                    </a:stretch>
                  </pic:blipFill>
                  <pic:spPr>
                    <a:xfrm>
                      <a:off x="0" y="0"/>
                      <a:ext cx="6228000" cy="6910161"/>
                    </a:xfrm>
                    <a:prstGeom prst="rect">
                      <a:avLst/>
                    </a:prstGeom>
                  </pic:spPr>
                </pic:pic>
              </a:graphicData>
            </a:graphic>
          </wp:inline>
        </w:drawing>
      </w:r>
    </w:p>
    <w:p w14:paraId="0AC9C6A3" w14:textId="70AD1124" w:rsidR="00157D61" w:rsidRDefault="00157D61" w:rsidP="00186371">
      <w:pPr>
        <w:pStyle w:val="Body"/>
        <w:sectPr w:rsidR="00157D61" w:rsidSect="002D7A52">
          <w:pgSz w:w="11900" w:h="16840"/>
          <w:pgMar w:top="1134" w:right="851" w:bottom="1134" w:left="851" w:header="567" w:footer="567" w:gutter="0"/>
          <w:cols w:space="708"/>
          <w:docGrid w:linePitch="360"/>
        </w:sectPr>
      </w:pPr>
    </w:p>
    <w:p w14:paraId="47A32949" w14:textId="591D7191" w:rsidR="006E65F2" w:rsidRPr="000530B1" w:rsidRDefault="00C43827" w:rsidP="00C84D35">
      <w:pPr>
        <w:pStyle w:val="Heading2"/>
      </w:pPr>
      <w:bookmarkStart w:id="166" w:name="_Toc195645862"/>
      <w:bookmarkStart w:id="167" w:name="_Toc239764803"/>
      <w:r w:rsidRPr="000530B1">
        <w:lastRenderedPageBreak/>
        <w:t>Comparative institution outcomes</w:t>
      </w:r>
      <w:bookmarkEnd w:id="167"/>
    </w:p>
    <w:p w14:paraId="38E9E3B8" w14:textId="1155FF2E" w:rsidR="00CE1D9C" w:rsidRPr="000530B1" w:rsidRDefault="00CE1D9C" w:rsidP="00CE1D9C">
      <w:pPr>
        <w:pStyle w:val="Body"/>
      </w:pPr>
      <w:r w:rsidRPr="000530B1">
        <w:t xml:space="preserve">Student ratings vary across institutions. Note that factors beyond the quality of teaching, </w:t>
      </w:r>
      <w:r w:rsidR="004E2B42" w:rsidRPr="000530B1">
        <w:t xml:space="preserve">resources/facilities and services provided by the institution </w:t>
      </w:r>
      <w:r w:rsidRPr="000530B1">
        <w:t>can affect results for institutions. These include study area offerings, study mode</w:t>
      </w:r>
      <w:r w:rsidR="004E2B42" w:rsidRPr="000530B1">
        <w:t xml:space="preserve"> and</w:t>
      </w:r>
      <w:r w:rsidRPr="000530B1">
        <w:t xml:space="preserve"> the composition of the student population</w:t>
      </w:r>
      <w:r w:rsidR="004E2B42" w:rsidRPr="000530B1">
        <w:t>.</w:t>
      </w:r>
    </w:p>
    <w:p w14:paraId="7FD1CAA7" w14:textId="417BCA36" w:rsidR="00CE1D9C" w:rsidRPr="000530B1" w:rsidRDefault="00CE1D9C" w:rsidP="00CE1D9C">
      <w:pPr>
        <w:pStyle w:val="Body"/>
      </w:pPr>
      <w:r w:rsidRPr="000530B1">
        <w:t xml:space="preserve">To assist interpretation of results, 90 per cent confidence intervals are included in the figures that follow, which indicate the confidence intervals for the survey estimates. </w:t>
      </w:r>
      <w:r w:rsidRPr="000530B1">
        <w:rPr>
          <w:rFonts w:ascii="ArialMT" w:hAnsi="ArialMT"/>
        </w:rPr>
        <w:t xml:space="preserve">Note that where </w:t>
      </w:r>
      <w:r w:rsidRPr="000530B1">
        <w:t>confidence intervals for institution estimates overlap, it cannot be inferred that there is or is not a significant difference in outcomes in a statistical</w:t>
      </w:r>
      <w:r w:rsidR="007516BA">
        <w:t> </w:t>
      </w:r>
      <w:r w:rsidRPr="000530B1">
        <w:t>sense</w:t>
      </w:r>
      <w:r w:rsidR="00A8078B">
        <w:t>.</w:t>
      </w:r>
      <w:r w:rsidRPr="00A76D56">
        <w:rPr>
          <w:rStyle w:val="FootnoteReference"/>
          <w:rFonts w:cs="Arial"/>
          <w:b/>
          <w:bCs/>
          <w:sz w:val="20"/>
        </w:rPr>
        <w:footnoteReference w:id="8"/>
      </w:r>
    </w:p>
    <w:p w14:paraId="2E586D71" w14:textId="16B1EB59" w:rsidR="00CE1D9C" w:rsidRPr="000530B1" w:rsidRDefault="00CE1D9C" w:rsidP="00CE1D9C">
      <w:pPr>
        <w:widowControl w:val="0"/>
        <w:suppressAutoHyphens/>
        <w:autoSpaceDE w:val="0"/>
        <w:autoSpaceDN w:val="0"/>
        <w:adjustRightInd w:val="0"/>
        <w:spacing w:before="120" w:line="280" w:lineRule="atLeast"/>
        <w:textAlignment w:val="center"/>
        <w:rPr>
          <w:rFonts w:ascii="ArialMT" w:hAnsi="ArialMT"/>
        </w:rPr>
      </w:pPr>
      <w:r w:rsidRPr="000530B1">
        <w:rPr>
          <w:rFonts w:ascii="ArialMT" w:hAnsi="ArialMT"/>
        </w:rPr>
        <w:t xml:space="preserve">Notwithstanding differences in course offerings, </w:t>
      </w:r>
      <w:r w:rsidR="002D6FF3" w:rsidRPr="000530B1">
        <w:rPr>
          <w:rFonts w:ascii="ArialMT" w:hAnsi="ArialMT"/>
        </w:rPr>
        <w:t xml:space="preserve">modes of study and </w:t>
      </w:r>
      <w:r w:rsidRPr="000530B1">
        <w:rPr>
          <w:rFonts w:ascii="ArialMT" w:hAnsi="ArialMT"/>
        </w:rPr>
        <w:t>student populations, it appears there is some differentiation among institutions, with some achieving higher rat</w:t>
      </w:r>
      <w:r w:rsidR="00CE5CD3" w:rsidRPr="000530B1">
        <w:rPr>
          <w:rFonts w:ascii="ArialMT" w:hAnsi="ArialMT"/>
        </w:rPr>
        <w:t>ings</w:t>
      </w:r>
      <w:r w:rsidRPr="000530B1">
        <w:rPr>
          <w:rFonts w:ascii="ArialMT" w:hAnsi="ArialMT"/>
        </w:rPr>
        <w:t xml:space="preserve"> of </w:t>
      </w:r>
      <w:r w:rsidR="00CE5CD3" w:rsidRPr="000530B1">
        <w:rPr>
          <w:rFonts w:ascii="ArialMT" w:hAnsi="ArialMT"/>
        </w:rPr>
        <w:t xml:space="preserve">Overall Educational Experience </w:t>
      </w:r>
      <w:r w:rsidRPr="000530B1">
        <w:rPr>
          <w:rFonts w:ascii="ArialMT" w:hAnsi="ArialMT"/>
        </w:rPr>
        <w:t>than others.</w:t>
      </w:r>
    </w:p>
    <w:p w14:paraId="5C7FB3E5" w14:textId="0AB602EA" w:rsidR="003662C2" w:rsidRPr="000530B1" w:rsidRDefault="003662C2" w:rsidP="00CE1D9C">
      <w:pPr>
        <w:widowControl w:val="0"/>
        <w:suppressAutoHyphens/>
        <w:autoSpaceDE w:val="0"/>
        <w:autoSpaceDN w:val="0"/>
        <w:adjustRightInd w:val="0"/>
        <w:spacing w:before="120" w:line="280" w:lineRule="atLeast"/>
        <w:textAlignment w:val="center"/>
        <w:rPr>
          <w:rFonts w:ascii="ArialMT" w:hAnsi="ArialMT"/>
        </w:rPr>
      </w:pPr>
      <w:r w:rsidRPr="000530B1">
        <w:rPr>
          <w:rFonts w:ascii="ArialMT" w:hAnsi="ArialMT"/>
        </w:rPr>
        <w:t xml:space="preserve">The following sections present institution-level ratings of Overall Educational Experience by course level. </w:t>
      </w:r>
      <w:r w:rsidR="0046098C" w:rsidRPr="000530B1">
        <w:rPr>
          <w:rFonts w:ascii="ArialMT" w:hAnsi="ArialMT"/>
        </w:rPr>
        <w:t>Focus</w:t>
      </w:r>
      <w:r w:rsidR="00CC1AB5">
        <w:rPr>
          <w:rFonts w:ascii="ArialMT" w:hAnsi="ArialMT"/>
        </w:rPr>
        <w:t> </w:t>
      </w:r>
      <w:r w:rsidR="0046098C" w:rsidRPr="000530B1">
        <w:rPr>
          <w:rFonts w:ascii="ArialMT" w:hAnsi="ArialMT"/>
        </w:rPr>
        <w:t xml:space="preserve">area results by institution are available </w:t>
      </w:r>
      <w:r w:rsidR="00E13784" w:rsidRPr="000530B1">
        <w:rPr>
          <w:rFonts w:ascii="ArialMT" w:hAnsi="ArialMT"/>
        </w:rPr>
        <w:t xml:space="preserve">in supplementary tables on </w:t>
      </w:r>
      <w:r w:rsidR="0046098C" w:rsidRPr="000530B1">
        <w:rPr>
          <w:rFonts w:ascii="ArialMT" w:hAnsi="ArialMT"/>
        </w:rPr>
        <w:t>the QILT website.</w:t>
      </w:r>
      <w:r w:rsidR="00343056" w:rsidRPr="00CC1AB5">
        <w:rPr>
          <w:rStyle w:val="FootnoteReference"/>
          <w:sz w:val="20"/>
          <w:szCs w:val="20"/>
        </w:rPr>
        <w:footnoteReference w:id="9"/>
      </w:r>
    </w:p>
    <w:p w14:paraId="59D78671" w14:textId="455E244B" w:rsidR="005278D0" w:rsidRPr="000530B1" w:rsidRDefault="005278D0" w:rsidP="00F04B5B">
      <w:pPr>
        <w:pStyle w:val="Heading3numaccessible"/>
      </w:pPr>
      <w:bookmarkStart w:id="169" w:name="_Toc239764804"/>
      <w:r w:rsidRPr="000530B1">
        <w:t>Universities</w:t>
      </w:r>
      <w:bookmarkEnd w:id="166"/>
      <w:bookmarkEnd w:id="169"/>
    </w:p>
    <w:p w14:paraId="3C4D77F0" w14:textId="4DB73612" w:rsidR="005278D0" w:rsidRPr="000530B1" w:rsidRDefault="0020768B" w:rsidP="005278D0">
      <w:pPr>
        <w:pStyle w:val="Body"/>
      </w:pPr>
      <w:r w:rsidRPr="000530B1">
        <w:t>T</w:t>
      </w:r>
      <w:r w:rsidR="005278D0" w:rsidRPr="000530B1">
        <w:t>here was some variation in undergraduate student ratings of Overall Educational Experience at universities in 202</w:t>
      </w:r>
      <w:r w:rsidRPr="000530B1">
        <w:t>5</w:t>
      </w:r>
      <w:r w:rsidR="005278D0" w:rsidRPr="000530B1">
        <w:t xml:space="preserve">. </w:t>
      </w:r>
      <w:r w:rsidR="002E6440" w:rsidRPr="000530B1">
        <w:t xml:space="preserve">The Australian University of Theology, </w:t>
      </w:r>
      <w:r w:rsidR="005278D0" w:rsidRPr="000530B1">
        <w:t xml:space="preserve">University of Divinity, Avondale University and Bond University </w:t>
      </w:r>
      <w:r w:rsidR="00845D03" w:rsidRPr="000530B1">
        <w:t>p</w:t>
      </w:r>
      <w:r w:rsidR="005278D0" w:rsidRPr="000530B1">
        <w:t>erformed substantially better than other universities</w:t>
      </w:r>
      <w:r w:rsidR="0031314C" w:rsidRPr="000530B1">
        <w:t xml:space="preserve"> (</w:t>
      </w:r>
      <w:r w:rsidR="00F45FA0" w:rsidRPr="000530B1">
        <w:rPr>
          <w:b/>
          <w:bCs/>
        </w:rPr>
        <w:t>Figure 39</w:t>
      </w:r>
      <w:r w:rsidR="0031314C" w:rsidRPr="000530B1">
        <w:t>)</w:t>
      </w:r>
      <w:r w:rsidR="005278D0" w:rsidRPr="000530B1">
        <w:t>.</w:t>
      </w:r>
    </w:p>
    <w:p w14:paraId="02FF18B2" w14:textId="6DAF246B" w:rsidR="005278D0" w:rsidRPr="00751926" w:rsidRDefault="005278D0" w:rsidP="005278D0">
      <w:pPr>
        <w:pStyle w:val="Body"/>
        <w:rPr>
          <w:spacing w:val="-4"/>
        </w:rPr>
      </w:pPr>
      <w:r w:rsidRPr="00751926">
        <w:rPr>
          <w:spacing w:val="-4"/>
        </w:rPr>
        <w:t xml:space="preserve">Conversely, </w:t>
      </w:r>
      <w:r w:rsidR="00DD6053" w:rsidRPr="00751926">
        <w:rPr>
          <w:spacing w:val="-4"/>
        </w:rPr>
        <w:t>T</w:t>
      </w:r>
      <w:r w:rsidRPr="00751926">
        <w:rPr>
          <w:spacing w:val="-4"/>
        </w:rPr>
        <w:t xml:space="preserve">he </w:t>
      </w:r>
      <w:r w:rsidR="009B065C" w:rsidRPr="00751926">
        <w:rPr>
          <w:spacing w:val="-4"/>
        </w:rPr>
        <w:t>University of Sydney</w:t>
      </w:r>
      <w:r w:rsidR="007F4F4D" w:rsidRPr="00751926">
        <w:rPr>
          <w:spacing w:val="-4"/>
        </w:rPr>
        <w:t xml:space="preserve">, </w:t>
      </w:r>
      <w:r w:rsidRPr="00751926">
        <w:rPr>
          <w:spacing w:val="-4"/>
        </w:rPr>
        <w:t xml:space="preserve">University of Southern Queensland, </w:t>
      </w:r>
      <w:r w:rsidR="00DD6053" w:rsidRPr="00751926">
        <w:rPr>
          <w:spacing w:val="-4"/>
        </w:rPr>
        <w:t>The Australian National University and The</w:t>
      </w:r>
      <w:r w:rsidR="00CC1AB5">
        <w:rPr>
          <w:spacing w:val="-4"/>
        </w:rPr>
        <w:t> </w:t>
      </w:r>
      <w:r w:rsidR="00DD6053" w:rsidRPr="00751926">
        <w:rPr>
          <w:spacing w:val="-4"/>
        </w:rPr>
        <w:t xml:space="preserve">University of Notre Dame Australia </w:t>
      </w:r>
      <w:r w:rsidRPr="00751926">
        <w:rPr>
          <w:spacing w:val="-4"/>
        </w:rPr>
        <w:t xml:space="preserve">had the lowest ratings </w:t>
      </w:r>
      <w:r w:rsidR="00EE1AC9" w:rsidRPr="00751926">
        <w:rPr>
          <w:spacing w:val="-4"/>
        </w:rPr>
        <w:t>of</w:t>
      </w:r>
      <w:r w:rsidRPr="00751926">
        <w:rPr>
          <w:spacing w:val="-4"/>
        </w:rPr>
        <w:t xml:space="preserve"> Overall Educational Experience by undergraduate students.</w:t>
      </w:r>
    </w:p>
    <w:p w14:paraId="49BB54A1" w14:textId="08A22343" w:rsidR="0031314C" w:rsidRPr="000530B1" w:rsidRDefault="005E18CE" w:rsidP="005278D0">
      <w:pPr>
        <w:pStyle w:val="Body"/>
      </w:pPr>
      <w:r w:rsidRPr="000530B1">
        <w:t xml:space="preserve">At the </w:t>
      </w:r>
      <w:r w:rsidR="005278D0" w:rsidRPr="000530B1">
        <w:t xml:space="preserve">postgraduate coursework </w:t>
      </w:r>
      <w:r w:rsidRPr="000530B1">
        <w:t xml:space="preserve">level, </w:t>
      </w:r>
      <w:r w:rsidR="00F470F1" w:rsidRPr="000530B1">
        <w:t xml:space="preserve">The </w:t>
      </w:r>
      <w:r w:rsidR="003C31FB" w:rsidRPr="000530B1">
        <w:t>Australian University of Theology</w:t>
      </w:r>
      <w:r w:rsidR="005278D0" w:rsidRPr="000530B1">
        <w:t xml:space="preserve"> had the highest rating </w:t>
      </w:r>
      <w:r w:rsidR="00C657A5" w:rsidRPr="000530B1">
        <w:t>of</w:t>
      </w:r>
      <w:r w:rsidR="005278D0" w:rsidRPr="000530B1">
        <w:t xml:space="preserve"> Overall Educational Experience in 202</w:t>
      </w:r>
      <w:r w:rsidR="00C657A5" w:rsidRPr="000530B1">
        <w:t>5</w:t>
      </w:r>
      <w:r w:rsidR="005278D0" w:rsidRPr="000530B1">
        <w:t>, while The University of Notre Dame Australia recorded the lowest positive response</w:t>
      </w:r>
      <w:r w:rsidR="003C31FB" w:rsidRPr="000530B1">
        <w:t xml:space="preserve"> (</w:t>
      </w:r>
      <w:r w:rsidR="003C31FB" w:rsidRPr="000530B1">
        <w:rPr>
          <w:b/>
          <w:bCs/>
        </w:rPr>
        <w:fldChar w:fldCharType="begin"/>
      </w:r>
      <w:r w:rsidR="003C31FB" w:rsidRPr="000530B1">
        <w:rPr>
          <w:b/>
          <w:bCs/>
        </w:rPr>
        <w:instrText xml:space="preserve"> REF _Ref166236767 \h  \* MERGEFORMAT </w:instrText>
      </w:r>
      <w:r w:rsidR="003C31FB" w:rsidRPr="000530B1">
        <w:rPr>
          <w:b/>
          <w:bCs/>
        </w:rPr>
      </w:r>
      <w:r w:rsidR="003C31FB" w:rsidRPr="000530B1">
        <w:rPr>
          <w:b/>
          <w:bCs/>
        </w:rPr>
        <w:fldChar w:fldCharType="separate"/>
      </w:r>
      <w:r w:rsidR="000C6530" w:rsidRPr="000530B1">
        <w:rPr>
          <w:b/>
        </w:rPr>
        <w:t>Figure 4</w:t>
      </w:r>
      <w:r w:rsidR="00F45FA0" w:rsidRPr="000530B1">
        <w:rPr>
          <w:b/>
        </w:rPr>
        <w:t>0</w:t>
      </w:r>
      <w:r w:rsidR="003C31FB" w:rsidRPr="000530B1">
        <w:rPr>
          <w:b/>
          <w:bCs/>
        </w:rPr>
        <w:fldChar w:fldCharType="end"/>
      </w:r>
      <w:r w:rsidR="003C31FB" w:rsidRPr="000530B1">
        <w:t>)</w:t>
      </w:r>
      <w:r w:rsidR="005278D0" w:rsidRPr="000530B1">
        <w:t>.</w:t>
      </w:r>
    </w:p>
    <w:p w14:paraId="0F63045D" w14:textId="6076D44C" w:rsidR="005278D0" w:rsidRPr="000530B1" w:rsidRDefault="005278D0" w:rsidP="005278D0">
      <w:pPr>
        <w:pStyle w:val="Body"/>
      </w:pPr>
      <w:r w:rsidRPr="000530B1">
        <w:t>Confidence intervals for postgraduate coursework results are larger than for undergraduates due to a smaller number of responses.</w:t>
      </w:r>
    </w:p>
    <w:p w14:paraId="64AB10E4" w14:textId="77777777" w:rsidR="005278D0" w:rsidRPr="000530B1" w:rsidRDefault="005278D0" w:rsidP="005278D0">
      <w:pPr>
        <w:pStyle w:val="Body"/>
      </w:pPr>
    </w:p>
    <w:p w14:paraId="11B3F903" w14:textId="77777777" w:rsidR="005278D0" w:rsidRPr="000530B1" w:rsidRDefault="005278D0" w:rsidP="005278D0">
      <w:pPr>
        <w:pStyle w:val="Body"/>
        <w:sectPr w:rsidR="005278D0" w:rsidRPr="000530B1" w:rsidSect="002D7A52">
          <w:pgSz w:w="11900" w:h="16840"/>
          <w:pgMar w:top="1134" w:right="851" w:bottom="1134" w:left="851" w:header="567" w:footer="567" w:gutter="0"/>
          <w:cols w:space="708"/>
          <w:docGrid w:linePitch="360"/>
        </w:sectPr>
      </w:pPr>
      <w:bookmarkStart w:id="170" w:name="_Ref58424051"/>
      <w:bookmarkStart w:id="171" w:name="_Ref89430832"/>
    </w:p>
    <w:p w14:paraId="40649712" w14:textId="5F7FB503" w:rsidR="005278D0" w:rsidRPr="000530B1" w:rsidRDefault="005278D0" w:rsidP="00DA085C">
      <w:pPr>
        <w:pStyle w:val="Captionaccessible"/>
        <w:spacing w:after="40"/>
      </w:pPr>
      <w:bookmarkStart w:id="172" w:name="_Toc199513079"/>
      <w:bookmarkStart w:id="173" w:name="_Toc239764904"/>
      <w:r w:rsidRPr="000530B1">
        <w:lastRenderedPageBreak/>
        <w:t xml:space="preserve">Figure </w:t>
      </w:r>
      <w:bookmarkEnd w:id="171"/>
      <w:r w:rsidR="00B67FE0" w:rsidRPr="000530B1">
        <w:fldChar w:fldCharType="begin"/>
      </w:r>
      <w:r w:rsidR="00B67FE0" w:rsidRPr="000530B1">
        <w:instrText xml:space="preserve"> SEQ Figure \* ARABIC </w:instrText>
      </w:r>
      <w:r w:rsidR="00B67FE0" w:rsidRPr="000530B1">
        <w:fldChar w:fldCharType="separate"/>
      </w:r>
      <w:r w:rsidR="00F45FA0" w:rsidRPr="000530B1">
        <w:rPr>
          <w:noProof/>
        </w:rPr>
        <w:t>39</w:t>
      </w:r>
      <w:r w:rsidR="00B67FE0" w:rsidRPr="000530B1">
        <w:fldChar w:fldCharType="end"/>
      </w:r>
      <w:r w:rsidR="006007C8" w:rsidRPr="000530B1">
        <w:tab/>
      </w:r>
      <w:r w:rsidRPr="000530B1">
        <w:t>Overall Educational Experience for undergraduate university students, 202</w:t>
      </w:r>
      <w:r w:rsidR="00A33DE6" w:rsidRPr="000530B1">
        <w:t>5</w:t>
      </w:r>
      <w:r w:rsidRPr="000530B1">
        <w:t xml:space="preserve"> (% positive rating</w:t>
      </w:r>
      <w:r w:rsidR="00E505C4" w:rsidRPr="000530B1">
        <w:t>, with 90 per cent confidence intervals</w:t>
      </w:r>
      <w:r w:rsidRPr="000530B1">
        <w:t>)</w:t>
      </w:r>
      <w:bookmarkEnd w:id="172"/>
      <w:bookmarkEnd w:id="173"/>
    </w:p>
    <w:p w14:paraId="35D07ADA" w14:textId="5B229829" w:rsidR="0096120C" w:rsidRDefault="00EE5049" w:rsidP="00DA085C">
      <w:pPr>
        <w:pStyle w:val="Body"/>
        <w:spacing w:before="0" w:after="40"/>
      </w:pPr>
      <w:r>
        <w:rPr>
          <w:noProof/>
        </w:rPr>
        <w:drawing>
          <wp:inline distT="0" distB="0" distL="0" distR="0" wp14:anchorId="0FC8E496" wp14:editId="466DCBB4">
            <wp:extent cx="9648000" cy="5528016"/>
            <wp:effectExtent l="0" t="0" r="0" b="0"/>
            <wp:docPr id="37010328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648000" cy="5528016"/>
                    </a:xfrm>
                    <a:prstGeom prst="rect">
                      <a:avLst/>
                    </a:prstGeom>
                    <a:noFill/>
                  </pic:spPr>
                </pic:pic>
              </a:graphicData>
            </a:graphic>
          </wp:inline>
        </w:drawing>
      </w:r>
    </w:p>
    <w:p w14:paraId="2EFDCF7B" w14:textId="5832A533" w:rsidR="00E505C4" w:rsidRPr="00F04B5B" w:rsidRDefault="00E505C4" w:rsidP="00DA085C">
      <w:pPr>
        <w:pStyle w:val="BaseFigureNotes"/>
        <w:spacing w:before="40" w:after="0"/>
      </w:pPr>
      <w:r w:rsidRPr="0096120C">
        <w:rPr>
          <w:b/>
          <w:bCs/>
        </w:rPr>
        <w:t>Note:</w:t>
      </w:r>
      <w:r w:rsidRPr="000530B1">
        <w:t xml:space="preserve"> Only institutions with sufficient data (i.e. n</w:t>
      </w:r>
      <w:r w:rsidRPr="000530B1">
        <w:rPr>
          <w:rFonts w:cs="Arial"/>
        </w:rPr>
        <w:t>≥</w:t>
      </w:r>
      <w:r w:rsidRPr="000530B1">
        <w:t xml:space="preserve">25) are presented in this figure. For the complete table, refer to worksheet </w:t>
      </w:r>
      <w:r w:rsidR="007A434F" w:rsidRPr="000530B1">
        <w:t xml:space="preserve">QOE_UG_UNI_1Y_INST_FIG </w:t>
      </w:r>
      <w:r w:rsidRPr="000530B1">
        <w:t xml:space="preserve">in the 2025 </w:t>
      </w:r>
      <w:r w:rsidR="00C60502" w:rsidRPr="000530B1">
        <w:t>SES</w:t>
      </w:r>
      <w:r w:rsidRPr="000530B1">
        <w:t xml:space="preserve"> National Tables on the QILT website.</w:t>
      </w:r>
      <w:r w:rsidR="0096120C">
        <w:t xml:space="preserve"> </w:t>
      </w:r>
      <w:r w:rsidR="009B6157" w:rsidRPr="000530B1">
        <w:t>As of January 2026, the University of Adelaide and the University of South Australia have merged to form Adelaide University.</w:t>
      </w:r>
      <w:r w:rsidR="00947061">
        <w:t xml:space="preserve"> </w:t>
      </w:r>
      <w:r w:rsidR="00947061" w:rsidRPr="00062C74">
        <w:t>Data for the 2025 SES were collected when the institutions operated separately as the University of Adelaide and the University of South Australia.</w:t>
      </w:r>
    </w:p>
    <w:p w14:paraId="71FF0CCE" w14:textId="39167A11" w:rsidR="005278D0" w:rsidRPr="000530B1" w:rsidRDefault="005278D0" w:rsidP="00EE5049">
      <w:pPr>
        <w:pStyle w:val="Captionaccessible"/>
        <w:spacing w:after="40"/>
      </w:pPr>
      <w:bookmarkStart w:id="174" w:name="_Toc199513080"/>
      <w:bookmarkStart w:id="175" w:name="_Toc239764905"/>
      <w:r w:rsidRPr="000530B1">
        <w:lastRenderedPageBreak/>
        <w:t xml:space="preserve">Figure </w:t>
      </w:r>
      <w:r w:rsidR="00F45FA0">
        <w:fldChar w:fldCharType="begin"/>
      </w:r>
      <w:r w:rsidR="00F45FA0">
        <w:instrText xml:space="preserve"> SEQ Figure \* ARABIC </w:instrText>
      </w:r>
      <w:r w:rsidR="00F45FA0">
        <w:fldChar w:fldCharType="separate"/>
      </w:r>
      <w:r w:rsidR="00F45FA0" w:rsidRPr="000530B1">
        <w:rPr>
          <w:noProof/>
        </w:rPr>
        <w:t>40</w:t>
      </w:r>
      <w:r w:rsidR="00F45FA0">
        <w:rPr>
          <w:noProof/>
        </w:rPr>
        <w:fldChar w:fldCharType="end"/>
      </w:r>
      <w:r w:rsidR="006007C8" w:rsidRPr="000530B1">
        <w:tab/>
      </w:r>
      <w:r w:rsidRPr="000530B1">
        <w:t>Overall Educational Experience for postgraduate coursework university students, 202</w:t>
      </w:r>
      <w:r w:rsidR="00464372" w:rsidRPr="000530B1">
        <w:t>5</w:t>
      </w:r>
      <w:r w:rsidRPr="000530B1">
        <w:t xml:space="preserve"> (% positive rating</w:t>
      </w:r>
      <w:r w:rsidR="00C60502" w:rsidRPr="000530B1">
        <w:t>, with 90 per cent confidence</w:t>
      </w:r>
      <w:r w:rsidR="00F04B5B">
        <w:t xml:space="preserve"> </w:t>
      </w:r>
      <w:r w:rsidR="00C60502" w:rsidRPr="000530B1">
        <w:t>intervals</w:t>
      </w:r>
      <w:r w:rsidRPr="000530B1">
        <w:t>)</w:t>
      </w:r>
      <w:bookmarkEnd w:id="174"/>
      <w:bookmarkEnd w:id="175"/>
    </w:p>
    <w:p w14:paraId="29506553" w14:textId="72F6C50E" w:rsidR="00F04B5B" w:rsidRDefault="006A766D" w:rsidP="00EE5049">
      <w:pPr>
        <w:pStyle w:val="Body"/>
        <w:spacing w:before="40" w:after="40"/>
      </w:pPr>
      <w:r>
        <w:rPr>
          <w:noProof/>
        </w:rPr>
        <w:drawing>
          <wp:inline distT="0" distB="0" distL="0" distR="0" wp14:anchorId="7C4666A8" wp14:editId="48F7DA51">
            <wp:extent cx="9612000" cy="5513713"/>
            <wp:effectExtent l="0" t="0" r="8255" b="0"/>
            <wp:docPr id="209050879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612000" cy="5513713"/>
                    </a:xfrm>
                    <a:prstGeom prst="rect">
                      <a:avLst/>
                    </a:prstGeom>
                    <a:noFill/>
                  </pic:spPr>
                </pic:pic>
              </a:graphicData>
            </a:graphic>
          </wp:inline>
        </w:drawing>
      </w:r>
    </w:p>
    <w:p w14:paraId="518B0CC7" w14:textId="7931A524" w:rsidR="009B6157" w:rsidRPr="00004427" w:rsidRDefault="00C60502" w:rsidP="006A766D">
      <w:pPr>
        <w:pStyle w:val="BaseFigureNotes"/>
        <w:spacing w:before="40" w:after="0"/>
      </w:pPr>
      <w:r w:rsidRPr="00004427">
        <w:rPr>
          <w:b/>
          <w:bCs/>
        </w:rPr>
        <w:t>Note:</w:t>
      </w:r>
      <w:r w:rsidRPr="00004427">
        <w:t xml:space="preserve"> Only institutions with sufficient data (i.e. n</w:t>
      </w:r>
      <w:r w:rsidRPr="00004427">
        <w:rPr>
          <w:rFonts w:cs="Arial"/>
        </w:rPr>
        <w:t>≥</w:t>
      </w:r>
      <w:r w:rsidRPr="00004427">
        <w:t xml:space="preserve">25) are presented in this figure. For the complete table, refer to worksheet </w:t>
      </w:r>
      <w:r w:rsidR="007A434F" w:rsidRPr="00004427">
        <w:t xml:space="preserve">QOE_PGC_UNI_1Y_INST_FIG </w:t>
      </w:r>
      <w:r w:rsidRPr="00004427">
        <w:t>in the 2025 SES National Tables on the QILT website.</w:t>
      </w:r>
      <w:r w:rsidR="00004427">
        <w:t xml:space="preserve"> </w:t>
      </w:r>
      <w:r w:rsidR="009B6157" w:rsidRPr="00004427">
        <w:t>As of January 2026, the University of Adelaide and the University of South Australia have merged to form Adelaide University.</w:t>
      </w:r>
      <w:r w:rsidR="00105A10" w:rsidRPr="00004427">
        <w:t xml:space="preserve"> Data for the 2025 SES were collected when the institutions operated separately as the University of Adelaide and the University of South Australia.</w:t>
      </w:r>
    </w:p>
    <w:p w14:paraId="1EA9DF28" w14:textId="525C9174" w:rsidR="009B6157" w:rsidRPr="000530B1" w:rsidRDefault="009B6157" w:rsidP="005278D0">
      <w:pPr>
        <w:pStyle w:val="Body"/>
        <w:rPr>
          <w:rFonts w:ascii="ArialMT" w:hAnsi="ArialMT" w:cs="ArialMT"/>
          <w:b/>
          <w:iCs/>
          <w:lang w:val="en-GB"/>
        </w:rPr>
        <w:sectPr w:rsidR="009B6157" w:rsidRPr="000530B1" w:rsidSect="002D7A52">
          <w:headerReference w:type="default" r:id="rId80"/>
          <w:pgSz w:w="16840" w:h="11900" w:orient="landscape"/>
          <w:pgMar w:top="1021" w:right="851" w:bottom="1021" w:left="851" w:header="567" w:footer="567" w:gutter="0"/>
          <w:cols w:space="708"/>
          <w:docGrid w:linePitch="360"/>
        </w:sectPr>
      </w:pPr>
    </w:p>
    <w:p w14:paraId="75E2C38A" w14:textId="621F77E7" w:rsidR="005278D0" w:rsidRPr="000530B1" w:rsidRDefault="005278D0" w:rsidP="00F04B5B">
      <w:pPr>
        <w:pStyle w:val="Heading3numaccessible"/>
      </w:pPr>
      <w:bookmarkStart w:id="176" w:name="_Toc195645863"/>
      <w:bookmarkStart w:id="177" w:name="_Hlk58233114"/>
      <w:bookmarkStart w:id="178" w:name="_Toc239764805"/>
      <w:bookmarkEnd w:id="170"/>
      <w:r w:rsidRPr="000530B1">
        <w:lastRenderedPageBreak/>
        <w:t>NUHEIs</w:t>
      </w:r>
      <w:bookmarkEnd w:id="176"/>
      <w:bookmarkEnd w:id="178"/>
    </w:p>
    <w:p w14:paraId="17748650" w14:textId="564CBDD1" w:rsidR="005278D0" w:rsidRPr="000530B1" w:rsidRDefault="005278D0" w:rsidP="005278D0">
      <w:pPr>
        <w:pStyle w:val="Body"/>
      </w:pPr>
      <w:bookmarkStart w:id="179" w:name="_Hlk183511188"/>
      <w:bookmarkEnd w:id="177"/>
      <w:r w:rsidRPr="000530B1">
        <w:t xml:space="preserve">Since the number of students enrolled in individual NUHEIs is much smaller than at universities, the NUHEI results in </w:t>
      </w:r>
      <w:r w:rsidR="009C7B2F" w:rsidRPr="000530B1">
        <w:rPr>
          <w:b/>
          <w:bCs/>
          <w:noProof/>
        </w:rPr>
        <w:fldChar w:fldCharType="begin"/>
      </w:r>
      <w:r w:rsidR="009C7B2F" w:rsidRPr="000530B1">
        <w:rPr>
          <w:b/>
        </w:rPr>
        <w:instrText xml:space="preserve"> REF _Ref224124913 \h  \* MERGEFORMAT </w:instrText>
      </w:r>
      <w:r w:rsidR="009C7B2F" w:rsidRPr="000530B1">
        <w:rPr>
          <w:b/>
          <w:bCs/>
          <w:noProof/>
        </w:rPr>
      </w:r>
      <w:r w:rsidR="009C7B2F" w:rsidRPr="000530B1">
        <w:rPr>
          <w:b/>
          <w:bCs/>
          <w:noProof/>
        </w:rPr>
        <w:fldChar w:fldCharType="separate"/>
      </w:r>
      <w:r w:rsidR="009C7B2F" w:rsidRPr="000530B1">
        <w:rPr>
          <w:b/>
        </w:rPr>
        <w:t>Figure 4</w:t>
      </w:r>
      <w:r w:rsidR="009C7B2F" w:rsidRPr="000530B1">
        <w:rPr>
          <w:b/>
          <w:bCs/>
          <w:noProof/>
        </w:rPr>
        <w:fldChar w:fldCharType="end"/>
      </w:r>
      <w:r w:rsidR="00F45FA0" w:rsidRPr="000530B1">
        <w:rPr>
          <w:b/>
          <w:bCs/>
          <w:noProof/>
        </w:rPr>
        <w:t>1</w:t>
      </w:r>
      <w:r w:rsidRPr="000530B1">
        <w:rPr>
          <w:b/>
        </w:rPr>
        <w:t xml:space="preserve"> </w:t>
      </w:r>
      <w:r w:rsidR="00916C74" w:rsidRPr="000530B1">
        <w:t xml:space="preserve">and </w:t>
      </w:r>
      <w:r w:rsidR="00916C74" w:rsidRPr="000530B1">
        <w:rPr>
          <w:b/>
          <w:bCs/>
        </w:rPr>
        <w:fldChar w:fldCharType="begin"/>
      </w:r>
      <w:r w:rsidR="00916C74" w:rsidRPr="000530B1">
        <w:rPr>
          <w:b/>
          <w:bCs/>
        </w:rPr>
        <w:instrText xml:space="preserve"> REF _Ref220407748 \h  \* MERGEFORMAT </w:instrText>
      </w:r>
      <w:r w:rsidR="00916C74" w:rsidRPr="000530B1">
        <w:rPr>
          <w:b/>
          <w:bCs/>
        </w:rPr>
      </w:r>
      <w:r w:rsidR="00916C74" w:rsidRPr="000530B1">
        <w:rPr>
          <w:b/>
          <w:bCs/>
        </w:rPr>
        <w:fldChar w:fldCharType="separate"/>
      </w:r>
      <w:r w:rsidR="000C6530" w:rsidRPr="000530B1">
        <w:rPr>
          <w:b/>
        </w:rPr>
        <w:t xml:space="preserve">Figure </w:t>
      </w:r>
      <w:r w:rsidR="000C6530" w:rsidRPr="000530B1">
        <w:rPr>
          <w:b/>
          <w:bCs/>
          <w:noProof/>
        </w:rPr>
        <w:t>4</w:t>
      </w:r>
      <w:r w:rsidR="00916C74" w:rsidRPr="000530B1">
        <w:rPr>
          <w:b/>
          <w:bCs/>
        </w:rPr>
        <w:fldChar w:fldCharType="end"/>
      </w:r>
      <w:r w:rsidR="00F45FA0" w:rsidRPr="000530B1">
        <w:rPr>
          <w:b/>
          <w:bCs/>
        </w:rPr>
        <w:t>2</w:t>
      </w:r>
      <w:r w:rsidR="00916C74" w:rsidRPr="000530B1">
        <w:t xml:space="preserve"> </w:t>
      </w:r>
      <w:r w:rsidRPr="000530B1">
        <w:t xml:space="preserve">use data pooled across </w:t>
      </w:r>
      <w:r w:rsidR="00322DC6" w:rsidRPr="000530B1">
        <w:t>2</w:t>
      </w:r>
      <w:r w:rsidRPr="000530B1">
        <w:t xml:space="preserve"> survey years. Consequently, results for NUHEIs are not directly comparable to those for universities. Additionally, results based on fewer than 25 survey responses have not been published.</w:t>
      </w:r>
    </w:p>
    <w:p w14:paraId="6C51643B" w14:textId="77777777" w:rsidR="005278D0" w:rsidRPr="000530B1" w:rsidRDefault="005278D0" w:rsidP="005278D0">
      <w:pPr>
        <w:pStyle w:val="Body"/>
      </w:pPr>
      <w:r w:rsidRPr="000530B1">
        <w:t>Despite pooling data across two survey years, the confidence intervals for some NUHEIs remain wide. Nonetheless, there are NUHEIs where students rated their Overall Educational Experience significantly higher than in other institutions.</w:t>
      </w:r>
    </w:p>
    <w:p w14:paraId="48504C8C" w14:textId="71CC871B" w:rsidR="00D05753" w:rsidRPr="000530B1" w:rsidRDefault="00D05753" w:rsidP="00D05753">
      <w:pPr>
        <w:pStyle w:val="Body"/>
      </w:pPr>
      <w:r w:rsidRPr="000530B1">
        <w:t xml:space="preserve">The same caveats about interpreting </w:t>
      </w:r>
      <w:r w:rsidR="003774D3" w:rsidRPr="000530B1">
        <w:t xml:space="preserve">results </w:t>
      </w:r>
      <w:r w:rsidRPr="000530B1">
        <w:t>at the institution level apply. This is even more important among NUHEIs because of the greater specialisation in course offerings by level of education and study area than among universities.</w:t>
      </w:r>
    </w:p>
    <w:p w14:paraId="6C611910" w14:textId="2DA23640" w:rsidR="005278D0" w:rsidRPr="000530B1" w:rsidRDefault="005278D0" w:rsidP="00677A2A">
      <w:pPr>
        <w:pStyle w:val="Body"/>
      </w:pPr>
      <w:r w:rsidRPr="000530B1">
        <w:t>In 202</w:t>
      </w:r>
      <w:r w:rsidR="00A14E45" w:rsidRPr="000530B1">
        <w:t>4</w:t>
      </w:r>
      <w:r w:rsidR="00DD038D">
        <w:rPr>
          <w:rFonts w:cs="Arial"/>
        </w:rPr>
        <w:t>–</w:t>
      </w:r>
      <w:r w:rsidR="00716970" w:rsidRPr="000530B1">
        <w:t>25</w:t>
      </w:r>
      <w:r w:rsidRPr="000530B1">
        <w:t>, 1</w:t>
      </w:r>
      <w:r w:rsidR="00716970" w:rsidRPr="000530B1">
        <w:t>4</w:t>
      </w:r>
      <w:r w:rsidRPr="000530B1">
        <w:t xml:space="preserve"> NUHEIs had over 90 per cent of undergraduate students rat</w:t>
      </w:r>
      <w:r w:rsidR="00716970" w:rsidRPr="000530B1">
        <w:t>e</w:t>
      </w:r>
      <w:r w:rsidRPr="000530B1">
        <w:t xml:space="preserve"> their Overall Educational Experience positively</w:t>
      </w:r>
      <w:r w:rsidR="0089766A" w:rsidRPr="000530B1">
        <w:t xml:space="preserve"> and </w:t>
      </w:r>
      <w:r w:rsidR="004A53B8" w:rsidRPr="000530B1">
        <w:t>11 NUHEIs had 90 per cent or higher positive ratings at the postgraduate coursework level.</w:t>
      </w:r>
      <w:r w:rsidRPr="000530B1">
        <w:t xml:space="preserve"> </w:t>
      </w:r>
      <w:bookmarkEnd w:id="179"/>
    </w:p>
    <w:p w14:paraId="640B7372" w14:textId="77777777" w:rsidR="005278D0" w:rsidRPr="000530B1" w:rsidRDefault="005278D0" w:rsidP="005278D0">
      <w:pPr>
        <w:pStyle w:val="Body"/>
        <w:sectPr w:rsidR="005278D0" w:rsidRPr="000530B1" w:rsidSect="002D7A52">
          <w:headerReference w:type="default" r:id="rId81"/>
          <w:pgSz w:w="11900" w:h="16840"/>
          <w:pgMar w:top="1134" w:right="851" w:bottom="1134" w:left="851" w:header="567" w:footer="567" w:gutter="0"/>
          <w:cols w:space="708"/>
          <w:docGrid w:linePitch="360"/>
        </w:sectPr>
      </w:pPr>
    </w:p>
    <w:p w14:paraId="36E40FCD" w14:textId="58CD53C5" w:rsidR="005278D0" w:rsidRDefault="005278D0" w:rsidP="006A766D">
      <w:pPr>
        <w:pStyle w:val="Captionaccessible"/>
        <w:spacing w:after="0"/>
      </w:pPr>
      <w:bookmarkStart w:id="180" w:name="_Ref224124913"/>
      <w:bookmarkStart w:id="181" w:name="_Toc199513081"/>
      <w:bookmarkStart w:id="182" w:name="_Toc239764906"/>
      <w:r w:rsidRPr="000530B1">
        <w:lastRenderedPageBreak/>
        <w:t xml:space="preserve">Figure </w:t>
      </w:r>
      <w:r w:rsidR="00F45FA0">
        <w:fldChar w:fldCharType="begin"/>
      </w:r>
      <w:r w:rsidR="00F45FA0">
        <w:instrText xml:space="preserve"> SEQ Figure \* ARABIC </w:instrText>
      </w:r>
      <w:r w:rsidR="00F45FA0">
        <w:fldChar w:fldCharType="separate"/>
      </w:r>
      <w:r w:rsidR="00F45FA0" w:rsidRPr="000530B1">
        <w:rPr>
          <w:noProof/>
        </w:rPr>
        <w:t>41</w:t>
      </w:r>
      <w:r w:rsidR="00F45FA0">
        <w:rPr>
          <w:noProof/>
        </w:rPr>
        <w:fldChar w:fldCharType="end"/>
      </w:r>
      <w:bookmarkEnd w:id="180"/>
      <w:r w:rsidR="006007C8" w:rsidRPr="000530B1">
        <w:tab/>
      </w:r>
      <w:r w:rsidRPr="000530B1">
        <w:t>Overall Educational Experience for undergraduate non-university higher education institution (NUHEI) students, pooled 202</w:t>
      </w:r>
      <w:r w:rsidR="00B65FFE" w:rsidRPr="000530B1">
        <w:t>4</w:t>
      </w:r>
      <w:r w:rsidRPr="000530B1">
        <w:t>–2</w:t>
      </w:r>
      <w:r w:rsidR="00962953" w:rsidRPr="000530B1">
        <w:t>5</w:t>
      </w:r>
      <w:r w:rsidRPr="000530B1">
        <w:t xml:space="preserve"> (% positive rating</w:t>
      </w:r>
      <w:r w:rsidR="00962953" w:rsidRPr="000530B1">
        <w:t>, with 90 per cent confidence intervals</w:t>
      </w:r>
      <w:r w:rsidRPr="000530B1">
        <w:t>)</w:t>
      </w:r>
      <w:bookmarkEnd w:id="181"/>
      <w:bookmarkEnd w:id="182"/>
    </w:p>
    <w:p w14:paraId="29033EE3" w14:textId="31A264A9" w:rsidR="006A766D" w:rsidRDefault="00815B45" w:rsidP="006A766D">
      <w:pPr>
        <w:pStyle w:val="BaseFigureNotes"/>
        <w:spacing w:before="40" w:after="40"/>
        <w:rPr>
          <w:b/>
          <w:bCs/>
        </w:rPr>
      </w:pPr>
      <w:bookmarkStart w:id="183" w:name="_Ref195539901"/>
      <w:bookmarkStart w:id="184" w:name="_Toc199513082"/>
      <w:r>
        <w:rPr>
          <w:b/>
          <w:bCs/>
          <w:noProof/>
        </w:rPr>
        <w:drawing>
          <wp:inline distT="0" distB="0" distL="0" distR="0" wp14:anchorId="08E03ABC" wp14:editId="3C8ABDDC">
            <wp:extent cx="9650730" cy="5553710"/>
            <wp:effectExtent l="0" t="0" r="7620" b="8890"/>
            <wp:docPr id="93238010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650730" cy="5553710"/>
                    </a:xfrm>
                    <a:prstGeom prst="rect">
                      <a:avLst/>
                    </a:prstGeom>
                    <a:noFill/>
                  </pic:spPr>
                </pic:pic>
              </a:graphicData>
            </a:graphic>
          </wp:inline>
        </w:drawing>
      </w:r>
    </w:p>
    <w:p w14:paraId="3BBC3944" w14:textId="65F2A726" w:rsidR="00E8427E" w:rsidRPr="00004427" w:rsidRDefault="00E8427E" w:rsidP="006A766D">
      <w:pPr>
        <w:pStyle w:val="BaseFigureNotes"/>
        <w:spacing w:before="40" w:after="40"/>
      </w:pPr>
      <w:r w:rsidRPr="0096120C">
        <w:rPr>
          <w:b/>
          <w:bCs/>
        </w:rPr>
        <w:t>Note:</w:t>
      </w:r>
      <w:r w:rsidRPr="00410FFA">
        <w:t xml:space="preserve"> Only institutions with sufficient data (i.e. n</w:t>
      </w:r>
      <w:r w:rsidRPr="00410FFA">
        <w:rPr>
          <w:rFonts w:cs="Arial"/>
        </w:rPr>
        <w:t>≥</w:t>
      </w:r>
      <w:r w:rsidRPr="00410FFA">
        <w:t xml:space="preserve">25) are presented in this figure. For the complete table, refer to worksheet </w:t>
      </w:r>
      <w:r w:rsidR="00D96194" w:rsidRPr="00410FFA">
        <w:rPr>
          <w:lang w:eastAsia="en-AU"/>
        </w:rPr>
        <w:t xml:space="preserve">QOE_UG_NUHEI_2YP_INST_FIG </w:t>
      </w:r>
      <w:r w:rsidRPr="00410FFA">
        <w:t>in the 2025 SES National Tables on the QILT website.</w:t>
      </w:r>
      <w:r w:rsidRPr="000530B1">
        <w:br w:type="page"/>
      </w:r>
    </w:p>
    <w:p w14:paraId="5F9601D9" w14:textId="0B7523A9" w:rsidR="005278D0" w:rsidRPr="000530B1" w:rsidRDefault="005278D0" w:rsidP="00194EE0">
      <w:pPr>
        <w:pStyle w:val="Captionaccessible"/>
      </w:pPr>
      <w:bookmarkStart w:id="185" w:name="_Toc239764907"/>
      <w:r w:rsidRPr="000530B1">
        <w:lastRenderedPageBreak/>
        <w:t xml:space="preserve">Figure </w:t>
      </w:r>
      <w:r w:rsidR="00F45FA0">
        <w:fldChar w:fldCharType="begin"/>
      </w:r>
      <w:r w:rsidR="00F45FA0">
        <w:instrText xml:space="preserve"> SEQ Figure \* ARABIC </w:instrText>
      </w:r>
      <w:r w:rsidR="00F45FA0">
        <w:fldChar w:fldCharType="separate"/>
      </w:r>
      <w:r w:rsidR="00F45FA0" w:rsidRPr="000530B1">
        <w:rPr>
          <w:noProof/>
        </w:rPr>
        <w:t>42</w:t>
      </w:r>
      <w:r w:rsidR="00F45FA0">
        <w:rPr>
          <w:noProof/>
        </w:rPr>
        <w:fldChar w:fldCharType="end"/>
      </w:r>
      <w:bookmarkEnd w:id="183"/>
      <w:r w:rsidR="006007C8" w:rsidRPr="000530B1">
        <w:tab/>
      </w:r>
      <w:r w:rsidRPr="000530B1">
        <w:t>Overall Educational Experience for postgraduate coursework non-university higher education institution (NUHEI) students, pooled 202</w:t>
      </w:r>
      <w:r w:rsidR="00355370" w:rsidRPr="000530B1">
        <w:t>4</w:t>
      </w:r>
      <w:r w:rsidRPr="000530B1">
        <w:t>–2</w:t>
      </w:r>
      <w:r w:rsidR="00355370" w:rsidRPr="000530B1">
        <w:t>5</w:t>
      </w:r>
      <w:r w:rsidRPr="000530B1">
        <w:t xml:space="preserve"> (% positive rating</w:t>
      </w:r>
      <w:r w:rsidR="00355370" w:rsidRPr="000530B1">
        <w:t>, with 90 per cent confidence intervals</w:t>
      </w:r>
      <w:r w:rsidRPr="000530B1">
        <w:t>)</w:t>
      </w:r>
      <w:bookmarkEnd w:id="184"/>
      <w:bookmarkEnd w:id="185"/>
    </w:p>
    <w:p w14:paraId="1A44739F" w14:textId="31D8CAEC" w:rsidR="00BB11CE" w:rsidRPr="000530B1" w:rsidRDefault="00815B45" w:rsidP="00815B45">
      <w:pPr>
        <w:pStyle w:val="BaseFigureNotes"/>
        <w:spacing w:before="60" w:after="40"/>
        <w:rPr>
          <w:rStyle w:val="FigureNoteChar"/>
        </w:rPr>
      </w:pPr>
      <w:r>
        <w:rPr>
          <w:rStyle w:val="FigureNoteChar"/>
          <w:noProof/>
        </w:rPr>
        <w:drawing>
          <wp:inline distT="0" distB="0" distL="0" distR="0" wp14:anchorId="234DD9ED" wp14:editId="230610D0">
            <wp:extent cx="9648000" cy="5326778"/>
            <wp:effectExtent l="0" t="0" r="0" b="7620"/>
            <wp:docPr id="93497793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648000" cy="5326778"/>
                    </a:xfrm>
                    <a:prstGeom prst="rect">
                      <a:avLst/>
                    </a:prstGeom>
                    <a:noFill/>
                  </pic:spPr>
                </pic:pic>
              </a:graphicData>
            </a:graphic>
          </wp:inline>
        </w:drawing>
      </w:r>
    </w:p>
    <w:p w14:paraId="11B39C29" w14:textId="77777777" w:rsidR="000E1CD4" w:rsidRPr="000530B1" w:rsidRDefault="00F31403" w:rsidP="00815B45">
      <w:pPr>
        <w:pStyle w:val="BaseFigureNotes"/>
        <w:spacing w:before="40"/>
        <w:rPr>
          <w:rStyle w:val="FigureNoteChar"/>
        </w:rPr>
        <w:sectPr w:rsidR="000E1CD4" w:rsidRPr="000530B1" w:rsidSect="002D7A52">
          <w:headerReference w:type="default" r:id="rId84"/>
          <w:pgSz w:w="16840" w:h="11900" w:orient="landscape"/>
          <w:pgMar w:top="1021" w:right="851" w:bottom="1021" w:left="851" w:header="567" w:footer="567" w:gutter="0"/>
          <w:cols w:space="708"/>
          <w:docGrid w:linePitch="360"/>
        </w:sectPr>
      </w:pPr>
      <w:r w:rsidRPr="00004427">
        <w:rPr>
          <w:rStyle w:val="FigureNoteChar"/>
          <w:b/>
          <w:bCs/>
          <w:sz w:val="18"/>
          <w:szCs w:val="18"/>
        </w:rPr>
        <w:t>Note:</w:t>
      </w:r>
      <w:r w:rsidRPr="00004427">
        <w:rPr>
          <w:rStyle w:val="FigureNoteChar"/>
          <w:sz w:val="18"/>
          <w:szCs w:val="18"/>
        </w:rPr>
        <w:t xml:space="preserve"> Only institutions with sufficient data (i.e. n≥25) are presented in this figure. For the complete table, refer to worksheet </w:t>
      </w:r>
      <w:r w:rsidR="00E54ED4" w:rsidRPr="00004427">
        <w:rPr>
          <w:rStyle w:val="FigureNoteChar"/>
          <w:sz w:val="18"/>
          <w:szCs w:val="18"/>
        </w:rPr>
        <w:t xml:space="preserve">QOE_PGC_NUHEI_2YP_INST_FIG </w:t>
      </w:r>
      <w:r w:rsidRPr="00004427">
        <w:rPr>
          <w:rStyle w:val="FigureNoteChar"/>
          <w:sz w:val="18"/>
          <w:szCs w:val="18"/>
        </w:rPr>
        <w:t>in the 2025 SES National Tables on the QILT website</w:t>
      </w:r>
      <w:r w:rsidR="003E5990" w:rsidRPr="000530B1">
        <w:rPr>
          <w:rStyle w:val="FigureNoteChar"/>
        </w:rPr>
        <w:t>.</w:t>
      </w:r>
    </w:p>
    <w:p w14:paraId="7D1B1742" w14:textId="133E0C82" w:rsidR="000E1CD4" w:rsidRPr="000530B1" w:rsidRDefault="008A7F20" w:rsidP="00F72D18">
      <w:pPr>
        <w:pStyle w:val="Appendixaccessible"/>
        <w:rPr>
          <w:lang w:val="en-GB"/>
        </w:rPr>
      </w:pPr>
      <w:bookmarkStart w:id="186" w:name="_Ref221039976"/>
      <w:bookmarkStart w:id="187" w:name="_Ref221086286"/>
      <w:bookmarkStart w:id="188" w:name="_Toc239764806"/>
      <w:r w:rsidRPr="000530B1">
        <w:lastRenderedPageBreak/>
        <w:t>Appendix 1</w:t>
      </w:r>
      <w:r w:rsidRPr="000530B1">
        <w:tab/>
      </w:r>
      <w:r w:rsidR="000E1CD4" w:rsidRPr="000530B1">
        <w:t>Understanding study mode</w:t>
      </w:r>
      <w:r w:rsidR="008F21DD" w:rsidRPr="000530B1">
        <w:t xml:space="preserve"> and class</w:t>
      </w:r>
      <w:r w:rsidR="00D738C3">
        <w:t> </w:t>
      </w:r>
      <w:r w:rsidR="008F21DD" w:rsidRPr="000530B1">
        <w:t>participation</w:t>
      </w:r>
      <w:r w:rsidR="00003476" w:rsidRPr="000530B1">
        <w:t>: post</w:t>
      </w:r>
      <w:r w:rsidR="00897020">
        <w:noBreakHyphen/>
      </w:r>
      <w:r w:rsidR="00003476" w:rsidRPr="000530B1">
        <w:t>pandemic</w:t>
      </w:r>
      <w:r w:rsidR="00AD6D65">
        <w:t> </w:t>
      </w:r>
      <w:r w:rsidR="00003476" w:rsidRPr="000530B1">
        <w:t>dynamics</w:t>
      </w:r>
      <w:bookmarkEnd w:id="186"/>
      <w:bookmarkEnd w:id="187"/>
      <w:bookmarkEnd w:id="188"/>
    </w:p>
    <w:p w14:paraId="3C48B05A" w14:textId="77777777" w:rsidR="000E1CD4" w:rsidRPr="00F72D18" w:rsidRDefault="000E1CD4" w:rsidP="00F72D18">
      <w:pPr>
        <w:pStyle w:val="Appendix2accessible"/>
      </w:pPr>
      <w:bookmarkStart w:id="189" w:name="_Toc239764807"/>
      <w:r w:rsidRPr="00F72D18">
        <w:t>Study mode (institution-reported)</w:t>
      </w:r>
      <w:bookmarkEnd w:id="189"/>
    </w:p>
    <w:p w14:paraId="4BA23BF8" w14:textId="302F4153" w:rsidR="000E1CD4" w:rsidRPr="000530B1" w:rsidRDefault="000E1CD4" w:rsidP="000E1CD4">
      <w:pPr>
        <w:pStyle w:val="Body"/>
      </w:pPr>
      <w:r w:rsidRPr="000530B1">
        <w:t>Institutions record a student’s mode of study, along with other enrolment information, in the Tertiary Collection of Student Information (TCSI) system. A student’s mode of study can be categorised as ‘internal’, ‘external’ or ‘multi-modal’.</w:t>
      </w:r>
      <w:r w:rsidRPr="00CC1AB5">
        <w:rPr>
          <w:rStyle w:val="FootnoteReference"/>
          <w:sz w:val="20"/>
        </w:rPr>
        <w:footnoteReference w:id="10"/>
      </w:r>
      <w:r w:rsidR="00CC1AB5">
        <w:t xml:space="preserve"> </w:t>
      </w:r>
      <w:r w:rsidRPr="000530B1">
        <w:t>Due to differences in how institutions define internal and multi-modes of attendance, these two groups are reported as a single category in SES reporting.</w:t>
      </w:r>
    </w:p>
    <w:p w14:paraId="29E379AE" w14:textId="727BAE3A" w:rsidR="000E1CD4" w:rsidRPr="000530B1" w:rsidRDefault="000E1CD4" w:rsidP="000E1CD4">
      <w:pPr>
        <w:pStyle w:val="Body"/>
      </w:pPr>
      <w:r w:rsidRPr="000530B1">
        <w:rPr>
          <w:b/>
        </w:rPr>
        <w:fldChar w:fldCharType="begin"/>
      </w:r>
      <w:r w:rsidRPr="000530B1">
        <w:rPr>
          <w:b/>
          <w:bCs/>
        </w:rPr>
        <w:instrText xml:space="preserve"> REF _Ref217243274 \h  \* MERGEFORMAT </w:instrText>
      </w:r>
      <w:r w:rsidRPr="000530B1">
        <w:rPr>
          <w:b/>
        </w:rPr>
      </w:r>
      <w:r w:rsidRPr="000530B1">
        <w:rPr>
          <w:b/>
        </w:rPr>
        <w:fldChar w:fldCharType="separate"/>
      </w:r>
      <w:r w:rsidR="000C6530" w:rsidRPr="000530B1">
        <w:rPr>
          <w:b/>
        </w:rPr>
        <w:t>Figure 4</w:t>
      </w:r>
      <w:r w:rsidRPr="000530B1">
        <w:rPr>
          <w:b/>
        </w:rPr>
        <w:fldChar w:fldCharType="end"/>
      </w:r>
      <w:r w:rsidR="00F45FA0" w:rsidRPr="000530B1">
        <w:rPr>
          <w:b/>
        </w:rPr>
        <w:t>3</w:t>
      </w:r>
      <w:r w:rsidRPr="000530B1">
        <w:rPr>
          <w:b/>
          <w:bCs/>
        </w:rPr>
        <w:t xml:space="preserve"> </w:t>
      </w:r>
      <w:r w:rsidRPr="000530B1">
        <w:t>shows that among undergraduates, 89.0 per cent of respondents to the 2025 SES were enrolled in either an internal or multi-mode course and 11.0 per cent of respondents were enrolled in an external course. The proportion of students studying internally or by multi-modes dropped to its lowest level of 83.8 per cent in 2020 and while it has not returned to the rates seen prior to the pandemic, it has been increasing year-on-year since 2020.</w:t>
      </w:r>
    </w:p>
    <w:p w14:paraId="6CAA4DBB" w14:textId="7DAF77AF" w:rsidR="00897020" w:rsidRDefault="000E1CD4" w:rsidP="00AD6D65">
      <w:pPr>
        <w:pStyle w:val="Body"/>
        <w:sectPr w:rsidR="00897020" w:rsidSect="00897020">
          <w:pgSz w:w="11900" w:h="16840"/>
          <w:pgMar w:top="851" w:right="1134" w:bottom="851" w:left="1134" w:header="567" w:footer="567" w:gutter="0"/>
          <w:cols w:space="708"/>
          <w:docGrid w:linePitch="360"/>
        </w:sectPr>
      </w:pPr>
      <w:r w:rsidRPr="000530B1">
        <w:rPr>
          <w:rFonts w:cs="Arial"/>
          <w:color w:val="000000"/>
        </w:rPr>
        <w:t xml:space="preserve">More postgraduate coursework students study externally, due to domestic students who often return to study later in life while balancing work or family responsibilities. </w:t>
      </w:r>
      <w:r w:rsidRPr="000530B1">
        <w:t>The</w:t>
      </w:r>
      <w:r w:rsidR="00AD6D65">
        <w:t> </w:t>
      </w:r>
      <w:r w:rsidRPr="000530B1">
        <w:t xml:space="preserve">split of internal/multi-mode to external ratio over time has followed a similar trend to the undergraduate level with some differences – the proportion studying externally did not peak until 2021. Since 2022, the proportions by study mode have fluctuated and in 2025, 75.5 per cent were studying internally/multi-mode – </w:t>
      </w:r>
      <w:r w:rsidR="00F82E06" w:rsidRPr="000530B1">
        <w:t xml:space="preserve">lower </w:t>
      </w:r>
      <w:r w:rsidRPr="000530B1">
        <w:t xml:space="preserve">than the levels seen prior to </w:t>
      </w:r>
      <w:r w:rsidR="008F21DD" w:rsidRPr="000530B1">
        <w:t>the</w:t>
      </w:r>
      <w:r w:rsidR="00897020">
        <w:t xml:space="preserve"> </w:t>
      </w:r>
      <w:r w:rsidR="008F21DD" w:rsidRPr="000530B1">
        <w:t>pandemic</w:t>
      </w:r>
      <w:r w:rsidRPr="000530B1">
        <w:t>.</w:t>
      </w:r>
    </w:p>
    <w:p w14:paraId="6CFDD47F" w14:textId="77777777" w:rsidR="00F61CFF" w:rsidRDefault="000E1CD4" w:rsidP="00F61CFF">
      <w:pPr>
        <w:pStyle w:val="Captionaccessible"/>
        <w:spacing w:after="40"/>
        <w:rPr>
          <w:noProof/>
        </w:rPr>
      </w:pPr>
      <w:bookmarkStart w:id="190" w:name="_Toc239764908"/>
      <w:r w:rsidRPr="000530B1">
        <w:lastRenderedPageBreak/>
        <w:t xml:space="preserve">Figure </w:t>
      </w:r>
      <w:r w:rsidR="00F45FA0">
        <w:fldChar w:fldCharType="begin"/>
      </w:r>
      <w:r w:rsidR="00F45FA0">
        <w:instrText xml:space="preserve"> SEQ Figure \* ARABIC </w:instrText>
      </w:r>
      <w:r w:rsidR="00F45FA0">
        <w:fldChar w:fldCharType="separate"/>
      </w:r>
      <w:r w:rsidR="00F45FA0" w:rsidRPr="000530B1">
        <w:rPr>
          <w:noProof/>
        </w:rPr>
        <w:t>43</w:t>
      </w:r>
      <w:r w:rsidR="00F45FA0">
        <w:rPr>
          <w:noProof/>
        </w:rPr>
        <w:fldChar w:fldCharType="end"/>
      </w:r>
      <w:r w:rsidR="006007C8" w:rsidRPr="000530B1">
        <w:tab/>
      </w:r>
      <w:r w:rsidRPr="000530B1">
        <w:t>Study mode profile by course level, 2017</w:t>
      </w:r>
      <w:r w:rsidR="00DD038D">
        <w:t>–</w:t>
      </w:r>
      <w:r w:rsidRPr="000530B1">
        <w:t>25 (based on responses to the SES)</w:t>
      </w:r>
      <w:bookmarkEnd w:id="190"/>
    </w:p>
    <w:p w14:paraId="6A73F48B" w14:textId="43108CFE" w:rsidR="00F61CFF" w:rsidRDefault="00B1794F" w:rsidP="00F61CFF">
      <w:pPr>
        <w:pStyle w:val="Captionaccessible"/>
        <w:spacing w:after="0"/>
        <w:rPr>
          <w:noProof/>
        </w:rPr>
      </w:pPr>
      <w:r w:rsidRPr="00B1794F">
        <w:drawing>
          <wp:inline distT="0" distB="0" distL="0" distR="0" wp14:anchorId="772AAD2B" wp14:editId="4542B60B">
            <wp:extent cx="9648000" cy="5797212"/>
            <wp:effectExtent l="0" t="0" r="0" b="0"/>
            <wp:docPr id="913562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62977" name=""/>
                    <pic:cNvPicPr/>
                  </pic:nvPicPr>
                  <pic:blipFill>
                    <a:blip r:embed="rId85"/>
                    <a:stretch>
                      <a:fillRect/>
                    </a:stretch>
                  </pic:blipFill>
                  <pic:spPr>
                    <a:xfrm>
                      <a:off x="0" y="0"/>
                      <a:ext cx="9648000" cy="5797212"/>
                    </a:xfrm>
                    <a:prstGeom prst="rect">
                      <a:avLst/>
                    </a:prstGeom>
                  </pic:spPr>
                </pic:pic>
              </a:graphicData>
            </a:graphic>
          </wp:inline>
        </w:drawing>
      </w:r>
    </w:p>
    <w:p w14:paraId="032D8716" w14:textId="376C8759" w:rsidR="00B26923" w:rsidRPr="00F72D18" w:rsidRDefault="00B26923" w:rsidP="002F7834">
      <w:pPr>
        <w:pStyle w:val="Appendix3accessible"/>
        <w:spacing w:before="0" w:after="100"/>
      </w:pPr>
      <w:bookmarkStart w:id="191" w:name="_Ref221039093"/>
      <w:bookmarkStart w:id="192" w:name="_Toc239764808"/>
      <w:r w:rsidRPr="00F72D18">
        <w:lastRenderedPageBreak/>
        <w:t>Domestic study mode trends over time</w:t>
      </w:r>
      <w:bookmarkEnd w:id="191"/>
      <w:bookmarkEnd w:id="192"/>
    </w:p>
    <w:p w14:paraId="038102EA" w14:textId="77777777" w:rsidR="00FC45A7" w:rsidRDefault="00C20B22" w:rsidP="002F7834">
      <w:pPr>
        <w:pStyle w:val="Body"/>
        <w:spacing w:after="100"/>
        <w:rPr>
          <w:spacing w:val="-2"/>
        </w:rPr>
      </w:pPr>
      <w:r w:rsidRPr="00B048D7">
        <w:rPr>
          <w:spacing w:val="-2"/>
        </w:rPr>
        <w:t>While international students are required to attend at least some of their classes in-person</w:t>
      </w:r>
      <w:r w:rsidRPr="00CC1AB5">
        <w:rPr>
          <w:rStyle w:val="FootnoteReference"/>
          <w:spacing w:val="-2"/>
          <w:sz w:val="20"/>
        </w:rPr>
        <w:footnoteReference w:id="11"/>
      </w:r>
      <w:r w:rsidRPr="00B048D7">
        <w:rPr>
          <w:spacing w:val="-2"/>
        </w:rPr>
        <w:t xml:space="preserve">, precluding them from studying externally, there is a lot more flexibility for domestic students. </w:t>
      </w:r>
      <w:r w:rsidRPr="00B048D7">
        <w:rPr>
          <w:b/>
          <w:bCs/>
          <w:spacing w:val="-2"/>
        </w:rPr>
        <w:fldChar w:fldCharType="begin"/>
      </w:r>
      <w:r w:rsidRPr="00B048D7">
        <w:rPr>
          <w:b/>
          <w:bCs/>
          <w:spacing w:val="-2"/>
        </w:rPr>
        <w:instrText xml:space="preserve"> REF _Ref217244823 \h  \* MERGEFORMAT </w:instrText>
      </w:r>
      <w:r w:rsidRPr="00B048D7">
        <w:rPr>
          <w:b/>
          <w:bCs/>
          <w:spacing w:val="-2"/>
        </w:rPr>
      </w:r>
      <w:r w:rsidRPr="00B048D7">
        <w:rPr>
          <w:b/>
          <w:bCs/>
          <w:spacing w:val="-2"/>
        </w:rPr>
        <w:fldChar w:fldCharType="separate"/>
      </w:r>
      <w:r w:rsidR="000C6530" w:rsidRPr="00B048D7">
        <w:rPr>
          <w:b/>
          <w:spacing w:val="-2"/>
        </w:rPr>
        <w:t xml:space="preserve">Figure </w:t>
      </w:r>
      <w:r w:rsidR="000C6530" w:rsidRPr="00B048D7">
        <w:rPr>
          <w:b/>
          <w:bCs/>
          <w:noProof/>
          <w:spacing w:val="-2"/>
        </w:rPr>
        <w:t>4</w:t>
      </w:r>
      <w:r w:rsidRPr="00B048D7">
        <w:rPr>
          <w:b/>
          <w:bCs/>
          <w:spacing w:val="-2"/>
        </w:rPr>
        <w:fldChar w:fldCharType="end"/>
      </w:r>
      <w:r w:rsidR="00F45FA0" w:rsidRPr="00B048D7">
        <w:rPr>
          <w:b/>
          <w:bCs/>
          <w:spacing w:val="-2"/>
        </w:rPr>
        <w:t>4</w:t>
      </w:r>
      <w:r w:rsidRPr="00B048D7">
        <w:rPr>
          <w:spacing w:val="-2"/>
        </w:rPr>
        <w:t xml:space="preserve"> shows that the domestic undergraduate study mode profile is comparable to undergraduates overall, which is to be expected due to the relatively high proportion of domestic students at the undergraduate level</w:t>
      </w:r>
      <w:r w:rsidR="00B26923" w:rsidRPr="00B048D7">
        <w:rPr>
          <w:spacing w:val="-2"/>
        </w:rPr>
        <w:t xml:space="preserve"> (</w:t>
      </w:r>
      <w:r w:rsidR="00B26923" w:rsidRPr="00B048D7">
        <w:rPr>
          <w:b/>
          <w:bCs/>
          <w:spacing w:val="-2"/>
        </w:rPr>
        <w:fldChar w:fldCharType="begin"/>
      </w:r>
      <w:r w:rsidR="00B26923" w:rsidRPr="00B048D7">
        <w:rPr>
          <w:b/>
          <w:bCs/>
          <w:spacing w:val="-2"/>
        </w:rPr>
        <w:instrText xml:space="preserve"> REF _Ref220056231 \h  \* MERGEFORMAT </w:instrText>
      </w:r>
      <w:r w:rsidR="00B26923" w:rsidRPr="00B048D7">
        <w:rPr>
          <w:b/>
          <w:bCs/>
          <w:spacing w:val="-2"/>
        </w:rPr>
      </w:r>
      <w:r w:rsidR="00B26923" w:rsidRPr="00B048D7">
        <w:rPr>
          <w:b/>
          <w:bCs/>
          <w:spacing w:val="-2"/>
        </w:rPr>
        <w:fldChar w:fldCharType="separate"/>
      </w:r>
      <w:r w:rsidR="000C6530" w:rsidRPr="00B048D7">
        <w:rPr>
          <w:b/>
          <w:spacing w:val="-2"/>
        </w:rPr>
        <w:t xml:space="preserve">Figure </w:t>
      </w:r>
      <w:r w:rsidR="00B26923" w:rsidRPr="00B048D7">
        <w:rPr>
          <w:b/>
          <w:bCs/>
          <w:spacing w:val="-2"/>
        </w:rPr>
        <w:fldChar w:fldCharType="end"/>
      </w:r>
      <w:r w:rsidR="00F45FA0" w:rsidRPr="00B048D7">
        <w:rPr>
          <w:b/>
          <w:bCs/>
          <w:spacing w:val="-2"/>
        </w:rPr>
        <w:t>49</w:t>
      </w:r>
      <w:r w:rsidR="00B26923" w:rsidRPr="00B048D7">
        <w:rPr>
          <w:spacing w:val="-2"/>
        </w:rPr>
        <w:t>)</w:t>
      </w:r>
      <w:r w:rsidRPr="00B048D7">
        <w:rPr>
          <w:spacing w:val="-2"/>
        </w:rPr>
        <w:t>. However, there is a clear difference in study modes at the postgraduate level when comparing the total to domestic only – more domestic students are undertaking postgraduate coursework studies externally and this has been growing year-on-year since 2021.</w:t>
      </w:r>
    </w:p>
    <w:p w14:paraId="7C5DA92E" w14:textId="03F1D3A6" w:rsidR="00313223" w:rsidRPr="000530B1" w:rsidRDefault="00C20B22" w:rsidP="007B672A">
      <w:pPr>
        <w:pStyle w:val="Captionaccessible"/>
        <w:spacing w:after="40"/>
      </w:pPr>
      <w:bookmarkStart w:id="193" w:name="_Ref231318003"/>
      <w:bookmarkStart w:id="194" w:name="_Toc239764909"/>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44</w:t>
      </w:r>
      <w:r w:rsidR="00F45FA0">
        <w:rPr>
          <w:noProof/>
        </w:rPr>
        <w:fldChar w:fldCharType="end"/>
      </w:r>
      <w:bookmarkEnd w:id="193"/>
      <w:r w:rsidR="006007C8" w:rsidRPr="000530B1">
        <w:tab/>
      </w:r>
      <w:r w:rsidRPr="000530B1">
        <w:t>Domestic study mode profile by course level, 2017</w:t>
      </w:r>
      <w:r w:rsidR="00DD038D">
        <w:t>–</w:t>
      </w:r>
      <w:r w:rsidRPr="000530B1">
        <w:t>25 (based on responses to the SES)</w:t>
      </w:r>
      <w:bookmarkEnd w:id="194"/>
    </w:p>
    <w:p w14:paraId="45E0E8E5" w14:textId="4F7E7150" w:rsidR="00AD6D65" w:rsidRDefault="007B672A" w:rsidP="00207640">
      <w:pPr>
        <w:pStyle w:val="Body"/>
        <w:spacing w:before="0" w:after="0"/>
        <w:sectPr w:rsidR="00AD6D65" w:rsidSect="00AD6D65">
          <w:pgSz w:w="16840" w:h="11900" w:orient="landscape"/>
          <w:pgMar w:top="1134" w:right="851" w:bottom="1134" w:left="851" w:header="567" w:footer="567" w:gutter="0"/>
          <w:cols w:space="708"/>
          <w:docGrid w:linePitch="360"/>
        </w:sectPr>
      </w:pPr>
      <w:r w:rsidRPr="007B672A">
        <w:drawing>
          <wp:inline distT="0" distB="0" distL="0" distR="0" wp14:anchorId="40CDEB52" wp14:editId="0FACD059">
            <wp:extent cx="9612000" cy="4470107"/>
            <wp:effectExtent l="0" t="0" r="8255" b="6985"/>
            <wp:docPr id="555361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61434" name=""/>
                    <pic:cNvPicPr/>
                  </pic:nvPicPr>
                  <pic:blipFill>
                    <a:blip r:embed="rId86"/>
                    <a:stretch>
                      <a:fillRect/>
                    </a:stretch>
                  </pic:blipFill>
                  <pic:spPr>
                    <a:xfrm>
                      <a:off x="0" y="0"/>
                      <a:ext cx="9612000" cy="4470107"/>
                    </a:xfrm>
                    <a:prstGeom prst="rect">
                      <a:avLst/>
                    </a:prstGeom>
                  </pic:spPr>
                </pic:pic>
              </a:graphicData>
            </a:graphic>
          </wp:inline>
        </w:drawing>
      </w:r>
    </w:p>
    <w:p w14:paraId="682F0407" w14:textId="77777777" w:rsidR="000E1CD4" w:rsidRPr="000530B1" w:rsidRDefault="000E1CD4" w:rsidP="002A4C57">
      <w:pPr>
        <w:pStyle w:val="Appendix2accessible"/>
      </w:pPr>
      <w:bookmarkStart w:id="195" w:name="_Toc239764809"/>
      <w:r w:rsidRPr="000530B1">
        <w:lastRenderedPageBreak/>
        <w:t>Class participation (self-reported)</w:t>
      </w:r>
      <w:bookmarkEnd w:id="195"/>
    </w:p>
    <w:p w14:paraId="6CAEE0D0" w14:textId="313EB585" w:rsidR="00154A7A" w:rsidRPr="000530B1" w:rsidRDefault="000E1CD4" w:rsidP="006B718B">
      <w:pPr>
        <w:pStyle w:val="Body"/>
        <w:spacing w:after="100"/>
      </w:pPr>
      <w:r w:rsidRPr="000530B1">
        <w:t xml:space="preserve">To gain a deeper understanding of how students participated in their classes, the SES includes a self-reported measure of class participation, capturing whether students engaged mostly in-person, mostly online, or through a mix of </w:t>
      </w:r>
      <w:r w:rsidR="00C574C3" w:rsidRPr="000530B1">
        <w:t xml:space="preserve">study </w:t>
      </w:r>
      <w:r w:rsidRPr="000530B1">
        <w:t>modes</w:t>
      </w:r>
      <w:r w:rsidR="00590BD8" w:rsidRPr="000530B1">
        <w:t xml:space="preserve"> (i.e. </w:t>
      </w:r>
      <w:r w:rsidR="00751926">
        <w:t>‘</w:t>
      </w:r>
      <w:r w:rsidR="00590BD8" w:rsidRPr="00751926">
        <w:t>blended/hybrid</w:t>
      </w:r>
      <w:r w:rsidR="00751926">
        <w:t>’</w:t>
      </w:r>
      <w:r w:rsidR="00590BD8" w:rsidRPr="000530B1">
        <w:t>)</w:t>
      </w:r>
      <w:r w:rsidRPr="000530B1">
        <w:t>.</w:t>
      </w:r>
    </w:p>
    <w:p w14:paraId="7C7EBC78" w14:textId="3D814B0F" w:rsidR="00013DD1" w:rsidRPr="002A4C57" w:rsidRDefault="000E1CD4" w:rsidP="006B718B">
      <w:pPr>
        <w:pStyle w:val="Body"/>
        <w:spacing w:before="100" w:after="100"/>
      </w:pPr>
      <w:proofErr w:type="gramStart"/>
      <w:r w:rsidRPr="000530B1">
        <w:t>The majority of</w:t>
      </w:r>
      <w:proofErr w:type="gramEnd"/>
      <w:r w:rsidRPr="000530B1">
        <w:t xml:space="preserve"> students enrolled externally also reported participating in their classes all online in 2025 – 85.0</w:t>
      </w:r>
      <w:r w:rsidR="00751926">
        <w:t> </w:t>
      </w:r>
      <w:r w:rsidRPr="000530B1">
        <w:t>per</w:t>
      </w:r>
      <w:r w:rsidR="00751926">
        <w:t> </w:t>
      </w:r>
      <w:r w:rsidRPr="000530B1">
        <w:t>cent of undergraduates and 90.7 per cent of postgraduate coursework students (</w:t>
      </w:r>
      <w:r w:rsidRPr="000530B1">
        <w:rPr>
          <w:b/>
          <w:bCs/>
        </w:rPr>
        <w:fldChar w:fldCharType="begin"/>
      </w:r>
      <w:r w:rsidRPr="000530B1">
        <w:rPr>
          <w:b/>
          <w:bCs/>
        </w:rPr>
        <w:instrText xml:space="preserve"> REF _Ref217246637 \h  \* MERGEFORMAT </w:instrText>
      </w:r>
      <w:r w:rsidRPr="000530B1">
        <w:rPr>
          <w:b/>
          <w:bCs/>
        </w:rPr>
      </w:r>
      <w:r w:rsidRPr="000530B1">
        <w:rPr>
          <w:b/>
          <w:bCs/>
        </w:rPr>
        <w:fldChar w:fldCharType="separate"/>
      </w:r>
      <w:r w:rsidR="000C6530" w:rsidRPr="000530B1">
        <w:rPr>
          <w:b/>
        </w:rPr>
        <w:t>Figure 4</w:t>
      </w:r>
      <w:r w:rsidRPr="000530B1">
        <w:rPr>
          <w:b/>
          <w:bCs/>
        </w:rPr>
        <w:fldChar w:fldCharType="end"/>
      </w:r>
      <w:r w:rsidR="00F45FA0" w:rsidRPr="000530B1">
        <w:rPr>
          <w:b/>
          <w:bCs/>
        </w:rPr>
        <w:t>5</w:t>
      </w:r>
      <w:r w:rsidRPr="000530B1">
        <w:t>).</w:t>
      </w:r>
      <w:r w:rsidR="002E1252" w:rsidRPr="000530B1">
        <w:t xml:space="preserve"> Likewise, </w:t>
      </w:r>
      <w:proofErr w:type="gramStart"/>
      <w:r w:rsidR="002E1252" w:rsidRPr="000530B1">
        <w:t>the majority of</w:t>
      </w:r>
      <w:proofErr w:type="gramEnd"/>
      <w:r w:rsidR="002E1252" w:rsidRPr="000530B1">
        <w:t xml:space="preserve"> students enrolled in internal/multi-mode studies</w:t>
      </w:r>
      <w:r w:rsidR="00127A54" w:rsidRPr="000530B1">
        <w:t xml:space="preserve"> reported participating in their classes all on-campus or through a mix of </w:t>
      </w:r>
      <w:r w:rsidR="00C574C3" w:rsidRPr="000530B1">
        <w:t xml:space="preserve">study </w:t>
      </w:r>
      <w:r w:rsidR="00127A54" w:rsidRPr="000530B1">
        <w:t>modes</w:t>
      </w:r>
      <w:r w:rsidR="00521322" w:rsidRPr="000530B1">
        <w:t xml:space="preserve"> – 97.0 per cent of undergraduates and 94.1 per cent of postgraduate coursework students</w:t>
      </w:r>
      <w:r w:rsidR="00127A54" w:rsidRPr="000530B1">
        <w:t>.</w:t>
      </w:r>
      <w:r w:rsidRPr="000530B1">
        <w:t xml:space="preserve"> Th</w:t>
      </w:r>
      <w:r w:rsidR="00127A54" w:rsidRPr="000530B1">
        <w:t>ese</w:t>
      </w:r>
      <w:r w:rsidRPr="000530B1">
        <w:t xml:space="preserve"> </w:t>
      </w:r>
      <w:r w:rsidR="00127A54" w:rsidRPr="000530B1">
        <w:t xml:space="preserve">findings </w:t>
      </w:r>
      <w:r w:rsidRPr="000530B1">
        <w:t xml:space="preserve">suggest good alignment </w:t>
      </w:r>
      <w:r w:rsidR="00C02C8A" w:rsidRPr="000530B1">
        <w:t>between</w:t>
      </w:r>
      <w:r w:rsidRPr="000530B1">
        <w:t xml:space="preserve"> how institutions record </w:t>
      </w:r>
      <w:r w:rsidR="00E26D47" w:rsidRPr="000530B1">
        <w:t xml:space="preserve">a student’s mode of study, and </w:t>
      </w:r>
      <w:r w:rsidRPr="000530B1">
        <w:t>how students describe their class participation</w:t>
      </w:r>
      <w:r w:rsidR="0004572A" w:rsidRPr="000530B1">
        <w:t>. This alignment</w:t>
      </w:r>
      <w:r w:rsidR="004B5DBF" w:rsidRPr="000530B1">
        <w:t xml:space="preserve"> support</w:t>
      </w:r>
      <w:r w:rsidR="0004572A" w:rsidRPr="000530B1">
        <w:t>s</w:t>
      </w:r>
      <w:r w:rsidR="004B5DBF" w:rsidRPr="000530B1">
        <w:t xml:space="preserve"> the use </w:t>
      </w:r>
      <w:r w:rsidR="00494D8C" w:rsidRPr="000530B1">
        <w:t xml:space="preserve">of self-reported class participation as a nuanced measure of how students </w:t>
      </w:r>
      <w:r w:rsidR="00AF4B60" w:rsidRPr="000530B1">
        <w:t xml:space="preserve">engaged with their </w:t>
      </w:r>
      <w:r w:rsidR="00494D8C" w:rsidRPr="000530B1">
        <w:t>course</w:t>
      </w:r>
      <w:r w:rsidR="00E26D47" w:rsidRPr="000530B1">
        <w:t>.</w:t>
      </w:r>
      <w:bookmarkStart w:id="196" w:name="_Ref231308803"/>
    </w:p>
    <w:p w14:paraId="06A84338" w14:textId="0F2AEACF" w:rsidR="000E1CD4" w:rsidRDefault="000E1CD4" w:rsidP="00BE1C46">
      <w:pPr>
        <w:pStyle w:val="Captionaccessible"/>
        <w:spacing w:after="40"/>
      </w:pPr>
      <w:bookmarkStart w:id="197" w:name="_Toc239764910"/>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45</w:t>
      </w:r>
      <w:r w:rsidR="00F45FA0">
        <w:rPr>
          <w:noProof/>
        </w:rPr>
        <w:fldChar w:fldCharType="end"/>
      </w:r>
      <w:bookmarkEnd w:id="196"/>
      <w:r w:rsidR="006007C8" w:rsidRPr="000530B1">
        <w:tab/>
      </w:r>
      <w:r w:rsidRPr="000530B1">
        <w:t>Class participation by enrolled study mode</w:t>
      </w:r>
      <w:r w:rsidR="007C081E" w:rsidRPr="000530B1">
        <w:t xml:space="preserve"> and course level</w:t>
      </w:r>
      <w:r w:rsidRPr="000530B1">
        <w:t>, 2025</w:t>
      </w:r>
      <w:bookmarkEnd w:id="197"/>
    </w:p>
    <w:p w14:paraId="64ED6250" w14:textId="06DBAB27" w:rsidR="00350894" w:rsidRDefault="00BE1C46" w:rsidP="00BE1C46">
      <w:pPr>
        <w:pStyle w:val="Body"/>
        <w:spacing w:before="0" w:after="0"/>
        <w:jc w:val="center"/>
        <w:rPr>
          <w:noProof/>
        </w:rPr>
      </w:pPr>
      <w:r w:rsidRPr="00BE1C46">
        <w:rPr>
          <w:noProof/>
        </w:rPr>
        <w:drawing>
          <wp:inline distT="0" distB="0" distL="0" distR="0" wp14:anchorId="34419D02" wp14:editId="50112E16">
            <wp:extent cx="6350400" cy="6598861"/>
            <wp:effectExtent l="0" t="0" r="0" b="0"/>
            <wp:docPr id="32441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1812" name=""/>
                    <pic:cNvPicPr/>
                  </pic:nvPicPr>
                  <pic:blipFill>
                    <a:blip r:embed="rId87"/>
                    <a:stretch>
                      <a:fillRect/>
                    </a:stretch>
                  </pic:blipFill>
                  <pic:spPr>
                    <a:xfrm>
                      <a:off x="0" y="0"/>
                      <a:ext cx="6350400" cy="6598861"/>
                    </a:xfrm>
                    <a:prstGeom prst="rect">
                      <a:avLst/>
                    </a:prstGeom>
                  </pic:spPr>
                </pic:pic>
              </a:graphicData>
            </a:graphic>
          </wp:inline>
        </w:drawing>
      </w:r>
    </w:p>
    <w:p w14:paraId="32D60CF5" w14:textId="4BA78DD3" w:rsidR="00B26923" w:rsidRPr="000530B1" w:rsidRDefault="00B26923" w:rsidP="00B26923">
      <w:pPr>
        <w:pStyle w:val="Appendix3accessible"/>
      </w:pPr>
      <w:bookmarkStart w:id="198" w:name="_Toc239764810"/>
      <w:r w:rsidRPr="000530B1">
        <w:lastRenderedPageBreak/>
        <w:t>Class participation and citizenship status</w:t>
      </w:r>
      <w:bookmarkEnd w:id="198"/>
    </w:p>
    <w:p w14:paraId="0B1373A9" w14:textId="21741DE1" w:rsidR="008A68E5" w:rsidRPr="000530B1" w:rsidRDefault="008F0DA5" w:rsidP="008A68E5">
      <w:pPr>
        <w:pStyle w:val="Body"/>
      </w:pPr>
      <w:r>
        <w:t xml:space="preserve">At the undergraduate level, domestic and international students differed in their age and study mode </w:t>
      </w:r>
      <w:r w:rsidR="00A83935" w:rsidRPr="000530B1">
        <w:t>(</w:t>
      </w:r>
      <w:r w:rsidR="00A83935" w:rsidRPr="000530B1">
        <w:rPr>
          <w:b/>
          <w:bCs/>
        </w:rPr>
        <w:fldChar w:fldCharType="begin"/>
      </w:r>
      <w:r w:rsidR="00A83935" w:rsidRPr="000530B1">
        <w:rPr>
          <w:b/>
          <w:bCs/>
        </w:rPr>
        <w:instrText xml:space="preserve"> REF _Ref220485287 \h  \* MERGEFORMAT </w:instrText>
      </w:r>
      <w:r w:rsidR="00A83935" w:rsidRPr="000530B1">
        <w:rPr>
          <w:b/>
          <w:bCs/>
        </w:rPr>
      </w:r>
      <w:r w:rsidR="00A83935" w:rsidRPr="000530B1">
        <w:rPr>
          <w:b/>
          <w:bCs/>
        </w:rPr>
        <w:fldChar w:fldCharType="separate"/>
      </w:r>
      <w:r w:rsidR="000C6530" w:rsidRPr="000530B1">
        <w:rPr>
          <w:b/>
        </w:rPr>
        <w:t xml:space="preserve">Figure </w:t>
      </w:r>
      <w:r w:rsidR="000C6530" w:rsidRPr="000530B1">
        <w:rPr>
          <w:b/>
          <w:bCs/>
          <w:noProof/>
        </w:rPr>
        <w:t>4</w:t>
      </w:r>
      <w:r w:rsidR="00A83935" w:rsidRPr="000530B1">
        <w:rPr>
          <w:b/>
          <w:bCs/>
        </w:rPr>
        <w:fldChar w:fldCharType="end"/>
      </w:r>
      <w:r w:rsidR="00F45FA0" w:rsidRPr="000530B1">
        <w:rPr>
          <w:b/>
          <w:bCs/>
        </w:rPr>
        <w:t>6</w:t>
      </w:r>
      <w:r w:rsidR="00A83935" w:rsidRPr="000530B1">
        <w:t>)</w:t>
      </w:r>
      <w:r w:rsidR="008A68E5" w:rsidRPr="000530B1">
        <w:t xml:space="preserve">. </w:t>
      </w:r>
      <w:r>
        <w:t>In addition</w:t>
      </w:r>
      <w:r w:rsidR="008A68E5" w:rsidRPr="000530B1">
        <w:t>, examining class participation as reported by students, highlights some further differences in how domestic and international students engage in their studies.</w:t>
      </w:r>
    </w:p>
    <w:p w14:paraId="2ECF5C02" w14:textId="650D1E8A" w:rsidR="00803FCE" w:rsidRDefault="00803FCE" w:rsidP="00194EE0">
      <w:pPr>
        <w:pStyle w:val="Captionaccessible"/>
      </w:pPr>
      <w:bookmarkStart w:id="199" w:name="_Ref230792912"/>
      <w:bookmarkStart w:id="200" w:name="_Toc239764911"/>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46</w:t>
      </w:r>
      <w:r w:rsidR="00F45FA0">
        <w:rPr>
          <w:noProof/>
        </w:rPr>
        <w:fldChar w:fldCharType="end"/>
      </w:r>
      <w:bookmarkEnd w:id="199"/>
      <w:r w:rsidR="006007C8" w:rsidRPr="000530B1">
        <w:tab/>
      </w:r>
      <w:r w:rsidRPr="000530B1">
        <w:t>Undergraduate study mode and age profile by citizenship status, 2025</w:t>
      </w:r>
      <w:bookmarkEnd w:id="200"/>
    </w:p>
    <w:p w14:paraId="032B5276" w14:textId="699DD546" w:rsidR="00B50E44" w:rsidRPr="0079022C" w:rsidRDefault="0079022C" w:rsidP="0079022C">
      <w:pPr>
        <w:pStyle w:val="Body"/>
        <w:keepNext/>
        <w:spacing w:before="60" w:after="60"/>
      </w:pPr>
      <w:r>
        <w:rPr>
          <w:noProof/>
        </w:rPr>
        <w:drawing>
          <wp:inline distT="0" distB="0" distL="0" distR="0" wp14:anchorId="52647301" wp14:editId="4503DAFF">
            <wp:extent cx="6408000" cy="7909320"/>
            <wp:effectExtent l="0" t="0" r="0" b="0"/>
            <wp:docPr id="202211550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08000" cy="7909320"/>
                    </a:xfrm>
                    <a:prstGeom prst="rect">
                      <a:avLst/>
                    </a:prstGeom>
                    <a:noFill/>
                  </pic:spPr>
                </pic:pic>
              </a:graphicData>
            </a:graphic>
          </wp:inline>
        </w:drawing>
      </w:r>
    </w:p>
    <w:p w14:paraId="3132A67D" w14:textId="08ECE574" w:rsidR="002C3C27" w:rsidRPr="000530B1" w:rsidRDefault="002C3C27" w:rsidP="0079022C">
      <w:pPr>
        <w:pStyle w:val="BaseFigureNotes"/>
        <w:spacing w:before="60" w:after="0"/>
        <w:rPr>
          <w:noProof/>
        </w:rPr>
      </w:pPr>
      <w:r w:rsidRPr="0096120C">
        <w:rPr>
          <w:b/>
          <w:bCs/>
          <w:noProof/>
        </w:rPr>
        <w:t>Note:</w:t>
      </w:r>
      <w:r w:rsidRPr="000530B1">
        <w:rPr>
          <w:noProof/>
        </w:rPr>
        <w:t xml:space="preserve"> Proportions based on responses to the 2025 SES.</w:t>
      </w:r>
    </w:p>
    <w:p w14:paraId="3469F116" w14:textId="750E37AF" w:rsidR="00C20B22" w:rsidRPr="000530B1" w:rsidRDefault="00C20B22" w:rsidP="00231CA6">
      <w:pPr>
        <w:pStyle w:val="Body"/>
        <w:spacing w:after="100"/>
      </w:pPr>
      <w:r w:rsidRPr="000530B1">
        <w:rPr>
          <w:b/>
          <w:bCs/>
        </w:rPr>
        <w:lastRenderedPageBreak/>
        <w:fldChar w:fldCharType="begin"/>
      </w:r>
      <w:r w:rsidRPr="000530B1">
        <w:rPr>
          <w:b/>
          <w:bCs/>
        </w:rPr>
        <w:instrText xml:space="preserve"> REF _Ref217294063 \h  \* MERGEFORMAT </w:instrText>
      </w:r>
      <w:r w:rsidRPr="000530B1">
        <w:rPr>
          <w:b/>
          <w:bCs/>
        </w:rPr>
      </w:r>
      <w:r w:rsidRPr="000530B1">
        <w:rPr>
          <w:b/>
          <w:bCs/>
        </w:rPr>
        <w:fldChar w:fldCharType="separate"/>
      </w:r>
      <w:r w:rsidR="000C6530" w:rsidRPr="000530B1">
        <w:rPr>
          <w:b/>
        </w:rPr>
        <w:t>Figure 4</w:t>
      </w:r>
      <w:r w:rsidRPr="000530B1">
        <w:rPr>
          <w:b/>
          <w:bCs/>
        </w:rPr>
        <w:fldChar w:fldCharType="end"/>
      </w:r>
      <w:r w:rsidR="00F45FA0" w:rsidRPr="000530B1">
        <w:rPr>
          <w:b/>
          <w:bCs/>
        </w:rPr>
        <w:t>7</w:t>
      </w:r>
      <w:r w:rsidRPr="000530B1">
        <w:t xml:space="preserve"> shows that among undergraduates enrolled in internal/m</w:t>
      </w:r>
      <w:r w:rsidR="00B55A00" w:rsidRPr="000530B1">
        <w:t>ulti</w:t>
      </w:r>
      <w:r w:rsidRPr="000530B1">
        <w:t xml:space="preserve">-mode studies, international students were more likely to have participated in </w:t>
      </w:r>
      <w:proofErr w:type="gramStart"/>
      <w:r w:rsidRPr="000530B1">
        <w:t>all of</w:t>
      </w:r>
      <w:proofErr w:type="gramEnd"/>
      <w:r w:rsidRPr="000530B1">
        <w:t xml:space="preserve"> their classes </w:t>
      </w:r>
      <w:proofErr w:type="gramStart"/>
      <w:r w:rsidRPr="000530B1">
        <w:t>on-campus</w:t>
      </w:r>
      <w:proofErr w:type="gramEnd"/>
      <w:r w:rsidRPr="000530B1">
        <w:t xml:space="preserve"> compared to domestic students (53.7 per cent and 37.3 per cent respectively). Among those who reported </w:t>
      </w:r>
      <w:r w:rsidR="00D449B2" w:rsidRPr="000530B1">
        <w:t xml:space="preserve">taking a </w:t>
      </w:r>
      <w:r w:rsidR="0011538D">
        <w:t>‘</w:t>
      </w:r>
      <w:r w:rsidR="00D449B2" w:rsidRPr="0011538D">
        <w:t>blended/hybrid</w:t>
      </w:r>
      <w:r w:rsidR="0011538D">
        <w:t>’</w:t>
      </w:r>
      <w:r w:rsidR="00D449B2" w:rsidRPr="00582DF8">
        <w:rPr>
          <w:i/>
          <w:iCs/>
        </w:rPr>
        <w:t xml:space="preserve"> </w:t>
      </w:r>
      <w:r w:rsidR="00D449B2" w:rsidRPr="000530B1">
        <w:t xml:space="preserve">approach to class </w:t>
      </w:r>
      <w:r w:rsidRPr="000530B1">
        <w:t>participat</w:t>
      </w:r>
      <w:r w:rsidR="00D449B2" w:rsidRPr="000530B1">
        <w:t>ion</w:t>
      </w:r>
      <w:r w:rsidR="007A206A" w:rsidRPr="000530B1">
        <w:t xml:space="preserve"> (</w:t>
      </w:r>
      <w:r w:rsidRPr="000530B1">
        <w:t xml:space="preserve">45.0 per cent of international students and 59.1 per cent of domestic students), international students were more likely to report doing </w:t>
      </w:r>
      <w:r w:rsidR="00AB2807" w:rsidRPr="000530B1">
        <w:rPr>
          <w:i/>
          <w:iCs/>
        </w:rPr>
        <w:t>some</w:t>
      </w:r>
      <w:r w:rsidRPr="000530B1">
        <w:t xml:space="preserve"> online than domestic students (62.3 per cent and 49.3 per cent respectively). In contrast, domestic students were more likely to have done </w:t>
      </w:r>
      <w:r w:rsidR="0011538D">
        <w:t>‘</w:t>
      </w:r>
      <w:r w:rsidR="005C5D33" w:rsidRPr="0011538D">
        <w:t>about half</w:t>
      </w:r>
      <w:r w:rsidR="0011538D">
        <w:t>’</w:t>
      </w:r>
      <w:r w:rsidRPr="000530B1">
        <w:t xml:space="preserve"> or </w:t>
      </w:r>
      <w:r w:rsidR="0011538D">
        <w:t>‘</w:t>
      </w:r>
      <w:r w:rsidRPr="0011538D">
        <w:t>most</w:t>
      </w:r>
      <w:r w:rsidR="0011538D">
        <w:t>’</w:t>
      </w:r>
      <w:r w:rsidRPr="000530B1">
        <w:t xml:space="preserve"> of their classes online in 2025.</w:t>
      </w:r>
    </w:p>
    <w:p w14:paraId="6A86114C" w14:textId="77777777" w:rsidR="00231CA6" w:rsidRDefault="00C20B22" w:rsidP="00231CA6">
      <w:pPr>
        <w:pStyle w:val="Captionaccessible"/>
      </w:pPr>
      <w:bookmarkStart w:id="201" w:name="_Toc239764912"/>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47</w:t>
      </w:r>
      <w:r w:rsidR="00F45FA0">
        <w:rPr>
          <w:noProof/>
        </w:rPr>
        <w:fldChar w:fldCharType="end"/>
      </w:r>
      <w:r w:rsidR="006007C8" w:rsidRPr="000530B1">
        <w:tab/>
      </w:r>
      <w:r w:rsidRPr="000530B1">
        <w:t>Undergraduate class participation for internal/multi-mode students</w:t>
      </w:r>
      <w:r w:rsidR="00C5217A" w:rsidRPr="000530B1">
        <w:t xml:space="preserve"> by citizenship status</w:t>
      </w:r>
      <w:r w:rsidRPr="000530B1">
        <w:t>, 2025</w:t>
      </w:r>
      <w:bookmarkEnd w:id="201"/>
    </w:p>
    <w:p w14:paraId="53ED3EFF" w14:textId="630FA6FD" w:rsidR="00751926" w:rsidRDefault="00231CA6" w:rsidP="00231CA6">
      <w:pPr>
        <w:pStyle w:val="Captionaccessible"/>
        <w:spacing w:before="60"/>
        <w:jc w:val="center"/>
      </w:pPr>
      <w:r w:rsidRPr="00231CA6">
        <w:rPr>
          <w:noProof/>
        </w:rPr>
        <w:drawing>
          <wp:inline distT="0" distB="0" distL="0" distR="0" wp14:anchorId="18F36720" wp14:editId="39851DFD">
            <wp:extent cx="6228000" cy="7599040"/>
            <wp:effectExtent l="0" t="0" r="1905" b="2540"/>
            <wp:docPr id="250874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74758" name=""/>
                    <pic:cNvPicPr/>
                  </pic:nvPicPr>
                  <pic:blipFill>
                    <a:blip r:embed="rId89"/>
                    <a:stretch>
                      <a:fillRect/>
                    </a:stretch>
                  </pic:blipFill>
                  <pic:spPr>
                    <a:xfrm>
                      <a:off x="0" y="0"/>
                      <a:ext cx="6228000" cy="7599040"/>
                    </a:xfrm>
                    <a:prstGeom prst="rect">
                      <a:avLst/>
                    </a:prstGeom>
                  </pic:spPr>
                </pic:pic>
              </a:graphicData>
            </a:graphic>
          </wp:inline>
        </w:drawing>
      </w:r>
    </w:p>
    <w:p w14:paraId="264DF071" w14:textId="404D2049" w:rsidR="00EC19D6" w:rsidRPr="000530B1" w:rsidRDefault="00EC19D6" w:rsidP="00751926">
      <w:pPr>
        <w:pStyle w:val="Body"/>
        <w:spacing w:after="0"/>
        <w:rPr>
          <w:noProof/>
        </w:rPr>
      </w:pPr>
    </w:p>
    <w:p w14:paraId="71C3E116" w14:textId="15F2F12A" w:rsidR="00EC19D6" w:rsidRPr="000530B1" w:rsidRDefault="00EC19D6" w:rsidP="002B00EC">
      <w:pPr>
        <w:pStyle w:val="Body"/>
        <w:spacing w:after="100"/>
      </w:pPr>
      <w:r w:rsidRPr="000530B1">
        <w:lastRenderedPageBreak/>
        <w:t>A key point of difference between domestic and international postgraduate coursework students is study mode (</w:t>
      </w:r>
      <w:r w:rsidRPr="000530B1">
        <w:rPr>
          <w:b/>
          <w:bCs/>
        </w:rPr>
        <w:fldChar w:fldCharType="begin"/>
      </w:r>
      <w:r w:rsidRPr="000530B1">
        <w:rPr>
          <w:b/>
          <w:bCs/>
        </w:rPr>
        <w:instrText xml:space="preserve"> REF _Ref220485111 \h  \* MERGEFORMAT </w:instrText>
      </w:r>
      <w:r w:rsidRPr="000530B1">
        <w:rPr>
          <w:b/>
          <w:bCs/>
        </w:rPr>
      </w:r>
      <w:r w:rsidRPr="000530B1">
        <w:rPr>
          <w:b/>
          <w:bCs/>
        </w:rPr>
        <w:fldChar w:fldCharType="separate"/>
      </w:r>
      <w:r w:rsidR="000C6530" w:rsidRPr="000530B1">
        <w:rPr>
          <w:b/>
        </w:rPr>
        <w:t>Figure 4</w:t>
      </w:r>
      <w:r w:rsidRPr="000530B1">
        <w:rPr>
          <w:b/>
          <w:bCs/>
        </w:rPr>
        <w:fldChar w:fldCharType="end"/>
      </w:r>
      <w:r w:rsidR="00F45FA0" w:rsidRPr="000530B1">
        <w:rPr>
          <w:b/>
          <w:bCs/>
        </w:rPr>
        <w:t>8</w:t>
      </w:r>
      <w:r w:rsidRPr="000530B1">
        <w:t xml:space="preserve">). </w:t>
      </w:r>
      <w:r w:rsidR="003901EF" w:rsidRPr="000530B1">
        <w:t>I</w:t>
      </w:r>
      <w:r w:rsidRPr="000530B1">
        <w:t xml:space="preserve">nternational students, as a condition of their student visa, must undertake at least some of their studies </w:t>
      </w:r>
      <w:proofErr w:type="gramStart"/>
      <w:r w:rsidRPr="000530B1">
        <w:t>on-campus</w:t>
      </w:r>
      <w:proofErr w:type="gramEnd"/>
      <w:r w:rsidRPr="000530B1">
        <w:t>. In addition, domestic postgraduate coursework students are typically older, at a different life stage, and therefore more likely to study externally.</w:t>
      </w:r>
    </w:p>
    <w:p w14:paraId="029EFC3C" w14:textId="256900B9" w:rsidR="00EC19D6" w:rsidRDefault="00EC19D6" w:rsidP="002B00EC">
      <w:pPr>
        <w:pStyle w:val="Captionaccessible"/>
        <w:spacing w:after="40"/>
      </w:pPr>
      <w:bookmarkStart w:id="202" w:name="_Toc239764913"/>
      <w:r w:rsidRPr="000530B1">
        <w:t xml:space="preserve">Figure </w:t>
      </w:r>
      <w:r w:rsidR="00F45FA0">
        <w:fldChar w:fldCharType="begin"/>
      </w:r>
      <w:r w:rsidR="00F45FA0">
        <w:instrText xml:space="preserve"> SEQ Figure \* ARABIC </w:instrText>
      </w:r>
      <w:r w:rsidR="00F45FA0">
        <w:fldChar w:fldCharType="separate"/>
      </w:r>
      <w:r w:rsidR="00F45FA0" w:rsidRPr="000530B1">
        <w:rPr>
          <w:noProof/>
        </w:rPr>
        <w:t>48</w:t>
      </w:r>
      <w:r w:rsidR="00F45FA0">
        <w:rPr>
          <w:noProof/>
        </w:rPr>
        <w:fldChar w:fldCharType="end"/>
      </w:r>
      <w:r w:rsidRPr="000530B1">
        <w:tab/>
        <w:t>Postgraduate coursework study mode and age profile by citizenship status, 2025</w:t>
      </w:r>
      <w:bookmarkEnd w:id="202"/>
    </w:p>
    <w:p w14:paraId="78BA5F57" w14:textId="0C1BCA7A" w:rsidR="0043756D" w:rsidRPr="007B0389" w:rsidRDefault="007B0389" w:rsidP="007B0389">
      <w:pPr>
        <w:pStyle w:val="Body"/>
        <w:spacing w:before="40"/>
        <w:jc w:val="center"/>
        <w:rPr>
          <w:noProof/>
        </w:rPr>
      </w:pPr>
      <w:r w:rsidRPr="007B0389">
        <w:rPr>
          <w:noProof/>
        </w:rPr>
        <w:drawing>
          <wp:inline distT="0" distB="0" distL="0" distR="0" wp14:anchorId="529E1AEA" wp14:editId="0A519442">
            <wp:extent cx="6408000" cy="6003966"/>
            <wp:effectExtent l="0" t="0" r="0" b="0"/>
            <wp:docPr id="955780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80110" name=""/>
                    <pic:cNvPicPr/>
                  </pic:nvPicPr>
                  <pic:blipFill>
                    <a:blip r:embed="rId90"/>
                    <a:stretch>
                      <a:fillRect/>
                    </a:stretch>
                  </pic:blipFill>
                  <pic:spPr>
                    <a:xfrm>
                      <a:off x="0" y="0"/>
                      <a:ext cx="6408000" cy="6003966"/>
                    </a:xfrm>
                    <a:prstGeom prst="rect">
                      <a:avLst/>
                    </a:prstGeom>
                  </pic:spPr>
                </pic:pic>
              </a:graphicData>
            </a:graphic>
          </wp:inline>
        </w:drawing>
      </w:r>
    </w:p>
    <w:p w14:paraId="22DB46F3" w14:textId="29773F41" w:rsidR="00E35603" w:rsidRPr="000530B1" w:rsidRDefault="00E35603" w:rsidP="00D35304">
      <w:pPr>
        <w:pStyle w:val="BaseFigureNotes"/>
        <w:rPr>
          <w:noProof/>
        </w:rPr>
      </w:pPr>
      <w:r w:rsidRPr="0096120C">
        <w:rPr>
          <w:b/>
          <w:bCs/>
          <w:noProof/>
        </w:rPr>
        <w:t>Note:</w:t>
      </w:r>
      <w:r w:rsidRPr="000530B1">
        <w:rPr>
          <w:noProof/>
        </w:rPr>
        <w:t xml:space="preserve"> Proportions based on responses to the 2025 SES.</w:t>
      </w:r>
    </w:p>
    <w:p w14:paraId="501BB754" w14:textId="3667D69D" w:rsidR="00003476" w:rsidRPr="000530B1" w:rsidRDefault="00003476" w:rsidP="002A54CB">
      <w:pPr>
        <w:pStyle w:val="Appendix2"/>
      </w:pPr>
      <w:bookmarkStart w:id="203" w:name="_Toc239764811"/>
      <w:r w:rsidRPr="000530B1">
        <w:t>Relative proportions of international students over time</w:t>
      </w:r>
      <w:bookmarkEnd w:id="203"/>
    </w:p>
    <w:p w14:paraId="12C8F4B4" w14:textId="40B44D68" w:rsidR="00B55A00" w:rsidRPr="002B00EC" w:rsidRDefault="00003476" w:rsidP="009464ED">
      <w:pPr>
        <w:pStyle w:val="Body"/>
        <w:rPr>
          <w:spacing w:val="-2"/>
        </w:rPr>
      </w:pPr>
      <w:r w:rsidRPr="002B00EC">
        <w:rPr>
          <w:spacing w:val="-2"/>
        </w:rPr>
        <w:t>In addition to study mode and class participation differences between domestic and international students, the relative proportion of international students, particularly at the postgraduate coursework level, has shifted over time</w:t>
      </w:r>
      <w:r w:rsidR="00B55A00" w:rsidRPr="002B00EC">
        <w:rPr>
          <w:spacing w:val="-2"/>
        </w:rPr>
        <w:t xml:space="preserve">, </w:t>
      </w:r>
      <w:r w:rsidR="009464ED" w:rsidRPr="002B00EC">
        <w:rPr>
          <w:spacing w:val="-2"/>
        </w:rPr>
        <w:t>reflecting changes in the underlying student population (</w:t>
      </w:r>
      <w:r w:rsidR="009464ED" w:rsidRPr="002B00EC">
        <w:rPr>
          <w:b/>
          <w:bCs/>
          <w:spacing w:val="-2"/>
        </w:rPr>
        <w:fldChar w:fldCharType="begin"/>
      </w:r>
      <w:r w:rsidR="009464ED" w:rsidRPr="002B00EC">
        <w:rPr>
          <w:b/>
          <w:bCs/>
          <w:spacing w:val="-2"/>
        </w:rPr>
        <w:instrText xml:space="preserve"> REF _Ref220056231 \h  \* MERGEFORMAT </w:instrText>
      </w:r>
      <w:r w:rsidR="009464ED" w:rsidRPr="002B00EC">
        <w:rPr>
          <w:b/>
          <w:bCs/>
          <w:spacing w:val="-2"/>
        </w:rPr>
      </w:r>
      <w:r w:rsidR="009464ED" w:rsidRPr="002B00EC">
        <w:rPr>
          <w:b/>
          <w:bCs/>
          <w:spacing w:val="-2"/>
        </w:rPr>
        <w:fldChar w:fldCharType="separate"/>
      </w:r>
      <w:r w:rsidR="000C6530" w:rsidRPr="002B00EC">
        <w:rPr>
          <w:b/>
          <w:spacing w:val="-2"/>
        </w:rPr>
        <w:t xml:space="preserve">Figure </w:t>
      </w:r>
      <w:r w:rsidR="009464ED" w:rsidRPr="002B00EC">
        <w:rPr>
          <w:b/>
          <w:bCs/>
          <w:spacing w:val="-2"/>
        </w:rPr>
        <w:fldChar w:fldCharType="end"/>
      </w:r>
      <w:r w:rsidR="00F45FA0" w:rsidRPr="002B00EC">
        <w:rPr>
          <w:b/>
          <w:bCs/>
          <w:spacing w:val="-2"/>
        </w:rPr>
        <w:t>49</w:t>
      </w:r>
      <w:r w:rsidR="009464ED" w:rsidRPr="002B00EC">
        <w:rPr>
          <w:spacing w:val="-2"/>
        </w:rPr>
        <w:t>).</w:t>
      </w:r>
    </w:p>
    <w:p w14:paraId="3E21D397" w14:textId="725CDBD3" w:rsidR="00BE1C46" w:rsidRPr="002B00EC" w:rsidRDefault="009464ED" w:rsidP="00003476">
      <w:pPr>
        <w:pStyle w:val="Body"/>
        <w:rPr>
          <w:spacing w:val="-2"/>
        </w:rPr>
        <w:sectPr w:rsidR="00BE1C46" w:rsidRPr="002B00EC" w:rsidSect="002D7A52">
          <w:pgSz w:w="11900" w:h="16840"/>
          <w:pgMar w:top="1134" w:right="851" w:bottom="1134" w:left="851" w:header="567" w:footer="567" w:gutter="0"/>
          <w:cols w:space="708"/>
          <w:docGrid w:linePitch="360"/>
        </w:sectPr>
      </w:pPr>
      <w:r w:rsidRPr="002B00EC">
        <w:rPr>
          <w:spacing w:val="-2"/>
        </w:rPr>
        <w:t>The proportion of postgraduate coursework international respondents rose significantly from a 6-year low of 35.7 per cent in 2022 to 58.0 per cent in 2024</w:t>
      </w:r>
      <w:r w:rsidR="00B67FE0" w:rsidRPr="002B00EC">
        <w:rPr>
          <w:spacing w:val="-2"/>
        </w:rPr>
        <w:t xml:space="preserve"> – </w:t>
      </w:r>
      <w:r w:rsidRPr="002B00EC">
        <w:rPr>
          <w:spacing w:val="-2"/>
        </w:rPr>
        <w:t>the highest level recorded since 2017</w:t>
      </w:r>
      <w:r w:rsidR="00B67FE0" w:rsidRPr="002B00EC">
        <w:rPr>
          <w:spacing w:val="-2"/>
        </w:rPr>
        <w:t xml:space="preserve"> – </w:t>
      </w:r>
      <w:r w:rsidRPr="002B00EC">
        <w:rPr>
          <w:spacing w:val="-2"/>
        </w:rPr>
        <w:t>and remained high in 2025 (57.4 per cent). The proportion of international students at the undergraduate level has historically been much smaller but has also been increasing year-on-year since 2021. In 2025, international students accounted for 22.7 per cent of the undergraduate responding population; 2.6 percentage points higher than in 2024 and the highest since 2017</w:t>
      </w:r>
      <w:r w:rsidR="002B00EC" w:rsidRPr="002B00EC">
        <w:rPr>
          <w:spacing w:val="-2"/>
        </w:rPr>
        <w:t>.</w:t>
      </w:r>
    </w:p>
    <w:p w14:paraId="37F6CB8F" w14:textId="76A42FAA" w:rsidR="00003476" w:rsidRPr="000530B1" w:rsidRDefault="00003476" w:rsidP="00194EE0">
      <w:pPr>
        <w:pStyle w:val="Captionaccessible"/>
      </w:pPr>
      <w:bookmarkStart w:id="204" w:name="_Ref230792787"/>
      <w:bookmarkStart w:id="205" w:name="_Toc217223151"/>
      <w:bookmarkStart w:id="206" w:name="_Toc239764914"/>
      <w:r w:rsidRPr="000530B1">
        <w:lastRenderedPageBreak/>
        <w:t xml:space="preserve">Figure </w:t>
      </w:r>
      <w:r w:rsidR="00F45FA0">
        <w:fldChar w:fldCharType="begin"/>
      </w:r>
      <w:r w:rsidR="00F45FA0">
        <w:instrText xml:space="preserve"> SEQ Figure \* ARABIC </w:instrText>
      </w:r>
      <w:r w:rsidR="00F45FA0">
        <w:fldChar w:fldCharType="separate"/>
      </w:r>
      <w:r w:rsidR="00F45FA0" w:rsidRPr="000530B1">
        <w:rPr>
          <w:noProof/>
        </w:rPr>
        <w:t>49</w:t>
      </w:r>
      <w:r w:rsidR="00F45FA0">
        <w:rPr>
          <w:noProof/>
        </w:rPr>
        <w:fldChar w:fldCharType="end"/>
      </w:r>
      <w:bookmarkEnd w:id="204"/>
      <w:r w:rsidR="006007C8" w:rsidRPr="000530B1">
        <w:tab/>
      </w:r>
      <w:r w:rsidRPr="000530B1">
        <w:t xml:space="preserve">Proportion of responses to the SES by </w:t>
      </w:r>
      <w:r w:rsidR="004622F5" w:rsidRPr="000530B1">
        <w:t xml:space="preserve">citizenship status and </w:t>
      </w:r>
      <w:r w:rsidRPr="000530B1">
        <w:t>course level, 2017–25 SES</w:t>
      </w:r>
      <w:bookmarkEnd w:id="205"/>
      <w:bookmarkEnd w:id="206"/>
    </w:p>
    <w:p w14:paraId="008C2247" w14:textId="77777777" w:rsidR="001F713E" w:rsidRDefault="009F54B8" w:rsidP="009F54B8">
      <w:pPr>
        <w:pStyle w:val="Body"/>
        <w:spacing w:after="200"/>
      </w:pPr>
      <w:r w:rsidRPr="009F54B8">
        <w:drawing>
          <wp:inline distT="0" distB="0" distL="0" distR="0" wp14:anchorId="7A780C35" wp14:editId="0C139842">
            <wp:extent cx="9504000" cy="5631069"/>
            <wp:effectExtent l="0" t="0" r="2540" b="8255"/>
            <wp:docPr id="1100097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097274" name=""/>
                    <pic:cNvPicPr/>
                  </pic:nvPicPr>
                  <pic:blipFill>
                    <a:blip r:embed="rId91"/>
                    <a:stretch>
                      <a:fillRect/>
                    </a:stretch>
                  </pic:blipFill>
                  <pic:spPr>
                    <a:xfrm>
                      <a:off x="0" y="0"/>
                      <a:ext cx="9504000" cy="5631069"/>
                    </a:xfrm>
                    <a:prstGeom prst="rect">
                      <a:avLst/>
                    </a:prstGeom>
                  </pic:spPr>
                </pic:pic>
              </a:graphicData>
            </a:graphic>
          </wp:inline>
        </w:drawing>
      </w:r>
    </w:p>
    <w:p w14:paraId="5314E16D" w14:textId="77777777" w:rsidR="004A6053" w:rsidRDefault="004A6053" w:rsidP="009F54B8">
      <w:pPr>
        <w:pStyle w:val="Body"/>
        <w:spacing w:after="200"/>
        <w:sectPr w:rsidR="004A6053" w:rsidSect="004A6053">
          <w:footerReference w:type="even" r:id="rId92"/>
          <w:footerReference w:type="default" r:id="rId93"/>
          <w:pgSz w:w="16838" w:h="11906" w:orient="landscape" w:code="9"/>
          <w:pgMar w:top="1134" w:right="851" w:bottom="1134" w:left="851" w:header="57" w:footer="0" w:gutter="0"/>
          <w:cols w:space="708"/>
          <w:docGrid w:linePitch="360"/>
        </w:sectPr>
      </w:pPr>
    </w:p>
    <w:p w14:paraId="2BD4DB15" w14:textId="213713DC" w:rsidR="007F1A18" w:rsidRPr="000530B1" w:rsidRDefault="007F1A18" w:rsidP="009F54B8">
      <w:pPr>
        <w:pStyle w:val="Body"/>
        <w:spacing w:after="200"/>
      </w:pPr>
    </w:p>
    <w:p w14:paraId="4DE8F53E" w14:textId="1D8DD089" w:rsidR="005F3B62" w:rsidRPr="000530B1" w:rsidRDefault="001F713E" w:rsidP="001F713E">
      <w:pPr>
        <w:pStyle w:val="Body"/>
        <w:spacing w:before="4920" w:after="0" w:line="240" w:lineRule="auto"/>
        <w:ind w:left="-1134"/>
      </w:pPr>
      <w:r w:rsidRPr="000530B1">
        <w:rPr>
          <w:noProof/>
        </w:rPr>
        <w:drawing>
          <wp:anchor distT="0" distB="0" distL="114300" distR="114300" simplePos="0" relativeHeight="251658253" behindDoc="0" locked="0" layoutInCell="1" allowOverlap="1" wp14:anchorId="020E2F30" wp14:editId="6485D462">
            <wp:simplePos x="0" y="0"/>
            <wp:positionH relativeFrom="margin">
              <wp:align>center</wp:align>
            </wp:positionH>
            <wp:positionV relativeFrom="paragraph">
              <wp:posOffset>8938307</wp:posOffset>
            </wp:positionV>
            <wp:extent cx="7056120" cy="372110"/>
            <wp:effectExtent l="0" t="0" r="0" b="8890"/>
            <wp:wrapNone/>
            <wp:docPr id="358354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35483" name="Picture 1">
                      <a:extLst>
                        <a:ext uri="{C183D7F6-B498-43B3-948B-1728B52AA6E4}">
                          <adec:decorative xmlns:adec="http://schemas.microsoft.com/office/drawing/2017/decorative" val="1"/>
                        </a:ext>
                      </a:extLst>
                    </pic:cNvPr>
                    <pic:cNvPicPr>
                      <a:picLocks noChangeAspect="1" noChangeArrowheads="1"/>
                    </pic:cNvPicPr>
                  </pic:nvPicPr>
                  <pic:blipFill>
                    <a:blip r:embed="rId94">
                      <a:extLst>
                        <a:ext uri="{96DAC541-7B7A-43D3-8B79-37D633B846F1}">
                          <asvg:svgBlip xmlns:asvg="http://schemas.microsoft.com/office/drawing/2016/SVG/main" r:embed="rId95"/>
                        </a:ext>
                      </a:extLst>
                    </a:blip>
                    <a:stretch>
                      <a:fillRect/>
                    </a:stretch>
                  </pic:blipFill>
                  <pic:spPr bwMode="auto">
                    <a:xfrm>
                      <a:off x="0" y="0"/>
                      <a:ext cx="7056120" cy="372110"/>
                    </a:xfrm>
                    <a:prstGeom prst="rect">
                      <a:avLst/>
                    </a:prstGeom>
                  </pic:spPr>
                </pic:pic>
              </a:graphicData>
            </a:graphic>
          </wp:anchor>
        </w:drawing>
      </w:r>
      <w:r w:rsidR="00C006D4" w:rsidRPr="000530B1">
        <w:rPr>
          <w:noProof/>
        </w:rPr>
        <w:drawing>
          <wp:inline distT="0" distB="0" distL="0" distR="0" wp14:anchorId="7210FFEA" wp14:editId="1B69AF87">
            <wp:extent cx="7956645" cy="5865428"/>
            <wp:effectExtent l="0" t="0" r="6350" b="2540"/>
            <wp:docPr id="10719778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77848" name="Graphic 1"/>
                    <pic:cNvPicPr/>
                  </pic:nvPicPr>
                  <pic:blipFill>
                    <a:blip r:embed="rId96" cstate="email">
                      <a:extLst>
                        <a:ext uri="{28A0092B-C50C-407E-A947-70E740481C1C}">
                          <a14:useLocalDpi xmlns:a14="http://schemas.microsoft.com/office/drawing/2010/main"/>
                        </a:ext>
                      </a:extLst>
                    </a:blip>
                    <a:stretch>
                      <a:fillRect/>
                    </a:stretch>
                  </pic:blipFill>
                  <pic:spPr>
                    <a:xfrm>
                      <a:off x="0" y="0"/>
                      <a:ext cx="7958512" cy="5866804"/>
                    </a:xfrm>
                    <a:prstGeom prst="rect">
                      <a:avLst/>
                    </a:prstGeom>
                  </pic:spPr>
                </pic:pic>
              </a:graphicData>
            </a:graphic>
          </wp:inline>
        </w:drawing>
      </w:r>
    </w:p>
    <w:sectPr w:rsidR="005F3B62" w:rsidRPr="000530B1" w:rsidSect="001F713E">
      <w:footerReference w:type="default" r:id="rId97"/>
      <w:pgSz w:w="11906" w:h="16838" w:code="9"/>
      <w:pgMar w:top="1134" w:right="851" w:bottom="1134" w:left="851" w:header="57"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AB752" w14:textId="77777777" w:rsidR="00C62EB0" w:rsidRDefault="00C62EB0" w:rsidP="00BE7643">
      <w:r>
        <w:separator/>
      </w:r>
    </w:p>
  </w:endnote>
  <w:endnote w:type="continuationSeparator" w:id="0">
    <w:p w14:paraId="20153B15" w14:textId="77777777" w:rsidR="00C62EB0" w:rsidRDefault="00C62EB0" w:rsidP="00BE7643">
      <w:r>
        <w:continuationSeparator/>
      </w:r>
    </w:p>
  </w:endnote>
  <w:endnote w:type="continuationNotice" w:id="1">
    <w:p w14:paraId="2C378600" w14:textId="77777777" w:rsidR="00C62EB0" w:rsidRDefault="00C62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DINOT-Light">
    <w:altName w:val="Calibri"/>
    <w:charset w:val="00"/>
    <w:family w:val="auto"/>
    <w:pitch w:val="variable"/>
    <w:sig w:usb0="800000AF" w:usb1="4000207B" w:usb2="00000000" w:usb3="00000000" w:csb0="00000001" w:csb1="00000000"/>
  </w:font>
  <w:font w:name="DINOT-Medium">
    <w:altName w:val="Calibri"/>
    <w:charset w:val="00"/>
    <w:family w:val="auto"/>
    <w:pitch w:val="variable"/>
    <w:sig w:usb0="800000AF" w:usb1="4000207B"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Gotham-Light">
    <w:altName w:val="Calibri"/>
    <w:charset w:val="00"/>
    <w:family w:val="auto"/>
    <w:pitch w:val="variable"/>
    <w:sig w:usb0="A100007F" w:usb1="4000005B" w:usb2="00000000" w:usb3="00000000" w:csb0="0000009B" w:csb1="00000000"/>
  </w:font>
  <w:font w:name="CaeciliaLTStd-Heavy">
    <w:altName w:val="Calibri"/>
    <w:charset w:val="00"/>
    <w:family w:val="auto"/>
    <w:pitch w:val="variable"/>
    <w:sig w:usb0="800000AF" w:usb1="5000204A" w:usb2="00000000" w:usb3="00000000" w:csb0="00000001" w:csb1="00000000"/>
  </w:font>
  <w:font w:name="Gotham-Medium">
    <w:altName w:val="Calibri"/>
    <w:charset w:val="00"/>
    <w:family w:val="auto"/>
    <w:pitch w:val="variable"/>
    <w:sig w:usb0="A100007F" w:usb1="4000005B" w:usb2="00000000" w:usb3="00000000" w:csb0="0000009B" w:csb1="00000000"/>
  </w:font>
  <w:font w:name="Gotham-Book">
    <w:altName w:val="Calibri"/>
    <w:charset w:val="00"/>
    <w:family w:val="auto"/>
    <w:pitch w:val="variable"/>
    <w:sig w:usb0="A100007F" w:usb1="4000005B" w:usb2="00000000" w:usb3="00000000" w:csb0="0000009B" w:csb1="00000000"/>
  </w:font>
  <w:font w:name="VIC-Regular">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rial-Black">
    <w:altName w:val="Arial Black"/>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swiss"/>
    <w:pitch w:val="variable"/>
    <w:sig w:usb0="E1000AEF" w:usb1="5000A1FF" w:usb2="00000000" w:usb3="00000000" w:csb0="000001BF" w:csb1="00000000"/>
  </w:font>
  <w:font w:name="DengXian">
    <w:panose1 w:val="02010600030101010101"/>
    <w:charset w:val="86"/>
    <w:family w:val="auto"/>
    <w:pitch w:val="variable"/>
    <w:sig w:usb0="A00002BF" w:usb1="38CF7CFA" w:usb2="00000016" w:usb3="00000000" w:csb0="0004000F" w:csb1="00000000"/>
  </w:font>
  <w:font w:name="Klavika">
    <w:altName w:val="Calibri"/>
    <w:charset w:val="00"/>
    <w:family w:val="auto"/>
    <w:pitch w:val="variable"/>
    <w:sig w:usb0="A00000AF" w:usb1="5000204A" w:usb2="00000000" w:usb3="00000000" w:csb0="0000009F" w:csb1="00000000"/>
  </w:font>
  <w:font w:name="Atletico">
    <w:altName w:val="Calibri"/>
    <w:panose1 w:val="00000000000000000000"/>
    <w:charset w:val="4D"/>
    <w:family w:val="auto"/>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Bold">
    <w:altName w:val="Calibri"/>
    <w:charset w:val="4D"/>
    <w:family w:val="auto"/>
    <w:pitch w:val="default"/>
    <w:sig w:usb0="00000003" w:usb1="00000000" w:usb2="00000000" w:usb3="00000000" w:csb0="00000001" w:csb1="00000000"/>
  </w:font>
  <w:font w:name="Calibri-Light">
    <w:altName w:val="Calibri"/>
    <w:charset w:val="4D"/>
    <w:family w:val="auto"/>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Quicksand SemiBold">
    <w:charset w:val="4D"/>
    <w:family w:val="auto"/>
    <w:pitch w:val="variable"/>
    <w:sig w:usb0="A00000FF" w:usb1="4000205B" w:usb2="00000000" w:usb3="00000000" w:csb0="00000193" w:csb1="00000000"/>
  </w:font>
  <w:font w:name="Quicksand">
    <w:charset w:val="00"/>
    <w:family w:val="auto"/>
    <w:pitch w:val="variable"/>
    <w:sig w:usb0="A00000FF" w:usb1="4000205B" w:usb2="00000000" w:usb3="00000000" w:csb0="00000193" w:csb1="00000000"/>
  </w:font>
  <w:font w:name="Public Sans Medium">
    <w:altName w:val="Calibri"/>
    <w:charset w:val="4D"/>
    <w:family w:val="auto"/>
    <w:pitch w:val="variable"/>
    <w:sig w:usb0="A00000FF" w:usb1="4000205B" w:usb2="00000000" w:usb3="00000000" w:csb0="00000193" w:csb1="00000000"/>
  </w:font>
  <w:font w:name="Arial Bold">
    <w:panose1 w:val="020B0704020202020204"/>
    <w:charset w:val="00"/>
    <w:family w:val="swiss"/>
    <w:pitch w:val="variable"/>
    <w:sig w:usb0="00003A87" w:usb1="00000000" w:usb2="00000000"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B1AC" w14:textId="53E96290" w:rsidR="001D61B7" w:rsidRPr="00A50750" w:rsidRDefault="001D61B7" w:rsidP="00A450C5">
    <w:pPr>
      <w:pStyle w:val="NoSpacing"/>
      <w:tabs>
        <w:tab w:val="right" w:pos="9638"/>
      </w:tabs>
      <w:rPr>
        <w:rFonts w:cs="Arial"/>
        <w:b/>
        <w:bCs/>
        <w:sz w:val="18"/>
      </w:rPr>
    </w:pPr>
    <w:r w:rsidRPr="00A50750">
      <w:rPr>
        <w:rFonts w:cs="Arial"/>
        <w:sz w:val="18"/>
      </w:rPr>
      <w:tab/>
    </w:r>
    <w:r w:rsidR="002349A3" w:rsidRPr="00A50750">
      <w:rPr>
        <w:rFonts w:cs="Arial"/>
        <w:sz w:val="18"/>
      </w:rPr>
      <w:t>Proposal</w:t>
    </w:r>
    <w:r w:rsidRPr="00A50750">
      <w:rPr>
        <w:rFonts w:cs="Arial"/>
        <w:sz w:val="18"/>
      </w:rPr>
      <w:t xml:space="preserve"> name</w:t>
    </w:r>
  </w:p>
  <w:p w14:paraId="69ABFBB5" w14:textId="1428E148" w:rsidR="001D61B7" w:rsidRPr="00A50750" w:rsidRDefault="001D61B7" w:rsidP="00A450C5">
    <w:pPr>
      <w:pStyle w:val="NoSpacing"/>
      <w:tabs>
        <w:tab w:val="right" w:pos="9638"/>
      </w:tabs>
      <w:rPr>
        <w:rFonts w:cs="Arial"/>
        <w:sz w:val="18"/>
      </w:rPr>
    </w:pPr>
    <w:r w:rsidRPr="00A50750">
      <w:rPr>
        <w:rFonts w:cs="Arial"/>
        <w:sz w:val="18"/>
      </w:rPr>
      <w:fldChar w:fldCharType="begin"/>
    </w:r>
    <w:r w:rsidRPr="00A50750">
      <w:rPr>
        <w:rFonts w:cs="Arial"/>
        <w:sz w:val="18"/>
      </w:rPr>
      <w:instrText xml:space="preserve"> PAGE   \* MERGEFORMAT </w:instrText>
    </w:r>
    <w:r w:rsidRPr="00A50750">
      <w:rPr>
        <w:rFonts w:cs="Arial"/>
        <w:sz w:val="18"/>
      </w:rPr>
      <w:fldChar w:fldCharType="separate"/>
    </w:r>
    <w:r w:rsidRPr="00A50750">
      <w:rPr>
        <w:rFonts w:cs="Arial"/>
        <w:noProof/>
        <w:sz w:val="18"/>
      </w:rPr>
      <w:t>1</w:t>
    </w:r>
    <w:r w:rsidRPr="00A50750">
      <w:rPr>
        <w:rFonts w:cs="Arial"/>
        <w:noProof/>
        <w:sz w:val="18"/>
      </w:rPr>
      <w:fldChar w:fldCharType="end"/>
    </w:r>
    <w:r w:rsidRPr="00A50750">
      <w:rPr>
        <w:rFonts w:cs="Arial"/>
        <w:sz w:val="18"/>
      </w:rPr>
      <w:tab/>
      <w:t xml:space="preserve">Prepared by </w:t>
    </w:r>
    <w:r w:rsidR="001808B2" w:rsidRPr="00A50750">
      <w:rPr>
        <w:rFonts w:cs="Arial"/>
        <w:sz w:val="18"/>
      </w:rPr>
      <w:t>t</w:t>
    </w:r>
    <w:r w:rsidRPr="00A50750">
      <w:rPr>
        <w:rFonts w:cs="Arial"/>
        <w:sz w:val="18"/>
      </w:rPr>
      <w:t>he Social Research Cent</w:t>
    </w:r>
    <w:r w:rsidR="000E1BF4" w:rsidRPr="00A50750">
      <w:rPr>
        <w:rFonts w:cs="Arial"/>
        <w:sz w:val="18"/>
      </w:rPr>
      <w: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B424" w14:textId="0615B502" w:rsidR="00F91A59" w:rsidRPr="00F91A59" w:rsidRDefault="00F91A59" w:rsidP="00D9472B">
    <w:pPr>
      <w:pStyle w:val="Footer"/>
      <w:tabs>
        <w:tab w:val="right" w:pos="9639"/>
      </w:tabs>
      <w:spacing w:before="60"/>
      <w:rPr>
        <w:rFonts w:cs="Arial"/>
        <w:sz w:val="18"/>
      </w:rPr>
    </w:pPr>
    <w:r w:rsidRPr="00F91A59">
      <w:rPr>
        <w:rFonts w:cs="Arial"/>
        <w:noProof/>
        <w:sz w:val="18"/>
      </w:rPr>
      <w:drawing>
        <wp:anchor distT="0" distB="0" distL="114300" distR="114300" simplePos="0" relativeHeight="251658240" behindDoc="0" locked="0" layoutInCell="1" allowOverlap="1" wp14:anchorId="79F84BD6" wp14:editId="57E162D2">
          <wp:simplePos x="0" y="0"/>
          <wp:positionH relativeFrom="column">
            <wp:posOffset>-467842</wp:posOffset>
          </wp:positionH>
          <wp:positionV relativeFrom="paragraph">
            <wp:posOffset>31246</wp:posOffset>
          </wp:positionV>
          <wp:extent cx="401554" cy="193341"/>
          <wp:effectExtent l="0" t="0" r="5080" b="0"/>
          <wp:wrapNone/>
          <wp:docPr id="1510424861"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80852"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401554" cy="193341"/>
                  </a:xfrm>
                  <a:prstGeom prst="rect">
                    <a:avLst/>
                  </a:prstGeom>
                </pic:spPr>
              </pic:pic>
            </a:graphicData>
          </a:graphic>
          <wp14:sizeRelH relativeFrom="page">
            <wp14:pctWidth>0</wp14:pctWidth>
          </wp14:sizeRelH>
          <wp14:sizeRelV relativeFrom="page">
            <wp14:pctHeight>0</wp14:pctHeight>
          </wp14:sizeRelV>
        </wp:anchor>
      </w:drawing>
    </w:r>
    <w:r w:rsidR="00FE4D87">
      <w:rPr>
        <w:rFonts w:cs="Arial"/>
        <w:noProof/>
        <w:sz w:val="18"/>
      </w:rPr>
      <w:t>2025 Student Experience Survey (SES)</w:t>
    </w:r>
  </w:p>
  <w:p w14:paraId="16ACB068" w14:textId="665D5106" w:rsidR="00F91A59" w:rsidRPr="00F91A59" w:rsidRDefault="003773A9" w:rsidP="00F91A59">
    <w:pPr>
      <w:pStyle w:val="Footer"/>
      <w:tabs>
        <w:tab w:val="clear" w:pos="4513"/>
        <w:tab w:val="clear" w:pos="9026"/>
        <w:tab w:val="right" w:pos="9639"/>
      </w:tabs>
      <w:rPr>
        <w:rFonts w:cs="Arial"/>
        <w:sz w:val="18"/>
      </w:rPr>
    </w:pPr>
    <w:r>
      <w:rPr>
        <w:rFonts w:cs="Arial"/>
        <w:sz w:val="18"/>
      </w:rPr>
      <w:t>National Report</w:t>
    </w:r>
    <w:r w:rsidR="00ED6378">
      <w:rPr>
        <w:rFonts w:cs="Arial"/>
        <w:sz w:val="18"/>
      </w:rPr>
      <w:ptab w:relativeTo="margin" w:alignment="right" w:leader="none"/>
    </w:r>
    <w:r w:rsidR="00F91A59" w:rsidRPr="00F91A59">
      <w:rPr>
        <w:rFonts w:cs="Arial"/>
        <w:sz w:val="18"/>
      </w:rPr>
      <w:fldChar w:fldCharType="begin"/>
    </w:r>
    <w:r w:rsidR="00F91A59" w:rsidRPr="00F91A59">
      <w:rPr>
        <w:rFonts w:cs="Arial"/>
        <w:sz w:val="18"/>
      </w:rPr>
      <w:instrText xml:space="preserve"> PAGE   \* MERGEFORMAT </w:instrText>
    </w:r>
    <w:r w:rsidR="00F91A59" w:rsidRPr="00F91A59">
      <w:rPr>
        <w:rFonts w:cs="Arial"/>
        <w:sz w:val="18"/>
      </w:rPr>
      <w:fldChar w:fldCharType="separate"/>
    </w:r>
    <w:proofErr w:type="spellStart"/>
    <w:r w:rsidR="00F91A59" w:rsidRPr="00F91A59">
      <w:rPr>
        <w:rFonts w:cs="Arial"/>
        <w:sz w:val="18"/>
      </w:rPr>
      <w:t>i</w:t>
    </w:r>
    <w:proofErr w:type="spellEnd"/>
    <w:r w:rsidR="00F91A59" w:rsidRPr="00F91A59">
      <w:rPr>
        <w:rFonts w:cs="Arial"/>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1656" w14:textId="31D74D98" w:rsidR="004C262D" w:rsidRPr="004C262D" w:rsidRDefault="004C262D" w:rsidP="004C26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C37E" w14:textId="77777777" w:rsidR="00764E61" w:rsidRPr="00F91A59" w:rsidRDefault="00764E61" w:rsidP="00D9472B">
    <w:pPr>
      <w:pStyle w:val="Footer"/>
      <w:tabs>
        <w:tab w:val="right" w:pos="9639"/>
      </w:tabs>
      <w:spacing w:before="60"/>
      <w:rPr>
        <w:rFonts w:cs="Arial"/>
        <w:sz w:val="18"/>
      </w:rPr>
    </w:pPr>
    <w:r w:rsidRPr="00F91A59">
      <w:rPr>
        <w:rFonts w:cs="Arial"/>
        <w:noProof/>
        <w:sz w:val="18"/>
      </w:rPr>
      <w:drawing>
        <wp:anchor distT="0" distB="0" distL="114300" distR="114300" simplePos="0" relativeHeight="251662336" behindDoc="0" locked="0" layoutInCell="1" allowOverlap="1" wp14:anchorId="10D51B27" wp14:editId="5A7F65CF">
          <wp:simplePos x="0" y="0"/>
          <wp:positionH relativeFrom="column">
            <wp:posOffset>-467842</wp:posOffset>
          </wp:positionH>
          <wp:positionV relativeFrom="paragraph">
            <wp:posOffset>31246</wp:posOffset>
          </wp:positionV>
          <wp:extent cx="401554" cy="193341"/>
          <wp:effectExtent l="0" t="0" r="5080" b="0"/>
          <wp:wrapNone/>
          <wp:docPr id="2087950498"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80852"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401554" cy="193341"/>
                  </a:xfrm>
                  <a:prstGeom prst="rect">
                    <a:avLst/>
                  </a:prstGeom>
                </pic:spPr>
              </pic:pic>
            </a:graphicData>
          </a:graphic>
          <wp14:sizeRelH relativeFrom="page">
            <wp14:pctWidth>0</wp14:pctWidth>
          </wp14:sizeRelH>
          <wp14:sizeRelV relativeFrom="page">
            <wp14:pctHeight>0</wp14:pctHeight>
          </wp14:sizeRelV>
        </wp:anchor>
      </w:drawing>
    </w:r>
    <w:r>
      <w:rPr>
        <w:rFonts w:cs="Arial"/>
        <w:noProof/>
        <w:sz w:val="18"/>
      </w:rPr>
      <w:t>2025 Student Experience Survey (SES)</w:t>
    </w:r>
  </w:p>
  <w:p w14:paraId="0CBB8474" w14:textId="77777777" w:rsidR="00764E61" w:rsidRPr="00F91A59" w:rsidRDefault="00764E61" w:rsidP="00F91A59">
    <w:pPr>
      <w:pStyle w:val="Footer"/>
      <w:tabs>
        <w:tab w:val="clear" w:pos="4513"/>
        <w:tab w:val="clear" w:pos="9026"/>
        <w:tab w:val="right" w:pos="9639"/>
      </w:tabs>
      <w:rPr>
        <w:rFonts w:cs="Arial"/>
        <w:sz w:val="18"/>
      </w:rPr>
    </w:pPr>
    <w:r>
      <w:rPr>
        <w:rFonts w:cs="Arial"/>
        <w:sz w:val="18"/>
      </w:rPr>
      <w:t>National Report</w:t>
    </w:r>
    <w:r>
      <w:rPr>
        <w:rFonts w:cs="Arial"/>
        <w:sz w:val="18"/>
      </w:rPr>
      <w:ptab w:relativeTo="margin" w:alignment="right" w:leader="none"/>
    </w:r>
    <w:r w:rsidRPr="00F91A59">
      <w:rPr>
        <w:rFonts w:cs="Arial"/>
        <w:sz w:val="18"/>
      </w:rPr>
      <w:fldChar w:fldCharType="begin"/>
    </w:r>
    <w:r w:rsidRPr="00F91A59">
      <w:rPr>
        <w:rFonts w:cs="Arial"/>
        <w:sz w:val="18"/>
      </w:rPr>
      <w:instrText xml:space="preserve"> PAGE   \* MERGEFORMAT </w:instrText>
    </w:r>
    <w:r w:rsidRPr="00F91A59">
      <w:rPr>
        <w:rFonts w:cs="Arial"/>
        <w:sz w:val="18"/>
      </w:rPr>
      <w:fldChar w:fldCharType="separate"/>
    </w:r>
    <w:proofErr w:type="spellStart"/>
    <w:r w:rsidRPr="00F91A59">
      <w:rPr>
        <w:rFonts w:cs="Arial"/>
        <w:sz w:val="18"/>
      </w:rPr>
      <w:t>i</w:t>
    </w:r>
    <w:proofErr w:type="spellEnd"/>
    <w:r w:rsidRPr="00F91A59">
      <w:rPr>
        <w:rFonts w:cs="Arial"/>
        <w:noProof/>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6FF0" w14:textId="0A6DC92F" w:rsidR="004F5DBB" w:rsidRPr="004F5DBB" w:rsidRDefault="004F5DBB" w:rsidP="004F5DB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056E" w14:textId="77777777" w:rsidR="00764E61" w:rsidRPr="00F91A59" w:rsidRDefault="00764E61" w:rsidP="00764E61">
    <w:pPr>
      <w:pStyle w:val="Footer"/>
      <w:tabs>
        <w:tab w:val="right" w:pos="9639"/>
      </w:tabs>
      <w:spacing w:before="60"/>
      <w:rPr>
        <w:rFonts w:cs="Arial"/>
        <w:sz w:val="18"/>
      </w:rPr>
    </w:pPr>
    <w:r w:rsidRPr="00F91A59">
      <w:rPr>
        <w:rFonts w:cs="Arial"/>
        <w:noProof/>
        <w:sz w:val="18"/>
      </w:rPr>
      <w:drawing>
        <wp:anchor distT="0" distB="0" distL="114300" distR="114300" simplePos="0" relativeHeight="251660288" behindDoc="0" locked="0" layoutInCell="1" allowOverlap="1" wp14:anchorId="1B5A30D5" wp14:editId="6E101B97">
          <wp:simplePos x="0" y="0"/>
          <wp:positionH relativeFrom="column">
            <wp:posOffset>-467842</wp:posOffset>
          </wp:positionH>
          <wp:positionV relativeFrom="paragraph">
            <wp:posOffset>31246</wp:posOffset>
          </wp:positionV>
          <wp:extent cx="401554" cy="193341"/>
          <wp:effectExtent l="0" t="0" r="5080" b="0"/>
          <wp:wrapNone/>
          <wp:docPr id="868625250"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80852"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401554" cy="193341"/>
                  </a:xfrm>
                  <a:prstGeom prst="rect">
                    <a:avLst/>
                  </a:prstGeom>
                </pic:spPr>
              </pic:pic>
            </a:graphicData>
          </a:graphic>
          <wp14:sizeRelH relativeFrom="page">
            <wp14:pctWidth>0</wp14:pctWidth>
          </wp14:sizeRelH>
          <wp14:sizeRelV relativeFrom="page">
            <wp14:pctHeight>0</wp14:pctHeight>
          </wp14:sizeRelV>
        </wp:anchor>
      </w:drawing>
    </w:r>
    <w:r>
      <w:rPr>
        <w:rFonts w:cs="Arial"/>
        <w:noProof/>
        <w:sz w:val="18"/>
      </w:rPr>
      <w:t>2025 Student Experience Survey (SES)</w:t>
    </w:r>
  </w:p>
  <w:p w14:paraId="77893F0B" w14:textId="5C2F3D94" w:rsidR="00764E61" w:rsidRDefault="00764E61" w:rsidP="00764E61">
    <w:pPr>
      <w:pStyle w:val="Footer"/>
      <w:jc w:val="right"/>
    </w:pPr>
    <w:r>
      <w:rPr>
        <w:rFonts w:cs="Arial"/>
        <w:sz w:val="18"/>
      </w:rPr>
      <w:t>National Report</w:t>
    </w:r>
    <w:r>
      <w:rPr>
        <w:rFonts w:cs="Arial"/>
        <w:sz w:val="18"/>
      </w:rPr>
      <w:ptab w:relativeTo="margin" w:alignment="right" w:leader="none"/>
    </w:r>
    <w:sdt>
      <w:sdtPr>
        <w:id w:val="-674872768"/>
        <w:docPartObj>
          <w:docPartGallery w:val="Page Numbers (Bottom of Page)"/>
          <w:docPartUnique/>
        </w:docPartObj>
      </w:sdtPr>
      <w:sdtContent>
        <w:r>
          <w:fldChar w:fldCharType="begin"/>
        </w:r>
        <w:r>
          <w:instrText>PAGE   \* MERGEFORMAT</w:instrText>
        </w:r>
        <w:r>
          <w:fldChar w:fldCharType="separate"/>
        </w:r>
        <w:r>
          <w:rPr>
            <w:lang w:val="en-GB"/>
          </w:rPr>
          <w:t>2</w:t>
        </w:r>
        <w:r>
          <w:fldChar w:fldCharType="end"/>
        </w:r>
      </w:sdtContent>
    </w:sdt>
  </w:p>
  <w:p w14:paraId="0EE8417F" w14:textId="202A11F6" w:rsidR="00021179" w:rsidRPr="0050671B" w:rsidRDefault="00021179">
    <w:pPr>
      <w:pStyle w:val="Footer"/>
      <w:rPr>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3457" w14:textId="77777777" w:rsidR="00764E61" w:rsidRPr="0050671B" w:rsidRDefault="00764E61">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03241" w14:textId="77777777" w:rsidR="00C62EB0" w:rsidRDefault="00C62EB0" w:rsidP="00BE7643">
      <w:r>
        <w:separator/>
      </w:r>
    </w:p>
  </w:footnote>
  <w:footnote w:type="continuationSeparator" w:id="0">
    <w:p w14:paraId="664549A0" w14:textId="77777777" w:rsidR="00C62EB0" w:rsidRDefault="00C62EB0" w:rsidP="00BE7643">
      <w:r>
        <w:continuationSeparator/>
      </w:r>
    </w:p>
  </w:footnote>
  <w:footnote w:type="continuationNotice" w:id="1">
    <w:p w14:paraId="5BB69BC4" w14:textId="77777777" w:rsidR="00C62EB0" w:rsidRDefault="00C62EB0"/>
  </w:footnote>
  <w:footnote w:id="2">
    <w:p w14:paraId="40ACC82C" w14:textId="77777777" w:rsidR="00CA3AE5" w:rsidRPr="00EB4AD4" w:rsidRDefault="00CA3AE5" w:rsidP="00D34848">
      <w:pPr>
        <w:pStyle w:val="FootnoteText"/>
        <w:rPr>
          <w:lang w:val="en-AU"/>
        </w:rPr>
      </w:pPr>
      <w:r w:rsidRPr="00CC1AB5">
        <w:rPr>
          <w:rStyle w:val="FootnoteReference"/>
          <w:sz w:val="18"/>
          <w:szCs w:val="18"/>
        </w:rPr>
        <w:footnoteRef/>
      </w:r>
      <w:r w:rsidRPr="00CC1AB5">
        <w:rPr>
          <w:szCs w:val="18"/>
        </w:rPr>
        <w:t xml:space="preserve"> </w:t>
      </w:r>
      <w:r w:rsidRPr="00B45700">
        <w:rPr>
          <w:shd w:val="clear" w:color="auto" w:fill="FFFFFF"/>
        </w:rPr>
        <w:t>Allen, K. A., Kern, M. L., Rozek, C. S., McInerney, D. M., &amp; Slavich, G. M. (2021). Belonging: a review of conceptual issues, an integrative framework, and directions for future research. </w:t>
      </w:r>
      <w:r w:rsidRPr="00B45700">
        <w:rPr>
          <w:i/>
          <w:iCs/>
          <w:shd w:val="clear" w:color="auto" w:fill="FFFFFF"/>
        </w:rPr>
        <w:t>Australian Journal of Psychology</w:t>
      </w:r>
      <w:r w:rsidRPr="00B45700">
        <w:rPr>
          <w:shd w:val="clear" w:color="auto" w:fill="FFFFFF"/>
        </w:rPr>
        <w:t>, </w:t>
      </w:r>
      <w:r w:rsidRPr="00B45700">
        <w:rPr>
          <w:i/>
          <w:iCs/>
          <w:shd w:val="clear" w:color="auto" w:fill="FFFFFF"/>
        </w:rPr>
        <w:t>73</w:t>
      </w:r>
      <w:r w:rsidRPr="00B45700">
        <w:rPr>
          <w:shd w:val="clear" w:color="auto" w:fill="FFFFFF"/>
        </w:rPr>
        <w:t>(1), 87–102. https://doi.org/10.1080/00049530.2021.1883409</w:t>
      </w:r>
    </w:p>
  </w:footnote>
  <w:footnote w:id="3">
    <w:p w14:paraId="3F881C72" w14:textId="77777777" w:rsidR="00CA3AE5" w:rsidRPr="00EB4AD4" w:rsidRDefault="00CA3AE5" w:rsidP="00D34848">
      <w:pPr>
        <w:pStyle w:val="FootnoteText"/>
        <w:rPr>
          <w:lang w:val="en-AU"/>
        </w:rPr>
      </w:pPr>
      <w:r w:rsidRPr="00CC1AB5">
        <w:rPr>
          <w:rStyle w:val="FootnoteReference"/>
          <w:sz w:val="18"/>
          <w:szCs w:val="18"/>
        </w:rPr>
        <w:footnoteRef/>
      </w:r>
      <w:r w:rsidRPr="00CC1AB5">
        <w:rPr>
          <w:szCs w:val="18"/>
        </w:rPr>
        <w:t xml:space="preserve"> </w:t>
      </w:r>
      <w:r w:rsidRPr="00B45700">
        <w:rPr>
          <w:shd w:val="clear" w:color="auto" w:fill="FFFFFF"/>
        </w:rPr>
        <w:t>Crawford, J., Allen, K. A., Sanders, T., Baumeister, R., Parker, P., Saunders, C., &amp; Tice, D. (2024). Sense of belonging in higher education students: an Australian longitudinal study from 2013 to 2019. </w:t>
      </w:r>
      <w:r w:rsidRPr="00B45700">
        <w:rPr>
          <w:i/>
          <w:iCs/>
          <w:shd w:val="clear" w:color="auto" w:fill="FFFFFF"/>
        </w:rPr>
        <w:t>Studies in Higher Education</w:t>
      </w:r>
      <w:r w:rsidRPr="00B45700">
        <w:rPr>
          <w:shd w:val="clear" w:color="auto" w:fill="FFFFFF"/>
        </w:rPr>
        <w:t>, </w:t>
      </w:r>
      <w:r w:rsidRPr="00B45700">
        <w:rPr>
          <w:i/>
          <w:iCs/>
          <w:shd w:val="clear" w:color="auto" w:fill="FFFFFF"/>
        </w:rPr>
        <w:t>49</w:t>
      </w:r>
      <w:r w:rsidRPr="00B45700">
        <w:rPr>
          <w:shd w:val="clear" w:color="auto" w:fill="FFFFFF"/>
        </w:rPr>
        <w:t>(3), 395–409. https://doi.org/10.1080/03075079.2023.2238006</w:t>
      </w:r>
    </w:p>
  </w:footnote>
  <w:footnote w:id="4">
    <w:p w14:paraId="3CA937A8" w14:textId="2A3B8F92" w:rsidR="0098706C" w:rsidRPr="006C0171" w:rsidRDefault="0098706C" w:rsidP="00F64442">
      <w:pPr>
        <w:pStyle w:val="FootnoteText"/>
      </w:pPr>
      <w:r w:rsidRPr="00CC1AB5">
        <w:rPr>
          <w:rStyle w:val="FootnoteReference"/>
          <w:rFonts w:cs="Arial"/>
          <w:sz w:val="18"/>
          <w:szCs w:val="18"/>
        </w:rPr>
        <w:footnoteRef/>
      </w:r>
      <w:r w:rsidRPr="00CC1AB5">
        <w:rPr>
          <w:szCs w:val="18"/>
        </w:rPr>
        <w:t xml:space="preserve"> </w:t>
      </w:r>
      <w:r w:rsidRPr="00817092">
        <w:rPr>
          <w:spacing w:val="-2"/>
        </w:rPr>
        <w:t>Later-year students include students in the final year of study from universities and all middle year and final year students from</w:t>
      </w:r>
      <w:r w:rsidR="00F64442" w:rsidRPr="00817092">
        <w:rPr>
          <w:spacing w:val="-2"/>
        </w:rPr>
        <w:t> </w:t>
      </w:r>
      <w:r w:rsidRPr="00817092">
        <w:rPr>
          <w:spacing w:val="-2"/>
        </w:rPr>
        <w:t>non-university higher education institutions (NUHEIs). A student’s stage of studies is an approximation only based on the ratio</w:t>
      </w:r>
      <w:r w:rsidR="00F64442" w:rsidRPr="00817092">
        <w:rPr>
          <w:spacing w:val="-2"/>
        </w:rPr>
        <w:t> </w:t>
      </w:r>
      <w:r w:rsidRPr="00817092">
        <w:rPr>
          <w:spacing w:val="-2"/>
        </w:rPr>
        <w:t>of a student’s accumulated equivalent full-time study load (EFTSL) to the total EFTSL of the course they are currently enrolled</w:t>
      </w:r>
      <w:r w:rsidR="00817092" w:rsidRPr="00817092">
        <w:rPr>
          <w:spacing w:val="-2"/>
        </w:rPr>
        <w:t xml:space="preserve"> </w:t>
      </w:r>
      <w:r w:rsidRPr="00817092">
        <w:rPr>
          <w:spacing w:val="-2"/>
        </w:rPr>
        <w:t>in.</w:t>
      </w:r>
    </w:p>
  </w:footnote>
  <w:footnote w:id="5">
    <w:p w14:paraId="018A124D" w14:textId="6EF925A5" w:rsidR="00623E3D" w:rsidRDefault="00623E3D" w:rsidP="00D34848">
      <w:pPr>
        <w:pStyle w:val="FootnoteText"/>
      </w:pPr>
      <w:r w:rsidRPr="00D71779">
        <w:rPr>
          <w:rStyle w:val="FootnoteReference"/>
          <w:sz w:val="18"/>
          <w:szCs w:val="18"/>
        </w:rPr>
        <w:footnoteRef/>
      </w:r>
      <w:r w:rsidRPr="00D71779">
        <w:rPr>
          <w:szCs w:val="18"/>
        </w:rPr>
        <w:t xml:space="preserve"> </w:t>
      </w:r>
      <w:r w:rsidRPr="00041B06">
        <w:t xml:space="preserve">Home language other than English refers to </w:t>
      </w:r>
      <w:r>
        <w:t>students</w:t>
      </w:r>
      <w:r w:rsidRPr="00041B06">
        <w:t xml:space="preserve"> who arrived in Australia less than 10 years prior to the year in which the data was collected and come from a home where a language other than English is spoken. This information is reported by institutions through the TCSI system.</w:t>
      </w:r>
      <w:r>
        <w:t xml:space="preserve"> Home language data reported in the SES National Report include </w:t>
      </w:r>
      <w:r w:rsidR="00955601">
        <w:t>both</w:t>
      </w:r>
      <w:r w:rsidR="002C5B46">
        <w:t xml:space="preserve"> </w:t>
      </w:r>
      <w:r>
        <w:t>domestic</w:t>
      </w:r>
      <w:r w:rsidR="00955601">
        <w:t xml:space="preserve"> and international</w:t>
      </w:r>
      <w:r>
        <w:t xml:space="preserve"> students.</w:t>
      </w:r>
    </w:p>
  </w:footnote>
  <w:footnote w:id="6">
    <w:p w14:paraId="1D43626D" w14:textId="77777777" w:rsidR="002B1E3A" w:rsidRPr="000947B0" w:rsidRDefault="002B1E3A" w:rsidP="001213B7">
      <w:pPr>
        <w:pStyle w:val="FootnoteText"/>
        <w:rPr>
          <w:lang w:val="en-AU"/>
        </w:rPr>
      </w:pPr>
      <w:r w:rsidRPr="00245D19">
        <w:rPr>
          <w:rStyle w:val="FootnoteReference"/>
          <w:sz w:val="18"/>
          <w:szCs w:val="18"/>
        </w:rPr>
        <w:footnoteRef/>
      </w:r>
      <w:r w:rsidRPr="00245D19">
        <w:rPr>
          <w:szCs w:val="18"/>
        </w:rPr>
        <w:t xml:space="preserve"> </w:t>
      </w:r>
      <w:r>
        <w:rPr>
          <w:rFonts w:eastAsiaTheme="minorEastAsia" w:cs="Arial"/>
          <w:lang w:eastAsia="en-GB"/>
        </w:rPr>
        <w:t xml:space="preserve">Refer to </w:t>
      </w:r>
      <w:r w:rsidRPr="00A21F57">
        <w:rPr>
          <w:rFonts w:eastAsiaTheme="minorEastAsia" w:cs="Arial"/>
          <w:lang w:eastAsia="en-GB"/>
        </w:rPr>
        <w:t>FOCUS_UG_ALL_1Y_AREA45</w:t>
      </w:r>
      <w:r>
        <w:rPr>
          <w:rFonts w:eastAsiaTheme="minorEastAsia" w:cs="Arial"/>
          <w:lang w:eastAsia="en-GB"/>
        </w:rPr>
        <w:t xml:space="preserve"> and </w:t>
      </w:r>
      <w:r w:rsidRPr="00A21F57">
        <w:rPr>
          <w:rFonts w:eastAsiaTheme="minorEastAsia" w:cs="Arial"/>
          <w:lang w:eastAsia="en-GB"/>
        </w:rPr>
        <w:t>FOCUS_PGC_ALL_1Y_AREA45</w:t>
      </w:r>
      <w:r w:rsidRPr="00420ACE">
        <w:rPr>
          <w:rStyle w:val="FigureNoteChar"/>
        </w:rPr>
        <w:t xml:space="preserve"> worksheets in the 202</w:t>
      </w:r>
      <w:r>
        <w:rPr>
          <w:rStyle w:val="FigureNoteChar"/>
        </w:rPr>
        <w:t>5</w:t>
      </w:r>
      <w:r w:rsidRPr="00420ACE">
        <w:rPr>
          <w:rStyle w:val="FigureNoteChar"/>
        </w:rPr>
        <w:t xml:space="preserve"> </w:t>
      </w:r>
      <w:r>
        <w:rPr>
          <w:rStyle w:val="FigureNoteChar"/>
        </w:rPr>
        <w:t>SES</w:t>
      </w:r>
      <w:r w:rsidRPr="00420ACE">
        <w:rPr>
          <w:rStyle w:val="FigureNoteChar"/>
        </w:rPr>
        <w:t xml:space="preserve"> National Report Tables available on the QILT website.</w:t>
      </w:r>
    </w:p>
  </w:footnote>
  <w:footnote w:id="7">
    <w:p w14:paraId="21D69680" w14:textId="6E367A1F" w:rsidR="005278D0" w:rsidRPr="00A71B1C" w:rsidRDefault="005278D0" w:rsidP="00647912">
      <w:pPr>
        <w:pStyle w:val="FootnoteText"/>
        <w:rPr>
          <w:lang w:val="en-AU"/>
        </w:rPr>
      </w:pPr>
      <w:r w:rsidRPr="00CC1AB5">
        <w:rPr>
          <w:rStyle w:val="FootnoteReference"/>
          <w:sz w:val="18"/>
          <w:szCs w:val="18"/>
        </w:rPr>
        <w:footnoteRef/>
      </w:r>
      <w:r>
        <w:t xml:space="preserve"> </w:t>
      </w:r>
      <w:r w:rsidRPr="00D62B4D">
        <w:t xml:space="preserve">The </w:t>
      </w:r>
      <w:r>
        <w:t>SES</w:t>
      </w:r>
      <w:r w:rsidRPr="00D62B4D">
        <w:t xml:space="preserve"> has included non-university higher education institutions (NUHEIs) since </w:t>
      </w:r>
      <w:r>
        <w:t>2015.</w:t>
      </w:r>
      <w:r w:rsidRPr="00D62B4D">
        <w:t xml:space="preserve"> The number of NUHEIs participating in the </w:t>
      </w:r>
      <w:r>
        <w:t>SES</w:t>
      </w:r>
      <w:r w:rsidRPr="00D62B4D">
        <w:t xml:space="preserve"> has been </w:t>
      </w:r>
      <w:r>
        <w:t xml:space="preserve">increasing </w:t>
      </w:r>
      <w:r w:rsidRPr="00D62B4D">
        <w:t>and in 202</w:t>
      </w:r>
      <w:r>
        <w:t>5,</w:t>
      </w:r>
      <w:r w:rsidRPr="00D62B4D">
        <w:t xml:space="preserve"> NUHEIs account</w:t>
      </w:r>
      <w:r>
        <w:t>ed</w:t>
      </w:r>
      <w:r w:rsidRPr="00D62B4D">
        <w:t xml:space="preserve"> for </w:t>
      </w:r>
      <w:r>
        <w:t>110</w:t>
      </w:r>
      <w:r w:rsidRPr="00B00D0E">
        <w:t xml:space="preserve"> of the 1</w:t>
      </w:r>
      <w:r>
        <w:t>53</w:t>
      </w:r>
      <w:r w:rsidRPr="00D62B4D">
        <w:t xml:space="preserve"> registered institutions that participate</w:t>
      </w:r>
      <w:r>
        <w:t>d.</w:t>
      </w:r>
    </w:p>
  </w:footnote>
  <w:footnote w:id="8">
    <w:p w14:paraId="116B5CCC" w14:textId="77777777" w:rsidR="00CE1D9C" w:rsidRPr="00E813AA" w:rsidRDefault="00CE1D9C" w:rsidP="0019482D">
      <w:pPr>
        <w:pStyle w:val="FootnoteText"/>
        <w:rPr>
          <w:rFonts w:ascii="ArialMT" w:hAnsi="ArialMT"/>
          <w:szCs w:val="18"/>
        </w:rPr>
      </w:pPr>
      <w:r w:rsidRPr="00E813AA">
        <w:rPr>
          <w:szCs w:val="18"/>
          <w:vertAlign w:val="superscript"/>
        </w:rPr>
        <w:footnoteRef/>
      </w:r>
      <w:r w:rsidRPr="00E813AA">
        <w:rPr>
          <w:szCs w:val="18"/>
          <w:vertAlign w:val="superscript"/>
        </w:rPr>
        <w:t xml:space="preserve"> </w:t>
      </w:r>
      <w:bookmarkStart w:id="168" w:name="_Hlk149647742"/>
      <w:r w:rsidRPr="00E813AA">
        <w:rPr>
          <w:szCs w:val="18"/>
        </w:rPr>
        <w:t xml:space="preserve">The calculation of confidence intervals is detailed in </w:t>
      </w:r>
      <w:hyperlink r:id="rId1" w:history="1">
        <w:r w:rsidRPr="00E813AA">
          <w:rPr>
            <w:szCs w:val="18"/>
            <w:u w:val="single"/>
          </w:rPr>
          <w:t>Construction of confidence intervals in QILT surveys</w:t>
        </w:r>
      </w:hyperlink>
      <w:r w:rsidRPr="00E813AA">
        <w:rPr>
          <w:szCs w:val="18"/>
        </w:rPr>
        <w:t xml:space="preserve">. Confidence intervals may be wider </w:t>
      </w:r>
      <w:proofErr w:type="gramStart"/>
      <w:r w:rsidRPr="00E813AA">
        <w:rPr>
          <w:szCs w:val="18"/>
        </w:rPr>
        <w:t>where</w:t>
      </w:r>
      <w:proofErr w:type="gramEnd"/>
      <w:r w:rsidRPr="00E813AA">
        <w:rPr>
          <w:szCs w:val="18"/>
        </w:rPr>
        <w:t xml:space="preserve"> the number of survey responses for a given institution is relatively small. Where confidence intervals for institution estimates do not overlap, this broadly implies the difference in </w:t>
      </w:r>
      <w:proofErr w:type="spellStart"/>
      <w:r w:rsidRPr="00E813AA">
        <w:rPr>
          <w:szCs w:val="18"/>
        </w:rPr>
        <w:t>labour</w:t>
      </w:r>
      <w:proofErr w:type="spellEnd"/>
      <w:r w:rsidRPr="00E813AA">
        <w:rPr>
          <w:szCs w:val="18"/>
        </w:rPr>
        <w:t xml:space="preserve"> market outcomes is statistically significant. </w:t>
      </w:r>
      <w:bookmarkEnd w:id="168"/>
      <w:r w:rsidRPr="00E813AA">
        <w:rPr>
          <w:szCs w:val="18"/>
        </w:rPr>
        <w:t>Where confidence intervals overlap it cannot be inferred that the difference either is, or is not, statistically significant.</w:t>
      </w:r>
    </w:p>
  </w:footnote>
  <w:footnote w:id="9">
    <w:p w14:paraId="4C7B7520" w14:textId="18F3A6AF" w:rsidR="00343056" w:rsidRPr="00D34848" w:rsidRDefault="00343056" w:rsidP="00E077B0">
      <w:pPr>
        <w:pStyle w:val="FootnoteText"/>
        <w:rPr>
          <w:lang w:val="en-AU"/>
        </w:rPr>
      </w:pPr>
      <w:r w:rsidRPr="00E813AA">
        <w:rPr>
          <w:rStyle w:val="FootnoteReference"/>
          <w:sz w:val="18"/>
          <w:szCs w:val="18"/>
        </w:rPr>
        <w:footnoteRef/>
      </w:r>
      <w:r w:rsidRPr="00E813AA">
        <w:rPr>
          <w:szCs w:val="18"/>
        </w:rPr>
        <w:t xml:space="preserve"> </w:t>
      </w:r>
      <w:r w:rsidRPr="00E813AA">
        <w:rPr>
          <w:szCs w:val="18"/>
          <w:lang w:val="en-AU"/>
        </w:rPr>
        <w:t xml:space="preserve">Refer to </w:t>
      </w:r>
      <w:r w:rsidR="00D932E3" w:rsidRPr="00E813AA">
        <w:rPr>
          <w:szCs w:val="18"/>
          <w:lang w:val="en-AU"/>
        </w:rPr>
        <w:t xml:space="preserve">FOCUS_UG_UNI_1Y_INST_CI </w:t>
      </w:r>
      <w:r w:rsidR="002C203D" w:rsidRPr="00E813AA">
        <w:rPr>
          <w:szCs w:val="18"/>
          <w:lang w:val="en-AU"/>
        </w:rPr>
        <w:t xml:space="preserve">FOCUS_PGC_UNI_1Y_INST_CI </w:t>
      </w:r>
      <w:r w:rsidR="003100AC" w:rsidRPr="00E813AA">
        <w:rPr>
          <w:szCs w:val="18"/>
          <w:lang w:val="en-AU"/>
        </w:rPr>
        <w:t>for universities and</w:t>
      </w:r>
      <w:r w:rsidRPr="00E813AA">
        <w:rPr>
          <w:rStyle w:val="FigureNoteChar"/>
          <w:sz w:val="18"/>
          <w:szCs w:val="18"/>
        </w:rPr>
        <w:t xml:space="preserve"> </w:t>
      </w:r>
      <w:r w:rsidR="003100AC" w:rsidRPr="00E813AA">
        <w:rPr>
          <w:rStyle w:val="FigureNoteChar"/>
          <w:sz w:val="18"/>
          <w:szCs w:val="18"/>
        </w:rPr>
        <w:t xml:space="preserve">FOCUS_UG_NUHEI_2Y_2YP_INST_CI and FOCUS_PGC_NUHEI_2Y_2YP_INST_CI </w:t>
      </w:r>
      <w:r w:rsidRPr="00E813AA">
        <w:rPr>
          <w:rStyle w:val="FigureNoteChar"/>
          <w:sz w:val="18"/>
          <w:szCs w:val="18"/>
        </w:rPr>
        <w:t xml:space="preserve">in the 2025 </w:t>
      </w:r>
      <w:r w:rsidR="003100AC" w:rsidRPr="00E813AA">
        <w:rPr>
          <w:rStyle w:val="FigureNoteChar"/>
          <w:sz w:val="18"/>
          <w:szCs w:val="18"/>
        </w:rPr>
        <w:t>SES</w:t>
      </w:r>
      <w:r w:rsidRPr="00E813AA">
        <w:rPr>
          <w:rStyle w:val="FigureNoteChar"/>
          <w:sz w:val="18"/>
          <w:szCs w:val="18"/>
        </w:rPr>
        <w:t xml:space="preserve"> National Report Tables available on the QILT website.</w:t>
      </w:r>
    </w:p>
  </w:footnote>
  <w:footnote w:id="10">
    <w:p w14:paraId="0A6201C7" w14:textId="0B3D2E31" w:rsidR="000E1CD4" w:rsidRDefault="000E1CD4" w:rsidP="00D34848">
      <w:pPr>
        <w:pStyle w:val="FootnoteText"/>
      </w:pPr>
      <w:r w:rsidRPr="00CC1AB5">
        <w:rPr>
          <w:rStyle w:val="FootnoteReference"/>
          <w:sz w:val="18"/>
          <w:szCs w:val="18"/>
        </w:rPr>
        <w:footnoteRef/>
      </w:r>
      <w:r w:rsidRPr="00CC1AB5">
        <w:rPr>
          <w:szCs w:val="18"/>
        </w:rPr>
        <w:t xml:space="preserve"> </w:t>
      </w:r>
      <w:r w:rsidRPr="000C5C43">
        <w:t>Internal mode of attendance is where (</w:t>
      </w:r>
      <w:proofErr w:type="spellStart"/>
      <w:r w:rsidRPr="000C5C43">
        <w:t>i</w:t>
      </w:r>
      <w:proofErr w:type="spellEnd"/>
      <w:r w:rsidRPr="000C5C43">
        <w:t>) the study is undertaken through attendance at the higher education provider on a regular basis, or (ii) for higher degree unit enrolments, where regular attendance is not required but the student attends the higher education provider on an agreed schedule for the purposes of supervision and/or instruction. External</w:t>
      </w:r>
      <w:r w:rsidR="00CC1AB5">
        <w:t> </w:t>
      </w:r>
      <w:r w:rsidRPr="000C5C43">
        <w:t xml:space="preserve">mode of attendance is where lesson materials, assignments, etc. are delivered to the student, and any associated attendance at the institution is of an incidental, irregular, special or voluntary nature. </w:t>
      </w:r>
      <w:r>
        <w:t>Multi-</w:t>
      </w:r>
      <w:r w:rsidRPr="000C5C43">
        <w:t xml:space="preserve">mode of attendance is where study is undertaken partially </w:t>
      </w:r>
      <w:proofErr w:type="gramStart"/>
      <w:r w:rsidRPr="000C5C43">
        <w:t>on</w:t>
      </w:r>
      <w:proofErr w:type="gramEnd"/>
      <w:r w:rsidRPr="000C5C43">
        <w:t xml:space="preserve"> an internal mode of attendance and partially </w:t>
      </w:r>
      <w:proofErr w:type="gramStart"/>
      <w:r w:rsidRPr="000C5C43">
        <w:t>on</w:t>
      </w:r>
      <w:proofErr w:type="gramEnd"/>
      <w:r w:rsidRPr="000C5C43">
        <w:t xml:space="preserve"> an external mode of attendance.</w:t>
      </w:r>
      <w:r>
        <w:t xml:space="preserve"> See</w:t>
      </w:r>
      <w:r w:rsidR="00CC1AB5">
        <w:t> </w:t>
      </w:r>
      <w:hyperlink r:id="rId2" w:history="1">
        <w:r w:rsidRPr="009578C5">
          <w:rPr>
            <w:rStyle w:val="Hyperlink"/>
            <w:lang w:val="en-AU"/>
          </w:rPr>
          <w:t>Mode of attendance code | TCSI Support</w:t>
        </w:r>
      </w:hyperlink>
      <w:r>
        <w:t xml:space="preserve"> for more information.</w:t>
      </w:r>
    </w:p>
  </w:footnote>
  <w:footnote w:id="11">
    <w:p w14:paraId="09212866" w14:textId="77777777" w:rsidR="00C20B22" w:rsidRPr="00E85DCA" w:rsidRDefault="00C20B22" w:rsidP="00AD5905">
      <w:pPr>
        <w:pStyle w:val="FootnoteText"/>
        <w:rPr>
          <w:lang w:val="en-AU"/>
        </w:rPr>
      </w:pPr>
      <w:r w:rsidRPr="00CC1AB5">
        <w:rPr>
          <w:rStyle w:val="FootnoteReference"/>
          <w:sz w:val="18"/>
          <w:szCs w:val="18"/>
        </w:rPr>
        <w:footnoteRef/>
      </w:r>
      <w:r w:rsidRPr="00CC1AB5">
        <w:rPr>
          <w:szCs w:val="18"/>
        </w:rPr>
        <w:t xml:space="preserve"> </w:t>
      </w:r>
      <w:r w:rsidRPr="00E85DCA">
        <w:t>Education Services for Overseas Students Act 2000 (</w:t>
      </w:r>
      <w:proofErr w:type="spellStart"/>
      <w:r w:rsidRPr="00E85DCA">
        <w:t>Cth</w:t>
      </w:r>
      <w:proofErr w:type="spellEnd"/>
      <w:r w:rsidRPr="00E85DCA">
        <w:t>), National Code of Practice for Providers of Education and Training to Overseas Students 2018, Standard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39AA" w14:textId="77777777" w:rsidR="00B453F0" w:rsidRPr="00D9472B" w:rsidRDefault="00B453F0" w:rsidP="00D94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4044" w14:textId="77777777" w:rsidR="00F31456" w:rsidRPr="004D71C7" w:rsidRDefault="00F31456" w:rsidP="004D71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0C9E" w14:textId="77777777" w:rsidR="00F31456" w:rsidRPr="00036C2D" w:rsidRDefault="00F31456" w:rsidP="00036C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E3CE" w14:textId="77777777" w:rsidR="005278D0" w:rsidRPr="009B5097" w:rsidRDefault="005278D0" w:rsidP="009B50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05278D0" w14:paraId="328E4C0A" w14:textId="77777777">
      <w:trPr>
        <w:trHeight w:val="300"/>
      </w:trPr>
      <w:tc>
        <w:tcPr>
          <w:tcW w:w="5130" w:type="dxa"/>
        </w:tcPr>
        <w:p w14:paraId="2E24640F" w14:textId="77777777" w:rsidR="005278D0" w:rsidRDefault="005278D0">
          <w:pPr>
            <w:pStyle w:val="Header"/>
            <w:ind w:left="-115"/>
          </w:pPr>
        </w:p>
      </w:tc>
      <w:tc>
        <w:tcPr>
          <w:tcW w:w="5130" w:type="dxa"/>
        </w:tcPr>
        <w:p w14:paraId="451F4F18" w14:textId="77777777" w:rsidR="005278D0" w:rsidRDefault="005278D0">
          <w:pPr>
            <w:pStyle w:val="Header"/>
            <w:jc w:val="center"/>
          </w:pPr>
        </w:p>
      </w:tc>
      <w:tc>
        <w:tcPr>
          <w:tcW w:w="5130" w:type="dxa"/>
        </w:tcPr>
        <w:p w14:paraId="5D2A15AC" w14:textId="77777777" w:rsidR="005278D0" w:rsidRDefault="005278D0">
          <w:pPr>
            <w:pStyle w:val="Header"/>
            <w:ind w:right="-115"/>
            <w:jc w:val="right"/>
          </w:pPr>
        </w:p>
      </w:tc>
    </w:tr>
  </w:tbl>
  <w:p w14:paraId="1807EC55" w14:textId="77777777" w:rsidR="005278D0" w:rsidRDefault="005278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5278D0" w14:paraId="08F34BE1" w14:textId="77777777">
      <w:trPr>
        <w:trHeight w:val="300"/>
      </w:trPr>
      <w:tc>
        <w:tcPr>
          <w:tcW w:w="3485" w:type="dxa"/>
        </w:tcPr>
        <w:p w14:paraId="09072738" w14:textId="77777777" w:rsidR="005278D0" w:rsidRDefault="005278D0">
          <w:pPr>
            <w:pStyle w:val="Header"/>
            <w:ind w:left="-115"/>
          </w:pPr>
        </w:p>
      </w:tc>
      <w:tc>
        <w:tcPr>
          <w:tcW w:w="3485" w:type="dxa"/>
        </w:tcPr>
        <w:p w14:paraId="7278563A" w14:textId="77777777" w:rsidR="005278D0" w:rsidRDefault="005278D0">
          <w:pPr>
            <w:pStyle w:val="Header"/>
            <w:jc w:val="center"/>
          </w:pPr>
        </w:p>
      </w:tc>
      <w:tc>
        <w:tcPr>
          <w:tcW w:w="3485" w:type="dxa"/>
        </w:tcPr>
        <w:p w14:paraId="0D90D976" w14:textId="77777777" w:rsidR="005278D0" w:rsidRDefault="005278D0">
          <w:pPr>
            <w:pStyle w:val="Header"/>
            <w:ind w:right="-115"/>
            <w:jc w:val="right"/>
          </w:pPr>
        </w:p>
      </w:tc>
    </w:tr>
  </w:tbl>
  <w:p w14:paraId="78B29934" w14:textId="77777777" w:rsidR="005278D0" w:rsidRDefault="005278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1C20" w14:textId="77777777" w:rsidR="005278D0" w:rsidRPr="00F032BF" w:rsidRDefault="005278D0" w:rsidP="00F03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1F36"/>
    <w:multiLevelType w:val="hybridMultilevel"/>
    <w:tmpl w:val="1CB80F54"/>
    <w:lvl w:ilvl="0" w:tplc="496E8064">
      <w:start w:val="1"/>
      <w:numFmt w:val="decimal"/>
      <w:lvlText w:val="%1)"/>
      <w:lvlJc w:val="left"/>
      <w:pPr>
        <w:ind w:left="1020" w:hanging="360"/>
      </w:pPr>
    </w:lvl>
    <w:lvl w:ilvl="1" w:tplc="FE3AB0C8">
      <w:start w:val="1"/>
      <w:numFmt w:val="decimal"/>
      <w:lvlText w:val="%2)"/>
      <w:lvlJc w:val="left"/>
      <w:pPr>
        <w:ind w:left="1020" w:hanging="360"/>
      </w:pPr>
    </w:lvl>
    <w:lvl w:ilvl="2" w:tplc="9EEA15AE">
      <w:start w:val="1"/>
      <w:numFmt w:val="decimal"/>
      <w:lvlText w:val="%3)"/>
      <w:lvlJc w:val="left"/>
      <w:pPr>
        <w:ind w:left="1020" w:hanging="360"/>
      </w:pPr>
    </w:lvl>
    <w:lvl w:ilvl="3" w:tplc="000C2CC6">
      <w:start w:val="1"/>
      <w:numFmt w:val="decimal"/>
      <w:lvlText w:val="%4)"/>
      <w:lvlJc w:val="left"/>
      <w:pPr>
        <w:ind w:left="1020" w:hanging="360"/>
      </w:pPr>
    </w:lvl>
    <w:lvl w:ilvl="4" w:tplc="264C9764">
      <w:start w:val="1"/>
      <w:numFmt w:val="decimal"/>
      <w:lvlText w:val="%5)"/>
      <w:lvlJc w:val="left"/>
      <w:pPr>
        <w:ind w:left="1020" w:hanging="360"/>
      </w:pPr>
    </w:lvl>
    <w:lvl w:ilvl="5" w:tplc="5178D298">
      <w:start w:val="1"/>
      <w:numFmt w:val="decimal"/>
      <w:lvlText w:val="%6)"/>
      <w:lvlJc w:val="left"/>
      <w:pPr>
        <w:ind w:left="1020" w:hanging="360"/>
      </w:pPr>
    </w:lvl>
    <w:lvl w:ilvl="6" w:tplc="AE8E30A0">
      <w:start w:val="1"/>
      <w:numFmt w:val="decimal"/>
      <w:lvlText w:val="%7)"/>
      <w:lvlJc w:val="left"/>
      <w:pPr>
        <w:ind w:left="1020" w:hanging="360"/>
      </w:pPr>
    </w:lvl>
    <w:lvl w:ilvl="7" w:tplc="D9C60998">
      <w:start w:val="1"/>
      <w:numFmt w:val="decimal"/>
      <w:lvlText w:val="%8)"/>
      <w:lvlJc w:val="left"/>
      <w:pPr>
        <w:ind w:left="1020" w:hanging="360"/>
      </w:pPr>
    </w:lvl>
    <w:lvl w:ilvl="8" w:tplc="48009ADE">
      <w:start w:val="1"/>
      <w:numFmt w:val="decimal"/>
      <w:lvlText w:val="%9)"/>
      <w:lvlJc w:val="left"/>
      <w:pPr>
        <w:ind w:left="1020" w:hanging="360"/>
      </w:pPr>
    </w:lvl>
  </w:abstractNum>
  <w:abstractNum w:abstractNumId="1" w15:restartNumberingAfterBreak="0">
    <w:nsid w:val="08F83753"/>
    <w:multiLevelType w:val="multilevel"/>
    <w:tmpl w:val="1F7E83DC"/>
    <w:lvl w:ilvl="0">
      <w:start w:val="1"/>
      <w:numFmt w:val="lowerRoman"/>
      <w:pStyle w:val="ListBullet3"/>
      <w:lvlText w:val="%1."/>
      <w:lvlJc w:val="right"/>
      <w:pPr>
        <w:ind w:left="2126" w:hanging="425"/>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942067"/>
    <w:multiLevelType w:val="hybridMultilevel"/>
    <w:tmpl w:val="76AADFD0"/>
    <w:lvl w:ilvl="0" w:tplc="ECA28E5A">
      <w:start w:val="1"/>
      <w:numFmt w:val="decimal"/>
      <w:lvlText w:val="%1)"/>
      <w:lvlJc w:val="left"/>
      <w:pPr>
        <w:ind w:left="1320" w:hanging="360"/>
      </w:pPr>
    </w:lvl>
    <w:lvl w:ilvl="1" w:tplc="AFEA4878">
      <w:start w:val="1"/>
      <w:numFmt w:val="decimal"/>
      <w:lvlText w:val="%2)"/>
      <w:lvlJc w:val="left"/>
      <w:pPr>
        <w:ind w:left="1320" w:hanging="360"/>
      </w:pPr>
    </w:lvl>
    <w:lvl w:ilvl="2" w:tplc="B7222782">
      <w:start w:val="1"/>
      <w:numFmt w:val="decimal"/>
      <w:lvlText w:val="%3)"/>
      <w:lvlJc w:val="left"/>
      <w:pPr>
        <w:ind w:left="1320" w:hanging="360"/>
      </w:pPr>
    </w:lvl>
    <w:lvl w:ilvl="3" w:tplc="1D00FA94">
      <w:start w:val="1"/>
      <w:numFmt w:val="decimal"/>
      <w:lvlText w:val="%4)"/>
      <w:lvlJc w:val="left"/>
      <w:pPr>
        <w:ind w:left="1320" w:hanging="360"/>
      </w:pPr>
    </w:lvl>
    <w:lvl w:ilvl="4" w:tplc="A7D62660">
      <w:start w:val="1"/>
      <w:numFmt w:val="decimal"/>
      <w:lvlText w:val="%5)"/>
      <w:lvlJc w:val="left"/>
      <w:pPr>
        <w:ind w:left="1320" w:hanging="360"/>
      </w:pPr>
    </w:lvl>
    <w:lvl w:ilvl="5" w:tplc="8474B540">
      <w:start w:val="1"/>
      <w:numFmt w:val="decimal"/>
      <w:lvlText w:val="%6)"/>
      <w:lvlJc w:val="left"/>
      <w:pPr>
        <w:ind w:left="1320" w:hanging="360"/>
      </w:pPr>
    </w:lvl>
    <w:lvl w:ilvl="6" w:tplc="F898865A">
      <w:start w:val="1"/>
      <w:numFmt w:val="decimal"/>
      <w:lvlText w:val="%7)"/>
      <w:lvlJc w:val="left"/>
      <w:pPr>
        <w:ind w:left="1320" w:hanging="360"/>
      </w:pPr>
    </w:lvl>
    <w:lvl w:ilvl="7" w:tplc="A4ACE7BA">
      <w:start w:val="1"/>
      <w:numFmt w:val="decimal"/>
      <w:lvlText w:val="%8)"/>
      <w:lvlJc w:val="left"/>
      <w:pPr>
        <w:ind w:left="1320" w:hanging="360"/>
      </w:pPr>
    </w:lvl>
    <w:lvl w:ilvl="8" w:tplc="704EF464">
      <w:start w:val="1"/>
      <w:numFmt w:val="decimal"/>
      <w:lvlText w:val="%9)"/>
      <w:lvlJc w:val="left"/>
      <w:pPr>
        <w:ind w:left="1320" w:hanging="360"/>
      </w:pPr>
    </w:lvl>
  </w:abstractNum>
  <w:abstractNum w:abstractNumId="3" w15:restartNumberingAfterBreak="0">
    <w:nsid w:val="0DE65D2D"/>
    <w:multiLevelType w:val="hybridMultilevel"/>
    <w:tmpl w:val="C1A2F5D2"/>
    <w:lvl w:ilvl="0" w:tplc="09E4DD64">
      <w:start w:val="1"/>
      <w:numFmt w:val="decimal"/>
      <w:lvlText w:val="%1)"/>
      <w:lvlJc w:val="left"/>
      <w:pPr>
        <w:ind w:left="1320" w:hanging="360"/>
      </w:pPr>
    </w:lvl>
    <w:lvl w:ilvl="1" w:tplc="FCBEB6DE">
      <w:start w:val="1"/>
      <w:numFmt w:val="decimal"/>
      <w:lvlText w:val="%2)"/>
      <w:lvlJc w:val="left"/>
      <w:pPr>
        <w:ind w:left="1320" w:hanging="360"/>
      </w:pPr>
    </w:lvl>
    <w:lvl w:ilvl="2" w:tplc="0E1A52CC">
      <w:start w:val="1"/>
      <w:numFmt w:val="decimal"/>
      <w:lvlText w:val="%3)"/>
      <w:lvlJc w:val="left"/>
      <w:pPr>
        <w:ind w:left="1320" w:hanging="360"/>
      </w:pPr>
    </w:lvl>
    <w:lvl w:ilvl="3" w:tplc="C714DD60">
      <w:start w:val="1"/>
      <w:numFmt w:val="decimal"/>
      <w:lvlText w:val="%4)"/>
      <w:lvlJc w:val="left"/>
      <w:pPr>
        <w:ind w:left="1320" w:hanging="360"/>
      </w:pPr>
    </w:lvl>
    <w:lvl w:ilvl="4" w:tplc="520025F8">
      <w:start w:val="1"/>
      <w:numFmt w:val="decimal"/>
      <w:lvlText w:val="%5)"/>
      <w:lvlJc w:val="left"/>
      <w:pPr>
        <w:ind w:left="1320" w:hanging="360"/>
      </w:pPr>
    </w:lvl>
    <w:lvl w:ilvl="5" w:tplc="E1A4EDBE">
      <w:start w:val="1"/>
      <w:numFmt w:val="decimal"/>
      <w:lvlText w:val="%6)"/>
      <w:lvlJc w:val="left"/>
      <w:pPr>
        <w:ind w:left="1320" w:hanging="360"/>
      </w:pPr>
    </w:lvl>
    <w:lvl w:ilvl="6" w:tplc="4A7AB4DA">
      <w:start w:val="1"/>
      <w:numFmt w:val="decimal"/>
      <w:lvlText w:val="%7)"/>
      <w:lvlJc w:val="left"/>
      <w:pPr>
        <w:ind w:left="1320" w:hanging="360"/>
      </w:pPr>
    </w:lvl>
    <w:lvl w:ilvl="7" w:tplc="7D7215D0">
      <w:start w:val="1"/>
      <w:numFmt w:val="decimal"/>
      <w:lvlText w:val="%8)"/>
      <w:lvlJc w:val="left"/>
      <w:pPr>
        <w:ind w:left="1320" w:hanging="360"/>
      </w:pPr>
    </w:lvl>
    <w:lvl w:ilvl="8" w:tplc="54CED01E">
      <w:start w:val="1"/>
      <w:numFmt w:val="decimal"/>
      <w:lvlText w:val="%9)"/>
      <w:lvlJc w:val="left"/>
      <w:pPr>
        <w:ind w:left="1320" w:hanging="360"/>
      </w:pPr>
    </w:lvl>
  </w:abstractNum>
  <w:abstractNum w:abstractNumId="4" w15:restartNumberingAfterBreak="0">
    <w:nsid w:val="11743095"/>
    <w:multiLevelType w:val="multilevel"/>
    <w:tmpl w:val="BCDA7D62"/>
    <w:lvl w:ilvl="0">
      <w:start w:val="1"/>
      <w:numFmt w:val="decimal"/>
      <w:pStyle w:val="ListBullet"/>
      <w:lvlText w:val="%1."/>
      <w:lvlJc w:val="left"/>
      <w:pPr>
        <w:ind w:left="1134" w:hanging="425"/>
      </w:pPr>
      <w:rPr>
        <w:rFonts w:ascii="Arial" w:eastAsia="Calibri" w:hAnsi="Arial" w:cs="Arial" w:hint="default"/>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5" w15:restartNumberingAfterBreak="0">
    <w:nsid w:val="1E950498"/>
    <w:multiLevelType w:val="hybridMultilevel"/>
    <w:tmpl w:val="DB1EBB96"/>
    <w:lvl w:ilvl="0" w:tplc="EF5090D2">
      <w:start w:val="1"/>
      <w:numFmt w:val="lowerLetter"/>
      <w:pStyle w:val="TableAPPXbulletALPHA"/>
      <w:lvlText w:val="%1)"/>
      <w:lvlJc w:val="left"/>
      <w:pPr>
        <w:ind w:left="720" w:hanging="493"/>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D7362"/>
    <w:multiLevelType w:val="multilevel"/>
    <w:tmpl w:val="30BE3450"/>
    <w:lvl w:ilvl="0">
      <w:start w:val="1"/>
      <w:numFmt w:val="lowerLetter"/>
      <w:pStyle w:val="ListBullet2"/>
      <w:lvlText w:val="%1."/>
      <w:lvlJc w:val="left"/>
      <w:pPr>
        <w:ind w:left="1559" w:hanging="425"/>
      </w:pPr>
      <w:rPr>
        <w:rFonts w:ascii="Arial" w:eastAsia="Arial" w:hAnsi="Arial" w:hint="default"/>
        <w:w w:val="99"/>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0E5520"/>
    <w:multiLevelType w:val="hybridMultilevel"/>
    <w:tmpl w:val="CDA85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1158EF"/>
    <w:multiLevelType w:val="hybridMultilevel"/>
    <w:tmpl w:val="1674BEBE"/>
    <w:lvl w:ilvl="0" w:tplc="FA2879B8">
      <w:start w:val="1"/>
      <w:numFmt w:val="decimal"/>
      <w:lvlText w:val="%1)"/>
      <w:lvlJc w:val="left"/>
      <w:pPr>
        <w:ind w:left="1320" w:hanging="360"/>
      </w:pPr>
    </w:lvl>
    <w:lvl w:ilvl="1" w:tplc="F7CE3D38">
      <w:start w:val="1"/>
      <w:numFmt w:val="decimal"/>
      <w:lvlText w:val="%2)"/>
      <w:lvlJc w:val="left"/>
      <w:pPr>
        <w:ind w:left="1320" w:hanging="360"/>
      </w:pPr>
    </w:lvl>
    <w:lvl w:ilvl="2" w:tplc="F7DAEFA2">
      <w:start w:val="1"/>
      <w:numFmt w:val="decimal"/>
      <w:lvlText w:val="%3)"/>
      <w:lvlJc w:val="left"/>
      <w:pPr>
        <w:ind w:left="1320" w:hanging="360"/>
      </w:pPr>
    </w:lvl>
    <w:lvl w:ilvl="3" w:tplc="D716EA4C">
      <w:start w:val="1"/>
      <w:numFmt w:val="decimal"/>
      <w:lvlText w:val="%4)"/>
      <w:lvlJc w:val="left"/>
      <w:pPr>
        <w:ind w:left="1320" w:hanging="360"/>
      </w:pPr>
    </w:lvl>
    <w:lvl w:ilvl="4" w:tplc="28849252">
      <w:start w:val="1"/>
      <w:numFmt w:val="decimal"/>
      <w:lvlText w:val="%5)"/>
      <w:lvlJc w:val="left"/>
      <w:pPr>
        <w:ind w:left="1320" w:hanging="360"/>
      </w:pPr>
    </w:lvl>
    <w:lvl w:ilvl="5" w:tplc="E7C06866">
      <w:start w:val="1"/>
      <w:numFmt w:val="decimal"/>
      <w:lvlText w:val="%6)"/>
      <w:lvlJc w:val="left"/>
      <w:pPr>
        <w:ind w:left="1320" w:hanging="360"/>
      </w:pPr>
    </w:lvl>
    <w:lvl w:ilvl="6" w:tplc="A46E843E">
      <w:start w:val="1"/>
      <w:numFmt w:val="decimal"/>
      <w:lvlText w:val="%7)"/>
      <w:lvlJc w:val="left"/>
      <w:pPr>
        <w:ind w:left="1320" w:hanging="360"/>
      </w:pPr>
    </w:lvl>
    <w:lvl w:ilvl="7" w:tplc="B274874E">
      <w:start w:val="1"/>
      <w:numFmt w:val="decimal"/>
      <w:lvlText w:val="%8)"/>
      <w:lvlJc w:val="left"/>
      <w:pPr>
        <w:ind w:left="1320" w:hanging="360"/>
      </w:pPr>
    </w:lvl>
    <w:lvl w:ilvl="8" w:tplc="1A464D78">
      <w:start w:val="1"/>
      <w:numFmt w:val="decimal"/>
      <w:lvlText w:val="%9)"/>
      <w:lvlJc w:val="left"/>
      <w:pPr>
        <w:ind w:left="1320" w:hanging="360"/>
      </w:pPr>
    </w:lvl>
  </w:abstractNum>
  <w:abstractNum w:abstractNumId="9" w15:restartNumberingAfterBreak="0">
    <w:nsid w:val="3CBF35D4"/>
    <w:multiLevelType w:val="multilevel"/>
    <w:tmpl w:val="A3CC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7656C"/>
    <w:multiLevelType w:val="multilevel"/>
    <w:tmpl w:val="DA989812"/>
    <w:lvl w:ilvl="0">
      <w:start w:val="1"/>
      <w:numFmt w:val="decimal"/>
      <w:pStyle w:val="Appendix1"/>
      <w:lvlText w:val="Appendix %1"/>
      <w:lvlJc w:val="left"/>
      <w:pPr>
        <w:ind w:left="1134" w:hanging="1134"/>
      </w:pPr>
      <w:rPr>
        <w:rFonts w:ascii="Arial" w:hAnsi="Arial" w:hint="default"/>
      </w:rPr>
    </w:lvl>
    <w:lvl w:ilvl="1">
      <w:start w:val="1"/>
      <w:numFmt w:val="decimal"/>
      <w:pStyle w:val="Appendix2"/>
      <w:lvlText w:val="A%1.%2"/>
      <w:lvlJc w:val="left"/>
      <w:pPr>
        <w:ind w:left="2411" w:hanging="1134"/>
      </w:pPr>
      <w:rPr>
        <w:rFonts w:hint="default"/>
      </w:rPr>
    </w:lvl>
    <w:lvl w:ilvl="2">
      <w:start w:val="1"/>
      <w:numFmt w:val="decimal"/>
      <w:pStyle w:val="Appendix3accessible"/>
      <w:lvlText w:val="A1.%2.%3"/>
      <w:lvlJc w:val="left"/>
      <w:pPr>
        <w:ind w:left="1134" w:hanging="1134"/>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D8841FF"/>
    <w:multiLevelType w:val="multilevel"/>
    <w:tmpl w:val="FE06BEAC"/>
    <w:lvl w:ilvl="0">
      <w:start w:val="1"/>
      <w:numFmt w:val="bullet"/>
      <w:pStyle w:val="Bullets3"/>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53A0DD5"/>
    <w:multiLevelType w:val="multilevel"/>
    <w:tmpl w:val="F690A924"/>
    <w:lvl w:ilvl="0">
      <w:start w:val="1"/>
      <w:numFmt w:val="bullet"/>
      <w:pStyle w:val="Bullets-noindent"/>
      <w:lvlText w:val=""/>
      <w:lvlJc w:val="left"/>
      <w:pPr>
        <w:ind w:left="425"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64762A9"/>
    <w:multiLevelType w:val="hybridMultilevel"/>
    <w:tmpl w:val="4D3EB0AE"/>
    <w:lvl w:ilvl="0" w:tplc="944215EC">
      <w:start w:val="1"/>
      <w:numFmt w:val="decimal"/>
      <w:lvlText w:val="%1)"/>
      <w:lvlJc w:val="left"/>
      <w:pPr>
        <w:ind w:left="1320" w:hanging="360"/>
      </w:pPr>
    </w:lvl>
    <w:lvl w:ilvl="1" w:tplc="7B6C432A">
      <w:start w:val="1"/>
      <w:numFmt w:val="decimal"/>
      <w:lvlText w:val="%2)"/>
      <w:lvlJc w:val="left"/>
      <w:pPr>
        <w:ind w:left="1320" w:hanging="360"/>
      </w:pPr>
    </w:lvl>
    <w:lvl w:ilvl="2" w:tplc="17044470">
      <w:start w:val="1"/>
      <w:numFmt w:val="decimal"/>
      <w:lvlText w:val="%3)"/>
      <w:lvlJc w:val="left"/>
      <w:pPr>
        <w:ind w:left="1320" w:hanging="360"/>
      </w:pPr>
    </w:lvl>
    <w:lvl w:ilvl="3" w:tplc="F99A2292">
      <w:start w:val="1"/>
      <w:numFmt w:val="decimal"/>
      <w:lvlText w:val="%4)"/>
      <w:lvlJc w:val="left"/>
      <w:pPr>
        <w:ind w:left="1320" w:hanging="360"/>
      </w:pPr>
    </w:lvl>
    <w:lvl w:ilvl="4" w:tplc="C3CAC95A">
      <w:start w:val="1"/>
      <w:numFmt w:val="decimal"/>
      <w:lvlText w:val="%5)"/>
      <w:lvlJc w:val="left"/>
      <w:pPr>
        <w:ind w:left="1320" w:hanging="360"/>
      </w:pPr>
    </w:lvl>
    <w:lvl w:ilvl="5" w:tplc="2200BC98">
      <w:start w:val="1"/>
      <w:numFmt w:val="decimal"/>
      <w:lvlText w:val="%6)"/>
      <w:lvlJc w:val="left"/>
      <w:pPr>
        <w:ind w:left="1320" w:hanging="360"/>
      </w:pPr>
    </w:lvl>
    <w:lvl w:ilvl="6" w:tplc="90CAF87E">
      <w:start w:val="1"/>
      <w:numFmt w:val="decimal"/>
      <w:lvlText w:val="%7)"/>
      <w:lvlJc w:val="left"/>
      <w:pPr>
        <w:ind w:left="1320" w:hanging="360"/>
      </w:pPr>
    </w:lvl>
    <w:lvl w:ilvl="7" w:tplc="9EBC3E26">
      <w:start w:val="1"/>
      <w:numFmt w:val="decimal"/>
      <w:lvlText w:val="%8)"/>
      <w:lvlJc w:val="left"/>
      <w:pPr>
        <w:ind w:left="1320" w:hanging="360"/>
      </w:pPr>
    </w:lvl>
    <w:lvl w:ilvl="8" w:tplc="C194CFD0">
      <w:start w:val="1"/>
      <w:numFmt w:val="decimal"/>
      <w:lvlText w:val="%9)"/>
      <w:lvlJc w:val="left"/>
      <w:pPr>
        <w:ind w:left="1320" w:hanging="360"/>
      </w:pPr>
    </w:lvl>
  </w:abstractNum>
  <w:abstractNum w:abstractNumId="14" w15:restartNumberingAfterBreak="0">
    <w:nsid w:val="58904FD0"/>
    <w:multiLevelType w:val="hybridMultilevel"/>
    <w:tmpl w:val="2E1649EA"/>
    <w:lvl w:ilvl="0" w:tplc="E42291D8">
      <w:start w:val="1"/>
      <w:numFmt w:val="decimal"/>
      <w:lvlText w:val="%1)"/>
      <w:lvlJc w:val="left"/>
      <w:pPr>
        <w:ind w:left="1320" w:hanging="360"/>
      </w:pPr>
    </w:lvl>
    <w:lvl w:ilvl="1" w:tplc="9B6E7246">
      <w:start w:val="1"/>
      <w:numFmt w:val="decimal"/>
      <w:lvlText w:val="%2)"/>
      <w:lvlJc w:val="left"/>
      <w:pPr>
        <w:ind w:left="1320" w:hanging="360"/>
      </w:pPr>
    </w:lvl>
    <w:lvl w:ilvl="2" w:tplc="50C626BC">
      <w:start w:val="1"/>
      <w:numFmt w:val="decimal"/>
      <w:lvlText w:val="%3)"/>
      <w:lvlJc w:val="left"/>
      <w:pPr>
        <w:ind w:left="1320" w:hanging="360"/>
      </w:pPr>
    </w:lvl>
    <w:lvl w:ilvl="3" w:tplc="4D16B6C8">
      <w:start w:val="1"/>
      <w:numFmt w:val="decimal"/>
      <w:lvlText w:val="%4)"/>
      <w:lvlJc w:val="left"/>
      <w:pPr>
        <w:ind w:left="1320" w:hanging="360"/>
      </w:pPr>
    </w:lvl>
    <w:lvl w:ilvl="4" w:tplc="92F8E16A">
      <w:start w:val="1"/>
      <w:numFmt w:val="decimal"/>
      <w:lvlText w:val="%5)"/>
      <w:lvlJc w:val="left"/>
      <w:pPr>
        <w:ind w:left="1320" w:hanging="360"/>
      </w:pPr>
    </w:lvl>
    <w:lvl w:ilvl="5" w:tplc="55089192">
      <w:start w:val="1"/>
      <w:numFmt w:val="decimal"/>
      <w:lvlText w:val="%6)"/>
      <w:lvlJc w:val="left"/>
      <w:pPr>
        <w:ind w:left="1320" w:hanging="360"/>
      </w:pPr>
    </w:lvl>
    <w:lvl w:ilvl="6" w:tplc="125EE85A">
      <w:start w:val="1"/>
      <w:numFmt w:val="decimal"/>
      <w:lvlText w:val="%7)"/>
      <w:lvlJc w:val="left"/>
      <w:pPr>
        <w:ind w:left="1320" w:hanging="360"/>
      </w:pPr>
    </w:lvl>
    <w:lvl w:ilvl="7" w:tplc="42DEC9EE">
      <w:start w:val="1"/>
      <w:numFmt w:val="decimal"/>
      <w:lvlText w:val="%8)"/>
      <w:lvlJc w:val="left"/>
      <w:pPr>
        <w:ind w:left="1320" w:hanging="360"/>
      </w:pPr>
    </w:lvl>
    <w:lvl w:ilvl="8" w:tplc="4698B09A">
      <w:start w:val="1"/>
      <w:numFmt w:val="decimal"/>
      <w:lvlText w:val="%9)"/>
      <w:lvlJc w:val="left"/>
      <w:pPr>
        <w:ind w:left="1320" w:hanging="360"/>
      </w:pPr>
    </w:lvl>
  </w:abstractNum>
  <w:abstractNum w:abstractNumId="15" w15:restartNumberingAfterBreak="0">
    <w:nsid w:val="58E75769"/>
    <w:multiLevelType w:val="multilevel"/>
    <w:tmpl w:val="65B089EC"/>
    <w:lvl w:ilvl="0">
      <w:start w:val="1"/>
      <w:numFmt w:val="decimal"/>
      <w:lvlText w:val="%1."/>
      <w:lvlJc w:val="left"/>
      <w:pPr>
        <w:ind w:left="851" w:hanging="851"/>
      </w:pPr>
      <w:rPr>
        <w:rFonts w:hint="default"/>
        <w:b w:val="0"/>
        <w:bCs w:val="0"/>
      </w:rPr>
    </w:lvl>
    <w:lvl w:ilvl="1">
      <w:start w:val="1"/>
      <w:numFmt w:val="decimal"/>
      <w:lvlText w:val="%1.%2."/>
      <w:lvlJc w:val="left"/>
      <w:pPr>
        <w:ind w:left="851" w:hanging="851"/>
      </w:pPr>
      <w:rPr>
        <w:rFonts w:hint="default"/>
        <w:b w:val="0"/>
        <w:bCs w:val="0"/>
      </w:rPr>
    </w:lvl>
    <w:lvl w:ilvl="2">
      <w:start w:val="1"/>
      <w:numFmt w:val="decimal"/>
      <w:lvlText w:val="%1.%2.%3"/>
      <w:lvlJc w:val="left"/>
      <w:pPr>
        <w:ind w:left="851" w:hanging="851"/>
      </w:pPr>
      <w:rPr>
        <w:rFonts w:hint="default"/>
        <w:b w:val="0"/>
        <w:bCs w:val="0"/>
      </w:rPr>
    </w:lvl>
    <w:lvl w:ilvl="3">
      <w:start w:val="1"/>
      <w:numFmt w:val="decimal"/>
      <w:lvlText w:val="%4."/>
      <w:lvlJc w:val="left"/>
      <w:pPr>
        <w:ind w:left="567" w:hanging="283"/>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4141BF7"/>
    <w:multiLevelType w:val="hybridMultilevel"/>
    <w:tmpl w:val="F328D62A"/>
    <w:lvl w:ilvl="0" w:tplc="B696288C">
      <w:start w:val="1"/>
      <w:numFmt w:val="decimal"/>
      <w:pStyle w:val="Appendixheading3"/>
      <w:lvlText w:val="A7.1.%1"/>
      <w:lvlJc w:val="left"/>
      <w:pPr>
        <w:ind w:left="36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753299A"/>
    <w:multiLevelType w:val="multilevel"/>
    <w:tmpl w:val="F0382AD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546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90E0089"/>
    <w:multiLevelType w:val="hybridMultilevel"/>
    <w:tmpl w:val="8E34EABC"/>
    <w:lvl w:ilvl="0" w:tplc="EF346140">
      <w:start w:val="1"/>
      <w:numFmt w:val="decimal"/>
      <w:lvlText w:val="%1)"/>
      <w:lvlJc w:val="left"/>
      <w:pPr>
        <w:ind w:left="1320" w:hanging="360"/>
      </w:pPr>
    </w:lvl>
    <w:lvl w:ilvl="1" w:tplc="2B164032">
      <w:start w:val="1"/>
      <w:numFmt w:val="decimal"/>
      <w:lvlText w:val="%2)"/>
      <w:lvlJc w:val="left"/>
      <w:pPr>
        <w:ind w:left="1320" w:hanging="360"/>
      </w:pPr>
    </w:lvl>
    <w:lvl w:ilvl="2" w:tplc="2D404E22">
      <w:start w:val="1"/>
      <w:numFmt w:val="decimal"/>
      <w:lvlText w:val="%3)"/>
      <w:lvlJc w:val="left"/>
      <w:pPr>
        <w:ind w:left="1320" w:hanging="360"/>
      </w:pPr>
    </w:lvl>
    <w:lvl w:ilvl="3" w:tplc="E27091A2">
      <w:start w:val="1"/>
      <w:numFmt w:val="decimal"/>
      <w:lvlText w:val="%4)"/>
      <w:lvlJc w:val="left"/>
      <w:pPr>
        <w:ind w:left="1320" w:hanging="360"/>
      </w:pPr>
    </w:lvl>
    <w:lvl w:ilvl="4" w:tplc="7E26F2D0">
      <w:start w:val="1"/>
      <w:numFmt w:val="decimal"/>
      <w:lvlText w:val="%5)"/>
      <w:lvlJc w:val="left"/>
      <w:pPr>
        <w:ind w:left="1320" w:hanging="360"/>
      </w:pPr>
    </w:lvl>
    <w:lvl w:ilvl="5" w:tplc="993C260A">
      <w:start w:val="1"/>
      <w:numFmt w:val="decimal"/>
      <w:lvlText w:val="%6)"/>
      <w:lvlJc w:val="left"/>
      <w:pPr>
        <w:ind w:left="1320" w:hanging="360"/>
      </w:pPr>
    </w:lvl>
    <w:lvl w:ilvl="6" w:tplc="C5BC44DE">
      <w:start w:val="1"/>
      <w:numFmt w:val="decimal"/>
      <w:lvlText w:val="%7)"/>
      <w:lvlJc w:val="left"/>
      <w:pPr>
        <w:ind w:left="1320" w:hanging="360"/>
      </w:pPr>
    </w:lvl>
    <w:lvl w:ilvl="7" w:tplc="510495C2">
      <w:start w:val="1"/>
      <w:numFmt w:val="decimal"/>
      <w:lvlText w:val="%8)"/>
      <w:lvlJc w:val="left"/>
      <w:pPr>
        <w:ind w:left="1320" w:hanging="360"/>
      </w:pPr>
    </w:lvl>
    <w:lvl w:ilvl="8" w:tplc="B77EEE96">
      <w:start w:val="1"/>
      <w:numFmt w:val="decimal"/>
      <w:lvlText w:val="%9)"/>
      <w:lvlJc w:val="left"/>
      <w:pPr>
        <w:ind w:left="1320" w:hanging="360"/>
      </w:pPr>
    </w:lvl>
  </w:abstractNum>
  <w:abstractNum w:abstractNumId="19" w15:restartNumberingAfterBreak="0">
    <w:nsid w:val="6D9A7C2E"/>
    <w:multiLevelType w:val="hybridMultilevel"/>
    <w:tmpl w:val="86C24FEE"/>
    <w:lvl w:ilvl="0" w:tplc="B0DA0A7E">
      <w:start w:val="1"/>
      <w:numFmt w:val="decimal"/>
      <w:lvlText w:val="%1)"/>
      <w:lvlJc w:val="left"/>
      <w:pPr>
        <w:ind w:left="1320" w:hanging="360"/>
      </w:pPr>
    </w:lvl>
    <w:lvl w:ilvl="1" w:tplc="C8D05788">
      <w:start w:val="1"/>
      <w:numFmt w:val="decimal"/>
      <w:lvlText w:val="%2)"/>
      <w:lvlJc w:val="left"/>
      <w:pPr>
        <w:ind w:left="1320" w:hanging="360"/>
      </w:pPr>
    </w:lvl>
    <w:lvl w:ilvl="2" w:tplc="896ED036">
      <w:start w:val="1"/>
      <w:numFmt w:val="decimal"/>
      <w:lvlText w:val="%3)"/>
      <w:lvlJc w:val="left"/>
      <w:pPr>
        <w:ind w:left="1320" w:hanging="360"/>
      </w:pPr>
    </w:lvl>
    <w:lvl w:ilvl="3" w:tplc="421A2A6C">
      <w:start w:val="1"/>
      <w:numFmt w:val="decimal"/>
      <w:lvlText w:val="%4)"/>
      <w:lvlJc w:val="left"/>
      <w:pPr>
        <w:ind w:left="1320" w:hanging="360"/>
      </w:pPr>
    </w:lvl>
    <w:lvl w:ilvl="4" w:tplc="DD5E0B3A">
      <w:start w:val="1"/>
      <w:numFmt w:val="decimal"/>
      <w:lvlText w:val="%5)"/>
      <w:lvlJc w:val="left"/>
      <w:pPr>
        <w:ind w:left="1320" w:hanging="360"/>
      </w:pPr>
    </w:lvl>
    <w:lvl w:ilvl="5" w:tplc="143830AE">
      <w:start w:val="1"/>
      <w:numFmt w:val="decimal"/>
      <w:lvlText w:val="%6)"/>
      <w:lvlJc w:val="left"/>
      <w:pPr>
        <w:ind w:left="1320" w:hanging="360"/>
      </w:pPr>
    </w:lvl>
    <w:lvl w:ilvl="6" w:tplc="05C261CC">
      <w:start w:val="1"/>
      <w:numFmt w:val="decimal"/>
      <w:lvlText w:val="%7)"/>
      <w:lvlJc w:val="left"/>
      <w:pPr>
        <w:ind w:left="1320" w:hanging="360"/>
      </w:pPr>
    </w:lvl>
    <w:lvl w:ilvl="7" w:tplc="5B7069A6">
      <w:start w:val="1"/>
      <w:numFmt w:val="decimal"/>
      <w:lvlText w:val="%8)"/>
      <w:lvlJc w:val="left"/>
      <w:pPr>
        <w:ind w:left="1320" w:hanging="360"/>
      </w:pPr>
    </w:lvl>
    <w:lvl w:ilvl="8" w:tplc="67968462">
      <w:start w:val="1"/>
      <w:numFmt w:val="decimal"/>
      <w:lvlText w:val="%9)"/>
      <w:lvlJc w:val="left"/>
      <w:pPr>
        <w:ind w:left="1320" w:hanging="360"/>
      </w:pPr>
    </w:lvl>
  </w:abstractNum>
  <w:abstractNum w:abstractNumId="20" w15:restartNumberingAfterBreak="0">
    <w:nsid w:val="71517FB9"/>
    <w:multiLevelType w:val="hybridMultilevel"/>
    <w:tmpl w:val="4CE09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BF4BB3"/>
    <w:multiLevelType w:val="multilevel"/>
    <w:tmpl w:val="AA16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E04639"/>
    <w:multiLevelType w:val="hybridMultilevel"/>
    <w:tmpl w:val="B7B67604"/>
    <w:lvl w:ilvl="0" w:tplc="4ADEA40E">
      <w:start w:val="1"/>
      <w:numFmt w:val="decimal"/>
      <w:lvlText w:val="1.%1"/>
      <w:lvlJc w:val="left"/>
      <w:pPr>
        <w:ind w:left="360" w:hanging="360"/>
      </w:pPr>
      <w:rPr>
        <w:rFonts w:hint="default"/>
      </w:rPr>
    </w:lvl>
    <w:lvl w:ilvl="1" w:tplc="0C090019" w:tentative="1">
      <w:start w:val="1"/>
      <w:numFmt w:val="lowerLetter"/>
      <w:pStyle w:val="Appendixheading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59975641">
    <w:abstractNumId w:val="11"/>
  </w:num>
  <w:num w:numId="2" w16cid:durableId="1909461669">
    <w:abstractNumId w:val="15"/>
  </w:num>
  <w:num w:numId="3" w16cid:durableId="679235050">
    <w:abstractNumId w:val="9"/>
  </w:num>
  <w:num w:numId="4" w16cid:durableId="410812247">
    <w:abstractNumId w:val="21"/>
  </w:num>
  <w:num w:numId="5" w16cid:durableId="768476360">
    <w:abstractNumId w:val="7"/>
  </w:num>
  <w:num w:numId="6" w16cid:durableId="1935238213">
    <w:abstractNumId w:val="20"/>
  </w:num>
  <w:num w:numId="7" w16cid:durableId="1366758239">
    <w:abstractNumId w:val="10"/>
  </w:num>
  <w:num w:numId="8" w16cid:durableId="1703506533">
    <w:abstractNumId w:val="22"/>
  </w:num>
  <w:num w:numId="9" w16cid:durableId="884681272">
    <w:abstractNumId w:val="16"/>
  </w:num>
  <w:num w:numId="10" w16cid:durableId="1770194900">
    <w:abstractNumId w:val="12"/>
  </w:num>
  <w:num w:numId="11" w16cid:durableId="697849664">
    <w:abstractNumId w:val="11"/>
  </w:num>
  <w:num w:numId="12" w16cid:durableId="337076871">
    <w:abstractNumId w:val="4"/>
  </w:num>
  <w:num w:numId="13" w16cid:durableId="497843881">
    <w:abstractNumId w:val="6"/>
  </w:num>
  <w:num w:numId="14" w16cid:durableId="1793017064">
    <w:abstractNumId w:val="1"/>
  </w:num>
  <w:num w:numId="15" w16cid:durableId="940575983">
    <w:abstractNumId w:val="5"/>
  </w:num>
  <w:num w:numId="16" w16cid:durableId="1679579350">
    <w:abstractNumId w:val="17"/>
    <w:lvlOverride w:ilvl="0">
      <w:lvl w:ilvl="0">
        <w:start w:val="1"/>
        <w:numFmt w:val="decimal"/>
        <w:pStyle w:val="Heading1"/>
        <w:lvlText w:val="%1."/>
        <w:lvlJc w:val="left"/>
        <w:pPr>
          <w:ind w:left="794" w:hanging="794"/>
        </w:pPr>
        <w:rPr>
          <w:rFonts w:hint="default"/>
          <w:b w:val="0"/>
          <w:bCs w:val="0"/>
        </w:rPr>
      </w:lvl>
    </w:lvlOverride>
    <w:lvlOverride w:ilvl="1">
      <w:lvl w:ilvl="1">
        <w:start w:val="1"/>
        <w:numFmt w:val="decimal"/>
        <w:pStyle w:val="Heading2"/>
        <w:lvlText w:val="%1.%2"/>
        <w:lvlJc w:val="left"/>
        <w:pPr>
          <w:ind w:left="1151" w:hanging="794"/>
        </w:pPr>
        <w:rPr>
          <w:rFonts w:hint="default"/>
        </w:rPr>
      </w:lvl>
    </w:lvlOverride>
    <w:lvlOverride w:ilvl="2">
      <w:lvl w:ilvl="2">
        <w:start w:val="1"/>
        <w:numFmt w:val="decimal"/>
        <w:pStyle w:val="Heading3"/>
        <w:lvlText w:val="%1.%2.%3"/>
        <w:lvlJc w:val="left"/>
        <w:pPr>
          <w:ind w:left="1508" w:hanging="794"/>
        </w:pPr>
        <w:rPr>
          <w:rFonts w:hint="default"/>
        </w:rPr>
      </w:lvl>
    </w:lvlOverride>
    <w:lvlOverride w:ilvl="3">
      <w:lvl w:ilvl="3">
        <w:start w:val="1"/>
        <w:numFmt w:val="decimal"/>
        <w:lvlText w:val="%1.%2.%3.%4."/>
        <w:lvlJc w:val="left"/>
        <w:pPr>
          <w:ind w:left="1865" w:hanging="794"/>
        </w:pPr>
        <w:rPr>
          <w:rFonts w:hint="default"/>
        </w:rPr>
      </w:lvl>
    </w:lvlOverride>
    <w:lvlOverride w:ilvl="4">
      <w:lvl w:ilvl="4">
        <w:start w:val="1"/>
        <w:numFmt w:val="decimal"/>
        <w:lvlText w:val="%1.%2.%3.%4.%5."/>
        <w:lvlJc w:val="left"/>
        <w:pPr>
          <w:ind w:left="2222" w:hanging="794"/>
        </w:pPr>
        <w:rPr>
          <w:rFonts w:hint="default"/>
        </w:rPr>
      </w:lvl>
    </w:lvlOverride>
    <w:lvlOverride w:ilvl="5">
      <w:lvl w:ilvl="5">
        <w:start w:val="1"/>
        <w:numFmt w:val="decimal"/>
        <w:lvlText w:val="%1.%2.%3.%4.%5.%6."/>
        <w:lvlJc w:val="left"/>
        <w:pPr>
          <w:ind w:left="2579" w:hanging="794"/>
        </w:pPr>
        <w:rPr>
          <w:rFonts w:hint="default"/>
        </w:rPr>
      </w:lvl>
    </w:lvlOverride>
    <w:lvlOverride w:ilvl="6">
      <w:lvl w:ilvl="6">
        <w:start w:val="1"/>
        <w:numFmt w:val="decimal"/>
        <w:lvlText w:val="%1.%2.%3.%4.%5.%6.%7."/>
        <w:lvlJc w:val="left"/>
        <w:pPr>
          <w:ind w:left="2936" w:hanging="794"/>
        </w:pPr>
        <w:rPr>
          <w:rFonts w:hint="default"/>
        </w:rPr>
      </w:lvl>
    </w:lvlOverride>
    <w:lvlOverride w:ilvl="7">
      <w:lvl w:ilvl="7">
        <w:start w:val="1"/>
        <w:numFmt w:val="decimal"/>
        <w:lvlText w:val="%1.%2.%3.%4.%5.%6.%7.%8."/>
        <w:lvlJc w:val="left"/>
        <w:pPr>
          <w:ind w:left="3293" w:hanging="794"/>
        </w:pPr>
        <w:rPr>
          <w:rFonts w:hint="default"/>
        </w:rPr>
      </w:lvl>
    </w:lvlOverride>
    <w:lvlOverride w:ilvl="8">
      <w:lvl w:ilvl="8">
        <w:start w:val="1"/>
        <w:numFmt w:val="decimal"/>
        <w:lvlText w:val="%1.%2.%3.%4.%5.%6.%7.%8.%9."/>
        <w:lvlJc w:val="left"/>
        <w:pPr>
          <w:ind w:left="3650" w:hanging="794"/>
        </w:pPr>
        <w:rPr>
          <w:rFonts w:hint="default"/>
        </w:rPr>
      </w:lvl>
    </w:lvlOverride>
  </w:num>
  <w:num w:numId="17" w16cid:durableId="564881058">
    <w:abstractNumId w:val="19"/>
  </w:num>
  <w:num w:numId="18" w16cid:durableId="98382019">
    <w:abstractNumId w:val="13"/>
  </w:num>
  <w:num w:numId="19" w16cid:durableId="800222833">
    <w:abstractNumId w:val="8"/>
  </w:num>
  <w:num w:numId="20" w16cid:durableId="1521819421">
    <w:abstractNumId w:val="0"/>
  </w:num>
  <w:num w:numId="21" w16cid:durableId="779035660">
    <w:abstractNumId w:val="2"/>
  </w:num>
  <w:num w:numId="22" w16cid:durableId="1012994037">
    <w:abstractNumId w:val="14"/>
  </w:num>
  <w:num w:numId="23" w16cid:durableId="1468006967">
    <w:abstractNumId w:val="3"/>
  </w:num>
  <w:num w:numId="24" w16cid:durableId="1336300122">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958"/>
    <w:rsid w:val="00000254"/>
    <w:rsid w:val="00000346"/>
    <w:rsid w:val="000005E5"/>
    <w:rsid w:val="00000705"/>
    <w:rsid w:val="00000784"/>
    <w:rsid w:val="00000786"/>
    <w:rsid w:val="00000C7B"/>
    <w:rsid w:val="00000E5C"/>
    <w:rsid w:val="0000140C"/>
    <w:rsid w:val="00002709"/>
    <w:rsid w:val="000029FD"/>
    <w:rsid w:val="000030FB"/>
    <w:rsid w:val="00003145"/>
    <w:rsid w:val="00003476"/>
    <w:rsid w:val="000035AD"/>
    <w:rsid w:val="00003891"/>
    <w:rsid w:val="00003C8D"/>
    <w:rsid w:val="00003F0C"/>
    <w:rsid w:val="000042DD"/>
    <w:rsid w:val="00004427"/>
    <w:rsid w:val="000047EB"/>
    <w:rsid w:val="000052F8"/>
    <w:rsid w:val="0000544E"/>
    <w:rsid w:val="000055A1"/>
    <w:rsid w:val="00005805"/>
    <w:rsid w:val="00005932"/>
    <w:rsid w:val="00005B3B"/>
    <w:rsid w:val="000062FE"/>
    <w:rsid w:val="00006567"/>
    <w:rsid w:val="0000668A"/>
    <w:rsid w:val="00006733"/>
    <w:rsid w:val="00006908"/>
    <w:rsid w:val="00006C9D"/>
    <w:rsid w:val="00006E89"/>
    <w:rsid w:val="00007755"/>
    <w:rsid w:val="00007ABC"/>
    <w:rsid w:val="00010493"/>
    <w:rsid w:val="0001075B"/>
    <w:rsid w:val="00010AF8"/>
    <w:rsid w:val="00011A84"/>
    <w:rsid w:val="0001237D"/>
    <w:rsid w:val="00012652"/>
    <w:rsid w:val="0001267C"/>
    <w:rsid w:val="00012838"/>
    <w:rsid w:val="0001347E"/>
    <w:rsid w:val="00013564"/>
    <w:rsid w:val="0001387A"/>
    <w:rsid w:val="00013956"/>
    <w:rsid w:val="00013BAD"/>
    <w:rsid w:val="00013DD1"/>
    <w:rsid w:val="00015144"/>
    <w:rsid w:val="000156C2"/>
    <w:rsid w:val="000158EB"/>
    <w:rsid w:val="00015C25"/>
    <w:rsid w:val="00015ED7"/>
    <w:rsid w:val="0001603A"/>
    <w:rsid w:val="00016341"/>
    <w:rsid w:val="000163FA"/>
    <w:rsid w:val="00016419"/>
    <w:rsid w:val="0001673C"/>
    <w:rsid w:val="0001677C"/>
    <w:rsid w:val="00016898"/>
    <w:rsid w:val="00016A2D"/>
    <w:rsid w:val="00016D4B"/>
    <w:rsid w:val="000171AF"/>
    <w:rsid w:val="00017773"/>
    <w:rsid w:val="000178EC"/>
    <w:rsid w:val="00017B49"/>
    <w:rsid w:val="00017EE3"/>
    <w:rsid w:val="00020587"/>
    <w:rsid w:val="00020B5A"/>
    <w:rsid w:val="00020C69"/>
    <w:rsid w:val="00021179"/>
    <w:rsid w:val="000211B9"/>
    <w:rsid w:val="00021235"/>
    <w:rsid w:val="000217EE"/>
    <w:rsid w:val="0002245A"/>
    <w:rsid w:val="000227FA"/>
    <w:rsid w:val="00022B70"/>
    <w:rsid w:val="0002301D"/>
    <w:rsid w:val="000238CD"/>
    <w:rsid w:val="0002393C"/>
    <w:rsid w:val="00023B28"/>
    <w:rsid w:val="00023BB6"/>
    <w:rsid w:val="00023FFE"/>
    <w:rsid w:val="0002464F"/>
    <w:rsid w:val="0002467B"/>
    <w:rsid w:val="00024E5C"/>
    <w:rsid w:val="0002509D"/>
    <w:rsid w:val="0002533B"/>
    <w:rsid w:val="00025622"/>
    <w:rsid w:val="000259B4"/>
    <w:rsid w:val="000259DE"/>
    <w:rsid w:val="00025BD7"/>
    <w:rsid w:val="00025D19"/>
    <w:rsid w:val="00026209"/>
    <w:rsid w:val="00026347"/>
    <w:rsid w:val="00026417"/>
    <w:rsid w:val="0002659B"/>
    <w:rsid w:val="00026D69"/>
    <w:rsid w:val="00027683"/>
    <w:rsid w:val="0002779C"/>
    <w:rsid w:val="000300F1"/>
    <w:rsid w:val="00030DC9"/>
    <w:rsid w:val="000316BB"/>
    <w:rsid w:val="00031700"/>
    <w:rsid w:val="00031779"/>
    <w:rsid w:val="000319B3"/>
    <w:rsid w:val="00031A44"/>
    <w:rsid w:val="00032318"/>
    <w:rsid w:val="000328A1"/>
    <w:rsid w:val="00033311"/>
    <w:rsid w:val="000338D5"/>
    <w:rsid w:val="00033E2A"/>
    <w:rsid w:val="000345AE"/>
    <w:rsid w:val="0003483A"/>
    <w:rsid w:val="00035FC4"/>
    <w:rsid w:val="000363DF"/>
    <w:rsid w:val="000366F3"/>
    <w:rsid w:val="00036C2D"/>
    <w:rsid w:val="00036CAF"/>
    <w:rsid w:val="00036F13"/>
    <w:rsid w:val="00037562"/>
    <w:rsid w:val="000375E5"/>
    <w:rsid w:val="0004070D"/>
    <w:rsid w:val="000419FA"/>
    <w:rsid w:val="00042777"/>
    <w:rsid w:val="00042A43"/>
    <w:rsid w:val="00042C77"/>
    <w:rsid w:val="00043893"/>
    <w:rsid w:val="00043943"/>
    <w:rsid w:val="00043BE0"/>
    <w:rsid w:val="00043CBF"/>
    <w:rsid w:val="00043CFF"/>
    <w:rsid w:val="00043D06"/>
    <w:rsid w:val="00043F91"/>
    <w:rsid w:val="00044019"/>
    <w:rsid w:val="00044B13"/>
    <w:rsid w:val="00044D29"/>
    <w:rsid w:val="00044F13"/>
    <w:rsid w:val="000451DA"/>
    <w:rsid w:val="0004572A"/>
    <w:rsid w:val="000457AD"/>
    <w:rsid w:val="000458A9"/>
    <w:rsid w:val="000458B7"/>
    <w:rsid w:val="00046266"/>
    <w:rsid w:val="00046809"/>
    <w:rsid w:val="000468AA"/>
    <w:rsid w:val="00046FA6"/>
    <w:rsid w:val="00047017"/>
    <w:rsid w:val="00047C23"/>
    <w:rsid w:val="000500F9"/>
    <w:rsid w:val="000506EF"/>
    <w:rsid w:val="00050C60"/>
    <w:rsid w:val="00050D0D"/>
    <w:rsid w:val="0005153D"/>
    <w:rsid w:val="00051653"/>
    <w:rsid w:val="00051CCA"/>
    <w:rsid w:val="00051DE8"/>
    <w:rsid w:val="00052B6D"/>
    <w:rsid w:val="000530B1"/>
    <w:rsid w:val="000533A1"/>
    <w:rsid w:val="000533AB"/>
    <w:rsid w:val="00053525"/>
    <w:rsid w:val="0005382A"/>
    <w:rsid w:val="000541BE"/>
    <w:rsid w:val="000547C2"/>
    <w:rsid w:val="00054A30"/>
    <w:rsid w:val="0005651B"/>
    <w:rsid w:val="00056ACD"/>
    <w:rsid w:val="00056CAC"/>
    <w:rsid w:val="0005780F"/>
    <w:rsid w:val="0006002B"/>
    <w:rsid w:val="0006075C"/>
    <w:rsid w:val="00060F59"/>
    <w:rsid w:val="00061455"/>
    <w:rsid w:val="000617F4"/>
    <w:rsid w:val="00061C38"/>
    <w:rsid w:val="000621D0"/>
    <w:rsid w:val="00062391"/>
    <w:rsid w:val="000623AB"/>
    <w:rsid w:val="0006277A"/>
    <w:rsid w:val="000628B3"/>
    <w:rsid w:val="00062B0A"/>
    <w:rsid w:val="00063D5B"/>
    <w:rsid w:val="00063E98"/>
    <w:rsid w:val="0006403B"/>
    <w:rsid w:val="000645EB"/>
    <w:rsid w:val="00064783"/>
    <w:rsid w:val="00064FB6"/>
    <w:rsid w:val="00065393"/>
    <w:rsid w:val="0006578E"/>
    <w:rsid w:val="00066180"/>
    <w:rsid w:val="00066356"/>
    <w:rsid w:val="00066B67"/>
    <w:rsid w:val="00066D3C"/>
    <w:rsid w:val="00067378"/>
    <w:rsid w:val="0006738E"/>
    <w:rsid w:val="0006746A"/>
    <w:rsid w:val="000679FA"/>
    <w:rsid w:val="0007005A"/>
    <w:rsid w:val="000701FC"/>
    <w:rsid w:val="00070DA7"/>
    <w:rsid w:val="00070F1E"/>
    <w:rsid w:val="00071265"/>
    <w:rsid w:val="00071305"/>
    <w:rsid w:val="00071AA6"/>
    <w:rsid w:val="0007209A"/>
    <w:rsid w:val="00072422"/>
    <w:rsid w:val="00072BC1"/>
    <w:rsid w:val="000732FD"/>
    <w:rsid w:val="00073C4B"/>
    <w:rsid w:val="00073F00"/>
    <w:rsid w:val="00073F36"/>
    <w:rsid w:val="00074373"/>
    <w:rsid w:val="000744DE"/>
    <w:rsid w:val="00074CE0"/>
    <w:rsid w:val="000757EA"/>
    <w:rsid w:val="00075D9A"/>
    <w:rsid w:val="0007636F"/>
    <w:rsid w:val="00076DCC"/>
    <w:rsid w:val="00076DFF"/>
    <w:rsid w:val="00076E2E"/>
    <w:rsid w:val="00076FC1"/>
    <w:rsid w:val="00076FC2"/>
    <w:rsid w:val="0007719D"/>
    <w:rsid w:val="0008019B"/>
    <w:rsid w:val="0008070C"/>
    <w:rsid w:val="0008077E"/>
    <w:rsid w:val="000818B4"/>
    <w:rsid w:val="00081911"/>
    <w:rsid w:val="00081E3E"/>
    <w:rsid w:val="0008203B"/>
    <w:rsid w:val="00082491"/>
    <w:rsid w:val="000828F8"/>
    <w:rsid w:val="00082CFE"/>
    <w:rsid w:val="00082DB5"/>
    <w:rsid w:val="000833C1"/>
    <w:rsid w:val="000839C4"/>
    <w:rsid w:val="00083E01"/>
    <w:rsid w:val="00084292"/>
    <w:rsid w:val="0008451F"/>
    <w:rsid w:val="0008470B"/>
    <w:rsid w:val="000847A7"/>
    <w:rsid w:val="0008496D"/>
    <w:rsid w:val="00084BF3"/>
    <w:rsid w:val="00085246"/>
    <w:rsid w:val="00085A82"/>
    <w:rsid w:val="00085ADE"/>
    <w:rsid w:val="00085D59"/>
    <w:rsid w:val="000871E3"/>
    <w:rsid w:val="00087C87"/>
    <w:rsid w:val="00087EE6"/>
    <w:rsid w:val="000900CD"/>
    <w:rsid w:val="0009028A"/>
    <w:rsid w:val="000903D6"/>
    <w:rsid w:val="00090E70"/>
    <w:rsid w:val="00091922"/>
    <w:rsid w:val="00091989"/>
    <w:rsid w:val="00091A1F"/>
    <w:rsid w:val="000920AD"/>
    <w:rsid w:val="0009233A"/>
    <w:rsid w:val="0009288F"/>
    <w:rsid w:val="00092C02"/>
    <w:rsid w:val="000934D8"/>
    <w:rsid w:val="000941A6"/>
    <w:rsid w:val="00094A0B"/>
    <w:rsid w:val="00094C65"/>
    <w:rsid w:val="00094D91"/>
    <w:rsid w:val="00094EE3"/>
    <w:rsid w:val="0009505C"/>
    <w:rsid w:val="00095112"/>
    <w:rsid w:val="0009561E"/>
    <w:rsid w:val="00095660"/>
    <w:rsid w:val="000958DC"/>
    <w:rsid w:val="000963B8"/>
    <w:rsid w:val="000963EB"/>
    <w:rsid w:val="000967E3"/>
    <w:rsid w:val="0009697D"/>
    <w:rsid w:val="00097C67"/>
    <w:rsid w:val="000A04F2"/>
    <w:rsid w:val="000A0C96"/>
    <w:rsid w:val="000A0CB4"/>
    <w:rsid w:val="000A134B"/>
    <w:rsid w:val="000A154E"/>
    <w:rsid w:val="000A19EB"/>
    <w:rsid w:val="000A1B70"/>
    <w:rsid w:val="000A1D7E"/>
    <w:rsid w:val="000A1E25"/>
    <w:rsid w:val="000A378C"/>
    <w:rsid w:val="000A4345"/>
    <w:rsid w:val="000A4415"/>
    <w:rsid w:val="000A4A64"/>
    <w:rsid w:val="000A4D5C"/>
    <w:rsid w:val="000A5624"/>
    <w:rsid w:val="000A57E2"/>
    <w:rsid w:val="000A5EB1"/>
    <w:rsid w:val="000A6724"/>
    <w:rsid w:val="000A67ED"/>
    <w:rsid w:val="000A6BCA"/>
    <w:rsid w:val="000A7DBC"/>
    <w:rsid w:val="000B0762"/>
    <w:rsid w:val="000B08B5"/>
    <w:rsid w:val="000B0F3A"/>
    <w:rsid w:val="000B1058"/>
    <w:rsid w:val="000B11A2"/>
    <w:rsid w:val="000B1759"/>
    <w:rsid w:val="000B1CCA"/>
    <w:rsid w:val="000B1EA1"/>
    <w:rsid w:val="000B2AA6"/>
    <w:rsid w:val="000B2AF0"/>
    <w:rsid w:val="000B2ED8"/>
    <w:rsid w:val="000B3AA4"/>
    <w:rsid w:val="000B3E45"/>
    <w:rsid w:val="000B49BC"/>
    <w:rsid w:val="000B4A9E"/>
    <w:rsid w:val="000B4D46"/>
    <w:rsid w:val="000B4DDC"/>
    <w:rsid w:val="000B5077"/>
    <w:rsid w:val="000B57ED"/>
    <w:rsid w:val="000B57FA"/>
    <w:rsid w:val="000B59C0"/>
    <w:rsid w:val="000B61E4"/>
    <w:rsid w:val="000B632F"/>
    <w:rsid w:val="000B6F92"/>
    <w:rsid w:val="000B717E"/>
    <w:rsid w:val="000B7432"/>
    <w:rsid w:val="000B743C"/>
    <w:rsid w:val="000B7B05"/>
    <w:rsid w:val="000B7FE7"/>
    <w:rsid w:val="000C0310"/>
    <w:rsid w:val="000C1244"/>
    <w:rsid w:val="000C139E"/>
    <w:rsid w:val="000C14F8"/>
    <w:rsid w:val="000C151D"/>
    <w:rsid w:val="000C16F0"/>
    <w:rsid w:val="000C182F"/>
    <w:rsid w:val="000C26B8"/>
    <w:rsid w:val="000C2901"/>
    <w:rsid w:val="000C2F36"/>
    <w:rsid w:val="000C31DF"/>
    <w:rsid w:val="000C3F48"/>
    <w:rsid w:val="000C3F68"/>
    <w:rsid w:val="000C400B"/>
    <w:rsid w:val="000C518D"/>
    <w:rsid w:val="000C52F8"/>
    <w:rsid w:val="000C5463"/>
    <w:rsid w:val="000C5902"/>
    <w:rsid w:val="000C5A52"/>
    <w:rsid w:val="000C5BA7"/>
    <w:rsid w:val="000C5CC2"/>
    <w:rsid w:val="000C5D93"/>
    <w:rsid w:val="000C5DAC"/>
    <w:rsid w:val="000C6368"/>
    <w:rsid w:val="000C6502"/>
    <w:rsid w:val="000C6530"/>
    <w:rsid w:val="000C6AD8"/>
    <w:rsid w:val="000C6D50"/>
    <w:rsid w:val="000C729E"/>
    <w:rsid w:val="000C738E"/>
    <w:rsid w:val="000C7452"/>
    <w:rsid w:val="000C762B"/>
    <w:rsid w:val="000C7725"/>
    <w:rsid w:val="000C7F3D"/>
    <w:rsid w:val="000D04F3"/>
    <w:rsid w:val="000D0773"/>
    <w:rsid w:val="000D0A07"/>
    <w:rsid w:val="000D0A25"/>
    <w:rsid w:val="000D148E"/>
    <w:rsid w:val="000D15CA"/>
    <w:rsid w:val="000D166E"/>
    <w:rsid w:val="000D166F"/>
    <w:rsid w:val="000D1C35"/>
    <w:rsid w:val="000D1D2A"/>
    <w:rsid w:val="000D28A1"/>
    <w:rsid w:val="000D3A34"/>
    <w:rsid w:val="000D4093"/>
    <w:rsid w:val="000D516D"/>
    <w:rsid w:val="000D6029"/>
    <w:rsid w:val="000D6A82"/>
    <w:rsid w:val="000D7AAB"/>
    <w:rsid w:val="000D7BE1"/>
    <w:rsid w:val="000D7D4B"/>
    <w:rsid w:val="000E0011"/>
    <w:rsid w:val="000E1156"/>
    <w:rsid w:val="000E1BF4"/>
    <w:rsid w:val="000E1CD4"/>
    <w:rsid w:val="000E2A01"/>
    <w:rsid w:val="000E2FF8"/>
    <w:rsid w:val="000E320E"/>
    <w:rsid w:val="000E35EA"/>
    <w:rsid w:val="000E3BBA"/>
    <w:rsid w:val="000E3EF9"/>
    <w:rsid w:val="000E428E"/>
    <w:rsid w:val="000E461B"/>
    <w:rsid w:val="000E4881"/>
    <w:rsid w:val="000E4C2A"/>
    <w:rsid w:val="000E4E76"/>
    <w:rsid w:val="000E55C0"/>
    <w:rsid w:val="000E5F71"/>
    <w:rsid w:val="000E5FE3"/>
    <w:rsid w:val="000E615D"/>
    <w:rsid w:val="000E62E0"/>
    <w:rsid w:val="000E66B7"/>
    <w:rsid w:val="000E732E"/>
    <w:rsid w:val="000E7C0B"/>
    <w:rsid w:val="000E7D1D"/>
    <w:rsid w:val="000F0BA4"/>
    <w:rsid w:val="000F12A9"/>
    <w:rsid w:val="000F1A77"/>
    <w:rsid w:val="000F1F28"/>
    <w:rsid w:val="000F221D"/>
    <w:rsid w:val="000F2D3B"/>
    <w:rsid w:val="000F2D44"/>
    <w:rsid w:val="000F4732"/>
    <w:rsid w:val="000F4FF3"/>
    <w:rsid w:val="000F5064"/>
    <w:rsid w:val="000F551C"/>
    <w:rsid w:val="000F55AA"/>
    <w:rsid w:val="000F5DFA"/>
    <w:rsid w:val="000F5E34"/>
    <w:rsid w:val="000F658A"/>
    <w:rsid w:val="000F696C"/>
    <w:rsid w:val="000F699A"/>
    <w:rsid w:val="001001D6"/>
    <w:rsid w:val="0010022E"/>
    <w:rsid w:val="00100385"/>
    <w:rsid w:val="00100559"/>
    <w:rsid w:val="00100568"/>
    <w:rsid w:val="0010082E"/>
    <w:rsid w:val="00100D83"/>
    <w:rsid w:val="00101399"/>
    <w:rsid w:val="00102846"/>
    <w:rsid w:val="00103D6A"/>
    <w:rsid w:val="001040DE"/>
    <w:rsid w:val="001041F1"/>
    <w:rsid w:val="00104475"/>
    <w:rsid w:val="001046F3"/>
    <w:rsid w:val="0010474C"/>
    <w:rsid w:val="00104925"/>
    <w:rsid w:val="00104E59"/>
    <w:rsid w:val="00105561"/>
    <w:rsid w:val="001056C6"/>
    <w:rsid w:val="00105985"/>
    <w:rsid w:val="00105A10"/>
    <w:rsid w:val="001065F8"/>
    <w:rsid w:val="00107313"/>
    <w:rsid w:val="00107A79"/>
    <w:rsid w:val="00107E3D"/>
    <w:rsid w:val="00107F26"/>
    <w:rsid w:val="00110089"/>
    <w:rsid w:val="001100A0"/>
    <w:rsid w:val="00110639"/>
    <w:rsid w:val="00110E14"/>
    <w:rsid w:val="00111052"/>
    <w:rsid w:val="001113AE"/>
    <w:rsid w:val="0011183D"/>
    <w:rsid w:val="00111F73"/>
    <w:rsid w:val="001124AF"/>
    <w:rsid w:val="0011303B"/>
    <w:rsid w:val="00113B24"/>
    <w:rsid w:val="00114BD9"/>
    <w:rsid w:val="0011538D"/>
    <w:rsid w:val="00115430"/>
    <w:rsid w:val="0011557E"/>
    <w:rsid w:val="001155AC"/>
    <w:rsid w:val="00115AE2"/>
    <w:rsid w:val="00115E06"/>
    <w:rsid w:val="00117726"/>
    <w:rsid w:val="00117ABF"/>
    <w:rsid w:val="00120B3C"/>
    <w:rsid w:val="00120EFF"/>
    <w:rsid w:val="001213B7"/>
    <w:rsid w:val="00121EFC"/>
    <w:rsid w:val="00121F0B"/>
    <w:rsid w:val="00122420"/>
    <w:rsid w:val="001228CD"/>
    <w:rsid w:val="00122BDF"/>
    <w:rsid w:val="00122E11"/>
    <w:rsid w:val="001234F5"/>
    <w:rsid w:val="00123D2D"/>
    <w:rsid w:val="00123D8A"/>
    <w:rsid w:val="00123E78"/>
    <w:rsid w:val="00124125"/>
    <w:rsid w:val="001247D1"/>
    <w:rsid w:val="00124A7D"/>
    <w:rsid w:val="00124D16"/>
    <w:rsid w:val="00124E8C"/>
    <w:rsid w:val="00124EAD"/>
    <w:rsid w:val="00124F33"/>
    <w:rsid w:val="00124F53"/>
    <w:rsid w:val="001250DD"/>
    <w:rsid w:val="00125105"/>
    <w:rsid w:val="0012680B"/>
    <w:rsid w:val="00126931"/>
    <w:rsid w:val="00126A16"/>
    <w:rsid w:val="00126F2D"/>
    <w:rsid w:val="001277F6"/>
    <w:rsid w:val="00127A54"/>
    <w:rsid w:val="00127C91"/>
    <w:rsid w:val="001302E0"/>
    <w:rsid w:val="001306C1"/>
    <w:rsid w:val="00130AB1"/>
    <w:rsid w:val="00130E7C"/>
    <w:rsid w:val="00131B5B"/>
    <w:rsid w:val="00131D21"/>
    <w:rsid w:val="00131DEA"/>
    <w:rsid w:val="00132266"/>
    <w:rsid w:val="00132606"/>
    <w:rsid w:val="0013267B"/>
    <w:rsid w:val="00132761"/>
    <w:rsid w:val="00132D10"/>
    <w:rsid w:val="00132F45"/>
    <w:rsid w:val="001330C9"/>
    <w:rsid w:val="00133169"/>
    <w:rsid w:val="0013361D"/>
    <w:rsid w:val="00134874"/>
    <w:rsid w:val="00134DC5"/>
    <w:rsid w:val="00135435"/>
    <w:rsid w:val="00135760"/>
    <w:rsid w:val="001357EE"/>
    <w:rsid w:val="00135D54"/>
    <w:rsid w:val="0013646A"/>
    <w:rsid w:val="00136925"/>
    <w:rsid w:val="001369CA"/>
    <w:rsid w:val="00136A4C"/>
    <w:rsid w:val="00137067"/>
    <w:rsid w:val="00137420"/>
    <w:rsid w:val="001374E2"/>
    <w:rsid w:val="00137709"/>
    <w:rsid w:val="0013771A"/>
    <w:rsid w:val="001377D4"/>
    <w:rsid w:val="001377E7"/>
    <w:rsid w:val="00137CD5"/>
    <w:rsid w:val="00137E1B"/>
    <w:rsid w:val="00137FB8"/>
    <w:rsid w:val="001403AA"/>
    <w:rsid w:val="00140BF1"/>
    <w:rsid w:val="00141223"/>
    <w:rsid w:val="00141713"/>
    <w:rsid w:val="001421B4"/>
    <w:rsid w:val="00142610"/>
    <w:rsid w:val="00142815"/>
    <w:rsid w:val="00142CE9"/>
    <w:rsid w:val="0014371F"/>
    <w:rsid w:val="00143AB7"/>
    <w:rsid w:val="00144CFB"/>
    <w:rsid w:val="001452F4"/>
    <w:rsid w:val="001452FF"/>
    <w:rsid w:val="00145B7B"/>
    <w:rsid w:val="00145D64"/>
    <w:rsid w:val="001462BF"/>
    <w:rsid w:val="00146A2A"/>
    <w:rsid w:val="00146E99"/>
    <w:rsid w:val="00146E9A"/>
    <w:rsid w:val="001473BE"/>
    <w:rsid w:val="0014751C"/>
    <w:rsid w:val="00147D73"/>
    <w:rsid w:val="00147E52"/>
    <w:rsid w:val="00150453"/>
    <w:rsid w:val="00150504"/>
    <w:rsid w:val="00150656"/>
    <w:rsid w:val="00150B5E"/>
    <w:rsid w:val="00150F85"/>
    <w:rsid w:val="001512C2"/>
    <w:rsid w:val="001516FE"/>
    <w:rsid w:val="00151B8E"/>
    <w:rsid w:val="00152012"/>
    <w:rsid w:val="001522F2"/>
    <w:rsid w:val="001523B9"/>
    <w:rsid w:val="0015283F"/>
    <w:rsid w:val="0015339C"/>
    <w:rsid w:val="001547FB"/>
    <w:rsid w:val="00154931"/>
    <w:rsid w:val="00154A7A"/>
    <w:rsid w:val="00154CA0"/>
    <w:rsid w:val="00155C93"/>
    <w:rsid w:val="00155EDC"/>
    <w:rsid w:val="0015649A"/>
    <w:rsid w:val="00156FD7"/>
    <w:rsid w:val="00157390"/>
    <w:rsid w:val="00157D61"/>
    <w:rsid w:val="00160148"/>
    <w:rsid w:val="001609A4"/>
    <w:rsid w:val="001609E3"/>
    <w:rsid w:val="001611F0"/>
    <w:rsid w:val="00161390"/>
    <w:rsid w:val="001618B0"/>
    <w:rsid w:val="00161A46"/>
    <w:rsid w:val="00162760"/>
    <w:rsid w:val="00162C68"/>
    <w:rsid w:val="00163AD7"/>
    <w:rsid w:val="00163FE0"/>
    <w:rsid w:val="0016410C"/>
    <w:rsid w:val="00164312"/>
    <w:rsid w:val="0016434F"/>
    <w:rsid w:val="00164480"/>
    <w:rsid w:val="00164757"/>
    <w:rsid w:val="001648C2"/>
    <w:rsid w:val="00164A59"/>
    <w:rsid w:val="001650E4"/>
    <w:rsid w:val="00165412"/>
    <w:rsid w:val="00165416"/>
    <w:rsid w:val="00165AA4"/>
    <w:rsid w:val="00165B54"/>
    <w:rsid w:val="001663D0"/>
    <w:rsid w:val="00166751"/>
    <w:rsid w:val="00166919"/>
    <w:rsid w:val="00166A65"/>
    <w:rsid w:val="00166DCE"/>
    <w:rsid w:val="00167808"/>
    <w:rsid w:val="0016797F"/>
    <w:rsid w:val="001679A4"/>
    <w:rsid w:val="00167EF8"/>
    <w:rsid w:val="0017006B"/>
    <w:rsid w:val="00170F24"/>
    <w:rsid w:val="0017201D"/>
    <w:rsid w:val="001720D0"/>
    <w:rsid w:val="0017247C"/>
    <w:rsid w:val="00172DEF"/>
    <w:rsid w:val="00173E3A"/>
    <w:rsid w:val="00173ECC"/>
    <w:rsid w:val="00174807"/>
    <w:rsid w:val="00174A0D"/>
    <w:rsid w:val="0017501C"/>
    <w:rsid w:val="00175134"/>
    <w:rsid w:val="00175C20"/>
    <w:rsid w:val="00175FFE"/>
    <w:rsid w:val="001762E1"/>
    <w:rsid w:val="00176322"/>
    <w:rsid w:val="00176844"/>
    <w:rsid w:val="00176C78"/>
    <w:rsid w:val="00177732"/>
    <w:rsid w:val="00177BB8"/>
    <w:rsid w:val="0018048C"/>
    <w:rsid w:val="001808B2"/>
    <w:rsid w:val="00180973"/>
    <w:rsid w:val="00180C17"/>
    <w:rsid w:val="00180F43"/>
    <w:rsid w:val="0018149C"/>
    <w:rsid w:val="001816EB"/>
    <w:rsid w:val="00181838"/>
    <w:rsid w:val="00181A02"/>
    <w:rsid w:val="00181B8D"/>
    <w:rsid w:val="00181E39"/>
    <w:rsid w:val="001820B5"/>
    <w:rsid w:val="0018224A"/>
    <w:rsid w:val="0018250F"/>
    <w:rsid w:val="001825C8"/>
    <w:rsid w:val="0018280E"/>
    <w:rsid w:val="00183099"/>
    <w:rsid w:val="00183706"/>
    <w:rsid w:val="00183EA0"/>
    <w:rsid w:val="00183EE6"/>
    <w:rsid w:val="001840B8"/>
    <w:rsid w:val="00184154"/>
    <w:rsid w:val="00184757"/>
    <w:rsid w:val="001848D7"/>
    <w:rsid w:val="00184A8B"/>
    <w:rsid w:val="00184E58"/>
    <w:rsid w:val="00184ED7"/>
    <w:rsid w:val="0018518E"/>
    <w:rsid w:val="0018553D"/>
    <w:rsid w:val="001862CE"/>
    <w:rsid w:val="00186371"/>
    <w:rsid w:val="00186518"/>
    <w:rsid w:val="00186D2D"/>
    <w:rsid w:val="00187216"/>
    <w:rsid w:val="00187C86"/>
    <w:rsid w:val="00187F59"/>
    <w:rsid w:val="00190158"/>
    <w:rsid w:val="00190170"/>
    <w:rsid w:val="00190811"/>
    <w:rsid w:val="00190B65"/>
    <w:rsid w:val="00190BA3"/>
    <w:rsid w:val="00190BBB"/>
    <w:rsid w:val="00190F4E"/>
    <w:rsid w:val="00190FA2"/>
    <w:rsid w:val="001910B1"/>
    <w:rsid w:val="00191880"/>
    <w:rsid w:val="00191E9B"/>
    <w:rsid w:val="0019344E"/>
    <w:rsid w:val="00193770"/>
    <w:rsid w:val="00193846"/>
    <w:rsid w:val="00193C67"/>
    <w:rsid w:val="0019482D"/>
    <w:rsid w:val="00194D31"/>
    <w:rsid w:val="00194D71"/>
    <w:rsid w:val="00194EE0"/>
    <w:rsid w:val="00195681"/>
    <w:rsid w:val="00195AC2"/>
    <w:rsid w:val="00195E72"/>
    <w:rsid w:val="00196150"/>
    <w:rsid w:val="00196427"/>
    <w:rsid w:val="0019661A"/>
    <w:rsid w:val="001971B4"/>
    <w:rsid w:val="001974F2"/>
    <w:rsid w:val="001976F1"/>
    <w:rsid w:val="00197773"/>
    <w:rsid w:val="00197B64"/>
    <w:rsid w:val="00197ED4"/>
    <w:rsid w:val="001A026B"/>
    <w:rsid w:val="001A0A65"/>
    <w:rsid w:val="001A0C06"/>
    <w:rsid w:val="001A126D"/>
    <w:rsid w:val="001A2248"/>
    <w:rsid w:val="001A29CF"/>
    <w:rsid w:val="001A2E67"/>
    <w:rsid w:val="001A3B63"/>
    <w:rsid w:val="001A4CAC"/>
    <w:rsid w:val="001A65F9"/>
    <w:rsid w:val="001A67C0"/>
    <w:rsid w:val="001A6BB9"/>
    <w:rsid w:val="001A7282"/>
    <w:rsid w:val="001A778F"/>
    <w:rsid w:val="001A7A35"/>
    <w:rsid w:val="001A7B1B"/>
    <w:rsid w:val="001A7D88"/>
    <w:rsid w:val="001B00A4"/>
    <w:rsid w:val="001B0419"/>
    <w:rsid w:val="001B0B0D"/>
    <w:rsid w:val="001B0BEF"/>
    <w:rsid w:val="001B0C69"/>
    <w:rsid w:val="001B1015"/>
    <w:rsid w:val="001B1254"/>
    <w:rsid w:val="001B173E"/>
    <w:rsid w:val="001B1C33"/>
    <w:rsid w:val="001B2139"/>
    <w:rsid w:val="001B2263"/>
    <w:rsid w:val="001B23BB"/>
    <w:rsid w:val="001B27E7"/>
    <w:rsid w:val="001B2930"/>
    <w:rsid w:val="001B33D3"/>
    <w:rsid w:val="001B3786"/>
    <w:rsid w:val="001B4151"/>
    <w:rsid w:val="001B437F"/>
    <w:rsid w:val="001B43D7"/>
    <w:rsid w:val="001B45B4"/>
    <w:rsid w:val="001B4A38"/>
    <w:rsid w:val="001B51CD"/>
    <w:rsid w:val="001B541F"/>
    <w:rsid w:val="001B5918"/>
    <w:rsid w:val="001B5B04"/>
    <w:rsid w:val="001B747A"/>
    <w:rsid w:val="001C02F1"/>
    <w:rsid w:val="001C0EAE"/>
    <w:rsid w:val="001C1816"/>
    <w:rsid w:val="001C1C7C"/>
    <w:rsid w:val="001C24AF"/>
    <w:rsid w:val="001C264F"/>
    <w:rsid w:val="001C3424"/>
    <w:rsid w:val="001C36A5"/>
    <w:rsid w:val="001C3B65"/>
    <w:rsid w:val="001C4078"/>
    <w:rsid w:val="001C4079"/>
    <w:rsid w:val="001C4F88"/>
    <w:rsid w:val="001C5750"/>
    <w:rsid w:val="001C59A5"/>
    <w:rsid w:val="001C6402"/>
    <w:rsid w:val="001C64B2"/>
    <w:rsid w:val="001C684F"/>
    <w:rsid w:val="001C7321"/>
    <w:rsid w:val="001C7A9E"/>
    <w:rsid w:val="001C7BA5"/>
    <w:rsid w:val="001C7EDB"/>
    <w:rsid w:val="001D0180"/>
    <w:rsid w:val="001D07EF"/>
    <w:rsid w:val="001D085B"/>
    <w:rsid w:val="001D0B19"/>
    <w:rsid w:val="001D111F"/>
    <w:rsid w:val="001D11E8"/>
    <w:rsid w:val="001D138D"/>
    <w:rsid w:val="001D24F7"/>
    <w:rsid w:val="001D28FB"/>
    <w:rsid w:val="001D2D99"/>
    <w:rsid w:val="001D33BB"/>
    <w:rsid w:val="001D4197"/>
    <w:rsid w:val="001D4430"/>
    <w:rsid w:val="001D5255"/>
    <w:rsid w:val="001D5812"/>
    <w:rsid w:val="001D61B7"/>
    <w:rsid w:val="001D68DE"/>
    <w:rsid w:val="001D6C43"/>
    <w:rsid w:val="001D7173"/>
    <w:rsid w:val="001D78D1"/>
    <w:rsid w:val="001D7D99"/>
    <w:rsid w:val="001D7F08"/>
    <w:rsid w:val="001E0B46"/>
    <w:rsid w:val="001E0C80"/>
    <w:rsid w:val="001E0F02"/>
    <w:rsid w:val="001E1171"/>
    <w:rsid w:val="001E1299"/>
    <w:rsid w:val="001E1830"/>
    <w:rsid w:val="001E1D8C"/>
    <w:rsid w:val="001E2103"/>
    <w:rsid w:val="001E2546"/>
    <w:rsid w:val="001E256D"/>
    <w:rsid w:val="001E273F"/>
    <w:rsid w:val="001E2B31"/>
    <w:rsid w:val="001E2B4C"/>
    <w:rsid w:val="001E2C5B"/>
    <w:rsid w:val="001E2EE3"/>
    <w:rsid w:val="001E3EB6"/>
    <w:rsid w:val="001E4135"/>
    <w:rsid w:val="001E486D"/>
    <w:rsid w:val="001E4B26"/>
    <w:rsid w:val="001E5023"/>
    <w:rsid w:val="001E5317"/>
    <w:rsid w:val="001E5ED5"/>
    <w:rsid w:val="001E5EF8"/>
    <w:rsid w:val="001E68FE"/>
    <w:rsid w:val="001E7006"/>
    <w:rsid w:val="001E7EC9"/>
    <w:rsid w:val="001E7EEB"/>
    <w:rsid w:val="001E7F11"/>
    <w:rsid w:val="001E7F7B"/>
    <w:rsid w:val="001F0400"/>
    <w:rsid w:val="001F045E"/>
    <w:rsid w:val="001F086A"/>
    <w:rsid w:val="001F0947"/>
    <w:rsid w:val="001F0A40"/>
    <w:rsid w:val="001F0FBF"/>
    <w:rsid w:val="001F1043"/>
    <w:rsid w:val="001F151F"/>
    <w:rsid w:val="001F1522"/>
    <w:rsid w:val="001F1814"/>
    <w:rsid w:val="001F1BAF"/>
    <w:rsid w:val="001F208F"/>
    <w:rsid w:val="001F2095"/>
    <w:rsid w:val="001F2373"/>
    <w:rsid w:val="001F27F7"/>
    <w:rsid w:val="001F2E86"/>
    <w:rsid w:val="001F307F"/>
    <w:rsid w:val="001F3211"/>
    <w:rsid w:val="001F326E"/>
    <w:rsid w:val="001F3578"/>
    <w:rsid w:val="001F5531"/>
    <w:rsid w:val="001F5938"/>
    <w:rsid w:val="001F6003"/>
    <w:rsid w:val="001F6861"/>
    <w:rsid w:val="001F6FBB"/>
    <w:rsid w:val="001F6FEC"/>
    <w:rsid w:val="001F7063"/>
    <w:rsid w:val="001F713E"/>
    <w:rsid w:val="001F73CF"/>
    <w:rsid w:val="001F76A3"/>
    <w:rsid w:val="001F7BA4"/>
    <w:rsid w:val="00200766"/>
    <w:rsid w:val="00200CA2"/>
    <w:rsid w:val="00200EAD"/>
    <w:rsid w:val="002010DB"/>
    <w:rsid w:val="00201116"/>
    <w:rsid w:val="0020159F"/>
    <w:rsid w:val="00201AA5"/>
    <w:rsid w:val="00201CA1"/>
    <w:rsid w:val="002024B2"/>
    <w:rsid w:val="00202609"/>
    <w:rsid w:val="002026DA"/>
    <w:rsid w:val="002027EA"/>
    <w:rsid w:val="002037FD"/>
    <w:rsid w:val="002038BB"/>
    <w:rsid w:val="00203927"/>
    <w:rsid w:val="00203E1D"/>
    <w:rsid w:val="0020451E"/>
    <w:rsid w:val="00204718"/>
    <w:rsid w:val="00204B52"/>
    <w:rsid w:val="00204DD6"/>
    <w:rsid w:val="00204ED3"/>
    <w:rsid w:val="00205A65"/>
    <w:rsid w:val="00205F89"/>
    <w:rsid w:val="002063E8"/>
    <w:rsid w:val="002067CB"/>
    <w:rsid w:val="00207640"/>
    <w:rsid w:val="00207642"/>
    <w:rsid w:val="0020768B"/>
    <w:rsid w:val="002077EE"/>
    <w:rsid w:val="00207AB6"/>
    <w:rsid w:val="00207B72"/>
    <w:rsid w:val="002104A0"/>
    <w:rsid w:val="00210509"/>
    <w:rsid w:val="00210B14"/>
    <w:rsid w:val="00210E7B"/>
    <w:rsid w:val="00210F3B"/>
    <w:rsid w:val="00210FA5"/>
    <w:rsid w:val="00211EA4"/>
    <w:rsid w:val="00212749"/>
    <w:rsid w:val="00212C5A"/>
    <w:rsid w:val="00212D36"/>
    <w:rsid w:val="00213337"/>
    <w:rsid w:val="00213B50"/>
    <w:rsid w:val="00213BA6"/>
    <w:rsid w:val="00214274"/>
    <w:rsid w:val="0021480E"/>
    <w:rsid w:val="00214882"/>
    <w:rsid w:val="00214C52"/>
    <w:rsid w:val="0021594F"/>
    <w:rsid w:val="00215F5A"/>
    <w:rsid w:val="00216C94"/>
    <w:rsid w:val="00216D37"/>
    <w:rsid w:val="00217D1F"/>
    <w:rsid w:val="00217FB0"/>
    <w:rsid w:val="00220201"/>
    <w:rsid w:val="00220623"/>
    <w:rsid w:val="00220787"/>
    <w:rsid w:val="002209FF"/>
    <w:rsid w:val="00220A90"/>
    <w:rsid w:val="00220AB2"/>
    <w:rsid w:val="00220CA8"/>
    <w:rsid w:val="00220D09"/>
    <w:rsid w:val="00220D90"/>
    <w:rsid w:val="00221276"/>
    <w:rsid w:val="00221F64"/>
    <w:rsid w:val="00222392"/>
    <w:rsid w:val="00222475"/>
    <w:rsid w:val="0022280E"/>
    <w:rsid w:val="002228D5"/>
    <w:rsid w:val="00222E7F"/>
    <w:rsid w:val="002233B7"/>
    <w:rsid w:val="00223EC1"/>
    <w:rsid w:val="00224125"/>
    <w:rsid w:val="002241A4"/>
    <w:rsid w:val="0022470F"/>
    <w:rsid w:val="00226255"/>
    <w:rsid w:val="002264FB"/>
    <w:rsid w:val="00226BD8"/>
    <w:rsid w:val="00227716"/>
    <w:rsid w:val="00227B04"/>
    <w:rsid w:val="002302C9"/>
    <w:rsid w:val="00230D03"/>
    <w:rsid w:val="00230D0A"/>
    <w:rsid w:val="00230D5F"/>
    <w:rsid w:val="00230D61"/>
    <w:rsid w:val="00231386"/>
    <w:rsid w:val="002314BF"/>
    <w:rsid w:val="002314FB"/>
    <w:rsid w:val="00231CA6"/>
    <w:rsid w:val="0023217A"/>
    <w:rsid w:val="00232578"/>
    <w:rsid w:val="00232609"/>
    <w:rsid w:val="002326BE"/>
    <w:rsid w:val="00232F83"/>
    <w:rsid w:val="00233050"/>
    <w:rsid w:val="00233D36"/>
    <w:rsid w:val="00233E2E"/>
    <w:rsid w:val="002344E3"/>
    <w:rsid w:val="002349A3"/>
    <w:rsid w:val="00234CA9"/>
    <w:rsid w:val="00234CFE"/>
    <w:rsid w:val="00234D08"/>
    <w:rsid w:val="00234E72"/>
    <w:rsid w:val="00234EF6"/>
    <w:rsid w:val="00235035"/>
    <w:rsid w:val="002356B9"/>
    <w:rsid w:val="00235709"/>
    <w:rsid w:val="0023587C"/>
    <w:rsid w:val="00235E6F"/>
    <w:rsid w:val="00235E8E"/>
    <w:rsid w:val="00235F76"/>
    <w:rsid w:val="0023697F"/>
    <w:rsid w:val="00236A2F"/>
    <w:rsid w:val="00236A9A"/>
    <w:rsid w:val="00236B2A"/>
    <w:rsid w:val="002370BB"/>
    <w:rsid w:val="002371DE"/>
    <w:rsid w:val="00240929"/>
    <w:rsid w:val="00240CA9"/>
    <w:rsid w:val="00240EB5"/>
    <w:rsid w:val="002413AF"/>
    <w:rsid w:val="00241A1F"/>
    <w:rsid w:val="00241D77"/>
    <w:rsid w:val="00242171"/>
    <w:rsid w:val="0024228F"/>
    <w:rsid w:val="00242488"/>
    <w:rsid w:val="00242AD9"/>
    <w:rsid w:val="00242BC8"/>
    <w:rsid w:val="00242E75"/>
    <w:rsid w:val="002430F4"/>
    <w:rsid w:val="002437D9"/>
    <w:rsid w:val="00243B18"/>
    <w:rsid w:val="00243D1C"/>
    <w:rsid w:val="00244AB2"/>
    <w:rsid w:val="00245D19"/>
    <w:rsid w:val="00245D83"/>
    <w:rsid w:val="002460A0"/>
    <w:rsid w:val="002466AC"/>
    <w:rsid w:val="00246A9C"/>
    <w:rsid w:val="002475A0"/>
    <w:rsid w:val="00247614"/>
    <w:rsid w:val="00247AF7"/>
    <w:rsid w:val="00247F66"/>
    <w:rsid w:val="0025110D"/>
    <w:rsid w:val="0025119A"/>
    <w:rsid w:val="00251A15"/>
    <w:rsid w:val="00251A82"/>
    <w:rsid w:val="00251E78"/>
    <w:rsid w:val="002521E9"/>
    <w:rsid w:val="002529A6"/>
    <w:rsid w:val="00252B6A"/>
    <w:rsid w:val="00252D43"/>
    <w:rsid w:val="002534FA"/>
    <w:rsid w:val="0025377C"/>
    <w:rsid w:val="00253C19"/>
    <w:rsid w:val="0025489B"/>
    <w:rsid w:val="00254A47"/>
    <w:rsid w:val="00254FD0"/>
    <w:rsid w:val="00255416"/>
    <w:rsid w:val="0025588C"/>
    <w:rsid w:val="00255C36"/>
    <w:rsid w:val="00255DB3"/>
    <w:rsid w:val="002568B5"/>
    <w:rsid w:val="00256BA9"/>
    <w:rsid w:val="00256FE7"/>
    <w:rsid w:val="002571AA"/>
    <w:rsid w:val="00257241"/>
    <w:rsid w:val="0025736D"/>
    <w:rsid w:val="002577F7"/>
    <w:rsid w:val="00257CB1"/>
    <w:rsid w:val="00257CDC"/>
    <w:rsid w:val="0026042D"/>
    <w:rsid w:val="00260777"/>
    <w:rsid w:val="00260AB4"/>
    <w:rsid w:val="00260C8C"/>
    <w:rsid w:val="00260E14"/>
    <w:rsid w:val="00260E26"/>
    <w:rsid w:val="00261233"/>
    <w:rsid w:val="00261472"/>
    <w:rsid w:val="0026180A"/>
    <w:rsid w:val="00261BEC"/>
    <w:rsid w:val="00261CF0"/>
    <w:rsid w:val="00262D2C"/>
    <w:rsid w:val="00263827"/>
    <w:rsid w:val="0026424E"/>
    <w:rsid w:val="00264527"/>
    <w:rsid w:val="002649A7"/>
    <w:rsid w:val="00264A86"/>
    <w:rsid w:val="00264AFB"/>
    <w:rsid w:val="00265908"/>
    <w:rsid w:val="00265A4D"/>
    <w:rsid w:val="00265C4F"/>
    <w:rsid w:val="0026603F"/>
    <w:rsid w:val="002663D9"/>
    <w:rsid w:val="002678E4"/>
    <w:rsid w:val="00270056"/>
    <w:rsid w:val="002701DD"/>
    <w:rsid w:val="00270B09"/>
    <w:rsid w:val="002714B4"/>
    <w:rsid w:val="0027176A"/>
    <w:rsid w:val="0027283B"/>
    <w:rsid w:val="00272FB5"/>
    <w:rsid w:val="00273C82"/>
    <w:rsid w:val="00273ECB"/>
    <w:rsid w:val="0027498A"/>
    <w:rsid w:val="00274A43"/>
    <w:rsid w:val="00274C33"/>
    <w:rsid w:val="0027542F"/>
    <w:rsid w:val="00275457"/>
    <w:rsid w:val="00275ACB"/>
    <w:rsid w:val="00275B53"/>
    <w:rsid w:val="00275D8E"/>
    <w:rsid w:val="002762CD"/>
    <w:rsid w:val="0027691E"/>
    <w:rsid w:val="00276E4F"/>
    <w:rsid w:val="0027757B"/>
    <w:rsid w:val="002776E4"/>
    <w:rsid w:val="00277D78"/>
    <w:rsid w:val="002801D2"/>
    <w:rsid w:val="00280389"/>
    <w:rsid w:val="00280D57"/>
    <w:rsid w:val="00281077"/>
    <w:rsid w:val="00281178"/>
    <w:rsid w:val="0028169A"/>
    <w:rsid w:val="00281E77"/>
    <w:rsid w:val="00282067"/>
    <w:rsid w:val="00282275"/>
    <w:rsid w:val="00282349"/>
    <w:rsid w:val="00282604"/>
    <w:rsid w:val="002826F2"/>
    <w:rsid w:val="002827A9"/>
    <w:rsid w:val="002827EE"/>
    <w:rsid w:val="0028294C"/>
    <w:rsid w:val="002829F8"/>
    <w:rsid w:val="00282AC3"/>
    <w:rsid w:val="00283055"/>
    <w:rsid w:val="0028312E"/>
    <w:rsid w:val="00283334"/>
    <w:rsid w:val="00283355"/>
    <w:rsid w:val="00283638"/>
    <w:rsid w:val="00283885"/>
    <w:rsid w:val="002838E8"/>
    <w:rsid w:val="002839AB"/>
    <w:rsid w:val="00283C46"/>
    <w:rsid w:val="00283D87"/>
    <w:rsid w:val="002840C6"/>
    <w:rsid w:val="002853C1"/>
    <w:rsid w:val="002857F0"/>
    <w:rsid w:val="002860A4"/>
    <w:rsid w:val="00286414"/>
    <w:rsid w:val="0028648A"/>
    <w:rsid w:val="002865BD"/>
    <w:rsid w:val="00286B0E"/>
    <w:rsid w:val="00286C77"/>
    <w:rsid w:val="00286E46"/>
    <w:rsid w:val="00287346"/>
    <w:rsid w:val="0028760D"/>
    <w:rsid w:val="00287B1F"/>
    <w:rsid w:val="00287C4F"/>
    <w:rsid w:val="00290504"/>
    <w:rsid w:val="002907B8"/>
    <w:rsid w:val="0029085C"/>
    <w:rsid w:val="00290AAF"/>
    <w:rsid w:val="00290DA2"/>
    <w:rsid w:val="002910ED"/>
    <w:rsid w:val="00291CFC"/>
    <w:rsid w:val="00291D4B"/>
    <w:rsid w:val="00291F3F"/>
    <w:rsid w:val="00292102"/>
    <w:rsid w:val="00292D32"/>
    <w:rsid w:val="002931B1"/>
    <w:rsid w:val="00293A3C"/>
    <w:rsid w:val="00293B5F"/>
    <w:rsid w:val="00293B9E"/>
    <w:rsid w:val="00293CCD"/>
    <w:rsid w:val="00294215"/>
    <w:rsid w:val="00294885"/>
    <w:rsid w:val="002950F7"/>
    <w:rsid w:val="00295579"/>
    <w:rsid w:val="002957DB"/>
    <w:rsid w:val="00296399"/>
    <w:rsid w:val="00296ED3"/>
    <w:rsid w:val="00297069"/>
    <w:rsid w:val="00297099"/>
    <w:rsid w:val="00297301"/>
    <w:rsid w:val="00297ABC"/>
    <w:rsid w:val="00297BFD"/>
    <w:rsid w:val="00297CE0"/>
    <w:rsid w:val="002A018A"/>
    <w:rsid w:val="002A0401"/>
    <w:rsid w:val="002A07EC"/>
    <w:rsid w:val="002A0B05"/>
    <w:rsid w:val="002A0C08"/>
    <w:rsid w:val="002A1401"/>
    <w:rsid w:val="002A143D"/>
    <w:rsid w:val="002A220E"/>
    <w:rsid w:val="002A27F3"/>
    <w:rsid w:val="002A2A1F"/>
    <w:rsid w:val="002A300C"/>
    <w:rsid w:val="002A31A7"/>
    <w:rsid w:val="002A3257"/>
    <w:rsid w:val="002A3AA3"/>
    <w:rsid w:val="002A41D5"/>
    <w:rsid w:val="002A4C57"/>
    <w:rsid w:val="002A54CB"/>
    <w:rsid w:val="002A59DB"/>
    <w:rsid w:val="002A5B5B"/>
    <w:rsid w:val="002A681F"/>
    <w:rsid w:val="002A6D81"/>
    <w:rsid w:val="002A7261"/>
    <w:rsid w:val="002A7462"/>
    <w:rsid w:val="002A75B4"/>
    <w:rsid w:val="002A77B9"/>
    <w:rsid w:val="002A7DC0"/>
    <w:rsid w:val="002A7E26"/>
    <w:rsid w:val="002B00EC"/>
    <w:rsid w:val="002B03A9"/>
    <w:rsid w:val="002B0AC5"/>
    <w:rsid w:val="002B0AE9"/>
    <w:rsid w:val="002B0BA8"/>
    <w:rsid w:val="002B1015"/>
    <w:rsid w:val="002B109F"/>
    <w:rsid w:val="002B10D9"/>
    <w:rsid w:val="002B111F"/>
    <w:rsid w:val="002B1C5D"/>
    <w:rsid w:val="002B1E3A"/>
    <w:rsid w:val="002B1EA0"/>
    <w:rsid w:val="002B214F"/>
    <w:rsid w:val="002B2C91"/>
    <w:rsid w:val="002B2DD2"/>
    <w:rsid w:val="002B2F20"/>
    <w:rsid w:val="002B399D"/>
    <w:rsid w:val="002B3A2E"/>
    <w:rsid w:val="002B405D"/>
    <w:rsid w:val="002B42CE"/>
    <w:rsid w:val="002B4AC9"/>
    <w:rsid w:val="002B54AF"/>
    <w:rsid w:val="002B5F01"/>
    <w:rsid w:val="002B6256"/>
    <w:rsid w:val="002B66A5"/>
    <w:rsid w:val="002B6C89"/>
    <w:rsid w:val="002B7013"/>
    <w:rsid w:val="002B72BA"/>
    <w:rsid w:val="002B730E"/>
    <w:rsid w:val="002C0811"/>
    <w:rsid w:val="002C0C72"/>
    <w:rsid w:val="002C13C0"/>
    <w:rsid w:val="002C186D"/>
    <w:rsid w:val="002C1D0B"/>
    <w:rsid w:val="002C203D"/>
    <w:rsid w:val="002C2616"/>
    <w:rsid w:val="002C27B4"/>
    <w:rsid w:val="002C2BEC"/>
    <w:rsid w:val="002C3C27"/>
    <w:rsid w:val="002C4242"/>
    <w:rsid w:val="002C4671"/>
    <w:rsid w:val="002C499A"/>
    <w:rsid w:val="002C4FF0"/>
    <w:rsid w:val="002C5B46"/>
    <w:rsid w:val="002C5BFC"/>
    <w:rsid w:val="002C5F3F"/>
    <w:rsid w:val="002C5F91"/>
    <w:rsid w:val="002C6189"/>
    <w:rsid w:val="002C68FE"/>
    <w:rsid w:val="002C6BBD"/>
    <w:rsid w:val="002C702F"/>
    <w:rsid w:val="002C7062"/>
    <w:rsid w:val="002C75EE"/>
    <w:rsid w:val="002C7ABC"/>
    <w:rsid w:val="002D0279"/>
    <w:rsid w:val="002D0828"/>
    <w:rsid w:val="002D11C3"/>
    <w:rsid w:val="002D1451"/>
    <w:rsid w:val="002D1965"/>
    <w:rsid w:val="002D1D21"/>
    <w:rsid w:val="002D3293"/>
    <w:rsid w:val="002D340B"/>
    <w:rsid w:val="002D365D"/>
    <w:rsid w:val="002D3B83"/>
    <w:rsid w:val="002D3B8C"/>
    <w:rsid w:val="002D3F27"/>
    <w:rsid w:val="002D4454"/>
    <w:rsid w:val="002D4522"/>
    <w:rsid w:val="002D492C"/>
    <w:rsid w:val="002D4BCB"/>
    <w:rsid w:val="002D4DCB"/>
    <w:rsid w:val="002D4E1E"/>
    <w:rsid w:val="002D55A8"/>
    <w:rsid w:val="002D5A7F"/>
    <w:rsid w:val="002D60F7"/>
    <w:rsid w:val="002D6513"/>
    <w:rsid w:val="002D6902"/>
    <w:rsid w:val="002D6FF3"/>
    <w:rsid w:val="002D71E7"/>
    <w:rsid w:val="002D7848"/>
    <w:rsid w:val="002D7A52"/>
    <w:rsid w:val="002D7B09"/>
    <w:rsid w:val="002D7EEB"/>
    <w:rsid w:val="002E0192"/>
    <w:rsid w:val="002E01D8"/>
    <w:rsid w:val="002E05BF"/>
    <w:rsid w:val="002E084F"/>
    <w:rsid w:val="002E10DC"/>
    <w:rsid w:val="002E1252"/>
    <w:rsid w:val="002E17C7"/>
    <w:rsid w:val="002E17CC"/>
    <w:rsid w:val="002E2251"/>
    <w:rsid w:val="002E2519"/>
    <w:rsid w:val="002E2798"/>
    <w:rsid w:val="002E2A62"/>
    <w:rsid w:val="002E3D90"/>
    <w:rsid w:val="002E3DA7"/>
    <w:rsid w:val="002E43F4"/>
    <w:rsid w:val="002E47EC"/>
    <w:rsid w:val="002E480A"/>
    <w:rsid w:val="002E4894"/>
    <w:rsid w:val="002E4A00"/>
    <w:rsid w:val="002E5086"/>
    <w:rsid w:val="002E5396"/>
    <w:rsid w:val="002E56A3"/>
    <w:rsid w:val="002E5878"/>
    <w:rsid w:val="002E59F4"/>
    <w:rsid w:val="002E5FF0"/>
    <w:rsid w:val="002E630B"/>
    <w:rsid w:val="002E6440"/>
    <w:rsid w:val="002E6BCC"/>
    <w:rsid w:val="002E6C2C"/>
    <w:rsid w:val="002E73AE"/>
    <w:rsid w:val="002E743A"/>
    <w:rsid w:val="002F043F"/>
    <w:rsid w:val="002F0B38"/>
    <w:rsid w:val="002F0BB6"/>
    <w:rsid w:val="002F0BEA"/>
    <w:rsid w:val="002F0E44"/>
    <w:rsid w:val="002F0F2C"/>
    <w:rsid w:val="002F1CEF"/>
    <w:rsid w:val="002F26BC"/>
    <w:rsid w:val="002F3387"/>
    <w:rsid w:val="002F361D"/>
    <w:rsid w:val="002F3CDA"/>
    <w:rsid w:val="002F44B9"/>
    <w:rsid w:val="002F4D2D"/>
    <w:rsid w:val="002F51E6"/>
    <w:rsid w:val="002F5A41"/>
    <w:rsid w:val="002F5B4D"/>
    <w:rsid w:val="002F5D72"/>
    <w:rsid w:val="002F6394"/>
    <w:rsid w:val="002F6644"/>
    <w:rsid w:val="002F7834"/>
    <w:rsid w:val="002F7C0C"/>
    <w:rsid w:val="00300DE7"/>
    <w:rsid w:val="0030139C"/>
    <w:rsid w:val="0030152B"/>
    <w:rsid w:val="00301565"/>
    <w:rsid w:val="00301959"/>
    <w:rsid w:val="003035B9"/>
    <w:rsid w:val="00304877"/>
    <w:rsid w:val="00304BD1"/>
    <w:rsid w:val="00304CD2"/>
    <w:rsid w:val="00304EA5"/>
    <w:rsid w:val="00305A23"/>
    <w:rsid w:val="00305EA1"/>
    <w:rsid w:val="00305ECC"/>
    <w:rsid w:val="00306B59"/>
    <w:rsid w:val="00306DFC"/>
    <w:rsid w:val="0030728A"/>
    <w:rsid w:val="00307BC3"/>
    <w:rsid w:val="003100AC"/>
    <w:rsid w:val="003100CE"/>
    <w:rsid w:val="003109C3"/>
    <w:rsid w:val="00310F02"/>
    <w:rsid w:val="00311336"/>
    <w:rsid w:val="00311F4B"/>
    <w:rsid w:val="0031275F"/>
    <w:rsid w:val="00312E55"/>
    <w:rsid w:val="0031314C"/>
    <w:rsid w:val="00313223"/>
    <w:rsid w:val="003134D5"/>
    <w:rsid w:val="00313D84"/>
    <w:rsid w:val="00314AAE"/>
    <w:rsid w:val="00314AC6"/>
    <w:rsid w:val="00314AD2"/>
    <w:rsid w:val="00314D7A"/>
    <w:rsid w:val="0031523B"/>
    <w:rsid w:val="0031598C"/>
    <w:rsid w:val="00315FC6"/>
    <w:rsid w:val="003166C2"/>
    <w:rsid w:val="00316D9B"/>
    <w:rsid w:val="00316E4A"/>
    <w:rsid w:val="003200F4"/>
    <w:rsid w:val="00320CF2"/>
    <w:rsid w:val="00321FFE"/>
    <w:rsid w:val="003224DA"/>
    <w:rsid w:val="00322593"/>
    <w:rsid w:val="00322A0D"/>
    <w:rsid w:val="00322DC6"/>
    <w:rsid w:val="00323007"/>
    <w:rsid w:val="0032332E"/>
    <w:rsid w:val="0032351D"/>
    <w:rsid w:val="003238AE"/>
    <w:rsid w:val="00323B3C"/>
    <w:rsid w:val="003242FF"/>
    <w:rsid w:val="00324A91"/>
    <w:rsid w:val="00324B75"/>
    <w:rsid w:val="003254C7"/>
    <w:rsid w:val="0032566E"/>
    <w:rsid w:val="003256CB"/>
    <w:rsid w:val="00325E75"/>
    <w:rsid w:val="0032674D"/>
    <w:rsid w:val="003270C8"/>
    <w:rsid w:val="0032758F"/>
    <w:rsid w:val="00327CDE"/>
    <w:rsid w:val="0033006B"/>
    <w:rsid w:val="0033023F"/>
    <w:rsid w:val="003302DF"/>
    <w:rsid w:val="00331201"/>
    <w:rsid w:val="003312AE"/>
    <w:rsid w:val="0033167C"/>
    <w:rsid w:val="003316F0"/>
    <w:rsid w:val="0033273A"/>
    <w:rsid w:val="00333022"/>
    <w:rsid w:val="0033310A"/>
    <w:rsid w:val="00333674"/>
    <w:rsid w:val="00333B18"/>
    <w:rsid w:val="00334169"/>
    <w:rsid w:val="00334C0E"/>
    <w:rsid w:val="0033525E"/>
    <w:rsid w:val="00335334"/>
    <w:rsid w:val="00335504"/>
    <w:rsid w:val="003356A4"/>
    <w:rsid w:val="00335987"/>
    <w:rsid w:val="00335E48"/>
    <w:rsid w:val="00335F4B"/>
    <w:rsid w:val="00336CF4"/>
    <w:rsid w:val="00336F49"/>
    <w:rsid w:val="00336F5B"/>
    <w:rsid w:val="00337013"/>
    <w:rsid w:val="003375CB"/>
    <w:rsid w:val="0034029A"/>
    <w:rsid w:val="003407CB"/>
    <w:rsid w:val="003408E2"/>
    <w:rsid w:val="003410D6"/>
    <w:rsid w:val="003411ED"/>
    <w:rsid w:val="00341285"/>
    <w:rsid w:val="00341441"/>
    <w:rsid w:val="003415D9"/>
    <w:rsid w:val="003416DE"/>
    <w:rsid w:val="003418E3"/>
    <w:rsid w:val="00341B16"/>
    <w:rsid w:val="00341B28"/>
    <w:rsid w:val="00341CAC"/>
    <w:rsid w:val="00341E2D"/>
    <w:rsid w:val="00342869"/>
    <w:rsid w:val="00342B1E"/>
    <w:rsid w:val="00342D92"/>
    <w:rsid w:val="00342F71"/>
    <w:rsid w:val="00343056"/>
    <w:rsid w:val="0034368E"/>
    <w:rsid w:val="00343DE3"/>
    <w:rsid w:val="00343EC8"/>
    <w:rsid w:val="0034401F"/>
    <w:rsid w:val="0034493B"/>
    <w:rsid w:val="00344F88"/>
    <w:rsid w:val="00345C56"/>
    <w:rsid w:val="003462B1"/>
    <w:rsid w:val="003462D6"/>
    <w:rsid w:val="003462DE"/>
    <w:rsid w:val="00346797"/>
    <w:rsid w:val="003469D1"/>
    <w:rsid w:val="00346BE9"/>
    <w:rsid w:val="00346E46"/>
    <w:rsid w:val="00346F51"/>
    <w:rsid w:val="0034780E"/>
    <w:rsid w:val="00350175"/>
    <w:rsid w:val="00350237"/>
    <w:rsid w:val="00350549"/>
    <w:rsid w:val="003506CD"/>
    <w:rsid w:val="00350894"/>
    <w:rsid w:val="0035093C"/>
    <w:rsid w:val="00350A7B"/>
    <w:rsid w:val="00350C9A"/>
    <w:rsid w:val="003512BC"/>
    <w:rsid w:val="00351517"/>
    <w:rsid w:val="00351E19"/>
    <w:rsid w:val="003521DA"/>
    <w:rsid w:val="003534D4"/>
    <w:rsid w:val="003537CA"/>
    <w:rsid w:val="00353841"/>
    <w:rsid w:val="00353D58"/>
    <w:rsid w:val="0035458F"/>
    <w:rsid w:val="00354AD7"/>
    <w:rsid w:val="00354D64"/>
    <w:rsid w:val="00355370"/>
    <w:rsid w:val="0035594F"/>
    <w:rsid w:val="003559A3"/>
    <w:rsid w:val="0035627D"/>
    <w:rsid w:val="003565AD"/>
    <w:rsid w:val="00356811"/>
    <w:rsid w:val="00356DAC"/>
    <w:rsid w:val="0035727A"/>
    <w:rsid w:val="003572BA"/>
    <w:rsid w:val="00357353"/>
    <w:rsid w:val="00357775"/>
    <w:rsid w:val="00357916"/>
    <w:rsid w:val="003579F0"/>
    <w:rsid w:val="00360384"/>
    <w:rsid w:val="003603EA"/>
    <w:rsid w:val="00360D3E"/>
    <w:rsid w:val="00361327"/>
    <w:rsid w:val="0036181A"/>
    <w:rsid w:val="00361E5C"/>
    <w:rsid w:val="00362582"/>
    <w:rsid w:val="003625B1"/>
    <w:rsid w:val="0036281D"/>
    <w:rsid w:val="00362B10"/>
    <w:rsid w:val="00362C8A"/>
    <w:rsid w:val="00362D6C"/>
    <w:rsid w:val="00362F74"/>
    <w:rsid w:val="00363293"/>
    <w:rsid w:val="0036344F"/>
    <w:rsid w:val="00363589"/>
    <w:rsid w:val="00363FC4"/>
    <w:rsid w:val="0036414C"/>
    <w:rsid w:val="00364285"/>
    <w:rsid w:val="00364616"/>
    <w:rsid w:val="00364787"/>
    <w:rsid w:val="00364A96"/>
    <w:rsid w:val="00364D91"/>
    <w:rsid w:val="00364DDB"/>
    <w:rsid w:val="00364E5A"/>
    <w:rsid w:val="003650B8"/>
    <w:rsid w:val="00365105"/>
    <w:rsid w:val="0036517F"/>
    <w:rsid w:val="003653D4"/>
    <w:rsid w:val="003654FE"/>
    <w:rsid w:val="003661B9"/>
    <w:rsid w:val="003662C2"/>
    <w:rsid w:val="003663E0"/>
    <w:rsid w:val="0036666C"/>
    <w:rsid w:val="00366766"/>
    <w:rsid w:val="00367027"/>
    <w:rsid w:val="003672EC"/>
    <w:rsid w:val="00367E05"/>
    <w:rsid w:val="00367EF1"/>
    <w:rsid w:val="00367F1E"/>
    <w:rsid w:val="0037050B"/>
    <w:rsid w:val="00370747"/>
    <w:rsid w:val="00370997"/>
    <w:rsid w:val="00370B69"/>
    <w:rsid w:val="00370F8E"/>
    <w:rsid w:val="00371392"/>
    <w:rsid w:val="003715EE"/>
    <w:rsid w:val="003717B3"/>
    <w:rsid w:val="00371B81"/>
    <w:rsid w:val="00372A06"/>
    <w:rsid w:val="00373A55"/>
    <w:rsid w:val="003744C7"/>
    <w:rsid w:val="00374788"/>
    <w:rsid w:val="00374820"/>
    <w:rsid w:val="00375059"/>
    <w:rsid w:val="00375692"/>
    <w:rsid w:val="00375F52"/>
    <w:rsid w:val="00376035"/>
    <w:rsid w:val="003763AA"/>
    <w:rsid w:val="00377310"/>
    <w:rsid w:val="003773A9"/>
    <w:rsid w:val="003773FB"/>
    <w:rsid w:val="003774D3"/>
    <w:rsid w:val="0037753B"/>
    <w:rsid w:val="0037768C"/>
    <w:rsid w:val="00377ADD"/>
    <w:rsid w:val="00377BA2"/>
    <w:rsid w:val="00377DA9"/>
    <w:rsid w:val="0038011B"/>
    <w:rsid w:val="003803AC"/>
    <w:rsid w:val="0038041C"/>
    <w:rsid w:val="003813DB"/>
    <w:rsid w:val="00381478"/>
    <w:rsid w:val="00381F96"/>
    <w:rsid w:val="00382711"/>
    <w:rsid w:val="00382CA5"/>
    <w:rsid w:val="00382E12"/>
    <w:rsid w:val="003831FC"/>
    <w:rsid w:val="0038465D"/>
    <w:rsid w:val="00384C59"/>
    <w:rsid w:val="00384DC4"/>
    <w:rsid w:val="00384DEA"/>
    <w:rsid w:val="00385F4D"/>
    <w:rsid w:val="003866C4"/>
    <w:rsid w:val="003868A2"/>
    <w:rsid w:val="00386EC5"/>
    <w:rsid w:val="00386EE6"/>
    <w:rsid w:val="0038703F"/>
    <w:rsid w:val="003876E2"/>
    <w:rsid w:val="00387862"/>
    <w:rsid w:val="00387FF0"/>
    <w:rsid w:val="003901EF"/>
    <w:rsid w:val="00390516"/>
    <w:rsid w:val="003907C8"/>
    <w:rsid w:val="0039149D"/>
    <w:rsid w:val="00392339"/>
    <w:rsid w:val="0039241D"/>
    <w:rsid w:val="003924EE"/>
    <w:rsid w:val="00393068"/>
    <w:rsid w:val="0039337A"/>
    <w:rsid w:val="00394B9F"/>
    <w:rsid w:val="003956EC"/>
    <w:rsid w:val="003975F1"/>
    <w:rsid w:val="003A03B7"/>
    <w:rsid w:val="003A08CE"/>
    <w:rsid w:val="003A0B06"/>
    <w:rsid w:val="003A0F29"/>
    <w:rsid w:val="003A1A3B"/>
    <w:rsid w:val="003A1A59"/>
    <w:rsid w:val="003A1B0A"/>
    <w:rsid w:val="003A1EA1"/>
    <w:rsid w:val="003A20B8"/>
    <w:rsid w:val="003A233B"/>
    <w:rsid w:val="003A3718"/>
    <w:rsid w:val="003A37FF"/>
    <w:rsid w:val="003A40E3"/>
    <w:rsid w:val="003A461F"/>
    <w:rsid w:val="003A485F"/>
    <w:rsid w:val="003A4CC0"/>
    <w:rsid w:val="003A4D66"/>
    <w:rsid w:val="003A552A"/>
    <w:rsid w:val="003A5773"/>
    <w:rsid w:val="003A6216"/>
    <w:rsid w:val="003A6D25"/>
    <w:rsid w:val="003A6D7F"/>
    <w:rsid w:val="003A6F12"/>
    <w:rsid w:val="003A74DB"/>
    <w:rsid w:val="003B0001"/>
    <w:rsid w:val="003B0198"/>
    <w:rsid w:val="003B06BE"/>
    <w:rsid w:val="003B0B37"/>
    <w:rsid w:val="003B1642"/>
    <w:rsid w:val="003B1DFA"/>
    <w:rsid w:val="003B24E6"/>
    <w:rsid w:val="003B2E15"/>
    <w:rsid w:val="003B3FD2"/>
    <w:rsid w:val="003B4000"/>
    <w:rsid w:val="003B45F1"/>
    <w:rsid w:val="003B4891"/>
    <w:rsid w:val="003B4A3E"/>
    <w:rsid w:val="003B5703"/>
    <w:rsid w:val="003B5FF1"/>
    <w:rsid w:val="003B618F"/>
    <w:rsid w:val="003B66BC"/>
    <w:rsid w:val="003B67E2"/>
    <w:rsid w:val="003B713E"/>
    <w:rsid w:val="003B755A"/>
    <w:rsid w:val="003B7601"/>
    <w:rsid w:val="003B7A21"/>
    <w:rsid w:val="003B7AF8"/>
    <w:rsid w:val="003B7F4E"/>
    <w:rsid w:val="003C0095"/>
    <w:rsid w:val="003C0865"/>
    <w:rsid w:val="003C0C6F"/>
    <w:rsid w:val="003C10A9"/>
    <w:rsid w:val="003C1124"/>
    <w:rsid w:val="003C135B"/>
    <w:rsid w:val="003C16A4"/>
    <w:rsid w:val="003C1894"/>
    <w:rsid w:val="003C189A"/>
    <w:rsid w:val="003C1D7E"/>
    <w:rsid w:val="003C2148"/>
    <w:rsid w:val="003C28D0"/>
    <w:rsid w:val="003C2C55"/>
    <w:rsid w:val="003C3178"/>
    <w:rsid w:val="003C31FB"/>
    <w:rsid w:val="003C3BEF"/>
    <w:rsid w:val="003C3F02"/>
    <w:rsid w:val="003C4AFA"/>
    <w:rsid w:val="003C5634"/>
    <w:rsid w:val="003C5B5E"/>
    <w:rsid w:val="003C5C6D"/>
    <w:rsid w:val="003C5D94"/>
    <w:rsid w:val="003C642E"/>
    <w:rsid w:val="003C6913"/>
    <w:rsid w:val="003C6937"/>
    <w:rsid w:val="003C7102"/>
    <w:rsid w:val="003C7652"/>
    <w:rsid w:val="003C7841"/>
    <w:rsid w:val="003C7C72"/>
    <w:rsid w:val="003D02CE"/>
    <w:rsid w:val="003D063A"/>
    <w:rsid w:val="003D0777"/>
    <w:rsid w:val="003D07B4"/>
    <w:rsid w:val="003D1365"/>
    <w:rsid w:val="003D183E"/>
    <w:rsid w:val="003D1BD9"/>
    <w:rsid w:val="003D1E53"/>
    <w:rsid w:val="003D3A9C"/>
    <w:rsid w:val="003D3E0A"/>
    <w:rsid w:val="003D3EEB"/>
    <w:rsid w:val="003D3EF7"/>
    <w:rsid w:val="003D41FD"/>
    <w:rsid w:val="003D4409"/>
    <w:rsid w:val="003D45E6"/>
    <w:rsid w:val="003D478D"/>
    <w:rsid w:val="003D4890"/>
    <w:rsid w:val="003D4AA1"/>
    <w:rsid w:val="003D5488"/>
    <w:rsid w:val="003D5608"/>
    <w:rsid w:val="003D5672"/>
    <w:rsid w:val="003D5687"/>
    <w:rsid w:val="003D576F"/>
    <w:rsid w:val="003D5B23"/>
    <w:rsid w:val="003D5E1F"/>
    <w:rsid w:val="003D6F1E"/>
    <w:rsid w:val="003D7077"/>
    <w:rsid w:val="003D7167"/>
    <w:rsid w:val="003D7769"/>
    <w:rsid w:val="003D7E19"/>
    <w:rsid w:val="003E05C6"/>
    <w:rsid w:val="003E07BF"/>
    <w:rsid w:val="003E1C02"/>
    <w:rsid w:val="003E1F60"/>
    <w:rsid w:val="003E2255"/>
    <w:rsid w:val="003E254F"/>
    <w:rsid w:val="003E2C44"/>
    <w:rsid w:val="003E2E24"/>
    <w:rsid w:val="003E31BA"/>
    <w:rsid w:val="003E34D9"/>
    <w:rsid w:val="003E3794"/>
    <w:rsid w:val="003E395B"/>
    <w:rsid w:val="003E3BDB"/>
    <w:rsid w:val="003E3C37"/>
    <w:rsid w:val="003E4001"/>
    <w:rsid w:val="003E4667"/>
    <w:rsid w:val="003E4871"/>
    <w:rsid w:val="003E488E"/>
    <w:rsid w:val="003E4C8F"/>
    <w:rsid w:val="003E4F69"/>
    <w:rsid w:val="003E5193"/>
    <w:rsid w:val="003E51FF"/>
    <w:rsid w:val="003E5990"/>
    <w:rsid w:val="003E6181"/>
    <w:rsid w:val="003E62AE"/>
    <w:rsid w:val="003E647A"/>
    <w:rsid w:val="003E64BA"/>
    <w:rsid w:val="003E6BB7"/>
    <w:rsid w:val="003E716C"/>
    <w:rsid w:val="003E73E2"/>
    <w:rsid w:val="003E77F0"/>
    <w:rsid w:val="003E78C2"/>
    <w:rsid w:val="003E7C5E"/>
    <w:rsid w:val="003E7DB8"/>
    <w:rsid w:val="003E7F06"/>
    <w:rsid w:val="003E7F40"/>
    <w:rsid w:val="003F0059"/>
    <w:rsid w:val="003F0214"/>
    <w:rsid w:val="003F07D4"/>
    <w:rsid w:val="003F0F1F"/>
    <w:rsid w:val="003F116F"/>
    <w:rsid w:val="003F12EF"/>
    <w:rsid w:val="003F1507"/>
    <w:rsid w:val="003F1CCE"/>
    <w:rsid w:val="003F1F59"/>
    <w:rsid w:val="003F21BF"/>
    <w:rsid w:val="003F22CF"/>
    <w:rsid w:val="003F24BE"/>
    <w:rsid w:val="003F2F57"/>
    <w:rsid w:val="003F30C4"/>
    <w:rsid w:val="003F315E"/>
    <w:rsid w:val="003F3190"/>
    <w:rsid w:val="003F3FC0"/>
    <w:rsid w:val="003F41B3"/>
    <w:rsid w:val="003F45DB"/>
    <w:rsid w:val="003F5375"/>
    <w:rsid w:val="003F5541"/>
    <w:rsid w:val="003F590A"/>
    <w:rsid w:val="003F597C"/>
    <w:rsid w:val="003F5EDC"/>
    <w:rsid w:val="003F6062"/>
    <w:rsid w:val="003F6E68"/>
    <w:rsid w:val="004000D8"/>
    <w:rsid w:val="00400325"/>
    <w:rsid w:val="00400785"/>
    <w:rsid w:val="00401A47"/>
    <w:rsid w:val="00401C83"/>
    <w:rsid w:val="00401F6F"/>
    <w:rsid w:val="00402B18"/>
    <w:rsid w:val="00403262"/>
    <w:rsid w:val="0040388C"/>
    <w:rsid w:val="004038F0"/>
    <w:rsid w:val="00403910"/>
    <w:rsid w:val="00403A82"/>
    <w:rsid w:val="00403ADE"/>
    <w:rsid w:val="00403B92"/>
    <w:rsid w:val="00403DA6"/>
    <w:rsid w:val="00404495"/>
    <w:rsid w:val="004047AF"/>
    <w:rsid w:val="0040487C"/>
    <w:rsid w:val="004048FA"/>
    <w:rsid w:val="00404D3B"/>
    <w:rsid w:val="00404EEE"/>
    <w:rsid w:val="00405004"/>
    <w:rsid w:val="00405360"/>
    <w:rsid w:val="004053DE"/>
    <w:rsid w:val="00405767"/>
    <w:rsid w:val="0040577E"/>
    <w:rsid w:val="00405D38"/>
    <w:rsid w:val="00405D9F"/>
    <w:rsid w:val="004061CF"/>
    <w:rsid w:val="00407525"/>
    <w:rsid w:val="0041029E"/>
    <w:rsid w:val="00410983"/>
    <w:rsid w:val="00410BFC"/>
    <w:rsid w:val="00410FFA"/>
    <w:rsid w:val="00411584"/>
    <w:rsid w:val="004116E3"/>
    <w:rsid w:val="00411A49"/>
    <w:rsid w:val="00411F2E"/>
    <w:rsid w:val="0041214A"/>
    <w:rsid w:val="004122DA"/>
    <w:rsid w:val="00412324"/>
    <w:rsid w:val="00413166"/>
    <w:rsid w:val="00413428"/>
    <w:rsid w:val="0041362B"/>
    <w:rsid w:val="00413C71"/>
    <w:rsid w:val="00413DCC"/>
    <w:rsid w:val="00413DCE"/>
    <w:rsid w:val="0041411F"/>
    <w:rsid w:val="004142DA"/>
    <w:rsid w:val="00414C54"/>
    <w:rsid w:val="00414D1A"/>
    <w:rsid w:val="00415784"/>
    <w:rsid w:val="00415AB0"/>
    <w:rsid w:val="00415B82"/>
    <w:rsid w:val="004177E4"/>
    <w:rsid w:val="004178A2"/>
    <w:rsid w:val="00417A89"/>
    <w:rsid w:val="00417F6D"/>
    <w:rsid w:val="004202B5"/>
    <w:rsid w:val="00420347"/>
    <w:rsid w:val="00420589"/>
    <w:rsid w:val="004209A4"/>
    <w:rsid w:val="00420BBF"/>
    <w:rsid w:val="00420C2B"/>
    <w:rsid w:val="00420D93"/>
    <w:rsid w:val="00420F78"/>
    <w:rsid w:val="00421562"/>
    <w:rsid w:val="00421881"/>
    <w:rsid w:val="00421E6C"/>
    <w:rsid w:val="004221BF"/>
    <w:rsid w:val="00422CE2"/>
    <w:rsid w:val="00422E08"/>
    <w:rsid w:val="00422E6F"/>
    <w:rsid w:val="00422ED9"/>
    <w:rsid w:val="00423130"/>
    <w:rsid w:val="0042313E"/>
    <w:rsid w:val="0042327C"/>
    <w:rsid w:val="00423DCD"/>
    <w:rsid w:val="00423E34"/>
    <w:rsid w:val="00424044"/>
    <w:rsid w:val="0042407D"/>
    <w:rsid w:val="0042416B"/>
    <w:rsid w:val="00424649"/>
    <w:rsid w:val="004253A2"/>
    <w:rsid w:val="004256CF"/>
    <w:rsid w:val="004259F3"/>
    <w:rsid w:val="00425FB0"/>
    <w:rsid w:val="00426690"/>
    <w:rsid w:val="00426E32"/>
    <w:rsid w:val="0042766F"/>
    <w:rsid w:val="004276CE"/>
    <w:rsid w:val="0043012E"/>
    <w:rsid w:val="00430170"/>
    <w:rsid w:val="00430880"/>
    <w:rsid w:val="004309BA"/>
    <w:rsid w:val="00430D3E"/>
    <w:rsid w:val="00430F1E"/>
    <w:rsid w:val="0043168B"/>
    <w:rsid w:val="00431851"/>
    <w:rsid w:val="00431959"/>
    <w:rsid w:val="00431E24"/>
    <w:rsid w:val="00431F7E"/>
    <w:rsid w:val="00432505"/>
    <w:rsid w:val="0043286C"/>
    <w:rsid w:val="00432BDD"/>
    <w:rsid w:val="00432C4E"/>
    <w:rsid w:val="00432FEB"/>
    <w:rsid w:val="004347F9"/>
    <w:rsid w:val="0043572D"/>
    <w:rsid w:val="0043581E"/>
    <w:rsid w:val="004358CE"/>
    <w:rsid w:val="004359B3"/>
    <w:rsid w:val="00435D36"/>
    <w:rsid w:val="00435EB8"/>
    <w:rsid w:val="00435F20"/>
    <w:rsid w:val="004369B9"/>
    <w:rsid w:val="0043718A"/>
    <w:rsid w:val="0043756D"/>
    <w:rsid w:val="00440238"/>
    <w:rsid w:val="00440631"/>
    <w:rsid w:val="0044077F"/>
    <w:rsid w:val="00440C60"/>
    <w:rsid w:val="004411E9"/>
    <w:rsid w:val="00441D9E"/>
    <w:rsid w:val="004420B4"/>
    <w:rsid w:val="0044228D"/>
    <w:rsid w:val="0044230B"/>
    <w:rsid w:val="00442748"/>
    <w:rsid w:val="00442901"/>
    <w:rsid w:val="00442902"/>
    <w:rsid w:val="00442F25"/>
    <w:rsid w:val="00443491"/>
    <w:rsid w:val="00443691"/>
    <w:rsid w:val="00443C12"/>
    <w:rsid w:val="00443CED"/>
    <w:rsid w:val="00443D24"/>
    <w:rsid w:val="00444189"/>
    <w:rsid w:val="004442DB"/>
    <w:rsid w:val="00444755"/>
    <w:rsid w:val="00444DBF"/>
    <w:rsid w:val="00444F6A"/>
    <w:rsid w:val="00445678"/>
    <w:rsid w:val="00445C07"/>
    <w:rsid w:val="00445CC9"/>
    <w:rsid w:val="00445EA1"/>
    <w:rsid w:val="00446700"/>
    <w:rsid w:val="00446955"/>
    <w:rsid w:val="00446BC5"/>
    <w:rsid w:val="004473F9"/>
    <w:rsid w:val="00450166"/>
    <w:rsid w:val="004502F4"/>
    <w:rsid w:val="004505D6"/>
    <w:rsid w:val="00450760"/>
    <w:rsid w:val="00450BDD"/>
    <w:rsid w:val="00451292"/>
    <w:rsid w:val="00451334"/>
    <w:rsid w:val="004514F4"/>
    <w:rsid w:val="004517AD"/>
    <w:rsid w:val="00451A6D"/>
    <w:rsid w:val="004527D1"/>
    <w:rsid w:val="00452A06"/>
    <w:rsid w:val="00452EFC"/>
    <w:rsid w:val="00452F7A"/>
    <w:rsid w:val="00453044"/>
    <w:rsid w:val="004533DC"/>
    <w:rsid w:val="00453728"/>
    <w:rsid w:val="004537BE"/>
    <w:rsid w:val="00453B86"/>
    <w:rsid w:val="00453D02"/>
    <w:rsid w:val="00453D17"/>
    <w:rsid w:val="004540E1"/>
    <w:rsid w:val="004544A2"/>
    <w:rsid w:val="004548D1"/>
    <w:rsid w:val="00454A93"/>
    <w:rsid w:val="00456574"/>
    <w:rsid w:val="004566C4"/>
    <w:rsid w:val="00456C9B"/>
    <w:rsid w:val="004572B8"/>
    <w:rsid w:val="00457414"/>
    <w:rsid w:val="0046007C"/>
    <w:rsid w:val="004605AF"/>
    <w:rsid w:val="0046098C"/>
    <w:rsid w:val="00460C89"/>
    <w:rsid w:val="0046156E"/>
    <w:rsid w:val="004615F3"/>
    <w:rsid w:val="004618B8"/>
    <w:rsid w:val="00461EC7"/>
    <w:rsid w:val="0046220B"/>
    <w:rsid w:val="004622F5"/>
    <w:rsid w:val="0046281E"/>
    <w:rsid w:val="004629BB"/>
    <w:rsid w:val="00462CED"/>
    <w:rsid w:val="00462D64"/>
    <w:rsid w:val="00463082"/>
    <w:rsid w:val="0046332F"/>
    <w:rsid w:val="00463383"/>
    <w:rsid w:val="00463745"/>
    <w:rsid w:val="00463880"/>
    <w:rsid w:val="00463906"/>
    <w:rsid w:val="00463CFF"/>
    <w:rsid w:val="00464309"/>
    <w:rsid w:val="00464372"/>
    <w:rsid w:val="00464486"/>
    <w:rsid w:val="004647F4"/>
    <w:rsid w:val="00464816"/>
    <w:rsid w:val="00464AD8"/>
    <w:rsid w:val="00464AE2"/>
    <w:rsid w:val="00464B71"/>
    <w:rsid w:val="00464F49"/>
    <w:rsid w:val="00464F93"/>
    <w:rsid w:val="00465187"/>
    <w:rsid w:val="0046586C"/>
    <w:rsid w:val="00465D2E"/>
    <w:rsid w:val="00465E16"/>
    <w:rsid w:val="0046675A"/>
    <w:rsid w:val="0046684F"/>
    <w:rsid w:val="0046697E"/>
    <w:rsid w:val="00466A6C"/>
    <w:rsid w:val="00467096"/>
    <w:rsid w:val="00467139"/>
    <w:rsid w:val="0046716B"/>
    <w:rsid w:val="00467731"/>
    <w:rsid w:val="00467E00"/>
    <w:rsid w:val="004701DF"/>
    <w:rsid w:val="00470A81"/>
    <w:rsid w:val="004723A2"/>
    <w:rsid w:val="0047319F"/>
    <w:rsid w:val="004733B0"/>
    <w:rsid w:val="004736C7"/>
    <w:rsid w:val="00473A4A"/>
    <w:rsid w:val="00473D72"/>
    <w:rsid w:val="00473DE3"/>
    <w:rsid w:val="00473EE0"/>
    <w:rsid w:val="004740DB"/>
    <w:rsid w:val="004744FC"/>
    <w:rsid w:val="00475393"/>
    <w:rsid w:val="00476EB3"/>
    <w:rsid w:val="00476EEE"/>
    <w:rsid w:val="004773BA"/>
    <w:rsid w:val="00477718"/>
    <w:rsid w:val="00477B2E"/>
    <w:rsid w:val="0048067B"/>
    <w:rsid w:val="00480FEA"/>
    <w:rsid w:val="004811C2"/>
    <w:rsid w:val="0048121C"/>
    <w:rsid w:val="00481257"/>
    <w:rsid w:val="004812D9"/>
    <w:rsid w:val="004813CD"/>
    <w:rsid w:val="00481784"/>
    <w:rsid w:val="00481927"/>
    <w:rsid w:val="004819B5"/>
    <w:rsid w:val="00481B44"/>
    <w:rsid w:val="00481D06"/>
    <w:rsid w:val="004820B7"/>
    <w:rsid w:val="0048213F"/>
    <w:rsid w:val="0048254D"/>
    <w:rsid w:val="004825D3"/>
    <w:rsid w:val="004826BE"/>
    <w:rsid w:val="00482887"/>
    <w:rsid w:val="004829CA"/>
    <w:rsid w:val="004829E3"/>
    <w:rsid w:val="00482AC0"/>
    <w:rsid w:val="00482E8E"/>
    <w:rsid w:val="00482F60"/>
    <w:rsid w:val="00483420"/>
    <w:rsid w:val="00483B74"/>
    <w:rsid w:val="00483EA3"/>
    <w:rsid w:val="00483F06"/>
    <w:rsid w:val="0048419D"/>
    <w:rsid w:val="00485DA7"/>
    <w:rsid w:val="00485E44"/>
    <w:rsid w:val="004860A0"/>
    <w:rsid w:val="0048651D"/>
    <w:rsid w:val="00486904"/>
    <w:rsid w:val="0048693E"/>
    <w:rsid w:val="00486BD5"/>
    <w:rsid w:val="00486EE7"/>
    <w:rsid w:val="0048702D"/>
    <w:rsid w:val="004872D1"/>
    <w:rsid w:val="004878F9"/>
    <w:rsid w:val="004901D8"/>
    <w:rsid w:val="0049026C"/>
    <w:rsid w:val="00490734"/>
    <w:rsid w:val="00490D8C"/>
    <w:rsid w:val="00491183"/>
    <w:rsid w:val="00491292"/>
    <w:rsid w:val="004914C7"/>
    <w:rsid w:val="00491553"/>
    <w:rsid w:val="004915FB"/>
    <w:rsid w:val="0049167C"/>
    <w:rsid w:val="00491CB3"/>
    <w:rsid w:val="00491D4A"/>
    <w:rsid w:val="004924F6"/>
    <w:rsid w:val="0049288E"/>
    <w:rsid w:val="004929EF"/>
    <w:rsid w:val="00492AE8"/>
    <w:rsid w:val="00493F43"/>
    <w:rsid w:val="004941FB"/>
    <w:rsid w:val="00494D8C"/>
    <w:rsid w:val="00494E1B"/>
    <w:rsid w:val="0049513E"/>
    <w:rsid w:val="004953B7"/>
    <w:rsid w:val="00495494"/>
    <w:rsid w:val="0049566B"/>
    <w:rsid w:val="0049578D"/>
    <w:rsid w:val="00495E14"/>
    <w:rsid w:val="00496031"/>
    <w:rsid w:val="00496771"/>
    <w:rsid w:val="00496803"/>
    <w:rsid w:val="00496A27"/>
    <w:rsid w:val="00497BF6"/>
    <w:rsid w:val="004A06A5"/>
    <w:rsid w:val="004A0E94"/>
    <w:rsid w:val="004A1497"/>
    <w:rsid w:val="004A16CF"/>
    <w:rsid w:val="004A1DCE"/>
    <w:rsid w:val="004A2806"/>
    <w:rsid w:val="004A2B31"/>
    <w:rsid w:val="004A2B73"/>
    <w:rsid w:val="004A313B"/>
    <w:rsid w:val="004A3538"/>
    <w:rsid w:val="004A3B3D"/>
    <w:rsid w:val="004A3DC0"/>
    <w:rsid w:val="004A3F65"/>
    <w:rsid w:val="004A47FB"/>
    <w:rsid w:val="004A4C91"/>
    <w:rsid w:val="004A53B8"/>
    <w:rsid w:val="004A5857"/>
    <w:rsid w:val="004A5ED5"/>
    <w:rsid w:val="004A6053"/>
    <w:rsid w:val="004A656F"/>
    <w:rsid w:val="004A677B"/>
    <w:rsid w:val="004A6965"/>
    <w:rsid w:val="004A6B5C"/>
    <w:rsid w:val="004A6C6D"/>
    <w:rsid w:val="004A7A20"/>
    <w:rsid w:val="004A7AA6"/>
    <w:rsid w:val="004A7B5E"/>
    <w:rsid w:val="004A7B94"/>
    <w:rsid w:val="004A7E38"/>
    <w:rsid w:val="004B03B9"/>
    <w:rsid w:val="004B0494"/>
    <w:rsid w:val="004B0833"/>
    <w:rsid w:val="004B0F31"/>
    <w:rsid w:val="004B1257"/>
    <w:rsid w:val="004B1B86"/>
    <w:rsid w:val="004B1CBE"/>
    <w:rsid w:val="004B2582"/>
    <w:rsid w:val="004B29F9"/>
    <w:rsid w:val="004B2BA3"/>
    <w:rsid w:val="004B3324"/>
    <w:rsid w:val="004B3B9E"/>
    <w:rsid w:val="004B3BFB"/>
    <w:rsid w:val="004B3EA5"/>
    <w:rsid w:val="004B3F79"/>
    <w:rsid w:val="004B43DF"/>
    <w:rsid w:val="004B4646"/>
    <w:rsid w:val="004B4810"/>
    <w:rsid w:val="004B4996"/>
    <w:rsid w:val="004B4A98"/>
    <w:rsid w:val="004B5396"/>
    <w:rsid w:val="004B5888"/>
    <w:rsid w:val="004B5896"/>
    <w:rsid w:val="004B58C7"/>
    <w:rsid w:val="004B5DBF"/>
    <w:rsid w:val="004B6791"/>
    <w:rsid w:val="004B6B66"/>
    <w:rsid w:val="004B7290"/>
    <w:rsid w:val="004B74A6"/>
    <w:rsid w:val="004C0008"/>
    <w:rsid w:val="004C02FD"/>
    <w:rsid w:val="004C0D89"/>
    <w:rsid w:val="004C164F"/>
    <w:rsid w:val="004C262D"/>
    <w:rsid w:val="004C2D57"/>
    <w:rsid w:val="004C2F56"/>
    <w:rsid w:val="004C2FC4"/>
    <w:rsid w:val="004C40A8"/>
    <w:rsid w:val="004C49C5"/>
    <w:rsid w:val="004C4F6D"/>
    <w:rsid w:val="004C52DB"/>
    <w:rsid w:val="004C52E1"/>
    <w:rsid w:val="004C609C"/>
    <w:rsid w:val="004C6210"/>
    <w:rsid w:val="004C646A"/>
    <w:rsid w:val="004C658B"/>
    <w:rsid w:val="004C66B6"/>
    <w:rsid w:val="004C69AA"/>
    <w:rsid w:val="004C6F23"/>
    <w:rsid w:val="004C6F66"/>
    <w:rsid w:val="004C70F8"/>
    <w:rsid w:val="004C7AAD"/>
    <w:rsid w:val="004D0106"/>
    <w:rsid w:val="004D04D3"/>
    <w:rsid w:val="004D0596"/>
    <w:rsid w:val="004D064B"/>
    <w:rsid w:val="004D0920"/>
    <w:rsid w:val="004D0BF0"/>
    <w:rsid w:val="004D0C1E"/>
    <w:rsid w:val="004D0C69"/>
    <w:rsid w:val="004D0D90"/>
    <w:rsid w:val="004D1162"/>
    <w:rsid w:val="004D12D7"/>
    <w:rsid w:val="004D15DF"/>
    <w:rsid w:val="004D16B4"/>
    <w:rsid w:val="004D1CA8"/>
    <w:rsid w:val="004D1D53"/>
    <w:rsid w:val="004D1D62"/>
    <w:rsid w:val="004D2092"/>
    <w:rsid w:val="004D2540"/>
    <w:rsid w:val="004D26B5"/>
    <w:rsid w:val="004D2951"/>
    <w:rsid w:val="004D2A72"/>
    <w:rsid w:val="004D2C29"/>
    <w:rsid w:val="004D30DF"/>
    <w:rsid w:val="004D3348"/>
    <w:rsid w:val="004D3587"/>
    <w:rsid w:val="004D3C54"/>
    <w:rsid w:val="004D3CF8"/>
    <w:rsid w:val="004D402E"/>
    <w:rsid w:val="004D46FA"/>
    <w:rsid w:val="004D4C89"/>
    <w:rsid w:val="004D52AF"/>
    <w:rsid w:val="004D53E1"/>
    <w:rsid w:val="004D54E7"/>
    <w:rsid w:val="004D5841"/>
    <w:rsid w:val="004D5CCF"/>
    <w:rsid w:val="004D5E93"/>
    <w:rsid w:val="004D63CB"/>
    <w:rsid w:val="004D63D9"/>
    <w:rsid w:val="004D6F18"/>
    <w:rsid w:val="004D71C7"/>
    <w:rsid w:val="004D74B8"/>
    <w:rsid w:val="004D790F"/>
    <w:rsid w:val="004D7A38"/>
    <w:rsid w:val="004D7F6A"/>
    <w:rsid w:val="004E0050"/>
    <w:rsid w:val="004E0473"/>
    <w:rsid w:val="004E0876"/>
    <w:rsid w:val="004E0ABC"/>
    <w:rsid w:val="004E0E12"/>
    <w:rsid w:val="004E11E7"/>
    <w:rsid w:val="004E12AA"/>
    <w:rsid w:val="004E19FB"/>
    <w:rsid w:val="004E1AAD"/>
    <w:rsid w:val="004E1EC0"/>
    <w:rsid w:val="004E2B42"/>
    <w:rsid w:val="004E2DAA"/>
    <w:rsid w:val="004E3385"/>
    <w:rsid w:val="004E43C1"/>
    <w:rsid w:val="004E4DC2"/>
    <w:rsid w:val="004E5780"/>
    <w:rsid w:val="004E581B"/>
    <w:rsid w:val="004E59A8"/>
    <w:rsid w:val="004E5CA6"/>
    <w:rsid w:val="004E5DF5"/>
    <w:rsid w:val="004E72E3"/>
    <w:rsid w:val="004E72FD"/>
    <w:rsid w:val="004E7A52"/>
    <w:rsid w:val="004E7F60"/>
    <w:rsid w:val="004F0241"/>
    <w:rsid w:val="004F0926"/>
    <w:rsid w:val="004F0B2F"/>
    <w:rsid w:val="004F0E18"/>
    <w:rsid w:val="004F18BF"/>
    <w:rsid w:val="004F1FA2"/>
    <w:rsid w:val="004F2539"/>
    <w:rsid w:val="004F2894"/>
    <w:rsid w:val="004F2B31"/>
    <w:rsid w:val="004F3025"/>
    <w:rsid w:val="004F4C4F"/>
    <w:rsid w:val="004F56E2"/>
    <w:rsid w:val="004F5B52"/>
    <w:rsid w:val="004F5DBB"/>
    <w:rsid w:val="004F6365"/>
    <w:rsid w:val="004F65B1"/>
    <w:rsid w:val="004F67C5"/>
    <w:rsid w:val="004F6AA0"/>
    <w:rsid w:val="004F6BBF"/>
    <w:rsid w:val="004F6BDA"/>
    <w:rsid w:val="004F775C"/>
    <w:rsid w:val="004F7854"/>
    <w:rsid w:val="004F7C92"/>
    <w:rsid w:val="004F7FCC"/>
    <w:rsid w:val="00500083"/>
    <w:rsid w:val="00500E05"/>
    <w:rsid w:val="0050119E"/>
    <w:rsid w:val="0050197A"/>
    <w:rsid w:val="00502DC4"/>
    <w:rsid w:val="00502E2F"/>
    <w:rsid w:val="00502F5D"/>
    <w:rsid w:val="00502FC3"/>
    <w:rsid w:val="0050303E"/>
    <w:rsid w:val="00503088"/>
    <w:rsid w:val="005033FB"/>
    <w:rsid w:val="005034F8"/>
    <w:rsid w:val="00503676"/>
    <w:rsid w:val="0050369A"/>
    <w:rsid w:val="005038FD"/>
    <w:rsid w:val="00503A69"/>
    <w:rsid w:val="00503AB7"/>
    <w:rsid w:val="00503DB9"/>
    <w:rsid w:val="00503E0D"/>
    <w:rsid w:val="005048FF"/>
    <w:rsid w:val="00504BC6"/>
    <w:rsid w:val="00504E0D"/>
    <w:rsid w:val="00505501"/>
    <w:rsid w:val="0050593F"/>
    <w:rsid w:val="00505D83"/>
    <w:rsid w:val="00505E5A"/>
    <w:rsid w:val="005062AC"/>
    <w:rsid w:val="0050671B"/>
    <w:rsid w:val="0050681D"/>
    <w:rsid w:val="00506972"/>
    <w:rsid w:val="0050713D"/>
    <w:rsid w:val="0050750B"/>
    <w:rsid w:val="00507686"/>
    <w:rsid w:val="00507892"/>
    <w:rsid w:val="00507BBF"/>
    <w:rsid w:val="00510105"/>
    <w:rsid w:val="00510BF7"/>
    <w:rsid w:val="00510CCE"/>
    <w:rsid w:val="005114A0"/>
    <w:rsid w:val="005116C1"/>
    <w:rsid w:val="00512312"/>
    <w:rsid w:val="005124A4"/>
    <w:rsid w:val="005126E4"/>
    <w:rsid w:val="0051277D"/>
    <w:rsid w:val="00513416"/>
    <w:rsid w:val="00513603"/>
    <w:rsid w:val="00513A70"/>
    <w:rsid w:val="00514CA0"/>
    <w:rsid w:val="005156D9"/>
    <w:rsid w:val="00515FEE"/>
    <w:rsid w:val="005163CE"/>
    <w:rsid w:val="005163F9"/>
    <w:rsid w:val="0051691E"/>
    <w:rsid w:val="00516ABD"/>
    <w:rsid w:val="00516BC2"/>
    <w:rsid w:val="00516C8E"/>
    <w:rsid w:val="00516F3D"/>
    <w:rsid w:val="005174F5"/>
    <w:rsid w:val="00517558"/>
    <w:rsid w:val="00517782"/>
    <w:rsid w:val="00517FBE"/>
    <w:rsid w:val="00520450"/>
    <w:rsid w:val="005207CF"/>
    <w:rsid w:val="005207EB"/>
    <w:rsid w:val="00520C54"/>
    <w:rsid w:val="00520E4E"/>
    <w:rsid w:val="00520F4C"/>
    <w:rsid w:val="00521322"/>
    <w:rsid w:val="0052194E"/>
    <w:rsid w:val="00521E01"/>
    <w:rsid w:val="0052226E"/>
    <w:rsid w:val="00522279"/>
    <w:rsid w:val="005244D2"/>
    <w:rsid w:val="005246C1"/>
    <w:rsid w:val="00525844"/>
    <w:rsid w:val="005258A4"/>
    <w:rsid w:val="00525B31"/>
    <w:rsid w:val="00525CFC"/>
    <w:rsid w:val="005269C7"/>
    <w:rsid w:val="00527510"/>
    <w:rsid w:val="005276D5"/>
    <w:rsid w:val="005278D0"/>
    <w:rsid w:val="00527AD4"/>
    <w:rsid w:val="00530FB9"/>
    <w:rsid w:val="00531089"/>
    <w:rsid w:val="005310DC"/>
    <w:rsid w:val="005319B2"/>
    <w:rsid w:val="00531EB1"/>
    <w:rsid w:val="00532158"/>
    <w:rsid w:val="005326D4"/>
    <w:rsid w:val="00533D4D"/>
    <w:rsid w:val="00534291"/>
    <w:rsid w:val="00534CAA"/>
    <w:rsid w:val="00535546"/>
    <w:rsid w:val="0053557B"/>
    <w:rsid w:val="005355C0"/>
    <w:rsid w:val="00535D0B"/>
    <w:rsid w:val="00536360"/>
    <w:rsid w:val="0053653E"/>
    <w:rsid w:val="005366AB"/>
    <w:rsid w:val="005371E5"/>
    <w:rsid w:val="00537516"/>
    <w:rsid w:val="005375BD"/>
    <w:rsid w:val="0053787A"/>
    <w:rsid w:val="00537B00"/>
    <w:rsid w:val="00537E71"/>
    <w:rsid w:val="005405B0"/>
    <w:rsid w:val="00540792"/>
    <w:rsid w:val="00540C88"/>
    <w:rsid w:val="0054164C"/>
    <w:rsid w:val="00541705"/>
    <w:rsid w:val="005419A7"/>
    <w:rsid w:val="005420A6"/>
    <w:rsid w:val="005420E8"/>
    <w:rsid w:val="005421AA"/>
    <w:rsid w:val="0054267C"/>
    <w:rsid w:val="00543BA6"/>
    <w:rsid w:val="00544680"/>
    <w:rsid w:val="0054470B"/>
    <w:rsid w:val="005450C3"/>
    <w:rsid w:val="005450E8"/>
    <w:rsid w:val="005457F2"/>
    <w:rsid w:val="0054583C"/>
    <w:rsid w:val="0054585C"/>
    <w:rsid w:val="005459E2"/>
    <w:rsid w:val="00546058"/>
    <w:rsid w:val="00546E6D"/>
    <w:rsid w:val="005478B6"/>
    <w:rsid w:val="00550027"/>
    <w:rsid w:val="0055012E"/>
    <w:rsid w:val="0055022B"/>
    <w:rsid w:val="00550BAE"/>
    <w:rsid w:val="00551514"/>
    <w:rsid w:val="005518DA"/>
    <w:rsid w:val="00551B08"/>
    <w:rsid w:val="00551D0D"/>
    <w:rsid w:val="005523BE"/>
    <w:rsid w:val="00552730"/>
    <w:rsid w:val="00552BA1"/>
    <w:rsid w:val="00552C84"/>
    <w:rsid w:val="0055330F"/>
    <w:rsid w:val="005536F9"/>
    <w:rsid w:val="005539CC"/>
    <w:rsid w:val="00553AB5"/>
    <w:rsid w:val="0055400E"/>
    <w:rsid w:val="00554678"/>
    <w:rsid w:val="00554D31"/>
    <w:rsid w:val="00555123"/>
    <w:rsid w:val="00555558"/>
    <w:rsid w:val="00555651"/>
    <w:rsid w:val="00555669"/>
    <w:rsid w:val="005558DE"/>
    <w:rsid w:val="0055610F"/>
    <w:rsid w:val="0055656C"/>
    <w:rsid w:val="005569FC"/>
    <w:rsid w:val="00556A9D"/>
    <w:rsid w:val="00556FCF"/>
    <w:rsid w:val="005570E1"/>
    <w:rsid w:val="005573FD"/>
    <w:rsid w:val="00560232"/>
    <w:rsid w:val="005603B1"/>
    <w:rsid w:val="0056077B"/>
    <w:rsid w:val="00561594"/>
    <w:rsid w:val="00561734"/>
    <w:rsid w:val="00561C10"/>
    <w:rsid w:val="00562852"/>
    <w:rsid w:val="00562C11"/>
    <w:rsid w:val="005644D8"/>
    <w:rsid w:val="00564696"/>
    <w:rsid w:val="00564BB5"/>
    <w:rsid w:val="00564CF5"/>
    <w:rsid w:val="00564FE4"/>
    <w:rsid w:val="00565022"/>
    <w:rsid w:val="005651EF"/>
    <w:rsid w:val="00565A28"/>
    <w:rsid w:val="00565B29"/>
    <w:rsid w:val="00565C0A"/>
    <w:rsid w:val="00566532"/>
    <w:rsid w:val="00566A3B"/>
    <w:rsid w:val="00566AB8"/>
    <w:rsid w:val="005670DF"/>
    <w:rsid w:val="005670ED"/>
    <w:rsid w:val="00567735"/>
    <w:rsid w:val="0057021D"/>
    <w:rsid w:val="005703E7"/>
    <w:rsid w:val="00570AC7"/>
    <w:rsid w:val="00570B5B"/>
    <w:rsid w:val="00570E4F"/>
    <w:rsid w:val="00570E6A"/>
    <w:rsid w:val="0057189F"/>
    <w:rsid w:val="00571B5C"/>
    <w:rsid w:val="00571DBA"/>
    <w:rsid w:val="005726E2"/>
    <w:rsid w:val="005728C2"/>
    <w:rsid w:val="00573140"/>
    <w:rsid w:val="005734D8"/>
    <w:rsid w:val="005734E7"/>
    <w:rsid w:val="00573694"/>
    <w:rsid w:val="0057378C"/>
    <w:rsid w:val="0057439E"/>
    <w:rsid w:val="005755F0"/>
    <w:rsid w:val="005757AB"/>
    <w:rsid w:val="00575B8A"/>
    <w:rsid w:val="005768B0"/>
    <w:rsid w:val="0057727B"/>
    <w:rsid w:val="0057751D"/>
    <w:rsid w:val="005800D1"/>
    <w:rsid w:val="00580908"/>
    <w:rsid w:val="0058134B"/>
    <w:rsid w:val="00581457"/>
    <w:rsid w:val="0058158C"/>
    <w:rsid w:val="0058199D"/>
    <w:rsid w:val="00581D4B"/>
    <w:rsid w:val="00582470"/>
    <w:rsid w:val="00582DF8"/>
    <w:rsid w:val="00582F32"/>
    <w:rsid w:val="0058305B"/>
    <w:rsid w:val="005836EC"/>
    <w:rsid w:val="00583AD3"/>
    <w:rsid w:val="00584272"/>
    <w:rsid w:val="00584405"/>
    <w:rsid w:val="00584482"/>
    <w:rsid w:val="005844DC"/>
    <w:rsid w:val="00584710"/>
    <w:rsid w:val="00584ACA"/>
    <w:rsid w:val="00584FB4"/>
    <w:rsid w:val="00585DF5"/>
    <w:rsid w:val="005861F6"/>
    <w:rsid w:val="00586309"/>
    <w:rsid w:val="0058699C"/>
    <w:rsid w:val="005873BA"/>
    <w:rsid w:val="0058773B"/>
    <w:rsid w:val="00587CE4"/>
    <w:rsid w:val="00587ECF"/>
    <w:rsid w:val="00590423"/>
    <w:rsid w:val="005904CB"/>
    <w:rsid w:val="00590A1D"/>
    <w:rsid w:val="00590B6C"/>
    <w:rsid w:val="00590BD8"/>
    <w:rsid w:val="00590F80"/>
    <w:rsid w:val="005913BF"/>
    <w:rsid w:val="00591E1F"/>
    <w:rsid w:val="0059203F"/>
    <w:rsid w:val="00592390"/>
    <w:rsid w:val="005924CF"/>
    <w:rsid w:val="00592AEA"/>
    <w:rsid w:val="00592D94"/>
    <w:rsid w:val="00592E5F"/>
    <w:rsid w:val="00592FA5"/>
    <w:rsid w:val="00593541"/>
    <w:rsid w:val="00593E38"/>
    <w:rsid w:val="00594222"/>
    <w:rsid w:val="005944FB"/>
    <w:rsid w:val="0059451C"/>
    <w:rsid w:val="00594899"/>
    <w:rsid w:val="00594A9A"/>
    <w:rsid w:val="005950E0"/>
    <w:rsid w:val="00595138"/>
    <w:rsid w:val="0059536B"/>
    <w:rsid w:val="005957DB"/>
    <w:rsid w:val="00595A7E"/>
    <w:rsid w:val="00595BCA"/>
    <w:rsid w:val="00596129"/>
    <w:rsid w:val="005962E2"/>
    <w:rsid w:val="00597457"/>
    <w:rsid w:val="005974D0"/>
    <w:rsid w:val="00597669"/>
    <w:rsid w:val="00597B19"/>
    <w:rsid w:val="005A0E6F"/>
    <w:rsid w:val="005A1313"/>
    <w:rsid w:val="005A162F"/>
    <w:rsid w:val="005A1722"/>
    <w:rsid w:val="005A24D7"/>
    <w:rsid w:val="005A2BAC"/>
    <w:rsid w:val="005A2C3F"/>
    <w:rsid w:val="005A3109"/>
    <w:rsid w:val="005A364E"/>
    <w:rsid w:val="005A3855"/>
    <w:rsid w:val="005A3C26"/>
    <w:rsid w:val="005A3DBB"/>
    <w:rsid w:val="005A426E"/>
    <w:rsid w:val="005A42EF"/>
    <w:rsid w:val="005A47DB"/>
    <w:rsid w:val="005A4BF4"/>
    <w:rsid w:val="005A4D03"/>
    <w:rsid w:val="005A4E86"/>
    <w:rsid w:val="005A4F60"/>
    <w:rsid w:val="005A4FDE"/>
    <w:rsid w:val="005A58EE"/>
    <w:rsid w:val="005A5C7E"/>
    <w:rsid w:val="005A619A"/>
    <w:rsid w:val="005A6FBE"/>
    <w:rsid w:val="005A76F5"/>
    <w:rsid w:val="005A770D"/>
    <w:rsid w:val="005A7B36"/>
    <w:rsid w:val="005A7C5A"/>
    <w:rsid w:val="005B03BC"/>
    <w:rsid w:val="005B09FA"/>
    <w:rsid w:val="005B102A"/>
    <w:rsid w:val="005B1B14"/>
    <w:rsid w:val="005B1BEA"/>
    <w:rsid w:val="005B1DDD"/>
    <w:rsid w:val="005B20A2"/>
    <w:rsid w:val="005B22A6"/>
    <w:rsid w:val="005B25DF"/>
    <w:rsid w:val="005B2659"/>
    <w:rsid w:val="005B3269"/>
    <w:rsid w:val="005B3411"/>
    <w:rsid w:val="005B3755"/>
    <w:rsid w:val="005B3B03"/>
    <w:rsid w:val="005B3C79"/>
    <w:rsid w:val="005B4C4A"/>
    <w:rsid w:val="005B4E6D"/>
    <w:rsid w:val="005B5CAB"/>
    <w:rsid w:val="005B60BF"/>
    <w:rsid w:val="005B6A56"/>
    <w:rsid w:val="005B6AF8"/>
    <w:rsid w:val="005B76E6"/>
    <w:rsid w:val="005B795A"/>
    <w:rsid w:val="005C0716"/>
    <w:rsid w:val="005C11BC"/>
    <w:rsid w:val="005C129B"/>
    <w:rsid w:val="005C15EB"/>
    <w:rsid w:val="005C2C01"/>
    <w:rsid w:val="005C35EC"/>
    <w:rsid w:val="005C373C"/>
    <w:rsid w:val="005C3A5A"/>
    <w:rsid w:val="005C4955"/>
    <w:rsid w:val="005C4DA4"/>
    <w:rsid w:val="005C4E19"/>
    <w:rsid w:val="005C5639"/>
    <w:rsid w:val="005C5C65"/>
    <w:rsid w:val="005C5CC7"/>
    <w:rsid w:val="005C5D33"/>
    <w:rsid w:val="005C66E4"/>
    <w:rsid w:val="005C6AA6"/>
    <w:rsid w:val="005C7178"/>
    <w:rsid w:val="005C71C4"/>
    <w:rsid w:val="005C7B64"/>
    <w:rsid w:val="005D0583"/>
    <w:rsid w:val="005D0C77"/>
    <w:rsid w:val="005D1AFF"/>
    <w:rsid w:val="005D2479"/>
    <w:rsid w:val="005D2888"/>
    <w:rsid w:val="005D2CBA"/>
    <w:rsid w:val="005D2D7C"/>
    <w:rsid w:val="005D379E"/>
    <w:rsid w:val="005D3912"/>
    <w:rsid w:val="005D3AC8"/>
    <w:rsid w:val="005D3CE8"/>
    <w:rsid w:val="005D40BA"/>
    <w:rsid w:val="005D4605"/>
    <w:rsid w:val="005D46C8"/>
    <w:rsid w:val="005D47B3"/>
    <w:rsid w:val="005D4F26"/>
    <w:rsid w:val="005D5930"/>
    <w:rsid w:val="005D5AA1"/>
    <w:rsid w:val="005D5EBF"/>
    <w:rsid w:val="005D6096"/>
    <w:rsid w:val="005D6320"/>
    <w:rsid w:val="005D66A3"/>
    <w:rsid w:val="005D6834"/>
    <w:rsid w:val="005D6C3C"/>
    <w:rsid w:val="005D6D2B"/>
    <w:rsid w:val="005D7297"/>
    <w:rsid w:val="005D741F"/>
    <w:rsid w:val="005D792D"/>
    <w:rsid w:val="005D7ACD"/>
    <w:rsid w:val="005D7B0F"/>
    <w:rsid w:val="005D7B4F"/>
    <w:rsid w:val="005E0A61"/>
    <w:rsid w:val="005E159B"/>
    <w:rsid w:val="005E18CE"/>
    <w:rsid w:val="005E229F"/>
    <w:rsid w:val="005E30BE"/>
    <w:rsid w:val="005E3164"/>
    <w:rsid w:val="005E31E0"/>
    <w:rsid w:val="005E3BB0"/>
    <w:rsid w:val="005E42B1"/>
    <w:rsid w:val="005E4379"/>
    <w:rsid w:val="005E46AE"/>
    <w:rsid w:val="005E47C6"/>
    <w:rsid w:val="005E4886"/>
    <w:rsid w:val="005E57DE"/>
    <w:rsid w:val="005E5992"/>
    <w:rsid w:val="005E69C2"/>
    <w:rsid w:val="005E6A78"/>
    <w:rsid w:val="005E6D30"/>
    <w:rsid w:val="005E6DA8"/>
    <w:rsid w:val="005E7091"/>
    <w:rsid w:val="005E70D3"/>
    <w:rsid w:val="005E7283"/>
    <w:rsid w:val="005E7D81"/>
    <w:rsid w:val="005F183A"/>
    <w:rsid w:val="005F1B9D"/>
    <w:rsid w:val="005F2F45"/>
    <w:rsid w:val="005F2FF4"/>
    <w:rsid w:val="005F3916"/>
    <w:rsid w:val="005F3B62"/>
    <w:rsid w:val="005F3D8B"/>
    <w:rsid w:val="005F424C"/>
    <w:rsid w:val="005F4A44"/>
    <w:rsid w:val="005F4EF2"/>
    <w:rsid w:val="005F53F0"/>
    <w:rsid w:val="005F54E9"/>
    <w:rsid w:val="005F58CF"/>
    <w:rsid w:val="005F5F61"/>
    <w:rsid w:val="005F6057"/>
    <w:rsid w:val="005F6330"/>
    <w:rsid w:val="005F64CD"/>
    <w:rsid w:val="005F69FD"/>
    <w:rsid w:val="005F6AA5"/>
    <w:rsid w:val="005F6D3F"/>
    <w:rsid w:val="005F6FEC"/>
    <w:rsid w:val="005F7083"/>
    <w:rsid w:val="005F77A1"/>
    <w:rsid w:val="005F7840"/>
    <w:rsid w:val="005F79E0"/>
    <w:rsid w:val="0060048D"/>
    <w:rsid w:val="006007C8"/>
    <w:rsid w:val="00600D63"/>
    <w:rsid w:val="00600ED3"/>
    <w:rsid w:val="006015F3"/>
    <w:rsid w:val="00601BC9"/>
    <w:rsid w:val="00601D8A"/>
    <w:rsid w:val="006020F0"/>
    <w:rsid w:val="006022B7"/>
    <w:rsid w:val="00602625"/>
    <w:rsid w:val="006026E8"/>
    <w:rsid w:val="006029A6"/>
    <w:rsid w:val="00602E91"/>
    <w:rsid w:val="006034DB"/>
    <w:rsid w:val="006035D7"/>
    <w:rsid w:val="00603CC7"/>
    <w:rsid w:val="00603D6E"/>
    <w:rsid w:val="00603DB6"/>
    <w:rsid w:val="0060428E"/>
    <w:rsid w:val="006043E0"/>
    <w:rsid w:val="00606803"/>
    <w:rsid w:val="0060682F"/>
    <w:rsid w:val="006101A4"/>
    <w:rsid w:val="006103CC"/>
    <w:rsid w:val="006104B1"/>
    <w:rsid w:val="00610E00"/>
    <w:rsid w:val="006114CC"/>
    <w:rsid w:val="0061163A"/>
    <w:rsid w:val="00611AE2"/>
    <w:rsid w:val="00611BEE"/>
    <w:rsid w:val="00611C6A"/>
    <w:rsid w:val="00612878"/>
    <w:rsid w:val="00613130"/>
    <w:rsid w:val="006133C8"/>
    <w:rsid w:val="00613590"/>
    <w:rsid w:val="006136B6"/>
    <w:rsid w:val="00613904"/>
    <w:rsid w:val="0061397B"/>
    <w:rsid w:val="00613BC6"/>
    <w:rsid w:val="00614288"/>
    <w:rsid w:val="0061446E"/>
    <w:rsid w:val="006147CB"/>
    <w:rsid w:val="00614B83"/>
    <w:rsid w:val="00614E6C"/>
    <w:rsid w:val="006154A0"/>
    <w:rsid w:val="006157E0"/>
    <w:rsid w:val="00616DED"/>
    <w:rsid w:val="00616E88"/>
    <w:rsid w:val="00616ECD"/>
    <w:rsid w:val="00617374"/>
    <w:rsid w:val="00617E0B"/>
    <w:rsid w:val="00617E4E"/>
    <w:rsid w:val="00620EF0"/>
    <w:rsid w:val="00620F6A"/>
    <w:rsid w:val="0062133D"/>
    <w:rsid w:val="0062188F"/>
    <w:rsid w:val="00621B62"/>
    <w:rsid w:val="006221C5"/>
    <w:rsid w:val="0062292D"/>
    <w:rsid w:val="00622941"/>
    <w:rsid w:val="00623DA7"/>
    <w:rsid w:val="00623E3D"/>
    <w:rsid w:val="0062409D"/>
    <w:rsid w:val="0062415B"/>
    <w:rsid w:val="00624552"/>
    <w:rsid w:val="006245CB"/>
    <w:rsid w:val="00624969"/>
    <w:rsid w:val="00624C14"/>
    <w:rsid w:val="00624C5B"/>
    <w:rsid w:val="006256C1"/>
    <w:rsid w:val="006259F9"/>
    <w:rsid w:val="00625EA2"/>
    <w:rsid w:val="00626405"/>
    <w:rsid w:val="0062709E"/>
    <w:rsid w:val="006270CE"/>
    <w:rsid w:val="00627144"/>
    <w:rsid w:val="006273DE"/>
    <w:rsid w:val="00627519"/>
    <w:rsid w:val="006278FF"/>
    <w:rsid w:val="0062799F"/>
    <w:rsid w:val="00627EC7"/>
    <w:rsid w:val="00627FA9"/>
    <w:rsid w:val="00630269"/>
    <w:rsid w:val="00630575"/>
    <w:rsid w:val="00630A0F"/>
    <w:rsid w:val="00630C1D"/>
    <w:rsid w:val="00630D4E"/>
    <w:rsid w:val="006315A0"/>
    <w:rsid w:val="006318D4"/>
    <w:rsid w:val="0063193D"/>
    <w:rsid w:val="0063195F"/>
    <w:rsid w:val="00631A19"/>
    <w:rsid w:val="00631B50"/>
    <w:rsid w:val="00632995"/>
    <w:rsid w:val="00632F13"/>
    <w:rsid w:val="0063304A"/>
    <w:rsid w:val="00633F15"/>
    <w:rsid w:val="006344EE"/>
    <w:rsid w:val="006345A6"/>
    <w:rsid w:val="00635251"/>
    <w:rsid w:val="006352BF"/>
    <w:rsid w:val="006358E1"/>
    <w:rsid w:val="00635DAB"/>
    <w:rsid w:val="00636121"/>
    <w:rsid w:val="00637077"/>
    <w:rsid w:val="0063724C"/>
    <w:rsid w:val="00640070"/>
    <w:rsid w:val="00640239"/>
    <w:rsid w:val="00640B67"/>
    <w:rsid w:val="00641810"/>
    <w:rsid w:val="00642792"/>
    <w:rsid w:val="00642A55"/>
    <w:rsid w:val="00642B98"/>
    <w:rsid w:val="00642BAE"/>
    <w:rsid w:val="00642C67"/>
    <w:rsid w:val="0064349E"/>
    <w:rsid w:val="0064378A"/>
    <w:rsid w:val="00644BA7"/>
    <w:rsid w:val="006456A8"/>
    <w:rsid w:val="00645958"/>
    <w:rsid w:val="00645CC7"/>
    <w:rsid w:val="00645E8B"/>
    <w:rsid w:val="00645EC2"/>
    <w:rsid w:val="00646E43"/>
    <w:rsid w:val="00647039"/>
    <w:rsid w:val="006472B8"/>
    <w:rsid w:val="006477CA"/>
    <w:rsid w:val="006477F2"/>
    <w:rsid w:val="00647912"/>
    <w:rsid w:val="00647B12"/>
    <w:rsid w:val="00650219"/>
    <w:rsid w:val="00650316"/>
    <w:rsid w:val="00650F93"/>
    <w:rsid w:val="006512DD"/>
    <w:rsid w:val="006515A4"/>
    <w:rsid w:val="006520D8"/>
    <w:rsid w:val="00652458"/>
    <w:rsid w:val="00652F5E"/>
    <w:rsid w:val="00653C43"/>
    <w:rsid w:val="00653EF4"/>
    <w:rsid w:val="00654560"/>
    <w:rsid w:val="00654D35"/>
    <w:rsid w:val="00654D5E"/>
    <w:rsid w:val="006553B7"/>
    <w:rsid w:val="006559C2"/>
    <w:rsid w:val="00656176"/>
    <w:rsid w:val="00656D76"/>
    <w:rsid w:val="006575D2"/>
    <w:rsid w:val="00657784"/>
    <w:rsid w:val="00657BE6"/>
    <w:rsid w:val="00660531"/>
    <w:rsid w:val="006605A0"/>
    <w:rsid w:val="00660B80"/>
    <w:rsid w:val="00660F55"/>
    <w:rsid w:val="00661143"/>
    <w:rsid w:val="0066123C"/>
    <w:rsid w:val="006617DB"/>
    <w:rsid w:val="00661CEA"/>
    <w:rsid w:val="00661EDF"/>
    <w:rsid w:val="006620E2"/>
    <w:rsid w:val="00662523"/>
    <w:rsid w:val="00662B4D"/>
    <w:rsid w:val="006633D1"/>
    <w:rsid w:val="00663545"/>
    <w:rsid w:val="006637DD"/>
    <w:rsid w:val="00663F98"/>
    <w:rsid w:val="0066506F"/>
    <w:rsid w:val="00665360"/>
    <w:rsid w:val="0066587D"/>
    <w:rsid w:val="00665890"/>
    <w:rsid w:val="0066602F"/>
    <w:rsid w:val="00666543"/>
    <w:rsid w:val="00666BFB"/>
    <w:rsid w:val="00666DD7"/>
    <w:rsid w:val="00667034"/>
    <w:rsid w:val="006672E0"/>
    <w:rsid w:val="006673A3"/>
    <w:rsid w:val="0066772C"/>
    <w:rsid w:val="00667750"/>
    <w:rsid w:val="0067009E"/>
    <w:rsid w:val="00670E89"/>
    <w:rsid w:val="00671038"/>
    <w:rsid w:val="0067174F"/>
    <w:rsid w:val="00671A51"/>
    <w:rsid w:val="00672A93"/>
    <w:rsid w:val="006731F6"/>
    <w:rsid w:val="006734C6"/>
    <w:rsid w:val="006739B4"/>
    <w:rsid w:val="00673D90"/>
    <w:rsid w:val="00673E61"/>
    <w:rsid w:val="00673FBE"/>
    <w:rsid w:val="006755FC"/>
    <w:rsid w:val="00676246"/>
    <w:rsid w:val="0067642B"/>
    <w:rsid w:val="00676740"/>
    <w:rsid w:val="00676C2C"/>
    <w:rsid w:val="006771A1"/>
    <w:rsid w:val="00677327"/>
    <w:rsid w:val="00677A2A"/>
    <w:rsid w:val="006803F5"/>
    <w:rsid w:val="00680E96"/>
    <w:rsid w:val="0068206F"/>
    <w:rsid w:val="00682176"/>
    <w:rsid w:val="0068336F"/>
    <w:rsid w:val="0068357A"/>
    <w:rsid w:val="006835A5"/>
    <w:rsid w:val="0068393E"/>
    <w:rsid w:val="00684762"/>
    <w:rsid w:val="00684767"/>
    <w:rsid w:val="00684E67"/>
    <w:rsid w:val="00685DE7"/>
    <w:rsid w:val="00685FC8"/>
    <w:rsid w:val="0068698E"/>
    <w:rsid w:val="006869D4"/>
    <w:rsid w:val="00686A4E"/>
    <w:rsid w:val="00686E47"/>
    <w:rsid w:val="00686F4A"/>
    <w:rsid w:val="00687233"/>
    <w:rsid w:val="0068737C"/>
    <w:rsid w:val="006875FF"/>
    <w:rsid w:val="006877E2"/>
    <w:rsid w:val="00687F2F"/>
    <w:rsid w:val="00690365"/>
    <w:rsid w:val="00690426"/>
    <w:rsid w:val="00690460"/>
    <w:rsid w:val="00690B7C"/>
    <w:rsid w:val="00690D82"/>
    <w:rsid w:val="0069167D"/>
    <w:rsid w:val="0069195C"/>
    <w:rsid w:val="00691DEA"/>
    <w:rsid w:val="00691E6F"/>
    <w:rsid w:val="00692761"/>
    <w:rsid w:val="006927C9"/>
    <w:rsid w:val="006929BF"/>
    <w:rsid w:val="00694FFF"/>
    <w:rsid w:val="0069521D"/>
    <w:rsid w:val="00695775"/>
    <w:rsid w:val="00695E08"/>
    <w:rsid w:val="00696487"/>
    <w:rsid w:val="00696666"/>
    <w:rsid w:val="00696B9D"/>
    <w:rsid w:val="00697266"/>
    <w:rsid w:val="00697634"/>
    <w:rsid w:val="00697694"/>
    <w:rsid w:val="00697724"/>
    <w:rsid w:val="0069780C"/>
    <w:rsid w:val="00697D2D"/>
    <w:rsid w:val="006A0148"/>
    <w:rsid w:val="006A0550"/>
    <w:rsid w:val="006A080C"/>
    <w:rsid w:val="006A1059"/>
    <w:rsid w:val="006A1178"/>
    <w:rsid w:val="006A129C"/>
    <w:rsid w:val="006A146E"/>
    <w:rsid w:val="006A1667"/>
    <w:rsid w:val="006A1DE8"/>
    <w:rsid w:val="006A1E07"/>
    <w:rsid w:val="006A2235"/>
    <w:rsid w:val="006A2400"/>
    <w:rsid w:val="006A25A4"/>
    <w:rsid w:val="006A2693"/>
    <w:rsid w:val="006A29F3"/>
    <w:rsid w:val="006A2AE7"/>
    <w:rsid w:val="006A3475"/>
    <w:rsid w:val="006A3AEA"/>
    <w:rsid w:val="006A3F22"/>
    <w:rsid w:val="006A409C"/>
    <w:rsid w:val="006A40EB"/>
    <w:rsid w:val="006A428C"/>
    <w:rsid w:val="006A4856"/>
    <w:rsid w:val="006A4C59"/>
    <w:rsid w:val="006A4EB7"/>
    <w:rsid w:val="006A50F1"/>
    <w:rsid w:val="006A5105"/>
    <w:rsid w:val="006A5E85"/>
    <w:rsid w:val="006A7243"/>
    <w:rsid w:val="006A7405"/>
    <w:rsid w:val="006A766D"/>
    <w:rsid w:val="006A78A4"/>
    <w:rsid w:val="006A7F85"/>
    <w:rsid w:val="006B0325"/>
    <w:rsid w:val="006B037A"/>
    <w:rsid w:val="006B0675"/>
    <w:rsid w:val="006B0F7C"/>
    <w:rsid w:val="006B11B2"/>
    <w:rsid w:val="006B12D7"/>
    <w:rsid w:val="006B144C"/>
    <w:rsid w:val="006B1E65"/>
    <w:rsid w:val="006B2859"/>
    <w:rsid w:val="006B2C6E"/>
    <w:rsid w:val="006B2F50"/>
    <w:rsid w:val="006B3257"/>
    <w:rsid w:val="006B32A4"/>
    <w:rsid w:val="006B3520"/>
    <w:rsid w:val="006B3D4A"/>
    <w:rsid w:val="006B40B7"/>
    <w:rsid w:val="006B4158"/>
    <w:rsid w:val="006B4C67"/>
    <w:rsid w:val="006B4F92"/>
    <w:rsid w:val="006B52B5"/>
    <w:rsid w:val="006B5656"/>
    <w:rsid w:val="006B56AB"/>
    <w:rsid w:val="006B5C20"/>
    <w:rsid w:val="006B6557"/>
    <w:rsid w:val="006B657B"/>
    <w:rsid w:val="006B65CE"/>
    <w:rsid w:val="006B6CCE"/>
    <w:rsid w:val="006B718B"/>
    <w:rsid w:val="006C0791"/>
    <w:rsid w:val="006C07DA"/>
    <w:rsid w:val="006C1107"/>
    <w:rsid w:val="006C11B2"/>
    <w:rsid w:val="006C1FC7"/>
    <w:rsid w:val="006C2A37"/>
    <w:rsid w:val="006C2AF7"/>
    <w:rsid w:val="006C2D1F"/>
    <w:rsid w:val="006C2D7E"/>
    <w:rsid w:val="006C2E86"/>
    <w:rsid w:val="006C3039"/>
    <w:rsid w:val="006C3088"/>
    <w:rsid w:val="006C332D"/>
    <w:rsid w:val="006C3621"/>
    <w:rsid w:val="006C3639"/>
    <w:rsid w:val="006C3B0D"/>
    <w:rsid w:val="006C3CFA"/>
    <w:rsid w:val="006C3D02"/>
    <w:rsid w:val="006C41C3"/>
    <w:rsid w:val="006C41E1"/>
    <w:rsid w:val="006C4230"/>
    <w:rsid w:val="006C4AFD"/>
    <w:rsid w:val="006C5116"/>
    <w:rsid w:val="006C524A"/>
    <w:rsid w:val="006C544E"/>
    <w:rsid w:val="006C596A"/>
    <w:rsid w:val="006C62B5"/>
    <w:rsid w:val="006C62E5"/>
    <w:rsid w:val="006C639A"/>
    <w:rsid w:val="006C7202"/>
    <w:rsid w:val="006C720B"/>
    <w:rsid w:val="006C741B"/>
    <w:rsid w:val="006C7BD9"/>
    <w:rsid w:val="006C7E1C"/>
    <w:rsid w:val="006D0A3A"/>
    <w:rsid w:val="006D0E15"/>
    <w:rsid w:val="006D1682"/>
    <w:rsid w:val="006D1B36"/>
    <w:rsid w:val="006D2172"/>
    <w:rsid w:val="006D2473"/>
    <w:rsid w:val="006D271A"/>
    <w:rsid w:val="006D2779"/>
    <w:rsid w:val="006D3333"/>
    <w:rsid w:val="006D35DA"/>
    <w:rsid w:val="006D379E"/>
    <w:rsid w:val="006D390F"/>
    <w:rsid w:val="006D3CC2"/>
    <w:rsid w:val="006D3E94"/>
    <w:rsid w:val="006D4BBE"/>
    <w:rsid w:val="006D54E3"/>
    <w:rsid w:val="006D555C"/>
    <w:rsid w:val="006D58C8"/>
    <w:rsid w:val="006D5D00"/>
    <w:rsid w:val="006D63D0"/>
    <w:rsid w:val="006D68A6"/>
    <w:rsid w:val="006D691D"/>
    <w:rsid w:val="006D6CA2"/>
    <w:rsid w:val="006D6D22"/>
    <w:rsid w:val="006D6D79"/>
    <w:rsid w:val="006D72F5"/>
    <w:rsid w:val="006D7BFA"/>
    <w:rsid w:val="006D7E2D"/>
    <w:rsid w:val="006E0051"/>
    <w:rsid w:val="006E0955"/>
    <w:rsid w:val="006E132F"/>
    <w:rsid w:val="006E169F"/>
    <w:rsid w:val="006E176B"/>
    <w:rsid w:val="006E2B60"/>
    <w:rsid w:val="006E322D"/>
    <w:rsid w:val="006E355C"/>
    <w:rsid w:val="006E38C8"/>
    <w:rsid w:val="006E3A00"/>
    <w:rsid w:val="006E425C"/>
    <w:rsid w:val="006E42AA"/>
    <w:rsid w:val="006E44F1"/>
    <w:rsid w:val="006E4F2C"/>
    <w:rsid w:val="006E5C42"/>
    <w:rsid w:val="006E644A"/>
    <w:rsid w:val="006E65F2"/>
    <w:rsid w:val="006E6B67"/>
    <w:rsid w:val="006E706F"/>
    <w:rsid w:val="006E726B"/>
    <w:rsid w:val="006E74EB"/>
    <w:rsid w:val="006E7840"/>
    <w:rsid w:val="006F02EA"/>
    <w:rsid w:val="006F03A9"/>
    <w:rsid w:val="006F09AF"/>
    <w:rsid w:val="006F0B93"/>
    <w:rsid w:val="006F0D3A"/>
    <w:rsid w:val="006F13EB"/>
    <w:rsid w:val="006F178E"/>
    <w:rsid w:val="006F1F98"/>
    <w:rsid w:val="006F208A"/>
    <w:rsid w:val="006F2212"/>
    <w:rsid w:val="006F224A"/>
    <w:rsid w:val="006F229E"/>
    <w:rsid w:val="006F3712"/>
    <w:rsid w:val="006F3AD7"/>
    <w:rsid w:val="006F4595"/>
    <w:rsid w:val="006F4B81"/>
    <w:rsid w:val="006F4EDE"/>
    <w:rsid w:val="006F5178"/>
    <w:rsid w:val="006F53A6"/>
    <w:rsid w:val="006F67FC"/>
    <w:rsid w:val="006F6ECA"/>
    <w:rsid w:val="006F79A5"/>
    <w:rsid w:val="006F7BD7"/>
    <w:rsid w:val="006F7BFC"/>
    <w:rsid w:val="006F7C8E"/>
    <w:rsid w:val="006F7D53"/>
    <w:rsid w:val="006F7DCB"/>
    <w:rsid w:val="00700349"/>
    <w:rsid w:val="00700C88"/>
    <w:rsid w:val="00701CC1"/>
    <w:rsid w:val="00701D31"/>
    <w:rsid w:val="00702D31"/>
    <w:rsid w:val="007032DA"/>
    <w:rsid w:val="007033AF"/>
    <w:rsid w:val="00703D28"/>
    <w:rsid w:val="00703F57"/>
    <w:rsid w:val="00704931"/>
    <w:rsid w:val="00704B5F"/>
    <w:rsid w:val="007050CC"/>
    <w:rsid w:val="0070528E"/>
    <w:rsid w:val="00705AAA"/>
    <w:rsid w:val="00706039"/>
    <w:rsid w:val="00706C4B"/>
    <w:rsid w:val="0070770B"/>
    <w:rsid w:val="0070781E"/>
    <w:rsid w:val="007078F0"/>
    <w:rsid w:val="007102D0"/>
    <w:rsid w:val="0071040C"/>
    <w:rsid w:val="00710A05"/>
    <w:rsid w:val="00710A31"/>
    <w:rsid w:val="00710C2E"/>
    <w:rsid w:val="00711190"/>
    <w:rsid w:val="007114E3"/>
    <w:rsid w:val="00711F6F"/>
    <w:rsid w:val="007129E8"/>
    <w:rsid w:val="00712FC9"/>
    <w:rsid w:val="00713FD0"/>
    <w:rsid w:val="007140B8"/>
    <w:rsid w:val="00714976"/>
    <w:rsid w:val="00715236"/>
    <w:rsid w:val="00715B69"/>
    <w:rsid w:val="00715BE0"/>
    <w:rsid w:val="00716757"/>
    <w:rsid w:val="00716970"/>
    <w:rsid w:val="00716A14"/>
    <w:rsid w:val="0071706C"/>
    <w:rsid w:val="00717DF7"/>
    <w:rsid w:val="00717FAD"/>
    <w:rsid w:val="00717FF0"/>
    <w:rsid w:val="007204BE"/>
    <w:rsid w:val="00720E58"/>
    <w:rsid w:val="007212B1"/>
    <w:rsid w:val="0072144B"/>
    <w:rsid w:val="00721489"/>
    <w:rsid w:val="00721914"/>
    <w:rsid w:val="00721D8A"/>
    <w:rsid w:val="00722C82"/>
    <w:rsid w:val="00722CFE"/>
    <w:rsid w:val="0072364C"/>
    <w:rsid w:val="00723675"/>
    <w:rsid w:val="00723AF6"/>
    <w:rsid w:val="00723F78"/>
    <w:rsid w:val="007242C6"/>
    <w:rsid w:val="00724980"/>
    <w:rsid w:val="00724C65"/>
    <w:rsid w:val="007250A7"/>
    <w:rsid w:val="0072599E"/>
    <w:rsid w:val="00725CE9"/>
    <w:rsid w:val="0072626F"/>
    <w:rsid w:val="0072656E"/>
    <w:rsid w:val="007265FE"/>
    <w:rsid w:val="00726B57"/>
    <w:rsid w:val="007272E0"/>
    <w:rsid w:val="007273E9"/>
    <w:rsid w:val="007274A9"/>
    <w:rsid w:val="0072790D"/>
    <w:rsid w:val="00727BCC"/>
    <w:rsid w:val="00727E26"/>
    <w:rsid w:val="00730063"/>
    <w:rsid w:val="00730580"/>
    <w:rsid w:val="007308B5"/>
    <w:rsid w:val="0073093A"/>
    <w:rsid w:val="00730D11"/>
    <w:rsid w:val="00730D1A"/>
    <w:rsid w:val="00730EC3"/>
    <w:rsid w:val="00731CC1"/>
    <w:rsid w:val="00731D1C"/>
    <w:rsid w:val="00731D81"/>
    <w:rsid w:val="0073309F"/>
    <w:rsid w:val="00733A79"/>
    <w:rsid w:val="0073445D"/>
    <w:rsid w:val="007347BF"/>
    <w:rsid w:val="00734F2A"/>
    <w:rsid w:val="00734F9A"/>
    <w:rsid w:val="0073500A"/>
    <w:rsid w:val="00735153"/>
    <w:rsid w:val="00735312"/>
    <w:rsid w:val="00735694"/>
    <w:rsid w:val="007359D3"/>
    <w:rsid w:val="00735A0E"/>
    <w:rsid w:val="00735D5F"/>
    <w:rsid w:val="0073608B"/>
    <w:rsid w:val="007363CD"/>
    <w:rsid w:val="00736985"/>
    <w:rsid w:val="00736F7B"/>
    <w:rsid w:val="00737126"/>
    <w:rsid w:val="007372F9"/>
    <w:rsid w:val="00740686"/>
    <w:rsid w:val="00740DE2"/>
    <w:rsid w:val="00741798"/>
    <w:rsid w:val="007418C3"/>
    <w:rsid w:val="007418E5"/>
    <w:rsid w:val="007419F0"/>
    <w:rsid w:val="0074210C"/>
    <w:rsid w:val="00742D6F"/>
    <w:rsid w:val="00742EE8"/>
    <w:rsid w:val="0074317C"/>
    <w:rsid w:val="0074362D"/>
    <w:rsid w:val="00743904"/>
    <w:rsid w:val="007439B5"/>
    <w:rsid w:val="00743DE9"/>
    <w:rsid w:val="00744AB9"/>
    <w:rsid w:val="00744CBB"/>
    <w:rsid w:val="00745186"/>
    <w:rsid w:val="00745239"/>
    <w:rsid w:val="00745F26"/>
    <w:rsid w:val="00745F85"/>
    <w:rsid w:val="00745FB7"/>
    <w:rsid w:val="007461CB"/>
    <w:rsid w:val="00746874"/>
    <w:rsid w:val="00746A5A"/>
    <w:rsid w:val="00746CEB"/>
    <w:rsid w:val="00746FA0"/>
    <w:rsid w:val="007471B7"/>
    <w:rsid w:val="007471BA"/>
    <w:rsid w:val="007471E8"/>
    <w:rsid w:val="0074723D"/>
    <w:rsid w:val="007477BA"/>
    <w:rsid w:val="0075023A"/>
    <w:rsid w:val="00750392"/>
    <w:rsid w:val="0075040C"/>
    <w:rsid w:val="0075049D"/>
    <w:rsid w:val="00750535"/>
    <w:rsid w:val="007506D4"/>
    <w:rsid w:val="0075087C"/>
    <w:rsid w:val="00750F7E"/>
    <w:rsid w:val="007513E6"/>
    <w:rsid w:val="0075164D"/>
    <w:rsid w:val="007516BA"/>
    <w:rsid w:val="007517E3"/>
    <w:rsid w:val="00751926"/>
    <w:rsid w:val="00751B32"/>
    <w:rsid w:val="00752102"/>
    <w:rsid w:val="00752577"/>
    <w:rsid w:val="00752E3F"/>
    <w:rsid w:val="0075327C"/>
    <w:rsid w:val="007532CD"/>
    <w:rsid w:val="00753942"/>
    <w:rsid w:val="007543EB"/>
    <w:rsid w:val="00754E9C"/>
    <w:rsid w:val="007551F5"/>
    <w:rsid w:val="00755294"/>
    <w:rsid w:val="00755EE5"/>
    <w:rsid w:val="00756C58"/>
    <w:rsid w:val="00756FEC"/>
    <w:rsid w:val="00757127"/>
    <w:rsid w:val="0075716A"/>
    <w:rsid w:val="007576BD"/>
    <w:rsid w:val="0076056A"/>
    <w:rsid w:val="00760B54"/>
    <w:rsid w:val="00760F6F"/>
    <w:rsid w:val="0076118C"/>
    <w:rsid w:val="007618CC"/>
    <w:rsid w:val="00761CC9"/>
    <w:rsid w:val="00761E79"/>
    <w:rsid w:val="00762B63"/>
    <w:rsid w:val="00763DF3"/>
    <w:rsid w:val="00764757"/>
    <w:rsid w:val="00764D7F"/>
    <w:rsid w:val="00764E61"/>
    <w:rsid w:val="00764F40"/>
    <w:rsid w:val="00765221"/>
    <w:rsid w:val="0076571A"/>
    <w:rsid w:val="007658C3"/>
    <w:rsid w:val="00765E9D"/>
    <w:rsid w:val="0076612C"/>
    <w:rsid w:val="007667FC"/>
    <w:rsid w:val="00766B8E"/>
    <w:rsid w:val="00767891"/>
    <w:rsid w:val="00767E97"/>
    <w:rsid w:val="00771784"/>
    <w:rsid w:val="0077194D"/>
    <w:rsid w:val="007721E3"/>
    <w:rsid w:val="00772711"/>
    <w:rsid w:val="0077297F"/>
    <w:rsid w:val="00772AED"/>
    <w:rsid w:val="00772B5B"/>
    <w:rsid w:val="0077317C"/>
    <w:rsid w:val="00773252"/>
    <w:rsid w:val="00773495"/>
    <w:rsid w:val="007734A9"/>
    <w:rsid w:val="007735B9"/>
    <w:rsid w:val="007735D8"/>
    <w:rsid w:val="007737C8"/>
    <w:rsid w:val="00773805"/>
    <w:rsid w:val="00773F7C"/>
    <w:rsid w:val="0077428F"/>
    <w:rsid w:val="007744FA"/>
    <w:rsid w:val="00774D64"/>
    <w:rsid w:val="00775059"/>
    <w:rsid w:val="00775078"/>
    <w:rsid w:val="007752D0"/>
    <w:rsid w:val="00775517"/>
    <w:rsid w:val="00775C55"/>
    <w:rsid w:val="007761BA"/>
    <w:rsid w:val="007762C8"/>
    <w:rsid w:val="00776DF6"/>
    <w:rsid w:val="00776E05"/>
    <w:rsid w:val="007772A7"/>
    <w:rsid w:val="00777425"/>
    <w:rsid w:val="00777B60"/>
    <w:rsid w:val="00777CA6"/>
    <w:rsid w:val="00780233"/>
    <w:rsid w:val="00780593"/>
    <w:rsid w:val="007806CA"/>
    <w:rsid w:val="007808ED"/>
    <w:rsid w:val="00780B93"/>
    <w:rsid w:val="00780C43"/>
    <w:rsid w:val="00780FBA"/>
    <w:rsid w:val="00781994"/>
    <w:rsid w:val="00781A05"/>
    <w:rsid w:val="00781E4C"/>
    <w:rsid w:val="00782038"/>
    <w:rsid w:val="0078252D"/>
    <w:rsid w:val="00782BAC"/>
    <w:rsid w:val="00783703"/>
    <w:rsid w:val="00783901"/>
    <w:rsid w:val="00784083"/>
    <w:rsid w:val="00785115"/>
    <w:rsid w:val="00785187"/>
    <w:rsid w:val="007858B1"/>
    <w:rsid w:val="00785B08"/>
    <w:rsid w:val="007869F6"/>
    <w:rsid w:val="00786CBF"/>
    <w:rsid w:val="00786FB4"/>
    <w:rsid w:val="007873DC"/>
    <w:rsid w:val="0078797C"/>
    <w:rsid w:val="007900A5"/>
    <w:rsid w:val="0079022C"/>
    <w:rsid w:val="00790A5D"/>
    <w:rsid w:val="00790A90"/>
    <w:rsid w:val="00790CFF"/>
    <w:rsid w:val="007910A8"/>
    <w:rsid w:val="007914B4"/>
    <w:rsid w:val="00791A96"/>
    <w:rsid w:val="00791C76"/>
    <w:rsid w:val="00791ECA"/>
    <w:rsid w:val="007923DE"/>
    <w:rsid w:val="0079257E"/>
    <w:rsid w:val="007928A1"/>
    <w:rsid w:val="007937CE"/>
    <w:rsid w:val="00793CD1"/>
    <w:rsid w:val="00793E3B"/>
    <w:rsid w:val="00794B7A"/>
    <w:rsid w:val="00794BE2"/>
    <w:rsid w:val="007951B1"/>
    <w:rsid w:val="0079521A"/>
    <w:rsid w:val="007952E8"/>
    <w:rsid w:val="00795417"/>
    <w:rsid w:val="00795752"/>
    <w:rsid w:val="00795821"/>
    <w:rsid w:val="00795C0D"/>
    <w:rsid w:val="00795F34"/>
    <w:rsid w:val="007960BE"/>
    <w:rsid w:val="007968BE"/>
    <w:rsid w:val="00796B4F"/>
    <w:rsid w:val="007979A5"/>
    <w:rsid w:val="00797B18"/>
    <w:rsid w:val="00797C30"/>
    <w:rsid w:val="00797C7C"/>
    <w:rsid w:val="00797D69"/>
    <w:rsid w:val="007A001A"/>
    <w:rsid w:val="007A0281"/>
    <w:rsid w:val="007A074C"/>
    <w:rsid w:val="007A14B5"/>
    <w:rsid w:val="007A14D5"/>
    <w:rsid w:val="007A1607"/>
    <w:rsid w:val="007A206A"/>
    <w:rsid w:val="007A2119"/>
    <w:rsid w:val="007A29E4"/>
    <w:rsid w:val="007A40F4"/>
    <w:rsid w:val="007A42AF"/>
    <w:rsid w:val="007A4302"/>
    <w:rsid w:val="007A434F"/>
    <w:rsid w:val="007A45A1"/>
    <w:rsid w:val="007A4679"/>
    <w:rsid w:val="007A49B2"/>
    <w:rsid w:val="007A4F8E"/>
    <w:rsid w:val="007A536E"/>
    <w:rsid w:val="007A54B4"/>
    <w:rsid w:val="007A580B"/>
    <w:rsid w:val="007A6298"/>
    <w:rsid w:val="007A6558"/>
    <w:rsid w:val="007A6824"/>
    <w:rsid w:val="007A72B3"/>
    <w:rsid w:val="007A7542"/>
    <w:rsid w:val="007A779A"/>
    <w:rsid w:val="007A7CBE"/>
    <w:rsid w:val="007A7CC5"/>
    <w:rsid w:val="007B0389"/>
    <w:rsid w:val="007B0E31"/>
    <w:rsid w:val="007B15A5"/>
    <w:rsid w:val="007B1C45"/>
    <w:rsid w:val="007B1E6F"/>
    <w:rsid w:val="007B1F4C"/>
    <w:rsid w:val="007B2297"/>
    <w:rsid w:val="007B254B"/>
    <w:rsid w:val="007B280B"/>
    <w:rsid w:val="007B29DB"/>
    <w:rsid w:val="007B3337"/>
    <w:rsid w:val="007B45AD"/>
    <w:rsid w:val="007B4A06"/>
    <w:rsid w:val="007B4C0E"/>
    <w:rsid w:val="007B4DA2"/>
    <w:rsid w:val="007B4DC6"/>
    <w:rsid w:val="007B50F2"/>
    <w:rsid w:val="007B55A0"/>
    <w:rsid w:val="007B55EC"/>
    <w:rsid w:val="007B58AD"/>
    <w:rsid w:val="007B672A"/>
    <w:rsid w:val="007B6A84"/>
    <w:rsid w:val="007B6AAF"/>
    <w:rsid w:val="007B6BF0"/>
    <w:rsid w:val="007B71B7"/>
    <w:rsid w:val="007B7AA2"/>
    <w:rsid w:val="007B7D54"/>
    <w:rsid w:val="007C0466"/>
    <w:rsid w:val="007C04EB"/>
    <w:rsid w:val="007C081E"/>
    <w:rsid w:val="007C0A10"/>
    <w:rsid w:val="007C0B5F"/>
    <w:rsid w:val="007C0DE7"/>
    <w:rsid w:val="007C1216"/>
    <w:rsid w:val="007C12A2"/>
    <w:rsid w:val="007C150C"/>
    <w:rsid w:val="007C1D16"/>
    <w:rsid w:val="007C213A"/>
    <w:rsid w:val="007C21D1"/>
    <w:rsid w:val="007C2AF0"/>
    <w:rsid w:val="007C394E"/>
    <w:rsid w:val="007C3F1B"/>
    <w:rsid w:val="007C4307"/>
    <w:rsid w:val="007C4480"/>
    <w:rsid w:val="007C46C2"/>
    <w:rsid w:val="007C478E"/>
    <w:rsid w:val="007C48E9"/>
    <w:rsid w:val="007C4B5B"/>
    <w:rsid w:val="007C4C74"/>
    <w:rsid w:val="007C52F1"/>
    <w:rsid w:val="007C5A93"/>
    <w:rsid w:val="007C5BFF"/>
    <w:rsid w:val="007C61F7"/>
    <w:rsid w:val="007C6229"/>
    <w:rsid w:val="007C68F7"/>
    <w:rsid w:val="007C75CE"/>
    <w:rsid w:val="007C76A9"/>
    <w:rsid w:val="007C7947"/>
    <w:rsid w:val="007D02AB"/>
    <w:rsid w:val="007D0423"/>
    <w:rsid w:val="007D08A9"/>
    <w:rsid w:val="007D0B9D"/>
    <w:rsid w:val="007D0CD7"/>
    <w:rsid w:val="007D118F"/>
    <w:rsid w:val="007D119C"/>
    <w:rsid w:val="007D15F4"/>
    <w:rsid w:val="007D16B7"/>
    <w:rsid w:val="007D18BA"/>
    <w:rsid w:val="007D1BA7"/>
    <w:rsid w:val="007D2260"/>
    <w:rsid w:val="007D25B1"/>
    <w:rsid w:val="007D2E07"/>
    <w:rsid w:val="007D3E2A"/>
    <w:rsid w:val="007D441B"/>
    <w:rsid w:val="007D45E6"/>
    <w:rsid w:val="007D499C"/>
    <w:rsid w:val="007D4F6E"/>
    <w:rsid w:val="007D56BC"/>
    <w:rsid w:val="007D57D5"/>
    <w:rsid w:val="007D5920"/>
    <w:rsid w:val="007D5965"/>
    <w:rsid w:val="007D61CF"/>
    <w:rsid w:val="007D67A2"/>
    <w:rsid w:val="007D7342"/>
    <w:rsid w:val="007D7A46"/>
    <w:rsid w:val="007D7B3A"/>
    <w:rsid w:val="007E0787"/>
    <w:rsid w:val="007E11BB"/>
    <w:rsid w:val="007E1356"/>
    <w:rsid w:val="007E17D0"/>
    <w:rsid w:val="007E1F32"/>
    <w:rsid w:val="007E2829"/>
    <w:rsid w:val="007E28F9"/>
    <w:rsid w:val="007E2A94"/>
    <w:rsid w:val="007E2FBD"/>
    <w:rsid w:val="007E3A3C"/>
    <w:rsid w:val="007E3D42"/>
    <w:rsid w:val="007E50FE"/>
    <w:rsid w:val="007E5527"/>
    <w:rsid w:val="007E559F"/>
    <w:rsid w:val="007E5645"/>
    <w:rsid w:val="007E56DD"/>
    <w:rsid w:val="007E57FE"/>
    <w:rsid w:val="007E6636"/>
    <w:rsid w:val="007E6996"/>
    <w:rsid w:val="007E6ACA"/>
    <w:rsid w:val="007E6F9E"/>
    <w:rsid w:val="007E71B6"/>
    <w:rsid w:val="007E74E5"/>
    <w:rsid w:val="007E7551"/>
    <w:rsid w:val="007E7630"/>
    <w:rsid w:val="007E777B"/>
    <w:rsid w:val="007E7AD7"/>
    <w:rsid w:val="007E7E04"/>
    <w:rsid w:val="007F1139"/>
    <w:rsid w:val="007F15F1"/>
    <w:rsid w:val="007F1A18"/>
    <w:rsid w:val="007F213F"/>
    <w:rsid w:val="007F2569"/>
    <w:rsid w:val="007F256F"/>
    <w:rsid w:val="007F330E"/>
    <w:rsid w:val="007F3A3A"/>
    <w:rsid w:val="007F3D65"/>
    <w:rsid w:val="007F3F07"/>
    <w:rsid w:val="007F44DF"/>
    <w:rsid w:val="007F4F4D"/>
    <w:rsid w:val="007F514D"/>
    <w:rsid w:val="007F5B5C"/>
    <w:rsid w:val="007F63B4"/>
    <w:rsid w:val="007F63B7"/>
    <w:rsid w:val="007F697F"/>
    <w:rsid w:val="007F6E7F"/>
    <w:rsid w:val="007F72AE"/>
    <w:rsid w:val="007F73F8"/>
    <w:rsid w:val="008006C5"/>
    <w:rsid w:val="00800B93"/>
    <w:rsid w:val="00800FD7"/>
    <w:rsid w:val="00801A09"/>
    <w:rsid w:val="00802537"/>
    <w:rsid w:val="008025D4"/>
    <w:rsid w:val="008025DD"/>
    <w:rsid w:val="00803FCE"/>
    <w:rsid w:val="0080402D"/>
    <w:rsid w:val="008040A7"/>
    <w:rsid w:val="008045EC"/>
    <w:rsid w:val="008049AE"/>
    <w:rsid w:val="008050A4"/>
    <w:rsid w:val="00805613"/>
    <w:rsid w:val="00805971"/>
    <w:rsid w:val="008064B5"/>
    <w:rsid w:val="0080720A"/>
    <w:rsid w:val="0080761E"/>
    <w:rsid w:val="00807D1C"/>
    <w:rsid w:val="00810296"/>
    <w:rsid w:val="0081053E"/>
    <w:rsid w:val="00810777"/>
    <w:rsid w:val="00810965"/>
    <w:rsid w:val="00810AF7"/>
    <w:rsid w:val="00810D1A"/>
    <w:rsid w:val="00811299"/>
    <w:rsid w:val="00811682"/>
    <w:rsid w:val="00812897"/>
    <w:rsid w:val="00812B3C"/>
    <w:rsid w:val="00812B5F"/>
    <w:rsid w:val="00813281"/>
    <w:rsid w:val="00813581"/>
    <w:rsid w:val="008139A8"/>
    <w:rsid w:val="00815228"/>
    <w:rsid w:val="0081543F"/>
    <w:rsid w:val="00815AB8"/>
    <w:rsid w:val="00815B45"/>
    <w:rsid w:val="00816598"/>
    <w:rsid w:val="00816D03"/>
    <w:rsid w:val="00817092"/>
    <w:rsid w:val="0081743C"/>
    <w:rsid w:val="00817923"/>
    <w:rsid w:val="008179B5"/>
    <w:rsid w:val="00820C6C"/>
    <w:rsid w:val="00820F2F"/>
    <w:rsid w:val="008214A4"/>
    <w:rsid w:val="00821B9D"/>
    <w:rsid w:val="00822155"/>
    <w:rsid w:val="0082267D"/>
    <w:rsid w:val="00822E10"/>
    <w:rsid w:val="00823447"/>
    <w:rsid w:val="00823740"/>
    <w:rsid w:val="008246FA"/>
    <w:rsid w:val="00824883"/>
    <w:rsid w:val="00824DFD"/>
    <w:rsid w:val="00825026"/>
    <w:rsid w:val="0082524E"/>
    <w:rsid w:val="0082545B"/>
    <w:rsid w:val="0082553D"/>
    <w:rsid w:val="008258EF"/>
    <w:rsid w:val="00825A87"/>
    <w:rsid w:val="00826809"/>
    <w:rsid w:val="00826BF7"/>
    <w:rsid w:val="00827306"/>
    <w:rsid w:val="0082736B"/>
    <w:rsid w:val="0082763B"/>
    <w:rsid w:val="008279CF"/>
    <w:rsid w:val="00827C18"/>
    <w:rsid w:val="00830503"/>
    <w:rsid w:val="008309A8"/>
    <w:rsid w:val="00830A3A"/>
    <w:rsid w:val="00830D14"/>
    <w:rsid w:val="00831006"/>
    <w:rsid w:val="0083106F"/>
    <w:rsid w:val="008312FD"/>
    <w:rsid w:val="00832068"/>
    <w:rsid w:val="0083237D"/>
    <w:rsid w:val="00832A51"/>
    <w:rsid w:val="00832E71"/>
    <w:rsid w:val="00833687"/>
    <w:rsid w:val="00833A17"/>
    <w:rsid w:val="00833C0B"/>
    <w:rsid w:val="00833C1B"/>
    <w:rsid w:val="00833F7C"/>
    <w:rsid w:val="008340DD"/>
    <w:rsid w:val="008344A5"/>
    <w:rsid w:val="008346DA"/>
    <w:rsid w:val="0083476F"/>
    <w:rsid w:val="008348DE"/>
    <w:rsid w:val="00834F06"/>
    <w:rsid w:val="00835A15"/>
    <w:rsid w:val="00835F56"/>
    <w:rsid w:val="008364D9"/>
    <w:rsid w:val="00836668"/>
    <w:rsid w:val="008370FF"/>
    <w:rsid w:val="00837816"/>
    <w:rsid w:val="0084029D"/>
    <w:rsid w:val="008404BF"/>
    <w:rsid w:val="008407C2"/>
    <w:rsid w:val="00840BB5"/>
    <w:rsid w:val="00841642"/>
    <w:rsid w:val="008417AF"/>
    <w:rsid w:val="008418BF"/>
    <w:rsid w:val="00841BE9"/>
    <w:rsid w:val="0084255B"/>
    <w:rsid w:val="008428EA"/>
    <w:rsid w:val="008429EE"/>
    <w:rsid w:val="00842A89"/>
    <w:rsid w:val="00842FFE"/>
    <w:rsid w:val="008433E2"/>
    <w:rsid w:val="008435A9"/>
    <w:rsid w:val="0084386D"/>
    <w:rsid w:val="008442A3"/>
    <w:rsid w:val="0084454A"/>
    <w:rsid w:val="0084489E"/>
    <w:rsid w:val="00844A10"/>
    <w:rsid w:val="00845B4F"/>
    <w:rsid w:val="00845D03"/>
    <w:rsid w:val="008466B7"/>
    <w:rsid w:val="00846A7F"/>
    <w:rsid w:val="00846B09"/>
    <w:rsid w:val="00846FE9"/>
    <w:rsid w:val="00847192"/>
    <w:rsid w:val="0084785F"/>
    <w:rsid w:val="00850783"/>
    <w:rsid w:val="00850D13"/>
    <w:rsid w:val="00850F97"/>
    <w:rsid w:val="00851397"/>
    <w:rsid w:val="00851DC0"/>
    <w:rsid w:val="00851F66"/>
    <w:rsid w:val="0085214C"/>
    <w:rsid w:val="008521BB"/>
    <w:rsid w:val="0085247C"/>
    <w:rsid w:val="00853A32"/>
    <w:rsid w:val="00853C88"/>
    <w:rsid w:val="008540EA"/>
    <w:rsid w:val="00854418"/>
    <w:rsid w:val="00854598"/>
    <w:rsid w:val="00854C3B"/>
    <w:rsid w:val="008553DC"/>
    <w:rsid w:val="008556A4"/>
    <w:rsid w:val="008559F1"/>
    <w:rsid w:val="00855B1F"/>
    <w:rsid w:val="00855DF6"/>
    <w:rsid w:val="008568E4"/>
    <w:rsid w:val="00856BD7"/>
    <w:rsid w:val="00857530"/>
    <w:rsid w:val="008603B7"/>
    <w:rsid w:val="008606B9"/>
    <w:rsid w:val="00860BCA"/>
    <w:rsid w:val="008616FA"/>
    <w:rsid w:val="00861CE0"/>
    <w:rsid w:val="00861D74"/>
    <w:rsid w:val="00861E2E"/>
    <w:rsid w:val="00861EC7"/>
    <w:rsid w:val="00861F3A"/>
    <w:rsid w:val="0086244D"/>
    <w:rsid w:val="00862FC7"/>
    <w:rsid w:val="008630BD"/>
    <w:rsid w:val="008631BA"/>
    <w:rsid w:val="00863C15"/>
    <w:rsid w:val="00863D5C"/>
    <w:rsid w:val="00863DBE"/>
    <w:rsid w:val="0086441A"/>
    <w:rsid w:val="00864C74"/>
    <w:rsid w:val="00864E62"/>
    <w:rsid w:val="0086539F"/>
    <w:rsid w:val="008657AD"/>
    <w:rsid w:val="00866626"/>
    <w:rsid w:val="008673D2"/>
    <w:rsid w:val="008679B2"/>
    <w:rsid w:val="00867B0E"/>
    <w:rsid w:val="00870395"/>
    <w:rsid w:val="0087169F"/>
    <w:rsid w:val="008723C8"/>
    <w:rsid w:val="00872528"/>
    <w:rsid w:val="008726C2"/>
    <w:rsid w:val="00873C22"/>
    <w:rsid w:val="008744EE"/>
    <w:rsid w:val="00874FB0"/>
    <w:rsid w:val="008750B0"/>
    <w:rsid w:val="0087556F"/>
    <w:rsid w:val="00875A54"/>
    <w:rsid w:val="00876631"/>
    <w:rsid w:val="00876664"/>
    <w:rsid w:val="0087689D"/>
    <w:rsid w:val="008769FE"/>
    <w:rsid w:val="00876AE3"/>
    <w:rsid w:val="00876ED2"/>
    <w:rsid w:val="00877036"/>
    <w:rsid w:val="00877F64"/>
    <w:rsid w:val="0088014E"/>
    <w:rsid w:val="008804E6"/>
    <w:rsid w:val="0088066D"/>
    <w:rsid w:val="00880744"/>
    <w:rsid w:val="00880E10"/>
    <w:rsid w:val="008814A7"/>
    <w:rsid w:val="00881A42"/>
    <w:rsid w:val="00882357"/>
    <w:rsid w:val="0088236C"/>
    <w:rsid w:val="008823B7"/>
    <w:rsid w:val="0088313F"/>
    <w:rsid w:val="00883223"/>
    <w:rsid w:val="008834F6"/>
    <w:rsid w:val="00883540"/>
    <w:rsid w:val="00883AFA"/>
    <w:rsid w:val="00884347"/>
    <w:rsid w:val="00884C80"/>
    <w:rsid w:val="0088550E"/>
    <w:rsid w:val="008855FE"/>
    <w:rsid w:val="00886737"/>
    <w:rsid w:val="008867AB"/>
    <w:rsid w:val="008869BE"/>
    <w:rsid w:val="008869D3"/>
    <w:rsid w:val="00886AEC"/>
    <w:rsid w:val="00886BFC"/>
    <w:rsid w:val="0088785A"/>
    <w:rsid w:val="00887A49"/>
    <w:rsid w:val="00887B84"/>
    <w:rsid w:val="00887E03"/>
    <w:rsid w:val="0089055F"/>
    <w:rsid w:val="008906CF"/>
    <w:rsid w:val="00891631"/>
    <w:rsid w:val="0089192E"/>
    <w:rsid w:val="00891E2B"/>
    <w:rsid w:val="0089202F"/>
    <w:rsid w:val="00892278"/>
    <w:rsid w:val="00892C41"/>
    <w:rsid w:val="008934FF"/>
    <w:rsid w:val="00893545"/>
    <w:rsid w:val="008937F0"/>
    <w:rsid w:val="008939A9"/>
    <w:rsid w:val="008940F0"/>
    <w:rsid w:val="00894306"/>
    <w:rsid w:val="0089493D"/>
    <w:rsid w:val="00894AD4"/>
    <w:rsid w:val="0089515D"/>
    <w:rsid w:val="0089607B"/>
    <w:rsid w:val="008961E2"/>
    <w:rsid w:val="00896C36"/>
    <w:rsid w:val="00896D6F"/>
    <w:rsid w:val="00897020"/>
    <w:rsid w:val="00897532"/>
    <w:rsid w:val="00897668"/>
    <w:rsid w:val="0089766A"/>
    <w:rsid w:val="00897998"/>
    <w:rsid w:val="00897EAF"/>
    <w:rsid w:val="008A005A"/>
    <w:rsid w:val="008A036F"/>
    <w:rsid w:val="008A0C02"/>
    <w:rsid w:val="008A0FDC"/>
    <w:rsid w:val="008A120A"/>
    <w:rsid w:val="008A129C"/>
    <w:rsid w:val="008A1E30"/>
    <w:rsid w:val="008A21E8"/>
    <w:rsid w:val="008A2484"/>
    <w:rsid w:val="008A271E"/>
    <w:rsid w:val="008A278B"/>
    <w:rsid w:val="008A2806"/>
    <w:rsid w:val="008A2BA0"/>
    <w:rsid w:val="008A3751"/>
    <w:rsid w:val="008A3882"/>
    <w:rsid w:val="008A3A58"/>
    <w:rsid w:val="008A3B0F"/>
    <w:rsid w:val="008A3B3F"/>
    <w:rsid w:val="008A4BA1"/>
    <w:rsid w:val="008A4D73"/>
    <w:rsid w:val="008A4EDA"/>
    <w:rsid w:val="008A52BA"/>
    <w:rsid w:val="008A550A"/>
    <w:rsid w:val="008A5669"/>
    <w:rsid w:val="008A5994"/>
    <w:rsid w:val="008A5D73"/>
    <w:rsid w:val="008A643E"/>
    <w:rsid w:val="008A647B"/>
    <w:rsid w:val="008A6641"/>
    <w:rsid w:val="008A686D"/>
    <w:rsid w:val="008A68E5"/>
    <w:rsid w:val="008A6BC1"/>
    <w:rsid w:val="008A724B"/>
    <w:rsid w:val="008A7470"/>
    <w:rsid w:val="008A7518"/>
    <w:rsid w:val="008A75D1"/>
    <w:rsid w:val="008A7AA0"/>
    <w:rsid w:val="008A7E11"/>
    <w:rsid w:val="008A7F20"/>
    <w:rsid w:val="008B0B80"/>
    <w:rsid w:val="008B14FE"/>
    <w:rsid w:val="008B1B13"/>
    <w:rsid w:val="008B1E06"/>
    <w:rsid w:val="008B1F72"/>
    <w:rsid w:val="008B218F"/>
    <w:rsid w:val="008B2281"/>
    <w:rsid w:val="008B2764"/>
    <w:rsid w:val="008B27A8"/>
    <w:rsid w:val="008B27AF"/>
    <w:rsid w:val="008B294E"/>
    <w:rsid w:val="008B2C3C"/>
    <w:rsid w:val="008B354F"/>
    <w:rsid w:val="008B37D7"/>
    <w:rsid w:val="008B3F22"/>
    <w:rsid w:val="008B405E"/>
    <w:rsid w:val="008B4104"/>
    <w:rsid w:val="008B42DC"/>
    <w:rsid w:val="008B4759"/>
    <w:rsid w:val="008B49BF"/>
    <w:rsid w:val="008B560A"/>
    <w:rsid w:val="008B5EFF"/>
    <w:rsid w:val="008B63E0"/>
    <w:rsid w:val="008B669F"/>
    <w:rsid w:val="008B6D33"/>
    <w:rsid w:val="008B6E02"/>
    <w:rsid w:val="008B73AE"/>
    <w:rsid w:val="008B7A2A"/>
    <w:rsid w:val="008B7CB2"/>
    <w:rsid w:val="008C006F"/>
    <w:rsid w:val="008C022C"/>
    <w:rsid w:val="008C0A24"/>
    <w:rsid w:val="008C0C94"/>
    <w:rsid w:val="008C0D90"/>
    <w:rsid w:val="008C1558"/>
    <w:rsid w:val="008C158B"/>
    <w:rsid w:val="008C211F"/>
    <w:rsid w:val="008C2684"/>
    <w:rsid w:val="008C37FA"/>
    <w:rsid w:val="008C41A5"/>
    <w:rsid w:val="008C44F9"/>
    <w:rsid w:val="008C47F2"/>
    <w:rsid w:val="008C4B51"/>
    <w:rsid w:val="008C4B84"/>
    <w:rsid w:val="008C5017"/>
    <w:rsid w:val="008C57B5"/>
    <w:rsid w:val="008C5B0E"/>
    <w:rsid w:val="008C6380"/>
    <w:rsid w:val="008C6DF5"/>
    <w:rsid w:val="008C7382"/>
    <w:rsid w:val="008C7606"/>
    <w:rsid w:val="008C7B80"/>
    <w:rsid w:val="008D041A"/>
    <w:rsid w:val="008D0505"/>
    <w:rsid w:val="008D0940"/>
    <w:rsid w:val="008D0CDA"/>
    <w:rsid w:val="008D10CF"/>
    <w:rsid w:val="008D1583"/>
    <w:rsid w:val="008D2046"/>
    <w:rsid w:val="008D279B"/>
    <w:rsid w:val="008D2C53"/>
    <w:rsid w:val="008D32CA"/>
    <w:rsid w:val="008D413B"/>
    <w:rsid w:val="008D4240"/>
    <w:rsid w:val="008D4740"/>
    <w:rsid w:val="008D49B0"/>
    <w:rsid w:val="008D52AA"/>
    <w:rsid w:val="008D5E81"/>
    <w:rsid w:val="008D6060"/>
    <w:rsid w:val="008D6379"/>
    <w:rsid w:val="008D6E9A"/>
    <w:rsid w:val="008D6F3F"/>
    <w:rsid w:val="008D70D7"/>
    <w:rsid w:val="008D72B3"/>
    <w:rsid w:val="008D7554"/>
    <w:rsid w:val="008D799D"/>
    <w:rsid w:val="008D7CE8"/>
    <w:rsid w:val="008D7E1C"/>
    <w:rsid w:val="008E0158"/>
    <w:rsid w:val="008E0171"/>
    <w:rsid w:val="008E03E8"/>
    <w:rsid w:val="008E079D"/>
    <w:rsid w:val="008E099C"/>
    <w:rsid w:val="008E1A17"/>
    <w:rsid w:val="008E1A6C"/>
    <w:rsid w:val="008E2049"/>
    <w:rsid w:val="008E26C1"/>
    <w:rsid w:val="008E3230"/>
    <w:rsid w:val="008E3668"/>
    <w:rsid w:val="008E377A"/>
    <w:rsid w:val="008E3A02"/>
    <w:rsid w:val="008E4081"/>
    <w:rsid w:val="008E42CB"/>
    <w:rsid w:val="008E43FA"/>
    <w:rsid w:val="008E4DCE"/>
    <w:rsid w:val="008E5119"/>
    <w:rsid w:val="008E5B9A"/>
    <w:rsid w:val="008E611C"/>
    <w:rsid w:val="008E6814"/>
    <w:rsid w:val="008E690B"/>
    <w:rsid w:val="008E6C11"/>
    <w:rsid w:val="008E6EA0"/>
    <w:rsid w:val="008E6FB3"/>
    <w:rsid w:val="008E7500"/>
    <w:rsid w:val="008F003F"/>
    <w:rsid w:val="008F01D8"/>
    <w:rsid w:val="008F05D4"/>
    <w:rsid w:val="008F0C38"/>
    <w:rsid w:val="008F0DA5"/>
    <w:rsid w:val="008F1EA2"/>
    <w:rsid w:val="008F21DD"/>
    <w:rsid w:val="008F2861"/>
    <w:rsid w:val="008F28F5"/>
    <w:rsid w:val="008F2C88"/>
    <w:rsid w:val="008F321E"/>
    <w:rsid w:val="008F3348"/>
    <w:rsid w:val="008F37DC"/>
    <w:rsid w:val="008F3A5E"/>
    <w:rsid w:val="008F3D5C"/>
    <w:rsid w:val="008F4BCA"/>
    <w:rsid w:val="008F4CBB"/>
    <w:rsid w:val="008F501B"/>
    <w:rsid w:val="008F53EE"/>
    <w:rsid w:val="008F541A"/>
    <w:rsid w:val="008F6AF2"/>
    <w:rsid w:val="008F72C2"/>
    <w:rsid w:val="008F7C70"/>
    <w:rsid w:val="008F7D06"/>
    <w:rsid w:val="00900CED"/>
    <w:rsid w:val="009010C0"/>
    <w:rsid w:val="00901353"/>
    <w:rsid w:val="009014A7"/>
    <w:rsid w:val="00901872"/>
    <w:rsid w:val="00901B06"/>
    <w:rsid w:val="00901DAF"/>
    <w:rsid w:val="00901F48"/>
    <w:rsid w:val="0090310E"/>
    <w:rsid w:val="00903173"/>
    <w:rsid w:val="0090331A"/>
    <w:rsid w:val="00903348"/>
    <w:rsid w:val="00903D93"/>
    <w:rsid w:val="00903DC7"/>
    <w:rsid w:val="0090494F"/>
    <w:rsid w:val="00904E95"/>
    <w:rsid w:val="00904F12"/>
    <w:rsid w:val="0090519A"/>
    <w:rsid w:val="00905282"/>
    <w:rsid w:val="0090549C"/>
    <w:rsid w:val="009054C2"/>
    <w:rsid w:val="009055F7"/>
    <w:rsid w:val="00905A8A"/>
    <w:rsid w:val="00905AC7"/>
    <w:rsid w:val="00906E1C"/>
    <w:rsid w:val="009078B6"/>
    <w:rsid w:val="0090793F"/>
    <w:rsid w:val="00907971"/>
    <w:rsid w:val="00907BEA"/>
    <w:rsid w:val="00910123"/>
    <w:rsid w:val="009106B6"/>
    <w:rsid w:val="00910A5A"/>
    <w:rsid w:val="00910DA0"/>
    <w:rsid w:val="00911273"/>
    <w:rsid w:val="009112D6"/>
    <w:rsid w:val="00911A83"/>
    <w:rsid w:val="00912241"/>
    <w:rsid w:val="00912B84"/>
    <w:rsid w:val="00912E1F"/>
    <w:rsid w:val="00912FB7"/>
    <w:rsid w:val="0091341C"/>
    <w:rsid w:val="00913593"/>
    <w:rsid w:val="00913ED7"/>
    <w:rsid w:val="00914ABA"/>
    <w:rsid w:val="00914D71"/>
    <w:rsid w:val="00914E3C"/>
    <w:rsid w:val="00914FD5"/>
    <w:rsid w:val="00915418"/>
    <w:rsid w:val="00915516"/>
    <w:rsid w:val="0091573A"/>
    <w:rsid w:val="009161DF"/>
    <w:rsid w:val="0091640C"/>
    <w:rsid w:val="009168B7"/>
    <w:rsid w:val="00916A37"/>
    <w:rsid w:val="00916C74"/>
    <w:rsid w:val="00916E1A"/>
    <w:rsid w:val="00917958"/>
    <w:rsid w:val="009201AE"/>
    <w:rsid w:val="0092024F"/>
    <w:rsid w:val="0092057A"/>
    <w:rsid w:val="00921543"/>
    <w:rsid w:val="00921833"/>
    <w:rsid w:val="00921B7B"/>
    <w:rsid w:val="00921CF6"/>
    <w:rsid w:val="009225ED"/>
    <w:rsid w:val="009226A7"/>
    <w:rsid w:val="00922749"/>
    <w:rsid w:val="0092326E"/>
    <w:rsid w:val="009236E3"/>
    <w:rsid w:val="00923CDD"/>
    <w:rsid w:val="00924175"/>
    <w:rsid w:val="009259B6"/>
    <w:rsid w:val="00925FE7"/>
    <w:rsid w:val="0092653A"/>
    <w:rsid w:val="00927947"/>
    <w:rsid w:val="00927BB5"/>
    <w:rsid w:val="00927BE2"/>
    <w:rsid w:val="00927DD3"/>
    <w:rsid w:val="009301BA"/>
    <w:rsid w:val="00930EB3"/>
    <w:rsid w:val="00931246"/>
    <w:rsid w:val="00931CA1"/>
    <w:rsid w:val="00932421"/>
    <w:rsid w:val="00932C33"/>
    <w:rsid w:val="00932E8D"/>
    <w:rsid w:val="009342ED"/>
    <w:rsid w:val="00934BBA"/>
    <w:rsid w:val="00934D6C"/>
    <w:rsid w:val="00934EEF"/>
    <w:rsid w:val="009350E6"/>
    <w:rsid w:val="00935427"/>
    <w:rsid w:val="0093569E"/>
    <w:rsid w:val="00935AA4"/>
    <w:rsid w:val="00935DB0"/>
    <w:rsid w:val="0093673D"/>
    <w:rsid w:val="009369F6"/>
    <w:rsid w:val="00937703"/>
    <w:rsid w:val="00937AAB"/>
    <w:rsid w:val="00937FE6"/>
    <w:rsid w:val="00940D8B"/>
    <w:rsid w:val="009413DF"/>
    <w:rsid w:val="00941843"/>
    <w:rsid w:val="00941B61"/>
    <w:rsid w:val="009425E5"/>
    <w:rsid w:val="00942A21"/>
    <w:rsid w:val="00942F35"/>
    <w:rsid w:val="009431C9"/>
    <w:rsid w:val="009432B4"/>
    <w:rsid w:val="0094381A"/>
    <w:rsid w:val="00943A1D"/>
    <w:rsid w:val="00943CB8"/>
    <w:rsid w:val="00945012"/>
    <w:rsid w:val="00945039"/>
    <w:rsid w:val="00945173"/>
    <w:rsid w:val="009454B8"/>
    <w:rsid w:val="009461A4"/>
    <w:rsid w:val="009464ED"/>
    <w:rsid w:val="00947061"/>
    <w:rsid w:val="00947784"/>
    <w:rsid w:val="009508F1"/>
    <w:rsid w:val="00951258"/>
    <w:rsid w:val="009513B3"/>
    <w:rsid w:val="009519FC"/>
    <w:rsid w:val="00951A05"/>
    <w:rsid w:val="00951B7B"/>
    <w:rsid w:val="00951EBF"/>
    <w:rsid w:val="00952078"/>
    <w:rsid w:val="00952B10"/>
    <w:rsid w:val="00952D1E"/>
    <w:rsid w:val="00953321"/>
    <w:rsid w:val="00953756"/>
    <w:rsid w:val="00953892"/>
    <w:rsid w:val="00953973"/>
    <w:rsid w:val="00953A8C"/>
    <w:rsid w:val="00953EB8"/>
    <w:rsid w:val="0095433B"/>
    <w:rsid w:val="00954530"/>
    <w:rsid w:val="009548B1"/>
    <w:rsid w:val="009548B3"/>
    <w:rsid w:val="00954BE9"/>
    <w:rsid w:val="00954FC5"/>
    <w:rsid w:val="00955601"/>
    <w:rsid w:val="009556FE"/>
    <w:rsid w:val="00955DF2"/>
    <w:rsid w:val="00955F6F"/>
    <w:rsid w:val="00956690"/>
    <w:rsid w:val="00956BFF"/>
    <w:rsid w:val="00957153"/>
    <w:rsid w:val="00957447"/>
    <w:rsid w:val="009574C7"/>
    <w:rsid w:val="009575B6"/>
    <w:rsid w:val="009578C5"/>
    <w:rsid w:val="00957EA5"/>
    <w:rsid w:val="0096034B"/>
    <w:rsid w:val="009604CD"/>
    <w:rsid w:val="009606E6"/>
    <w:rsid w:val="00960953"/>
    <w:rsid w:val="0096120C"/>
    <w:rsid w:val="009613DC"/>
    <w:rsid w:val="00961C86"/>
    <w:rsid w:val="00962953"/>
    <w:rsid w:val="00962D4A"/>
    <w:rsid w:val="00962EC1"/>
    <w:rsid w:val="009631AD"/>
    <w:rsid w:val="00963386"/>
    <w:rsid w:val="00963440"/>
    <w:rsid w:val="009634A0"/>
    <w:rsid w:val="0096380B"/>
    <w:rsid w:val="00963EC8"/>
    <w:rsid w:val="009641A7"/>
    <w:rsid w:val="0096484D"/>
    <w:rsid w:val="0096485C"/>
    <w:rsid w:val="00964D80"/>
    <w:rsid w:val="00964EC7"/>
    <w:rsid w:val="0096630A"/>
    <w:rsid w:val="009669E8"/>
    <w:rsid w:val="00966EBB"/>
    <w:rsid w:val="009670FE"/>
    <w:rsid w:val="0097062F"/>
    <w:rsid w:val="009709AF"/>
    <w:rsid w:val="00970AAB"/>
    <w:rsid w:val="00970C6A"/>
    <w:rsid w:val="00971061"/>
    <w:rsid w:val="0097145F"/>
    <w:rsid w:val="0097152F"/>
    <w:rsid w:val="00972246"/>
    <w:rsid w:val="00972397"/>
    <w:rsid w:val="009726A9"/>
    <w:rsid w:val="00972C53"/>
    <w:rsid w:val="0097311B"/>
    <w:rsid w:val="00973317"/>
    <w:rsid w:val="00973400"/>
    <w:rsid w:val="009735E4"/>
    <w:rsid w:val="009736D2"/>
    <w:rsid w:val="0097399C"/>
    <w:rsid w:val="00973D42"/>
    <w:rsid w:val="00973EB0"/>
    <w:rsid w:val="009743B6"/>
    <w:rsid w:val="00974740"/>
    <w:rsid w:val="00974CF7"/>
    <w:rsid w:val="00974FA8"/>
    <w:rsid w:val="009757CD"/>
    <w:rsid w:val="00975E78"/>
    <w:rsid w:val="00976186"/>
    <w:rsid w:val="0097640D"/>
    <w:rsid w:val="009768C0"/>
    <w:rsid w:val="00977AB2"/>
    <w:rsid w:val="00980043"/>
    <w:rsid w:val="0098025D"/>
    <w:rsid w:val="009802DE"/>
    <w:rsid w:val="009804FD"/>
    <w:rsid w:val="00980C9B"/>
    <w:rsid w:val="00981750"/>
    <w:rsid w:val="009817F8"/>
    <w:rsid w:val="00981A4D"/>
    <w:rsid w:val="00981FE9"/>
    <w:rsid w:val="009821D3"/>
    <w:rsid w:val="009829E0"/>
    <w:rsid w:val="0098300F"/>
    <w:rsid w:val="00983189"/>
    <w:rsid w:val="009843D0"/>
    <w:rsid w:val="00984AF8"/>
    <w:rsid w:val="00985282"/>
    <w:rsid w:val="0098540D"/>
    <w:rsid w:val="00985420"/>
    <w:rsid w:val="009855B1"/>
    <w:rsid w:val="00985F01"/>
    <w:rsid w:val="009860AB"/>
    <w:rsid w:val="00986D18"/>
    <w:rsid w:val="00986D8C"/>
    <w:rsid w:val="00986F99"/>
    <w:rsid w:val="00987020"/>
    <w:rsid w:val="0098706C"/>
    <w:rsid w:val="00987CF4"/>
    <w:rsid w:val="00990173"/>
    <w:rsid w:val="009901AD"/>
    <w:rsid w:val="0099080F"/>
    <w:rsid w:val="00990827"/>
    <w:rsid w:val="00990AF5"/>
    <w:rsid w:val="00991126"/>
    <w:rsid w:val="009912CB"/>
    <w:rsid w:val="009914CF"/>
    <w:rsid w:val="009917E4"/>
    <w:rsid w:val="00991A97"/>
    <w:rsid w:val="00991C4C"/>
    <w:rsid w:val="00991D47"/>
    <w:rsid w:val="00991DD7"/>
    <w:rsid w:val="00992000"/>
    <w:rsid w:val="009924DD"/>
    <w:rsid w:val="00992A9D"/>
    <w:rsid w:val="00992C2E"/>
    <w:rsid w:val="00992FD6"/>
    <w:rsid w:val="009934CF"/>
    <w:rsid w:val="0099350D"/>
    <w:rsid w:val="00993852"/>
    <w:rsid w:val="00993BA6"/>
    <w:rsid w:val="00993C39"/>
    <w:rsid w:val="00993FB9"/>
    <w:rsid w:val="00994134"/>
    <w:rsid w:val="00994767"/>
    <w:rsid w:val="00994D9A"/>
    <w:rsid w:val="00995960"/>
    <w:rsid w:val="009959D5"/>
    <w:rsid w:val="00996310"/>
    <w:rsid w:val="00997072"/>
    <w:rsid w:val="0099719A"/>
    <w:rsid w:val="00997577"/>
    <w:rsid w:val="00997BF5"/>
    <w:rsid w:val="009A0528"/>
    <w:rsid w:val="009A0611"/>
    <w:rsid w:val="009A0E76"/>
    <w:rsid w:val="009A1097"/>
    <w:rsid w:val="009A11AB"/>
    <w:rsid w:val="009A11F3"/>
    <w:rsid w:val="009A12D5"/>
    <w:rsid w:val="009A189F"/>
    <w:rsid w:val="009A261E"/>
    <w:rsid w:val="009A2C9D"/>
    <w:rsid w:val="009A36C5"/>
    <w:rsid w:val="009A4168"/>
    <w:rsid w:val="009A4640"/>
    <w:rsid w:val="009A4A46"/>
    <w:rsid w:val="009A5074"/>
    <w:rsid w:val="009A52BE"/>
    <w:rsid w:val="009A582D"/>
    <w:rsid w:val="009A5F84"/>
    <w:rsid w:val="009A601D"/>
    <w:rsid w:val="009A690E"/>
    <w:rsid w:val="009A6E9E"/>
    <w:rsid w:val="009A7083"/>
    <w:rsid w:val="009B00AC"/>
    <w:rsid w:val="009B065C"/>
    <w:rsid w:val="009B095B"/>
    <w:rsid w:val="009B09D1"/>
    <w:rsid w:val="009B1968"/>
    <w:rsid w:val="009B32BF"/>
    <w:rsid w:val="009B3728"/>
    <w:rsid w:val="009B3B75"/>
    <w:rsid w:val="009B3C97"/>
    <w:rsid w:val="009B4398"/>
    <w:rsid w:val="009B4575"/>
    <w:rsid w:val="009B48B3"/>
    <w:rsid w:val="009B5097"/>
    <w:rsid w:val="009B52F9"/>
    <w:rsid w:val="009B55A1"/>
    <w:rsid w:val="009B5CBC"/>
    <w:rsid w:val="009B6157"/>
    <w:rsid w:val="009B66B6"/>
    <w:rsid w:val="009B70A9"/>
    <w:rsid w:val="009B7E6C"/>
    <w:rsid w:val="009C04C8"/>
    <w:rsid w:val="009C07A0"/>
    <w:rsid w:val="009C07F0"/>
    <w:rsid w:val="009C17C1"/>
    <w:rsid w:val="009C1EC9"/>
    <w:rsid w:val="009C1FE2"/>
    <w:rsid w:val="009C2040"/>
    <w:rsid w:val="009C21FE"/>
    <w:rsid w:val="009C23BD"/>
    <w:rsid w:val="009C2596"/>
    <w:rsid w:val="009C2C0C"/>
    <w:rsid w:val="009C33CE"/>
    <w:rsid w:val="009C3620"/>
    <w:rsid w:val="009C3ACA"/>
    <w:rsid w:val="009C4208"/>
    <w:rsid w:val="009C430C"/>
    <w:rsid w:val="009C5893"/>
    <w:rsid w:val="009C5A4C"/>
    <w:rsid w:val="009C5C5A"/>
    <w:rsid w:val="009C6108"/>
    <w:rsid w:val="009C6855"/>
    <w:rsid w:val="009C698E"/>
    <w:rsid w:val="009C6AFD"/>
    <w:rsid w:val="009C6B9D"/>
    <w:rsid w:val="009C6BFD"/>
    <w:rsid w:val="009C708D"/>
    <w:rsid w:val="009C7B2F"/>
    <w:rsid w:val="009C7CAF"/>
    <w:rsid w:val="009D0078"/>
    <w:rsid w:val="009D0117"/>
    <w:rsid w:val="009D03E4"/>
    <w:rsid w:val="009D0B29"/>
    <w:rsid w:val="009D0D68"/>
    <w:rsid w:val="009D145E"/>
    <w:rsid w:val="009D17C3"/>
    <w:rsid w:val="009D1A76"/>
    <w:rsid w:val="009D1BF4"/>
    <w:rsid w:val="009D1D61"/>
    <w:rsid w:val="009D1FB1"/>
    <w:rsid w:val="009D2133"/>
    <w:rsid w:val="009D2358"/>
    <w:rsid w:val="009D303A"/>
    <w:rsid w:val="009D370A"/>
    <w:rsid w:val="009D38FD"/>
    <w:rsid w:val="009D415F"/>
    <w:rsid w:val="009D4528"/>
    <w:rsid w:val="009D45B3"/>
    <w:rsid w:val="009D47DC"/>
    <w:rsid w:val="009D48B4"/>
    <w:rsid w:val="009D4937"/>
    <w:rsid w:val="009D4EAB"/>
    <w:rsid w:val="009D5B3E"/>
    <w:rsid w:val="009D5DC8"/>
    <w:rsid w:val="009D6396"/>
    <w:rsid w:val="009D6C19"/>
    <w:rsid w:val="009D7086"/>
    <w:rsid w:val="009D715C"/>
    <w:rsid w:val="009D733C"/>
    <w:rsid w:val="009D7A3A"/>
    <w:rsid w:val="009D7BD3"/>
    <w:rsid w:val="009D7EA7"/>
    <w:rsid w:val="009E04F1"/>
    <w:rsid w:val="009E0703"/>
    <w:rsid w:val="009E0E51"/>
    <w:rsid w:val="009E0E59"/>
    <w:rsid w:val="009E29AA"/>
    <w:rsid w:val="009E2CF8"/>
    <w:rsid w:val="009E38AB"/>
    <w:rsid w:val="009E391B"/>
    <w:rsid w:val="009E39DE"/>
    <w:rsid w:val="009E4304"/>
    <w:rsid w:val="009E4401"/>
    <w:rsid w:val="009E4551"/>
    <w:rsid w:val="009E4A9D"/>
    <w:rsid w:val="009E5D58"/>
    <w:rsid w:val="009E5F75"/>
    <w:rsid w:val="009E60F7"/>
    <w:rsid w:val="009E6142"/>
    <w:rsid w:val="009E6AC3"/>
    <w:rsid w:val="009E725C"/>
    <w:rsid w:val="009E746E"/>
    <w:rsid w:val="009E7992"/>
    <w:rsid w:val="009F05C5"/>
    <w:rsid w:val="009F05EA"/>
    <w:rsid w:val="009F2707"/>
    <w:rsid w:val="009F2847"/>
    <w:rsid w:val="009F28D6"/>
    <w:rsid w:val="009F3593"/>
    <w:rsid w:val="009F4572"/>
    <w:rsid w:val="009F4E70"/>
    <w:rsid w:val="009F534D"/>
    <w:rsid w:val="009F54B8"/>
    <w:rsid w:val="009F54D1"/>
    <w:rsid w:val="009F57CD"/>
    <w:rsid w:val="009F5AC8"/>
    <w:rsid w:val="009F5FB2"/>
    <w:rsid w:val="009F66AE"/>
    <w:rsid w:val="009F7D13"/>
    <w:rsid w:val="00A000A4"/>
    <w:rsid w:val="00A0046C"/>
    <w:rsid w:val="00A00AA1"/>
    <w:rsid w:val="00A01715"/>
    <w:rsid w:val="00A02E5F"/>
    <w:rsid w:val="00A03107"/>
    <w:rsid w:val="00A03A90"/>
    <w:rsid w:val="00A03E0D"/>
    <w:rsid w:val="00A03F9D"/>
    <w:rsid w:val="00A04637"/>
    <w:rsid w:val="00A0464E"/>
    <w:rsid w:val="00A04935"/>
    <w:rsid w:val="00A04CD0"/>
    <w:rsid w:val="00A05438"/>
    <w:rsid w:val="00A0546D"/>
    <w:rsid w:val="00A06A5E"/>
    <w:rsid w:val="00A06B61"/>
    <w:rsid w:val="00A06CE4"/>
    <w:rsid w:val="00A0705F"/>
    <w:rsid w:val="00A0713D"/>
    <w:rsid w:val="00A07C97"/>
    <w:rsid w:val="00A07CBC"/>
    <w:rsid w:val="00A07DB9"/>
    <w:rsid w:val="00A10192"/>
    <w:rsid w:val="00A10588"/>
    <w:rsid w:val="00A1058F"/>
    <w:rsid w:val="00A115EA"/>
    <w:rsid w:val="00A11B20"/>
    <w:rsid w:val="00A125F4"/>
    <w:rsid w:val="00A12767"/>
    <w:rsid w:val="00A130F1"/>
    <w:rsid w:val="00A1320E"/>
    <w:rsid w:val="00A1334F"/>
    <w:rsid w:val="00A13793"/>
    <w:rsid w:val="00A13B05"/>
    <w:rsid w:val="00A13BD0"/>
    <w:rsid w:val="00A149A6"/>
    <w:rsid w:val="00A14B6A"/>
    <w:rsid w:val="00A14E45"/>
    <w:rsid w:val="00A1500D"/>
    <w:rsid w:val="00A154E5"/>
    <w:rsid w:val="00A155E2"/>
    <w:rsid w:val="00A15728"/>
    <w:rsid w:val="00A158DA"/>
    <w:rsid w:val="00A15E8D"/>
    <w:rsid w:val="00A16736"/>
    <w:rsid w:val="00A167A5"/>
    <w:rsid w:val="00A17E9E"/>
    <w:rsid w:val="00A2044C"/>
    <w:rsid w:val="00A2048B"/>
    <w:rsid w:val="00A204A9"/>
    <w:rsid w:val="00A20864"/>
    <w:rsid w:val="00A209C9"/>
    <w:rsid w:val="00A20C4D"/>
    <w:rsid w:val="00A20D47"/>
    <w:rsid w:val="00A21EBA"/>
    <w:rsid w:val="00A2241A"/>
    <w:rsid w:val="00A22837"/>
    <w:rsid w:val="00A23377"/>
    <w:rsid w:val="00A23ADF"/>
    <w:rsid w:val="00A23F5D"/>
    <w:rsid w:val="00A240C0"/>
    <w:rsid w:val="00A24274"/>
    <w:rsid w:val="00A2466D"/>
    <w:rsid w:val="00A24A11"/>
    <w:rsid w:val="00A24CC4"/>
    <w:rsid w:val="00A25493"/>
    <w:rsid w:val="00A2623E"/>
    <w:rsid w:val="00A263B5"/>
    <w:rsid w:val="00A27BF1"/>
    <w:rsid w:val="00A27DFE"/>
    <w:rsid w:val="00A303A5"/>
    <w:rsid w:val="00A30B6E"/>
    <w:rsid w:val="00A30BB2"/>
    <w:rsid w:val="00A31049"/>
    <w:rsid w:val="00A310FC"/>
    <w:rsid w:val="00A31299"/>
    <w:rsid w:val="00A31552"/>
    <w:rsid w:val="00A327AB"/>
    <w:rsid w:val="00A3286D"/>
    <w:rsid w:val="00A32F18"/>
    <w:rsid w:val="00A33064"/>
    <w:rsid w:val="00A336F8"/>
    <w:rsid w:val="00A33DAD"/>
    <w:rsid w:val="00A33DE6"/>
    <w:rsid w:val="00A34281"/>
    <w:rsid w:val="00A34425"/>
    <w:rsid w:val="00A34D83"/>
    <w:rsid w:val="00A351AB"/>
    <w:rsid w:val="00A35328"/>
    <w:rsid w:val="00A353C3"/>
    <w:rsid w:val="00A36262"/>
    <w:rsid w:val="00A363E5"/>
    <w:rsid w:val="00A3681F"/>
    <w:rsid w:val="00A37794"/>
    <w:rsid w:val="00A37A08"/>
    <w:rsid w:val="00A37BD6"/>
    <w:rsid w:val="00A37C2A"/>
    <w:rsid w:val="00A37F02"/>
    <w:rsid w:val="00A406B7"/>
    <w:rsid w:val="00A4074E"/>
    <w:rsid w:val="00A409F2"/>
    <w:rsid w:val="00A40E2E"/>
    <w:rsid w:val="00A40FE1"/>
    <w:rsid w:val="00A41430"/>
    <w:rsid w:val="00A4162A"/>
    <w:rsid w:val="00A4184F"/>
    <w:rsid w:val="00A41C67"/>
    <w:rsid w:val="00A42558"/>
    <w:rsid w:val="00A42917"/>
    <w:rsid w:val="00A42E73"/>
    <w:rsid w:val="00A43316"/>
    <w:rsid w:val="00A4391C"/>
    <w:rsid w:val="00A43AF6"/>
    <w:rsid w:val="00A43CE9"/>
    <w:rsid w:val="00A44150"/>
    <w:rsid w:val="00A444EF"/>
    <w:rsid w:val="00A44699"/>
    <w:rsid w:val="00A450C5"/>
    <w:rsid w:val="00A45D04"/>
    <w:rsid w:val="00A460B1"/>
    <w:rsid w:val="00A4663A"/>
    <w:rsid w:val="00A46C44"/>
    <w:rsid w:val="00A46EC3"/>
    <w:rsid w:val="00A472D1"/>
    <w:rsid w:val="00A474A3"/>
    <w:rsid w:val="00A47764"/>
    <w:rsid w:val="00A47865"/>
    <w:rsid w:val="00A4798B"/>
    <w:rsid w:val="00A47C37"/>
    <w:rsid w:val="00A47FA4"/>
    <w:rsid w:val="00A500FE"/>
    <w:rsid w:val="00A50750"/>
    <w:rsid w:val="00A508E9"/>
    <w:rsid w:val="00A51844"/>
    <w:rsid w:val="00A51889"/>
    <w:rsid w:val="00A5264A"/>
    <w:rsid w:val="00A536BA"/>
    <w:rsid w:val="00A53F1A"/>
    <w:rsid w:val="00A54026"/>
    <w:rsid w:val="00A54039"/>
    <w:rsid w:val="00A541D9"/>
    <w:rsid w:val="00A54755"/>
    <w:rsid w:val="00A5481B"/>
    <w:rsid w:val="00A54850"/>
    <w:rsid w:val="00A54C17"/>
    <w:rsid w:val="00A566F8"/>
    <w:rsid w:val="00A5670E"/>
    <w:rsid w:val="00A56CA1"/>
    <w:rsid w:val="00A570C2"/>
    <w:rsid w:val="00A5719C"/>
    <w:rsid w:val="00A61127"/>
    <w:rsid w:val="00A61DDD"/>
    <w:rsid w:val="00A61FDB"/>
    <w:rsid w:val="00A629A2"/>
    <w:rsid w:val="00A63D2F"/>
    <w:rsid w:val="00A63EA8"/>
    <w:rsid w:val="00A64554"/>
    <w:rsid w:val="00A647A7"/>
    <w:rsid w:val="00A649FE"/>
    <w:rsid w:val="00A64D14"/>
    <w:rsid w:val="00A669CF"/>
    <w:rsid w:val="00A66B4C"/>
    <w:rsid w:val="00A674E9"/>
    <w:rsid w:val="00A67790"/>
    <w:rsid w:val="00A67AE5"/>
    <w:rsid w:val="00A67CAB"/>
    <w:rsid w:val="00A67CE0"/>
    <w:rsid w:val="00A705D6"/>
    <w:rsid w:val="00A70972"/>
    <w:rsid w:val="00A70C0D"/>
    <w:rsid w:val="00A70D35"/>
    <w:rsid w:val="00A715AC"/>
    <w:rsid w:val="00A715E1"/>
    <w:rsid w:val="00A71684"/>
    <w:rsid w:val="00A718B0"/>
    <w:rsid w:val="00A71A29"/>
    <w:rsid w:val="00A72089"/>
    <w:rsid w:val="00A72BAC"/>
    <w:rsid w:val="00A72DE3"/>
    <w:rsid w:val="00A72E58"/>
    <w:rsid w:val="00A73022"/>
    <w:rsid w:val="00A73794"/>
    <w:rsid w:val="00A73D2E"/>
    <w:rsid w:val="00A74596"/>
    <w:rsid w:val="00A746E9"/>
    <w:rsid w:val="00A74CCB"/>
    <w:rsid w:val="00A74D1C"/>
    <w:rsid w:val="00A74F1F"/>
    <w:rsid w:val="00A753CB"/>
    <w:rsid w:val="00A756B0"/>
    <w:rsid w:val="00A75A1A"/>
    <w:rsid w:val="00A75DF7"/>
    <w:rsid w:val="00A7653D"/>
    <w:rsid w:val="00A7657F"/>
    <w:rsid w:val="00A7659F"/>
    <w:rsid w:val="00A76C9F"/>
    <w:rsid w:val="00A76D56"/>
    <w:rsid w:val="00A772FA"/>
    <w:rsid w:val="00A77530"/>
    <w:rsid w:val="00A77E16"/>
    <w:rsid w:val="00A8078B"/>
    <w:rsid w:val="00A808CA"/>
    <w:rsid w:val="00A811E8"/>
    <w:rsid w:val="00A817B0"/>
    <w:rsid w:val="00A81F44"/>
    <w:rsid w:val="00A8228D"/>
    <w:rsid w:val="00A827E0"/>
    <w:rsid w:val="00A82E78"/>
    <w:rsid w:val="00A83087"/>
    <w:rsid w:val="00A83935"/>
    <w:rsid w:val="00A83BD6"/>
    <w:rsid w:val="00A83C3D"/>
    <w:rsid w:val="00A84295"/>
    <w:rsid w:val="00A84B49"/>
    <w:rsid w:val="00A84EE9"/>
    <w:rsid w:val="00A85125"/>
    <w:rsid w:val="00A857A1"/>
    <w:rsid w:val="00A862EA"/>
    <w:rsid w:val="00A865F2"/>
    <w:rsid w:val="00A86621"/>
    <w:rsid w:val="00A868B6"/>
    <w:rsid w:val="00A86E5A"/>
    <w:rsid w:val="00A87692"/>
    <w:rsid w:val="00A90212"/>
    <w:rsid w:val="00A905CD"/>
    <w:rsid w:val="00A90719"/>
    <w:rsid w:val="00A90A74"/>
    <w:rsid w:val="00A91912"/>
    <w:rsid w:val="00A91DFC"/>
    <w:rsid w:val="00A91FBD"/>
    <w:rsid w:val="00A924CB"/>
    <w:rsid w:val="00A92BD9"/>
    <w:rsid w:val="00A92EC4"/>
    <w:rsid w:val="00A93175"/>
    <w:rsid w:val="00A9328C"/>
    <w:rsid w:val="00A9331F"/>
    <w:rsid w:val="00A935B3"/>
    <w:rsid w:val="00A935E5"/>
    <w:rsid w:val="00A93848"/>
    <w:rsid w:val="00A93BAB"/>
    <w:rsid w:val="00A94166"/>
    <w:rsid w:val="00A94FBC"/>
    <w:rsid w:val="00A95255"/>
    <w:rsid w:val="00A953D1"/>
    <w:rsid w:val="00A95870"/>
    <w:rsid w:val="00A96432"/>
    <w:rsid w:val="00A96EE2"/>
    <w:rsid w:val="00A973B4"/>
    <w:rsid w:val="00A97B3B"/>
    <w:rsid w:val="00A97B4D"/>
    <w:rsid w:val="00A97C51"/>
    <w:rsid w:val="00AA0459"/>
    <w:rsid w:val="00AA11C6"/>
    <w:rsid w:val="00AA1EF5"/>
    <w:rsid w:val="00AA2600"/>
    <w:rsid w:val="00AA2A2F"/>
    <w:rsid w:val="00AA2B96"/>
    <w:rsid w:val="00AA2C58"/>
    <w:rsid w:val="00AA3242"/>
    <w:rsid w:val="00AA3296"/>
    <w:rsid w:val="00AA389B"/>
    <w:rsid w:val="00AA3E44"/>
    <w:rsid w:val="00AA4A34"/>
    <w:rsid w:val="00AA4DC9"/>
    <w:rsid w:val="00AA520E"/>
    <w:rsid w:val="00AA56FD"/>
    <w:rsid w:val="00AA5E33"/>
    <w:rsid w:val="00AA5FFF"/>
    <w:rsid w:val="00AA6847"/>
    <w:rsid w:val="00AA686C"/>
    <w:rsid w:val="00AA6B45"/>
    <w:rsid w:val="00AA6EC5"/>
    <w:rsid w:val="00AA73E1"/>
    <w:rsid w:val="00AA7596"/>
    <w:rsid w:val="00AA7F14"/>
    <w:rsid w:val="00AB024C"/>
    <w:rsid w:val="00AB142B"/>
    <w:rsid w:val="00AB143C"/>
    <w:rsid w:val="00AB1940"/>
    <w:rsid w:val="00AB1CA0"/>
    <w:rsid w:val="00AB1E9D"/>
    <w:rsid w:val="00AB22BF"/>
    <w:rsid w:val="00AB236A"/>
    <w:rsid w:val="00AB271D"/>
    <w:rsid w:val="00AB2807"/>
    <w:rsid w:val="00AB2C19"/>
    <w:rsid w:val="00AB2E96"/>
    <w:rsid w:val="00AB339C"/>
    <w:rsid w:val="00AB34F6"/>
    <w:rsid w:val="00AB3617"/>
    <w:rsid w:val="00AB3718"/>
    <w:rsid w:val="00AB43AD"/>
    <w:rsid w:val="00AB4663"/>
    <w:rsid w:val="00AB4726"/>
    <w:rsid w:val="00AB4899"/>
    <w:rsid w:val="00AB4CF6"/>
    <w:rsid w:val="00AB4DE8"/>
    <w:rsid w:val="00AB4F2D"/>
    <w:rsid w:val="00AB56B8"/>
    <w:rsid w:val="00AB602B"/>
    <w:rsid w:val="00AB67A5"/>
    <w:rsid w:val="00AB7033"/>
    <w:rsid w:val="00AB7DD1"/>
    <w:rsid w:val="00AB7F78"/>
    <w:rsid w:val="00AC098E"/>
    <w:rsid w:val="00AC0C2B"/>
    <w:rsid w:val="00AC0CBC"/>
    <w:rsid w:val="00AC1411"/>
    <w:rsid w:val="00AC17F4"/>
    <w:rsid w:val="00AC1A0F"/>
    <w:rsid w:val="00AC2105"/>
    <w:rsid w:val="00AC2BE4"/>
    <w:rsid w:val="00AC372F"/>
    <w:rsid w:val="00AC44D1"/>
    <w:rsid w:val="00AC4C5F"/>
    <w:rsid w:val="00AC5096"/>
    <w:rsid w:val="00AC5206"/>
    <w:rsid w:val="00AC53CA"/>
    <w:rsid w:val="00AC54CB"/>
    <w:rsid w:val="00AC5671"/>
    <w:rsid w:val="00AC568F"/>
    <w:rsid w:val="00AC5980"/>
    <w:rsid w:val="00AC5B50"/>
    <w:rsid w:val="00AC7149"/>
    <w:rsid w:val="00AC7367"/>
    <w:rsid w:val="00AC7720"/>
    <w:rsid w:val="00AC7822"/>
    <w:rsid w:val="00AD017D"/>
    <w:rsid w:val="00AD0198"/>
    <w:rsid w:val="00AD02E6"/>
    <w:rsid w:val="00AD0303"/>
    <w:rsid w:val="00AD04A9"/>
    <w:rsid w:val="00AD06C0"/>
    <w:rsid w:val="00AD1E7B"/>
    <w:rsid w:val="00AD1E9E"/>
    <w:rsid w:val="00AD1F30"/>
    <w:rsid w:val="00AD210F"/>
    <w:rsid w:val="00AD2ACB"/>
    <w:rsid w:val="00AD2CE9"/>
    <w:rsid w:val="00AD32B0"/>
    <w:rsid w:val="00AD4119"/>
    <w:rsid w:val="00AD46F4"/>
    <w:rsid w:val="00AD4797"/>
    <w:rsid w:val="00AD4E03"/>
    <w:rsid w:val="00AD4FCE"/>
    <w:rsid w:val="00AD5905"/>
    <w:rsid w:val="00AD5954"/>
    <w:rsid w:val="00AD595C"/>
    <w:rsid w:val="00AD60C2"/>
    <w:rsid w:val="00AD6646"/>
    <w:rsid w:val="00AD6730"/>
    <w:rsid w:val="00AD6D65"/>
    <w:rsid w:val="00AD6DE2"/>
    <w:rsid w:val="00AD7427"/>
    <w:rsid w:val="00AD7732"/>
    <w:rsid w:val="00AD784D"/>
    <w:rsid w:val="00AD7D7C"/>
    <w:rsid w:val="00AD7E6C"/>
    <w:rsid w:val="00AE0005"/>
    <w:rsid w:val="00AE0364"/>
    <w:rsid w:val="00AE03B4"/>
    <w:rsid w:val="00AE0B4C"/>
    <w:rsid w:val="00AE0E1D"/>
    <w:rsid w:val="00AE0E4B"/>
    <w:rsid w:val="00AE1F48"/>
    <w:rsid w:val="00AE20CA"/>
    <w:rsid w:val="00AE249C"/>
    <w:rsid w:val="00AE2610"/>
    <w:rsid w:val="00AE2924"/>
    <w:rsid w:val="00AE3A99"/>
    <w:rsid w:val="00AE3F26"/>
    <w:rsid w:val="00AE4059"/>
    <w:rsid w:val="00AE4741"/>
    <w:rsid w:val="00AE4F5D"/>
    <w:rsid w:val="00AE5550"/>
    <w:rsid w:val="00AE5924"/>
    <w:rsid w:val="00AE650D"/>
    <w:rsid w:val="00AE757B"/>
    <w:rsid w:val="00AE768E"/>
    <w:rsid w:val="00AE7A66"/>
    <w:rsid w:val="00AE7BED"/>
    <w:rsid w:val="00AE7D71"/>
    <w:rsid w:val="00AF075B"/>
    <w:rsid w:val="00AF07A6"/>
    <w:rsid w:val="00AF0872"/>
    <w:rsid w:val="00AF164B"/>
    <w:rsid w:val="00AF1E76"/>
    <w:rsid w:val="00AF2040"/>
    <w:rsid w:val="00AF2585"/>
    <w:rsid w:val="00AF25DB"/>
    <w:rsid w:val="00AF3076"/>
    <w:rsid w:val="00AF333E"/>
    <w:rsid w:val="00AF3731"/>
    <w:rsid w:val="00AF3CDE"/>
    <w:rsid w:val="00AF3D76"/>
    <w:rsid w:val="00AF42E4"/>
    <w:rsid w:val="00AF4337"/>
    <w:rsid w:val="00AF437E"/>
    <w:rsid w:val="00AF450A"/>
    <w:rsid w:val="00AF4B60"/>
    <w:rsid w:val="00AF4CE2"/>
    <w:rsid w:val="00AF5493"/>
    <w:rsid w:val="00AF6530"/>
    <w:rsid w:val="00AF6648"/>
    <w:rsid w:val="00AF71F5"/>
    <w:rsid w:val="00AF755D"/>
    <w:rsid w:val="00AF7EB3"/>
    <w:rsid w:val="00B001BE"/>
    <w:rsid w:val="00B00CFC"/>
    <w:rsid w:val="00B00EB5"/>
    <w:rsid w:val="00B02052"/>
    <w:rsid w:val="00B0217C"/>
    <w:rsid w:val="00B02389"/>
    <w:rsid w:val="00B0249C"/>
    <w:rsid w:val="00B02689"/>
    <w:rsid w:val="00B0291E"/>
    <w:rsid w:val="00B02B95"/>
    <w:rsid w:val="00B02E75"/>
    <w:rsid w:val="00B033F1"/>
    <w:rsid w:val="00B0378C"/>
    <w:rsid w:val="00B038A9"/>
    <w:rsid w:val="00B038AF"/>
    <w:rsid w:val="00B038E7"/>
    <w:rsid w:val="00B03FBE"/>
    <w:rsid w:val="00B0433B"/>
    <w:rsid w:val="00B043D6"/>
    <w:rsid w:val="00B048D7"/>
    <w:rsid w:val="00B051CC"/>
    <w:rsid w:val="00B05A7E"/>
    <w:rsid w:val="00B05D61"/>
    <w:rsid w:val="00B05EE4"/>
    <w:rsid w:val="00B0613F"/>
    <w:rsid w:val="00B06367"/>
    <w:rsid w:val="00B06979"/>
    <w:rsid w:val="00B06A9A"/>
    <w:rsid w:val="00B06BB1"/>
    <w:rsid w:val="00B06EB1"/>
    <w:rsid w:val="00B07927"/>
    <w:rsid w:val="00B07CA0"/>
    <w:rsid w:val="00B10096"/>
    <w:rsid w:val="00B105C7"/>
    <w:rsid w:val="00B1088B"/>
    <w:rsid w:val="00B11163"/>
    <w:rsid w:val="00B117CD"/>
    <w:rsid w:val="00B118E9"/>
    <w:rsid w:val="00B12340"/>
    <w:rsid w:val="00B1339D"/>
    <w:rsid w:val="00B136A9"/>
    <w:rsid w:val="00B13CEA"/>
    <w:rsid w:val="00B14285"/>
    <w:rsid w:val="00B142E3"/>
    <w:rsid w:val="00B14ABC"/>
    <w:rsid w:val="00B14B15"/>
    <w:rsid w:val="00B14D49"/>
    <w:rsid w:val="00B15965"/>
    <w:rsid w:val="00B15B02"/>
    <w:rsid w:val="00B16087"/>
    <w:rsid w:val="00B16482"/>
    <w:rsid w:val="00B169C6"/>
    <w:rsid w:val="00B16AE5"/>
    <w:rsid w:val="00B16E2B"/>
    <w:rsid w:val="00B1757D"/>
    <w:rsid w:val="00B1794F"/>
    <w:rsid w:val="00B17CD6"/>
    <w:rsid w:val="00B20313"/>
    <w:rsid w:val="00B20804"/>
    <w:rsid w:val="00B20B04"/>
    <w:rsid w:val="00B20C43"/>
    <w:rsid w:val="00B21D8B"/>
    <w:rsid w:val="00B221E1"/>
    <w:rsid w:val="00B226DC"/>
    <w:rsid w:val="00B22C0E"/>
    <w:rsid w:val="00B22EA0"/>
    <w:rsid w:val="00B2361D"/>
    <w:rsid w:val="00B2381E"/>
    <w:rsid w:val="00B23846"/>
    <w:rsid w:val="00B241CA"/>
    <w:rsid w:val="00B24EB5"/>
    <w:rsid w:val="00B24ED4"/>
    <w:rsid w:val="00B25754"/>
    <w:rsid w:val="00B257EE"/>
    <w:rsid w:val="00B25A4E"/>
    <w:rsid w:val="00B25AA8"/>
    <w:rsid w:val="00B25D34"/>
    <w:rsid w:val="00B25F42"/>
    <w:rsid w:val="00B2685F"/>
    <w:rsid w:val="00B26923"/>
    <w:rsid w:val="00B26A08"/>
    <w:rsid w:val="00B26C41"/>
    <w:rsid w:val="00B272D2"/>
    <w:rsid w:val="00B30133"/>
    <w:rsid w:val="00B3023C"/>
    <w:rsid w:val="00B30887"/>
    <w:rsid w:val="00B30946"/>
    <w:rsid w:val="00B30EBD"/>
    <w:rsid w:val="00B30F50"/>
    <w:rsid w:val="00B314BB"/>
    <w:rsid w:val="00B315BC"/>
    <w:rsid w:val="00B326AC"/>
    <w:rsid w:val="00B33026"/>
    <w:rsid w:val="00B3437B"/>
    <w:rsid w:val="00B346CB"/>
    <w:rsid w:val="00B34710"/>
    <w:rsid w:val="00B349F4"/>
    <w:rsid w:val="00B34EBA"/>
    <w:rsid w:val="00B35371"/>
    <w:rsid w:val="00B35394"/>
    <w:rsid w:val="00B356EB"/>
    <w:rsid w:val="00B35746"/>
    <w:rsid w:val="00B35F98"/>
    <w:rsid w:val="00B36C10"/>
    <w:rsid w:val="00B3707C"/>
    <w:rsid w:val="00B37259"/>
    <w:rsid w:val="00B37A22"/>
    <w:rsid w:val="00B37C5F"/>
    <w:rsid w:val="00B37ED0"/>
    <w:rsid w:val="00B40F12"/>
    <w:rsid w:val="00B413AB"/>
    <w:rsid w:val="00B41E1F"/>
    <w:rsid w:val="00B423F2"/>
    <w:rsid w:val="00B428EF"/>
    <w:rsid w:val="00B42E1E"/>
    <w:rsid w:val="00B431D5"/>
    <w:rsid w:val="00B43853"/>
    <w:rsid w:val="00B43D62"/>
    <w:rsid w:val="00B44313"/>
    <w:rsid w:val="00B443AF"/>
    <w:rsid w:val="00B44D87"/>
    <w:rsid w:val="00B45084"/>
    <w:rsid w:val="00B453F0"/>
    <w:rsid w:val="00B454FF"/>
    <w:rsid w:val="00B45700"/>
    <w:rsid w:val="00B4601F"/>
    <w:rsid w:val="00B46482"/>
    <w:rsid w:val="00B46A7B"/>
    <w:rsid w:val="00B47117"/>
    <w:rsid w:val="00B47442"/>
    <w:rsid w:val="00B47A65"/>
    <w:rsid w:val="00B47ACA"/>
    <w:rsid w:val="00B47B91"/>
    <w:rsid w:val="00B50164"/>
    <w:rsid w:val="00B50494"/>
    <w:rsid w:val="00B50E44"/>
    <w:rsid w:val="00B520FF"/>
    <w:rsid w:val="00B52396"/>
    <w:rsid w:val="00B52AE0"/>
    <w:rsid w:val="00B53102"/>
    <w:rsid w:val="00B5325C"/>
    <w:rsid w:val="00B533DC"/>
    <w:rsid w:val="00B53466"/>
    <w:rsid w:val="00B538F7"/>
    <w:rsid w:val="00B53B7C"/>
    <w:rsid w:val="00B53DA1"/>
    <w:rsid w:val="00B53EF1"/>
    <w:rsid w:val="00B54BDA"/>
    <w:rsid w:val="00B55010"/>
    <w:rsid w:val="00B551C6"/>
    <w:rsid w:val="00B55A00"/>
    <w:rsid w:val="00B55FD4"/>
    <w:rsid w:val="00B5607C"/>
    <w:rsid w:val="00B56254"/>
    <w:rsid w:val="00B5641F"/>
    <w:rsid w:val="00B56E7A"/>
    <w:rsid w:val="00B574BA"/>
    <w:rsid w:val="00B5755F"/>
    <w:rsid w:val="00B5761E"/>
    <w:rsid w:val="00B576EB"/>
    <w:rsid w:val="00B57D93"/>
    <w:rsid w:val="00B606B5"/>
    <w:rsid w:val="00B608EE"/>
    <w:rsid w:val="00B6098A"/>
    <w:rsid w:val="00B60BCB"/>
    <w:rsid w:val="00B60EFE"/>
    <w:rsid w:val="00B61016"/>
    <w:rsid w:val="00B6106F"/>
    <w:rsid w:val="00B61417"/>
    <w:rsid w:val="00B6176A"/>
    <w:rsid w:val="00B61822"/>
    <w:rsid w:val="00B61DFC"/>
    <w:rsid w:val="00B620C5"/>
    <w:rsid w:val="00B6211D"/>
    <w:rsid w:val="00B62391"/>
    <w:rsid w:val="00B62EFD"/>
    <w:rsid w:val="00B6326A"/>
    <w:rsid w:val="00B635B5"/>
    <w:rsid w:val="00B63714"/>
    <w:rsid w:val="00B63E1F"/>
    <w:rsid w:val="00B64B82"/>
    <w:rsid w:val="00B657E3"/>
    <w:rsid w:val="00B65A67"/>
    <w:rsid w:val="00B65AA4"/>
    <w:rsid w:val="00B65D45"/>
    <w:rsid w:val="00B65FFE"/>
    <w:rsid w:val="00B66775"/>
    <w:rsid w:val="00B6685A"/>
    <w:rsid w:val="00B66BDC"/>
    <w:rsid w:val="00B66D07"/>
    <w:rsid w:val="00B66D14"/>
    <w:rsid w:val="00B673A8"/>
    <w:rsid w:val="00B673F1"/>
    <w:rsid w:val="00B67556"/>
    <w:rsid w:val="00B67571"/>
    <w:rsid w:val="00B67A80"/>
    <w:rsid w:val="00B67C43"/>
    <w:rsid w:val="00B67C48"/>
    <w:rsid w:val="00B67F37"/>
    <w:rsid w:val="00B67FE0"/>
    <w:rsid w:val="00B703FD"/>
    <w:rsid w:val="00B7159D"/>
    <w:rsid w:val="00B71648"/>
    <w:rsid w:val="00B71D09"/>
    <w:rsid w:val="00B71D0F"/>
    <w:rsid w:val="00B720AD"/>
    <w:rsid w:val="00B720B5"/>
    <w:rsid w:val="00B723CB"/>
    <w:rsid w:val="00B72A68"/>
    <w:rsid w:val="00B7309D"/>
    <w:rsid w:val="00B73235"/>
    <w:rsid w:val="00B739DA"/>
    <w:rsid w:val="00B73B7A"/>
    <w:rsid w:val="00B73BC8"/>
    <w:rsid w:val="00B73EDF"/>
    <w:rsid w:val="00B741AC"/>
    <w:rsid w:val="00B741D2"/>
    <w:rsid w:val="00B74472"/>
    <w:rsid w:val="00B74506"/>
    <w:rsid w:val="00B7512C"/>
    <w:rsid w:val="00B7574D"/>
    <w:rsid w:val="00B76249"/>
    <w:rsid w:val="00B76460"/>
    <w:rsid w:val="00B76D1F"/>
    <w:rsid w:val="00B76D73"/>
    <w:rsid w:val="00B76E4E"/>
    <w:rsid w:val="00B77375"/>
    <w:rsid w:val="00B776F8"/>
    <w:rsid w:val="00B7776F"/>
    <w:rsid w:val="00B779C8"/>
    <w:rsid w:val="00B77EF5"/>
    <w:rsid w:val="00B77FBC"/>
    <w:rsid w:val="00B80172"/>
    <w:rsid w:val="00B803A7"/>
    <w:rsid w:val="00B80B09"/>
    <w:rsid w:val="00B80C16"/>
    <w:rsid w:val="00B80EC1"/>
    <w:rsid w:val="00B8178B"/>
    <w:rsid w:val="00B82313"/>
    <w:rsid w:val="00B824EC"/>
    <w:rsid w:val="00B827BB"/>
    <w:rsid w:val="00B83ADA"/>
    <w:rsid w:val="00B83CBD"/>
    <w:rsid w:val="00B83F1D"/>
    <w:rsid w:val="00B84197"/>
    <w:rsid w:val="00B84C7D"/>
    <w:rsid w:val="00B84C8A"/>
    <w:rsid w:val="00B85789"/>
    <w:rsid w:val="00B85BB8"/>
    <w:rsid w:val="00B86086"/>
    <w:rsid w:val="00B8624D"/>
    <w:rsid w:val="00B8688C"/>
    <w:rsid w:val="00B86965"/>
    <w:rsid w:val="00B8743A"/>
    <w:rsid w:val="00B902DC"/>
    <w:rsid w:val="00B90542"/>
    <w:rsid w:val="00B90DEE"/>
    <w:rsid w:val="00B91321"/>
    <w:rsid w:val="00B915DA"/>
    <w:rsid w:val="00B91B9C"/>
    <w:rsid w:val="00B91C66"/>
    <w:rsid w:val="00B921A8"/>
    <w:rsid w:val="00B92F11"/>
    <w:rsid w:val="00B9314B"/>
    <w:rsid w:val="00B932B2"/>
    <w:rsid w:val="00B935DA"/>
    <w:rsid w:val="00B9371C"/>
    <w:rsid w:val="00B938D1"/>
    <w:rsid w:val="00B94208"/>
    <w:rsid w:val="00B9444E"/>
    <w:rsid w:val="00B94476"/>
    <w:rsid w:val="00B949F1"/>
    <w:rsid w:val="00B94A1B"/>
    <w:rsid w:val="00B94F14"/>
    <w:rsid w:val="00B9550F"/>
    <w:rsid w:val="00B956C6"/>
    <w:rsid w:val="00B95D0B"/>
    <w:rsid w:val="00B962C7"/>
    <w:rsid w:val="00B96633"/>
    <w:rsid w:val="00B97D90"/>
    <w:rsid w:val="00BA01D7"/>
    <w:rsid w:val="00BA0655"/>
    <w:rsid w:val="00BA07A7"/>
    <w:rsid w:val="00BA0C43"/>
    <w:rsid w:val="00BA0DA6"/>
    <w:rsid w:val="00BA0E62"/>
    <w:rsid w:val="00BA0F8B"/>
    <w:rsid w:val="00BA116D"/>
    <w:rsid w:val="00BA12C6"/>
    <w:rsid w:val="00BA194B"/>
    <w:rsid w:val="00BA1E3B"/>
    <w:rsid w:val="00BA20EE"/>
    <w:rsid w:val="00BA224B"/>
    <w:rsid w:val="00BA2664"/>
    <w:rsid w:val="00BA28AC"/>
    <w:rsid w:val="00BA2B33"/>
    <w:rsid w:val="00BA2C72"/>
    <w:rsid w:val="00BA2F7A"/>
    <w:rsid w:val="00BA326D"/>
    <w:rsid w:val="00BA376C"/>
    <w:rsid w:val="00BA3BAF"/>
    <w:rsid w:val="00BA4409"/>
    <w:rsid w:val="00BA4903"/>
    <w:rsid w:val="00BA4954"/>
    <w:rsid w:val="00BA4D43"/>
    <w:rsid w:val="00BA5287"/>
    <w:rsid w:val="00BA6154"/>
    <w:rsid w:val="00BA63F4"/>
    <w:rsid w:val="00BA6691"/>
    <w:rsid w:val="00BA6CF9"/>
    <w:rsid w:val="00BA701A"/>
    <w:rsid w:val="00BA71F3"/>
    <w:rsid w:val="00BA7258"/>
    <w:rsid w:val="00BA7275"/>
    <w:rsid w:val="00BA735E"/>
    <w:rsid w:val="00BA79A3"/>
    <w:rsid w:val="00BA7D98"/>
    <w:rsid w:val="00BA7ED7"/>
    <w:rsid w:val="00BA7EEC"/>
    <w:rsid w:val="00BB0A79"/>
    <w:rsid w:val="00BB0D55"/>
    <w:rsid w:val="00BB11CE"/>
    <w:rsid w:val="00BB1306"/>
    <w:rsid w:val="00BB143B"/>
    <w:rsid w:val="00BB2085"/>
    <w:rsid w:val="00BB20AE"/>
    <w:rsid w:val="00BB2F84"/>
    <w:rsid w:val="00BB3034"/>
    <w:rsid w:val="00BB31F2"/>
    <w:rsid w:val="00BB38D9"/>
    <w:rsid w:val="00BB3CF8"/>
    <w:rsid w:val="00BB3DD9"/>
    <w:rsid w:val="00BB4097"/>
    <w:rsid w:val="00BB49DF"/>
    <w:rsid w:val="00BB4BDD"/>
    <w:rsid w:val="00BB4D95"/>
    <w:rsid w:val="00BB5450"/>
    <w:rsid w:val="00BB5BCF"/>
    <w:rsid w:val="00BB6250"/>
    <w:rsid w:val="00BB6561"/>
    <w:rsid w:val="00BB682C"/>
    <w:rsid w:val="00BB6855"/>
    <w:rsid w:val="00BB7361"/>
    <w:rsid w:val="00BC09DE"/>
    <w:rsid w:val="00BC0F27"/>
    <w:rsid w:val="00BC12F5"/>
    <w:rsid w:val="00BC1E7C"/>
    <w:rsid w:val="00BC2523"/>
    <w:rsid w:val="00BC2883"/>
    <w:rsid w:val="00BC2C15"/>
    <w:rsid w:val="00BC2F1C"/>
    <w:rsid w:val="00BC3112"/>
    <w:rsid w:val="00BC31DA"/>
    <w:rsid w:val="00BC36D8"/>
    <w:rsid w:val="00BC3909"/>
    <w:rsid w:val="00BC4037"/>
    <w:rsid w:val="00BC484E"/>
    <w:rsid w:val="00BC4C49"/>
    <w:rsid w:val="00BC500E"/>
    <w:rsid w:val="00BC52ED"/>
    <w:rsid w:val="00BC53DB"/>
    <w:rsid w:val="00BC550D"/>
    <w:rsid w:val="00BC57B0"/>
    <w:rsid w:val="00BC5C22"/>
    <w:rsid w:val="00BC6008"/>
    <w:rsid w:val="00BC64FD"/>
    <w:rsid w:val="00BC6ACA"/>
    <w:rsid w:val="00BC6AEC"/>
    <w:rsid w:val="00BC7059"/>
    <w:rsid w:val="00BC715D"/>
    <w:rsid w:val="00BC740E"/>
    <w:rsid w:val="00BC797F"/>
    <w:rsid w:val="00BC7D54"/>
    <w:rsid w:val="00BD0109"/>
    <w:rsid w:val="00BD062C"/>
    <w:rsid w:val="00BD0FA9"/>
    <w:rsid w:val="00BD14A3"/>
    <w:rsid w:val="00BD1F6B"/>
    <w:rsid w:val="00BD2230"/>
    <w:rsid w:val="00BD28D1"/>
    <w:rsid w:val="00BD2C76"/>
    <w:rsid w:val="00BD30DF"/>
    <w:rsid w:val="00BD3AE0"/>
    <w:rsid w:val="00BD3FE4"/>
    <w:rsid w:val="00BD43A8"/>
    <w:rsid w:val="00BD4480"/>
    <w:rsid w:val="00BD4EFD"/>
    <w:rsid w:val="00BD4F63"/>
    <w:rsid w:val="00BD579B"/>
    <w:rsid w:val="00BD5A1B"/>
    <w:rsid w:val="00BD5BA9"/>
    <w:rsid w:val="00BD5C1B"/>
    <w:rsid w:val="00BD5D18"/>
    <w:rsid w:val="00BD60EB"/>
    <w:rsid w:val="00BD726B"/>
    <w:rsid w:val="00BD7770"/>
    <w:rsid w:val="00BD7953"/>
    <w:rsid w:val="00BD7ACF"/>
    <w:rsid w:val="00BD7E14"/>
    <w:rsid w:val="00BE0C24"/>
    <w:rsid w:val="00BE0FC7"/>
    <w:rsid w:val="00BE1499"/>
    <w:rsid w:val="00BE1890"/>
    <w:rsid w:val="00BE18AA"/>
    <w:rsid w:val="00BE1A3A"/>
    <w:rsid w:val="00BE1C46"/>
    <w:rsid w:val="00BE1FB7"/>
    <w:rsid w:val="00BE2192"/>
    <w:rsid w:val="00BE2ABE"/>
    <w:rsid w:val="00BE31EE"/>
    <w:rsid w:val="00BE3345"/>
    <w:rsid w:val="00BE3B0E"/>
    <w:rsid w:val="00BE3E03"/>
    <w:rsid w:val="00BE3FFA"/>
    <w:rsid w:val="00BE476B"/>
    <w:rsid w:val="00BE4AFF"/>
    <w:rsid w:val="00BE4C39"/>
    <w:rsid w:val="00BE5CAE"/>
    <w:rsid w:val="00BE6121"/>
    <w:rsid w:val="00BE6145"/>
    <w:rsid w:val="00BE6228"/>
    <w:rsid w:val="00BE6598"/>
    <w:rsid w:val="00BE7637"/>
    <w:rsid w:val="00BE7643"/>
    <w:rsid w:val="00BE7FCF"/>
    <w:rsid w:val="00BF076C"/>
    <w:rsid w:val="00BF0910"/>
    <w:rsid w:val="00BF11E3"/>
    <w:rsid w:val="00BF15F1"/>
    <w:rsid w:val="00BF17F5"/>
    <w:rsid w:val="00BF1F88"/>
    <w:rsid w:val="00BF2051"/>
    <w:rsid w:val="00BF2288"/>
    <w:rsid w:val="00BF2BC2"/>
    <w:rsid w:val="00BF2E04"/>
    <w:rsid w:val="00BF309E"/>
    <w:rsid w:val="00BF37DC"/>
    <w:rsid w:val="00BF3E7D"/>
    <w:rsid w:val="00BF3FBF"/>
    <w:rsid w:val="00BF423A"/>
    <w:rsid w:val="00BF42F0"/>
    <w:rsid w:val="00BF5B85"/>
    <w:rsid w:val="00BF5C2B"/>
    <w:rsid w:val="00BF5E40"/>
    <w:rsid w:val="00BF60CE"/>
    <w:rsid w:val="00BF622E"/>
    <w:rsid w:val="00BF6A75"/>
    <w:rsid w:val="00BF7402"/>
    <w:rsid w:val="00C005E4"/>
    <w:rsid w:val="00C006D4"/>
    <w:rsid w:val="00C0070F"/>
    <w:rsid w:val="00C01195"/>
    <w:rsid w:val="00C01594"/>
    <w:rsid w:val="00C01955"/>
    <w:rsid w:val="00C01C0D"/>
    <w:rsid w:val="00C01C4D"/>
    <w:rsid w:val="00C01D74"/>
    <w:rsid w:val="00C01D91"/>
    <w:rsid w:val="00C0271A"/>
    <w:rsid w:val="00C02AC9"/>
    <w:rsid w:val="00C02BC9"/>
    <w:rsid w:val="00C02C8A"/>
    <w:rsid w:val="00C02D6F"/>
    <w:rsid w:val="00C02E8B"/>
    <w:rsid w:val="00C03038"/>
    <w:rsid w:val="00C0372D"/>
    <w:rsid w:val="00C03B06"/>
    <w:rsid w:val="00C03E4B"/>
    <w:rsid w:val="00C042E9"/>
    <w:rsid w:val="00C04D1B"/>
    <w:rsid w:val="00C04F96"/>
    <w:rsid w:val="00C0580B"/>
    <w:rsid w:val="00C05E1A"/>
    <w:rsid w:val="00C05FD8"/>
    <w:rsid w:val="00C060CE"/>
    <w:rsid w:val="00C067FB"/>
    <w:rsid w:val="00C0684C"/>
    <w:rsid w:val="00C06F65"/>
    <w:rsid w:val="00C07388"/>
    <w:rsid w:val="00C073F0"/>
    <w:rsid w:val="00C075F2"/>
    <w:rsid w:val="00C07D94"/>
    <w:rsid w:val="00C105F7"/>
    <w:rsid w:val="00C107F9"/>
    <w:rsid w:val="00C1109A"/>
    <w:rsid w:val="00C11D67"/>
    <w:rsid w:val="00C12064"/>
    <w:rsid w:val="00C12E14"/>
    <w:rsid w:val="00C133A0"/>
    <w:rsid w:val="00C13BCE"/>
    <w:rsid w:val="00C13D72"/>
    <w:rsid w:val="00C14412"/>
    <w:rsid w:val="00C14535"/>
    <w:rsid w:val="00C149D0"/>
    <w:rsid w:val="00C14BB3"/>
    <w:rsid w:val="00C15057"/>
    <w:rsid w:val="00C15F44"/>
    <w:rsid w:val="00C16245"/>
    <w:rsid w:val="00C16936"/>
    <w:rsid w:val="00C16B8B"/>
    <w:rsid w:val="00C16C87"/>
    <w:rsid w:val="00C16F73"/>
    <w:rsid w:val="00C1711D"/>
    <w:rsid w:val="00C17391"/>
    <w:rsid w:val="00C1741A"/>
    <w:rsid w:val="00C1761A"/>
    <w:rsid w:val="00C1770A"/>
    <w:rsid w:val="00C17E71"/>
    <w:rsid w:val="00C20A5C"/>
    <w:rsid w:val="00C20B22"/>
    <w:rsid w:val="00C20F04"/>
    <w:rsid w:val="00C2164A"/>
    <w:rsid w:val="00C21695"/>
    <w:rsid w:val="00C2171E"/>
    <w:rsid w:val="00C2197D"/>
    <w:rsid w:val="00C21C57"/>
    <w:rsid w:val="00C21F94"/>
    <w:rsid w:val="00C22392"/>
    <w:rsid w:val="00C23486"/>
    <w:rsid w:val="00C23B0F"/>
    <w:rsid w:val="00C23DE2"/>
    <w:rsid w:val="00C23DE6"/>
    <w:rsid w:val="00C24133"/>
    <w:rsid w:val="00C24156"/>
    <w:rsid w:val="00C2428B"/>
    <w:rsid w:val="00C25C2C"/>
    <w:rsid w:val="00C25C30"/>
    <w:rsid w:val="00C26301"/>
    <w:rsid w:val="00C267C3"/>
    <w:rsid w:val="00C26854"/>
    <w:rsid w:val="00C2685E"/>
    <w:rsid w:val="00C26938"/>
    <w:rsid w:val="00C2749D"/>
    <w:rsid w:val="00C27577"/>
    <w:rsid w:val="00C27938"/>
    <w:rsid w:val="00C309A8"/>
    <w:rsid w:val="00C30D6C"/>
    <w:rsid w:val="00C3112D"/>
    <w:rsid w:val="00C312A8"/>
    <w:rsid w:val="00C31300"/>
    <w:rsid w:val="00C31A76"/>
    <w:rsid w:val="00C31DAF"/>
    <w:rsid w:val="00C320DA"/>
    <w:rsid w:val="00C32164"/>
    <w:rsid w:val="00C326DE"/>
    <w:rsid w:val="00C32936"/>
    <w:rsid w:val="00C32ABF"/>
    <w:rsid w:val="00C32AE4"/>
    <w:rsid w:val="00C33218"/>
    <w:rsid w:val="00C332F8"/>
    <w:rsid w:val="00C33481"/>
    <w:rsid w:val="00C33919"/>
    <w:rsid w:val="00C33BC5"/>
    <w:rsid w:val="00C34157"/>
    <w:rsid w:val="00C3514F"/>
    <w:rsid w:val="00C35172"/>
    <w:rsid w:val="00C35578"/>
    <w:rsid w:val="00C35B56"/>
    <w:rsid w:val="00C36002"/>
    <w:rsid w:val="00C363BE"/>
    <w:rsid w:val="00C36D7E"/>
    <w:rsid w:val="00C36F64"/>
    <w:rsid w:val="00C3765A"/>
    <w:rsid w:val="00C403C3"/>
    <w:rsid w:val="00C408F3"/>
    <w:rsid w:val="00C4096A"/>
    <w:rsid w:val="00C40A3A"/>
    <w:rsid w:val="00C40A7D"/>
    <w:rsid w:val="00C40B55"/>
    <w:rsid w:val="00C40B5A"/>
    <w:rsid w:val="00C411D4"/>
    <w:rsid w:val="00C413EB"/>
    <w:rsid w:val="00C41B35"/>
    <w:rsid w:val="00C42275"/>
    <w:rsid w:val="00C4239B"/>
    <w:rsid w:val="00C426AE"/>
    <w:rsid w:val="00C42709"/>
    <w:rsid w:val="00C432A9"/>
    <w:rsid w:val="00C4374F"/>
    <w:rsid w:val="00C43827"/>
    <w:rsid w:val="00C43B31"/>
    <w:rsid w:val="00C43CEE"/>
    <w:rsid w:val="00C449E2"/>
    <w:rsid w:val="00C44B0D"/>
    <w:rsid w:val="00C4500C"/>
    <w:rsid w:val="00C45039"/>
    <w:rsid w:val="00C451C8"/>
    <w:rsid w:val="00C4635C"/>
    <w:rsid w:val="00C46400"/>
    <w:rsid w:val="00C465D2"/>
    <w:rsid w:val="00C46912"/>
    <w:rsid w:val="00C47AEF"/>
    <w:rsid w:val="00C5015E"/>
    <w:rsid w:val="00C50403"/>
    <w:rsid w:val="00C507B7"/>
    <w:rsid w:val="00C51005"/>
    <w:rsid w:val="00C51408"/>
    <w:rsid w:val="00C51E5C"/>
    <w:rsid w:val="00C5217A"/>
    <w:rsid w:val="00C523C1"/>
    <w:rsid w:val="00C524F0"/>
    <w:rsid w:val="00C52E1F"/>
    <w:rsid w:val="00C5330E"/>
    <w:rsid w:val="00C53A2A"/>
    <w:rsid w:val="00C54034"/>
    <w:rsid w:val="00C540CA"/>
    <w:rsid w:val="00C54785"/>
    <w:rsid w:val="00C54813"/>
    <w:rsid w:val="00C54D85"/>
    <w:rsid w:val="00C55009"/>
    <w:rsid w:val="00C55123"/>
    <w:rsid w:val="00C5547A"/>
    <w:rsid w:val="00C56201"/>
    <w:rsid w:val="00C563B8"/>
    <w:rsid w:val="00C56571"/>
    <w:rsid w:val="00C567A6"/>
    <w:rsid w:val="00C57298"/>
    <w:rsid w:val="00C574C3"/>
    <w:rsid w:val="00C57A95"/>
    <w:rsid w:val="00C57B13"/>
    <w:rsid w:val="00C57CEA"/>
    <w:rsid w:val="00C57F20"/>
    <w:rsid w:val="00C601C8"/>
    <w:rsid w:val="00C60259"/>
    <w:rsid w:val="00C60264"/>
    <w:rsid w:val="00C60502"/>
    <w:rsid w:val="00C6055D"/>
    <w:rsid w:val="00C60686"/>
    <w:rsid w:val="00C608C0"/>
    <w:rsid w:val="00C6098D"/>
    <w:rsid w:val="00C60E7D"/>
    <w:rsid w:val="00C614A0"/>
    <w:rsid w:val="00C6159E"/>
    <w:rsid w:val="00C618F8"/>
    <w:rsid w:val="00C61FFD"/>
    <w:rsid w:val="00C6238C"/>
    <w:rsid w:val="00C627D8"/>
    <w:rsid w:val="00C62874"/>
    <w:rsid w:val="00C62B6E"/>
    <w:rsid w:val="00C62D15"/>
    <w:rsid w:val="00C62D45"/>
    <w:rsid w:val="00C62D63"/>
    <w:rsid w:val="00C62EB0"/>
    <w:rsid w:val="00C63C0F"/>
    <w:rsid w:val="00C63CB6"/>
    <w:rsid w:val="00C63ED1"/>
    <w:rsid w:val="00C6433D"/>
    <w:rsid w:val="00C652EF"/>
    <w:rsid w:val="00C65507"/>
    <w:rsid w:val="00C6575C"/>
    <w:rsid w:val="00C657A5"/>
    <w:rsid w:val="00C65916"/>
    <w:rsid w:val="00C65B79"/>
    <w:rsid w:val="00C65D4E"/>
    <w:rsid w:val="00C660F1"/>
    <w:rsid w:val="00C66766"/>
    <w:rsid w:val="00C66BFD"/>
    <w:rsid w:val="00C671C0"/>
    <w:rsid w:val="00C67D39"/>
    <w:rsid w:val="00C67E4F"/>
    <w:rsid w:val="00C67F69"/>
    <w:rsid w:val="00C67F82"/>
    <w:rsid w:val="00C70945"/>
    <w:rsid w:val="00C71452"/>
    <w:rsid w:val="00C71A3C"/>
    <w:rsid w:val="00C71EDF"/>
    <w:rsid w:val="00C725E0"/>
    <w:rsid w:val="00C72C66"/>
    <w:rsid w:val="00C72EBC"/>
    <w:rsid w:val="00C73A60"/>
    <w:rsid w:val="00C74298"/>
    <w:rsid w:val="00C74B47"/>
    <w:rsid w:val="00C750D8"/>
    <w:rsid w:val="00C756A5"/>
    <w:rsid w:val="00C756FF"/>
    <w:rsid w:val="00C76CE0"/>
    <w:rsid w:val="00C76EAC"/>
    <w:rsid w:val="00C77507"/>
    <w:rsid w:val="00C77BD5"/>
    <w:rsid w:val="00C77BEC"/>
    <w:rsid w:val="00C8018A"/>
    <w:rsid w:val="00C80425"/>
    <w:rsid w:val="00C80473"/>
    <w:rsid w:val="00C80879"/>
    <w:rsid w:val="00C80BF6"/>
    <w:rsid w:val="00C812B9"/>
    <w:rsid w:val="00C81328"/>
    <w:rsid w:val="00C81991"/>
    <w:rsid w:val="00C81CD9"/>
    <w:rsid w:val="00C82223"/>
    <w:rsid w:val="00C82484"/>
    <w:rsid w:val="00C82651"/>
    <w:rsid w:val="00C8295A"/>
    <w:rsid w:val="00C82BF9"/>
    <w:rsid w:val="00C82E4C"/>
    <w:rsid w:val="00C8316C"/>
    <w:rsid w:val="00C83191"/>
    <w:rsid w:val="00C83677"/>
    <w:rsid w:val="00C83C6B"/>
    <w:rsid w:val="00C8474A"/>
    <w:rsid w:val="00C84C39"/>
    <w:rsid w:val="00C84D35"/>
    <w:rsid w:val="00C85369"/>
    <w:rsid w:val="00C85D4E"/>
    <w:rsid w:val="00C85F5C"/>
    <w:rsid w:val="00C85F83"/>
    <w:rsid w:val="00C8680D"/>
    <w:rsid w:val="00C8681B"/>
    <w:rsid w:val="00C86D26"/>
    <w:rsid w:val="00C871C7"/>
    <w:rsid w:val="00C87437"/>
    <w:rsid w:val="00C87626"/>
    <w:rsid w:val="00C87AE1"/>
    <w:rsid w:val="00C87F03"/>
    <w:rsid w:val="00C87F3D"/>
    <w:rsid w:val="00C90891"/>
    <w:rsid w:val="00C90E4C"/>
    <w:rsid w:val="00C910BE"/>
    <w:rsid w:val="00C91BD2"/>
    <w:rsid w:val="00C91DB2"/>
    <w:rsid w:val="00C923F0"/>
    <w:rsid w:val="00C92D7D"/>
    <w:rsid w:val="00C92ECA"/>
    <w:rsid w:val="00C931B6"/>
    <w:rsid w:val="00C93674"/>
    <w:rsid w:val="00C93690"/>
    <w:rsid w:val="00C9380C"/>
    <w:rsid w:val="00C939F4"/>
    <w:rsid w:val="00C94718"/>
    <w:rsid w:val="00C94850"/>
    <w:rsid w:val="00C9499B"/>
    <w:rsid w:val="00C9500B"/>
    <w:rsid w:val="00C95251"/>
    <w:rsid w:val="00C9587E"/>
    <w:rsid w:val="00C96655"/>
    <w:rsid w:val="00C96695"/>
    <w:rsid w:val="00C96974"/>
    <w:rsid w:val="00C969E7"/>
    <w:rsid w:val="00C96A5F"/>
    <w:rsid w:val="00C96AEE"/>
    <w:rsid w:val="00C96E9B"/>
    <w:rsid w:val="00C97118"/>
    <w:rsid w:val="00CA05CD"/>
    <w:rsid w:val="00CA0F53"/>
    <w:rsid w:val="00CA1351"/>
    <w:rsid w:val="00CA13F0"/>
    <w:rsid w:val="00CA14D3"/>
    <w:rsid w:val="00CA1533"/>
    <w:rsid w:val="00CA1D49"/>
    <w:rsid w:val="00CA22D9"/>
    <w:rsid w:val="00CA2732"/>
    <w:rsid w:val="00CA28DE"/>
    <w:rsid w:val="00CA2958"/>
    <w:rsid w:val="00CA2E8E"/>
    <w:rsid w:val="00CA3515"/>
    <w:rsid w:val="00CA3AE5"/>
    <w:rsid w:val="00CA3E2A"/>
    <w:rsid w:val="00CA3F42"/>
    <w:rsid w:val="00CA4129"/>
    <w:rsid w:val="00CA41C6"/>
    <w:rsid w:val="00CA44CA"/>
    <w:rsid w:val="00CA4929"/>
    <w:rsid w:val="00CA4C23"/>
    <w:rsid w:val="00CA4D0A"/>
    <w:rsid w:val="00CA4DF8"/>
    <w:rsid w:val="00CA4FAE"/>
    <w:rsid w:val="00CA517E"/>
    <w:rsid w:val="00CA59AD"/>
    <w:rsid w:val="00CA6E04"/>
    <w:rsid w:val="00CA714D"/>
    <w:rsid w:val="00CA7582"/>
    <w:rsid w:val="00CA770F"/>
    <w:rsid w:val="00CA7928"/>
    <w:rsid w:val="00CA794E"/>
    <w:rsid w:val="00CB04D2"/>
    <w:rsid w:val="00CB0845"/>
    <w:rsid w:val="00CB0D52"/>
    <w:rsid w:val="00CB0D99"/>
    <w:rsid w:val="00CB11EB"/>
    <w:rsid w:val="00CB161C"/>
    <w:rsid w:val="00CB212F"/>
    <w:rsid w:val="00CB32E6"/>
    <w:rsid w:val="00CB3B12"/>
    <w:rsid w:val="00CB4979"/>
    <w:rsid w:val="00CB4A4E"/>
    <w:rsid w:val="00CB4C31"/>
    <w:rsid w:val="00CB598D"/>
    <w:rsid w:val="00CB60C4"/>
    <w:rsid w:val="00CB6C89"/>
    <w:rsid w:val="00CB7B83"/>
    <w:rsid w:val="00CB7DBA"/>
    <w:rsid w:val="00CC0055"/>
    <w:rsid w:val="00CC0812"/>
    <w:rsid w:val="00CC0BB2"/>
    <w:rsid w:val="00CC13E2"/>
    <w:rsid w:val="00CC19D2"/>
    <w:rsid w:val="00CC1AB5"/>
    <w:rsid w:val="00CC1C94"/>
    <w:rsid w:val="00CC1E82"/>
    <w:rsid w:val="00CC2068"/>
    <w:rsid w:val="00CC216E"/>
    <w:rsid w:val="00CC2660"/>
    <w:rsid w:val="00CC266A"/>
    <w:rsid w:val="00CC3125"/>
    <w:rsid w:val="00CC3D54"/>
    <w:rsid w:val="00CC4344"/>
    <w:rsid w:val="00CC45CF"/>
    <w:rsid w:val="00CC46FD"/>
    <w:rsid w:val="00CC4BB5"/>
    <w:rsid w:val="00CC562B"/>
    <w:rsid w:val="00CC5837"/>
    <w:rsid w:val="00CC64AB"/>
    <w:rsid w:val="00CC66FF"/>
    <w:rsid w:val="00CC76F4"/>
    <w:rsid w:val="00CC7764"/>
    <w:rsid w:val="00CD1211"/>
    <w:rsid w:val="00CD16F6"/>
    <w:rsid w:val="00CD1A20"/>
    <w:rsid w:val="00CD1B41"/>
    <w:rsid w:val="00CD224E"/>
    <w:rsid w:val="00CD2281"/>
    <w:rsid w:val="00CD2751"/>
    <w:rsid w:val="00CD2918"/>
    <w:rsid w:val="00CD2A89"/>
    <w:rsid w:val="00CD3D91"/>
    <w:rsid w:val="00CD4B66"/>
    <w:rsid w:val="00CD4E89"/>
    <w:rsid w:val="00CD4E90"/>
    <w:rsid w:val="00CD558B"/>
    <w:rsid w:val="00CD55A6"/>
    <w:rsid w:val="00CD57CB"/>
    <w:rsid w:val="00CD5BBB"/>
    <w:rsid w:val="00CD5DE3"/>
    <w:rsid w:val="00CD6531"/>
    <w:rsid w:val="00CD664B"/>
    <w:rsid w:val="00CD6F09"/>
    <w:rsid w:val="00CD78F7"/>
    <w:rsid w:val="00CD790F"/>
    <w:rsid w:val="00CD7929"/>
    <w:rsid w:val="00CD7954"/>
    <w:rsid w:val="00CD79C8"/>
    <w:rsid w:val="00CD7A48"/>
    <w:rsid w:val="00CD7EDF"/>
    <w:rsid w:val="00CE04D4"/>
    <w:rsid w:val="00CE05C6"/>
    <w:rsid w:val="00CE136E"/>
    <w:rsid w:val="00CE1D9C"/>
    <w:rsid w:val="00CE234E"/>
    <w:rsid w:val="00CE236A"/>
    <w:rsid w:val="00CE2746"/>
    <w:rsid w:val="00CE2C77"/>
    <w:rsid w:val="00CE3A7E"/>
    <w:rsid w:val="00CE3E16"/>
    <w:rsid w:val="00CE42F4"/>
    <w:rsid w:val="00CE44D3"/>
    <w:rsid w:val="00CE47AA"/>
    <w:rsid w:val="00CE4823"/>
    <w:rsid w:val="00CE4901"/>
    <w:rsid w:val="00CE499C"/>
    <w:rsid w:val="00CE4FD9"/>
    <w:rsid w:val="00CE571F"/>
    <w:rsid w:val="00CE5C1F"/>
    <w:rsid w:val="00CE5CD3"/>
    <w:rsid w:val="00CE6031"/>
    <w:rsid w:val="00CE6188"/>
    <w:rsid w:val="00CE62F2"/>
    <w:rsid w:val="00CE6491"/>
    <w:rsid w:val="00CE6B94"/>
    <w:rsid w:val="00CE6C01"/>
    <w:rsid w:val="00CE7251"/>
    <w:rsid w:val="00CE778B"/>
    <w:rsid w:val="00CE7C99"/>
    <w:rsid w:val="00CF05AF"/>
    <w:rsid w:val="00CF0CE9"/>
    <w:rsid w:val="00CF19B3"/>
    <w:rsid w:val="00CF2464"/>
    <w:rsid w:val="00CF27C7"/>
    <w:rsid w:val="00CF27CB"/>
    <w:rsid w:val="00CF401D"/>
    <w:rsid w:val="00CF4576"/>
    <w:rsid w:val="00CF4670"/>
    <w:rsid w:val="00CF4DFC"/>
    <w:rsid w:val="00CF50E2"/>
    <w:rsid w:val="00CF564F"/>
    <w:rsid w:val="00CF5808"/>
    <w:rsid w:val="00CF597B"/>
    <w:rsid w:val="00CF6EA9"/>
    <w:rsid w:val="00CF6ED7"/>
    <w:rsid w:val="00CF6F80"/>
    <w:rsid w:val="00CF708D"/>
    <w:rsid w:val="00CF710F"/>
    <w:rsid w:val="00CF71ED"/>
    <w:rsid w:val="00CF7C11"/>
    <w:rsid w:val="00CF7C12"/>
    <w:rsid w:val="00CF7F61"/>
    <w:rsid w:val="00D0002C"/>
    <w:rsid w:val="00D003B8"/>
    <w:rsid w:val="00D004D3"/>
    <w:rsid w:val="00D00AAC"/>
    <w:rsid w:val="00D01628"/>
    <w:rsid w:val="00D01DD8"/>
    <w:rsid w:val="00D01ECA"/>
    <w:rsid w:val="00D02395"/>
    <w:rsid w:val="00D02A59"/>
    <w:rsid w:val="00D02BE7"/>
    <w:rsid w:val="00D02E4D"/>
    <w:rsid w:val="00D03087"/>
    <w:rsid w:val="00D031D1"/>
    <w:rsid w:val="00D03364"/>
    <w:rsid w:val="00D03A09"/>
    <w:rsid w:val="00D03B07"/>
    <w:rsid w:val="00D03F67"/>
    <w:rsid w:val="00D042D2"/>
    <w:rsid w:val="00D0435B"/>
    <w:rsid w:val="00D04504"/>
    <w:rsid w:val="00D04945"/>
    <w:rsid w:val="00D05339"/>
    <w:rsid w:val="00D05710"/>
    <w:rsid w:val="00D05753"/>
    <w:rsid w:val="00D059E2"/>
    <w:rsid w:val="00D060F6"/>
    <w:rsid w:val="00D06249"/>
    <w:rsid w:val="00D069C4"/>
    <w:rsid w:val="00D06B53"/>
    <w:rsid w:val="00D0716F"/>
    <w:rsid w:val="00D07CBD"/>
    <w:rsid w:val="00D10109"/>
    <w:rsid w:val="00D10491"/>
    <w:rsid w:val="00D110F6"/>
    <w:rsid w:val="00D1134F"/>
    <w:rsid w:val="00D11421"/>
    <w:rsid w:val="00D11916"/>
    <w:rsid w:val="00D119E3"/>
    <w:rsid w:val="00D11D53"/>
    <w:rsid w:val="00D11EBF"/>
    <w:rsid w:val="00D11FF1"/>
    <w:rsid w:val="00D121E9"/>
    <w:rsid w:val="00D12522"/>
    <w:rsid w:val="00D1293A"/>
    <w:rsid w:val="00D12C76"/>
    <w:rsid w:val="00D13596"/>
    <w:rsid w:val="00D135B0"/>
    <w:rsid w:val="00D13636"/>
    <w:rsid w:val="00D138BC"/>
    <w:rsid w:val="00D13CB1"/>
    <w:rsid w:val="00D141B4"/>
    <w:rsid w:val="00D14948"/>
    <w:rsid w:val="00D15391"/>
    <w:rsid w:val="00D15507"/>
    <w:rsid w:val="00D15932"/>
    <w:rsid w:val="00D15AEC"/>
    <w:rsid w:val="00D15B3A"/>
    <w:rsid w:val="00D15BAE"/>
    <w:rsid w:val="00D15CEE"/>
    <w:rsid w:val="00D16644"/>
    <w:rsid w:val="00D16A0C"/>
    <w:rsid w:val="00D17307"/>
    <w:rsid w:val="00D177A2"/>
    <w:rsid w:val="00D17BE1"/>
    <w:rsid w:val="00D17C28"/>
    <w:rsid w:val="00D200F9"/>
    <w:rsid w:val="00D20C67"/>
    <w:rsid w:val="00D20F28"/>
    <w:rsid w:val="00D2165E"/>
    <w:rsid w:val="00D22172"/>
    <w:rsid w:val="00D22746"/>
    <w:rsid w:val="00D227EE"/>
    <w:rsid w:val="00D22A3C"/>
    <w:rsid w:val="00D22B88"/>
    <w:rsid w:val="00D22E33"/>
    <w:rsid w:val="00D23261"/>
    <w:rsid w:val="00D23D12"/>
    <w:rsid w:val="00D2461F"/>
    <w:rsid w:val="00D24AB6"/>
    <w:rsid w:val="00D24E95"/>
    <w:rsid w:val="00D251C7"/>
    <w:rsid w:val="00D252C0"/>
    <w:rsid w:val="00D25317"/>
    <w:rsid w:val="00D255A1"/>
    <w:rsid w:val="00D26558"/>
    <w:rsid w:val="00D26799"/>
    <w:rsid w:val="00D2727D"/>
    <w:rsid w:val="00D272E0"/>
    <w:rsid w:val="00D27379"/>
    <w:rsid w:val="00D27465"/>
    <w:rsid w:val="00D278AA"/>
    <w:rsid w:val="00D2791A"/>
    <w:rsid w:val="00D30415"/>
    <w:rsid w:val="00D309A6"/>
    <w:rsid w:val="00D30C6F"/>
    <w:rsid w:val="00D30DD4"/>
    <w:rsid w:val="00D30F4A"/>
    <w:rsid w:val="00D3109B"/>
    <w:rsid w:val="00D31248"/>
    <w:rsid w:val="00D31367"/>
    <w:rsid w:val="00D316C8"/>
    <w:rsid w:val="00D31DC6"/>
    <w:rsid w:val="00D32693"/>
    <w:rsid w:val="00D32C67"/>
    <w:rsid w:val="00D33029"/>
    <w:rsid w:val="00D3320B"/>
    <w:rsid w:val="00D34848"/>
    <w:rsid w:val="00D34C0D"/>
    <w:rsid w:val="00D35277"/>
    <w:rsid w:val="00D35304"/>
    <w:rsid w:val="00D356B5"/>
    <w:rsid w:val="00D35B0E"/>
    <w:rsid w:val="00D35E4D"/>
    <w:rsid w:val="00D3600D"/>
    <w:rsid w:val="00D368C4"/>
    <w:rsid w:val="00D3798B"/>
    <w:rsid w:val="00D4014D"/>
    <w:rsid w:val="00D40575"/>
    <w:rsid w:val="00D40587"/>
    <w:rsid w:val="00D40F6C"/>
    <w:rsid w:val="00D411FC"/>
    <w:rsid w:val="00D41215"/>
    <w:rsid w:val="00D41FE9"/>
    <w:rsid w:val="00D42A28"/>
    <w:rsid w:val="00D42B2A"/>
    <w:rsid w:val="00D42BD1"/>
    <w:rsid w:val="00D43291"/>
    <w:rsid w:val="00D4394A"/>
    <w:rsid w:val="00D43BBA"/>
    <w:rsid w:val="00D43CE1"/>
    <w:rsid w:val="00D44643"/>
    <w:rsid w:val="00D4492A"/>
    <w:rsid w:val="00D449B2"/>
    <w:rsid w:val="00D44BA3"/>
    <w:rsid w:val="00D45210"/>
    <w:rsid w:val="00D4539A"/>
    <w:rsid w:val="00D455AE"/>
    <w:rsid w:val="00D4578A"/>
    <w:rsid w:val="00D457F0"/>
    <w:rsid w:val="00D45BE5"/>
    <w:rsid w:val="00D45D54"/>
    <w:rsid w:val="00D45F52"/>
    <w:rsid w:val="00D4693C"/>
    <w:rsid w:val="00D46BD0"/>
    <w:rsid w:val="00D47B81"/>
    <w:rsid w:val="00D47F66"/>
    <w:rsid w:val="00D50404"/>
    <w:rsid w:val="00D5060B"/>
    <w:rsid w:val="00D5171C"/>
    <w:rsid w:val="00D519E4"/>
    <w:rsid w:val="00D51BD3"/>
    <w:rsid w:val="00D5229A"/>
    <w:rsid w:val="00D52847"/>
    <w:rsid w:val="00D52AEF"/>
    <w:rsid w:val="00D52B10"/>
    <w:rsid w:val="00D52CB5"/>
    <w:rsid w:val="00D537D2"/>
    <w:rsid w:val="00D53870"/>
    <w:rsid w:val="00D546F9"/>
    <w:rsid w:val="00D54A2A"/>
    <w:rsid w:val="00D5536E"/>
    <w:rsid w:val="00D55428"/>
    <w:rsid w:val="00D556E2"/>
    <w:rsid w:val="00D55B6E"/>
    <w:rsid w:val="00D55D8C"/>
    <w:rsid w:val="00D55EC0"/>
    <w:rsid w:val="00D56516"/>
    <w:rsid w:val="00D565C9"/>
    <w:rsid w:val="00D5672D"/>
    <w:rsid w:val="00D567EB"/>
    <w:rsid w:val="00D568D7"/>
    <w:rsid w:val="00D56E1C"/>
    <w:rsid w:val="00D572FD"/>
    <w:rsid w:val="00D60068"/>
    <w:rsid w:val="00D60348"/>
    <w:rsid w:val="00D609C1"/>
    <w:rsid w:val="00D615B0"/>
    <w:rsid w:val="00D61766"/>
    <w:rsid w:val="00D61E54"/>
    <w:rsid w:val="00D620C7"/>
    <w:rsid w:val="00D635E2"/>
    <w:rsid w:val="00D64012"/>
    <w:rsid w:val="00D64553"/>
    <w:rsid w:val="00D649AB"/>
    <w:rsid w:val="00D64DD3"/>
    <w:rsid w:val="00D65475"/>
    <w:rsid w:val="00D65B40"/>
    <w:rsid w:val="00D664DF"/>
    <w:rsid w:val="00D66BFB"/>
    <w:rsid w:val="00D670A1"/>
    <w:rsid w:val="00D671F4"/>
    <w:rsid w:val="00D671F8"/>
    <w:rsid w:val="00D67264"/>
    <w:rsid w:val="00D674A0"/>
    <w:rsid w:val="00D67D00"/>
    <w:rsid w:val="00D702D9"/>
    <w:rsid w:val="00D71779"/>
    <w:rsid w:val="00D7184E"/>
    <w:rsid w:val="00D71EF1"/>
    <w:rsid w:val="00D7209B"/>
    <w:rsid w:val="00D72220"/>
    <w:rsid w:val="00D72341"/>
    <w:rsid w:val="00D723E9"/>
    <w:rsid w:val="00D728BF"/>
    <w:rsid w:val="00D73380"/>
    <w:rsid w:val="00D7338E"/>
    <w:rsid w:val="00D7350A"/>
    <w:rsid w:val="00D738C3"/>
    <w:rsid w:val="00D73D34"/>
    <w:rsid w:val="00D73FE0"/>
    <w:rsid w:val="00D74CEE"/>
    <w:rsid w:val="00D75CCF"/>
    <w:rsid w:val="00D75EAD"/>
    <w:rsid w:val="00D75F34"/>
    <w:rsid w:val="00D76047"/>
    <w:rsid w:val="00D76296"/>
    <w:rsid w:val="00D76547"/>
    <w:rsid w:val="00D768A3"/>
    <w:rsid w:val="00D76901"/>
    <w:rsid w:val="00D76FB3"/>
    <w:rsid w:val="00D7742B"/>
    <w:rsid w:val="00D774E0"/>
    <w:rsid w:val="00D77813"/>
    <w:rsid w:val="00D7796F"/>
    <w:rsid w:val="00D77E7C"/>
    <w:rsid w:val="00D77ED1"/>
    <w:rsid w:val="00D80125"/>
    <w:rsid w:val="00D80500"/>
    <w:rsid w:val="00D80523"/>
    <w:rsid w:val="00D80B2A"/>
    <w:rsid w:val="00D8132F"/>
    <w:rsid w:val="00D81671"/>
    <w:rsid w:val="00D819C4"/>
    <w:rsid w:val="00D826DC"/>
    <w:rsid w:val="00D829A3"/>
    <w:rsid w:val="00D82E0B"/>
    <w:rsid w:val="00D82EB2"/>
    <w:rsid w:val="00D83188"/>
    <w:rsid w:val="00D838DA"/>
    <w:rsid w:val="00D84257"/>
    <w:rsid w:val="00D84289"/>
    <w:rsid w:val="00D84572"/>
    <w:rsid w:val="00D84B4E"/>
    <w:rsid w:val="00D855F5"/>
    <w:rsid w:val="00D85BBE"/>
    <w:rsid w:val="00D85BE4"/>
    <w:rsid w:val="00D85FD4"/>
    <w:rsid w:val="00D85FEC"/>
    <w:rsid w:val="00D86150"/>
    <w:rsid w:val="00D86349"/>
    <w:rsid w:val="00D86432"/>
    <w:rsid w:val="00D86690"/>
    <w:rsid w:val="00D86F0D"/>
    <w:rsid w:val="00D86F67"/>
    <w:rsid w:val="00D87589"/>
    <w:rsid w:val="00D87A6C"/>
    <w:rsid w:val="00D87B01"/>
    <w:rsid w:val="00D87C93"/>
    <w:rsid w:val="00D90092"/>
    <w:rsid w:val="00D90560"/>
    <w:rsid w:val="00D90732"/>
    <w:rsid w:val="00D90806"/>
    <w:rsid w:val="00D920B1"/>
    <w:rsid w:val="00D929E4"/>
    <w:rsid w:val="00D932E3"/>
    <w:rsid w:val="00D935AC"/>
    <w:rsid w:val="00D939F2"/>
    <w:rsid w:val="00D93B9C"/>
    <w:rsid w:val="00D93EE5"/>
    <w:rsid w:val="00D93FE2"/>
    <w:rsid w:val="00D946B9"/>
    <w:rsid w:val="00D946E5"/>
    <w:rsid w:val="00D9472B"/>
    <w:rsid w:val="00D948CF"/>
    <w:rsid w:val="00D94EEC"/>
    <w:rsid w:val="00D9546B"/>
    <w:rsid w:val="00D9562B"/>
    <w:rsid w:val="00D95AB9"/>
    <w:rsid w:val="00D96194"/>
    <w:rsid w:val="00D96513"/>
    <w:rsid w:val="00D96A50"/>
    <w:rsid w:val="00D97176"/>
    <w:rsid w:val="00D97C10"/>
    <w:rsid w:val="00D97C3E"/>
    <w:rsid w:val="00D97EA0"/>
    <w:rsid w:val="00DA00BA"/>
    <w:rsid w:val="00DA0203"/>
    <w:rsid w:val="00DA085C"/>
    <w:rsid w:val="00DA0943"/>
    <w:rsid w:val="00DA0AA2"/>
    <w:rsid w:val="00DA0C24"/>
    <w:rsid w:val="00DA0E28"/>
    <w:rsid w:val="00DA12FB"/>
    <w:rsid w:val="00DA1B82"/>
    <w:rsid w:val="00DA1BCF"/>
    <w:rsid w:val="00DA22E6"/>
    <w:rsid w:val="00DA2360"/>
    <w:rsid w:val="00DA2476"/>
    <w:rsid w:val="00DA2478"/>
    <w:rsid w:val="00DA270A"/>
    <w:rsid w:val="00DA2742"/>
    <w:rsid w:val="00DA296D"/>
    <w:rsid w:val="00DA2B88"/>
    <w:rsid w:val="00DA2C56"/>
    <w:rsid w:val="00DA2FF7"/>
    <w:rsid w:val="00DA3249"/>
    <w:rsid w:val="00DA32C6"/>
    <w:rsid w:val="00DA371E"/>
    <w:rsid w:val="00DA3815"/>
    <w:rsid w:val="00DA38BE"/>
    <w:rsid w:val="00DA3BAE"/>
    <w:rsid w:val="00DA3CC6"/>
    <w:rsid w:val="00DA3ECC"/>
    <w:rsid w:val="00DA3F51"/>
    <w:rsid w:val="00DA4475"/>
    <w:rsid w:val="00DA4881"/>
    <w:rsid w:val="00DA4B63"/>
    <w:rsid w:val="00DA5524"/>
    <w:rsid w:val="00DA5A72"/>
    <w:rsid w:val="00DA5EC6"/>
    <w:rsid w:val="00DA64A2"/>
    <w:rsid w:val="00DA674C"/>
    <w:rsid w:val="00DA6967"/>
    <w:rsid w:val="00DA6ABF"/>
    <w:rsid w:val="00DA6ACE"/>
    <w:rsid w:val="00DA7310"/>
    <w:rsid w:val="00DA7D02"/>
    <w:rsid w:val="00DA7D9C"/>
    <w:rsid w:val="00DB030F"/>
    <w:rsid w:val="00DB1B86"/>
    <w:rsid w:val="00DB1C26"/>
    <w:rsid w:val="00DB2543"/>
    <w:rsid w:val="00DB2BAC"/>
    <w:rsid w:val="00DB2C68"/>
    <w:rsid w:val="00DB30BE"/>
    <w:rsid w:val="00DB3B2B"/>
    <w:rsid w:val="00DB3B6D"/>
    <w:rsid w:val="00DB3D40"/>
    <w:rsid w:val="00DB3D4C"/>
    <w:rsid w:val="00DB3F29"/>
    <w:rsid w:val="00DB4362"/>
    <w:rsid w:val="00DB521D"/>
    <w:rsid w:val="00DB54E9"/>
    <w:rsid w:val="00DB54F0"/>
    <w:rsid w:val="00DB5601"/>
    <w:rsid w:val="00DB569F"/>
    <w:rsid w:val="00DB5BD7"/>
    <w:rsid w:val="00DB608C"/>
    <w:rsid w:val="00DB631E"/>
    <w:rsid w:val="00DB651B"/>
    <w:rsid w:val="00DB6DA8"/>
    <w:rsid w:val="00DB7112"/>
    <w:rsid w:val="00DB7B37"/>
    <w:rsid w:val="00DC0331"/>
    <w:rsid w:val="00DC04E3"/>
    <w:rsid w:val="00DC0DAD"/>
    <w:rsid w:val="00DC1536"/>
    <w:rsid w:val="00DC15A5"/>
    <w:rsid w:val="00DC178E"/>
    <w:rsid w:val="00DC17A1"/>
    <w:rsid w:val="00DC1A7C"/>
    <w:rsid w:val="00DC1CB8"/>
    <w:rsid w:val="00DC2609"/>
    <w:rsid w:val="00DC2A25"/>
    <w:rsid w:val="00DC2B1D"/>
    <w:rsid w:val="00DC3718"/>
    <w:rsid w:val="00DC384D"/>
    <w:rsid w:val="00DC3905"/>
    <w:rsid w:val="00DC3ACE"/>
    <w:rsid w:val="00DC3B05"/>
    <w:rsid w:val="00DC3F5A"/>
    <w:rsid w:val="00DC460D"/>
    <w:rsid w:val="00DC4807"/>
    <w:rsid w:val="00DC4C5C"/>
    <w:rsid w:val="00DC4E83"/>
    <w:rsid w:val="00DC4F8D"/>
    <w:rsid w:val="00DC559C"/>
    <w:rsid w:val="00DC5801"/>
    <w:rsid w:val="00DC5C08"/>
    <w:rsid w:val="00DC60CF"/>
    <w:rsid w:val="00DC6266"/>
    <w:rsid w:val="00DC64E5"/>
    <w:rsid w:val="00DC674C"/>
    <w:rsid w:val="00DC70D5"/>
    <w:rsid w:val="00DC71E4"/>
    <w:rsid w:val="00DC7328"/>
    <w:rsid w:val="00DC7818"/>
    <w:rsid w:val="00DC78BE"/>
    <w:rsid w:val="00DC7ABB"/>
    <w:rsid w:val="00DD038D"/>
    <w:rsid w:val="00DD0FAC"/>
    <w:rsid w:val="00DD16ED"/>
    <w:rsid w:val="00DD1FFC"/>
    <w:rsid w:val="00DD2617"/>
    <w:rsid w:val="00DD2831"/>
    <w:rsid w:val="00DD2894"/>
    <w:rsid w:val="00DD3172"/>
    <w:rsid w:val="00DD3DC1"/>
    <w:rsid w:val="00DD3FFC"/>
    <w:rsid w:val="00DD4041"/>
    <w:rsid w:val="00DD49DA"/>
    <w:rsid w:val="00DD4A2E"/>
    <w:rsid w:val="00DD4FFB"/>
    <w:rsid w:val="00DD52DD"/>
    <w:rsid w:val="00DD572D"/>
    <w:rsid w:val="00DD6020"/>
    <w:rsid w:val="00DD6053"/>
    <w:rsid w:val="00DD6C28"/>
    <w:rsid w:val="00DD6F06"/>
    <w:rsid w:val="00DD7070"/>
    <w:rsid w:val="00DD7223"/>
    <w:rsid w:val="00DD732E"/>
    <w:rsid w:val="00DD7331"/>
    <w:rsid w:val="00DD75D6"/>
    <w:rsid w:val="00DD7B03"/>
    <w:rsid w:val="00DE035D"/>
    <w:rsid w:val="00DE0718"/>
    <w:rsid w:val="00DE12AA"/>
    <w:rsid w:val="00DE14CF"/>
    <w:rsid w:val="00DE1E82"/>
    <w:rsid w:val="00DE25B8"/>
    <w:rsid w:val="00DE264D"/>
    <w:rsid w:val="00DE2732"/>
    <w:rsid w:val="00DE2872"/>
    <w:rsid w:val="00DE3864"/>
    <w:rsid w:val="00DE3906"/>
    <w:rsid w:val="00DE3CC1"/>
    <w:rsid w:val="00DE3D49"/>
    <w:rsid w:val="00DE3FA5"/>
    <w:rsid w:val="00DE4BBA"/>
    <w:rsid w:val="00DE5160"/>
    <w:rsid w:val="00DE5866"/>
    <w:rsid w:val="00DE6FB5"/>
    <w:rsid w:val="00DE73A9"/>
    <w:rsid w:val="00DE751D"/>
    <w:rsid w:val="00DE7732"/>
    <w:rsid w:val="00DE7C97"/>
    <w:rsid w:val="00DE7EB5"/>
    <w:rsid w:val="00DF01E3"/>
    <w:rsid w:val="00DF0284"/>
    <w:rsid w:val="00DF04E9"/>
    <w:rsid w:val="00DF0BED"/>
    <w:rsid w:val="00DF0DBE"/>
    <w:rsid w:val="00DF131C"/>
    <w:rsid w:val="00DF15C4"/>
    <w:rsid w:val="00DF15C7"/>
    <w:rsid w:val="00DF15CC"/>
    <w:rsid w:val="00DF1B58"/>
    <w:rsid w:val="00DF1FDE"/>
    <w:rsid w:val="00DF211A"/>
    <w:rsid w:val="00DF2275"/>
    <w:rsid w:val="00DF2827"/>
    <w:rsid w:val="00DF28B8"/>
    <w:rsid w:val="00DF291F"/>
    <w:rsid w:val="00DF2B54"/>
    <w:rsid w:val="00DF2CEF"/>
    <w:rsid w:val="00DF2E04"/>
    <w:rsid w:val="00DF31C9"/>
    <w:rsid w:val="00DF3421"/>
    <w:rsid w:val="00DF3B31"/>
    <w:rsid w:val="00DF4067"/>
    <w:rsid w:val="00DF458D"/>
    <w:rsid w:val="00DF48DB"/>
    <w:rsid w:val="00DF5279"/>
    <w:rsid w:val="00DF5662"/>
    <w:rsid w:val="00DF5750"/>
    <w:rsid w:val="00DF5FDE"/>
    <w:rsid w:val="00DF688E"/>
    <w:rsid w:val="00DF72CB"/>
    <w:rsid w:val="00DF76B1"/>
    <w:rsid w:val="00DF7CE3"/>
    <w:rsid w:val="00E003C8"/>
    <w:rsid w:val="00E008E8"/>
    <w:rsid w:val="00E00DD2"/>
    <w:rsid w:val="00E01596"/>
    <w:rsid w:val="00E016ED"/>
    <w:rsid w:val="00E01F24"/>
    <w:rsid w:val="00E02200"/>
    <w:rsid w:val="00E022A9"/>
    <w:rsid w:val="00E028DD"/>
    <w:rsid w:val="00E029F8"/>
    <w:rsid w:val="00E03259"/>
    <w:rsid w:val="00E034C2"/>
    <w:rsid w:val="00E03557"/>
    <w:rsid w:val="00E039BE"/>
    <w:rsid w:val="00E03B66"/>
    <w:rsid w:val="00E06A6F"/>
    <w:rsid w:val="00E07083"/>
    <w:rsid w:val="00E07270"/>
    <w:rsid w:val="00E077B0"/>
    <w:rsid w:val="00E07B2D"/>
    <w:rsid w:val="00E102F0"/>
    <w:rsid w:val="00E10528"/>
    <w:rsid w:val="00E10859"/>
    <w:rsid w:val="00E10A4E"/>
    <w:rsid w:val="00E10C58"/>
    <w:rsid w:val="00E10D72"/>
    <w:rsid w:val="00E10E1C"/>
    <w:rsid w:val="00E10E26"/>
    <w:rsid w:val="00E1118C"/>
    <w:rsid w:val="00E11498"/>
    <w:rsid w:val="00E1153D"/>
    <w:rsid w:val="00E118B9"/>
    <w:rsid w:val="00E11DFB"/>
    <w:rsid w:val="00E12395"/>
    <w:rsid w:val="00E12426"/>
    <w:rsid w:val="00E129E1"/>
    <w:rsid w:val="00E12BDD"/>
    <w:rsid w:val="00E12C1F"/>
    <w:rsid w:val="00E12E12"/>
    <w:rsid w:val="00E13526"/>
    <w:rsid w:val="00E13578"/>
    <w:rsid w:val="00E13784"/>
    <w:rsid w:val="00E137DA"/>
    <w:rsid w:val="00E13EAB"/>
    <w:rsid w:val="00E14442"/>
    <w:rsid w:val="00E14742"/>
    <w:rsid w:val="00E14C3E"/>
    <w:rsid w:val="00E151A0"/>
    <w:rsid w:val="00E15646"/>
    <w:rsid w:val="00E164E4"/>
    <w:rsid w:val="00E16583"/>
    <w:rsid w:val="00E16735"/>
    <w:rsid w:val="00E168B7"/>
    <w:rsid w:val="00E168D8"/>
    <w:rsid w:val="00E16AE0"/>
    <w:rsid w:val="00E1786A"/>
    <w:rsid w:val="00E211C3"/>
    <w:rsid w:val="00E21431"/>
    <w:rsid w:val="00E218E8"/>
    <w:rsid w:val="00E21AC7"/>
    <w:rsid w:val="00E220F4"/>
    <w:rsid w:val="00E2266C"/>
    <w:rsid w:val="00E22985"/>
    <w:rsid w:val="00E22F5E"/>
    <w:rsid w:val="00E22F75"/>
    <w:rsid w:val="00E22FD0"/>
    <w:rsid w:val="00E2304D"/>
    <w:rsid w:val="00E2314A"/>
    <w:rsid w:val="00E237E8"/>
    <w:rsid w:val="00E23BFA"/>
    <w:rsid w:val="00E23E76"/>
    <w:rsid w:val="00E246ED"/>
    <w:rsid w:val="00E24A9D"/>
    <w:rsid w:val="00E24B18"/>
    <w:rsid w:val="00E24C16"/>
    <w:rsid w:val="00E24E7A"/>
    <w:rsid w:val="00E25076"/>
    <w:rsid w:val="00E26A9D"/>
    <w:rsid w:val="00E26D47"/>
    <w:rsid w:val="00E27E57"/>
    <w:rsid w:val="00E302BD"/>
    <w:rsid w:val="00E30348"/>
    <w:rsid w:val="00E304B6"/>
    <w:rsid w:val="00E30A7A"/>
    <w:rsid w:val="00E30F7B"/>
    <w:rsid w:val="00E31090"/>
    <w:rsid w:val="00E31182"/>
    <w:rsid w:val="00E3147B"/>
    <w:rsid w:val="00E31627"/>
    <w:rsid w:val="00E31993"/>
    <w:rsid w:val="00E31D5A"/>
    <w:rsid w:val="00E32788"/>
    <w:rsid w:val="00E3330C"/>
    <w:rsid w:val="00E33808"/>
    <w:rsid w:val="00E33C89"/>
    <w:rsid w:val="00E340E4"/>
    <w:rsid w:val="00E34318"/>
    <w:rsid w:val="00E34680"/>
    <w:rsid w:val="00E34A47"/>
    <w:rsid w:val="00E3516F"/>
    <w:rsid w:val="00E352DF"/>
    <w:rsid w:val="00E35498"/>
    <w:rsid w:val="00E35603"/>
    <w:rsid w:val="00E35AD5"/>
    <w:rsid w:val="00E36548"/>
    <w:rsid w:val="00E37070"/>
    <w:rsid w:val="00E374CA"/>
    <w:rsid w:val="00E37633"/>
    <w:rsid w:val="00E377A6"/>
    <w:rsid w:val="00E37E56"/>
    <w:rsid w:val="00E37F4C"/>
    <w:rsid w:val="00E40002"/>
    <w:rsid w:val="00E40052"/>
    <w:rsid w:val="00E4035E"/>
    <w:rsid w:val="00E416C6"/>
    <w:rsid w:val="00E4173F"/>
    <w:rsid w:val="00E41FE1"/>
    <w:rsid w:val="00E42021"/>
    <w:rsid w:val="00E42BC0"/>
    <w:rsid w:val="00E43052"/>
    <w:rsid w:val="00E43934"/>
    <w:rsid w:val="00E43B0A"/>
    <w:rsid w:val="00E441DB"/>
    <w:rsid w:val="00E445DA"/>
    <w:rsid w:val="00E44749"/>
    <w:rsid w:val="00E44D63"/>
    <w:rsid w:val="00E453D0"/>
    <w:rsid w:val="00E45999"/>
    <w:rsid w:val="00E461BD"/>
    <w:rsid w:val="00E461D3"/>
    <w:rsid w:val="00E46597"/>
    <w:rsid w:val="00E46BD0"/>
    <w:rsid w:val="00E46CF1"/>
    <w:rsid w:val="00E47585"/>
    <w:rsid w:val="00E47586"/>
    <w:rsid w:val="00E47AFC"/>
    <w:rsid w:val="00E5004C"/>
    <w:rsid w:val="00E505C4"/>
    <w:rsid w:val="00E50AFF"/>
    <w:rsid w:val="00E50B41"/>
    <w:rsid w:val="00E511D1"/>
    <w:rsid w:val="00E51EA6"/>
    <w:rsid w:val="00E52090"/>
    <w:rsid w:val="00E52230"/>
    <w:rsid w:val="00E52CBE"/>
    <w:rsid w:val="00E52DEB"/>
    <w:rsid w:val="00E52E1F"/>
    <w:rsid w:val="00E52FF1"/>
    <w:rsid w:val="00E53679"/>
    <w:rsid w:val="00E5438C"/>
    <w:rsid w:val="00E54801"/>
    <w:rsid w:val="00E5491A"/>
    <w:rsid w:val="00E54963"/>
    <w:rsid w:val="00E549FC"/>
    <w:rsid w:val="00E54BD9"/>
    <w:rsid w:val="00E54D02"/>
    <w:rsid w:val="00E54D0C"/>
    <w:rsid w:val="00E54EBA"/>
    <w:rsid w:val="00E54ED4"/>
    <w:rsid w:val="00E55183"/>
    <w:rsid w:val="00E55200"/>
    <w:rsid w:val="00E558C1"/>
    <w:rsid w:val="00E559F0"/>
    <w:rsid w:val="00E55B47"/>
    <w:rsid w:val="00E55D16"/>
    <w:rsid w:val="00E55E0D"/>
    <w:rsid w:val="00E55FC1"/>
    <w:rsid w:val="00E564C0"/>
    <w:rsid w:val="00E56E7C"/>
    <w:rsid w:val="00E570D3"/>
    <w:rsid w:val="00E57317"/>
    <w:rsid w:val="00E57653"/>
    <w:rsid w:val="00E57F4D"/>
    <w:rsid w:val="00E60144"/>
    <w:rsid w:val="00E601D1"/>
    <w:rsid w:val="00E6020C"/>
    <w:rsid w:val="00E6056B"/>
    <w:rsid w:val="00E60847"/>
    <w:rsid w:val="00E608F7"/>
    <w:rsid w:val="00E614EC"/>
    <w:rsid w:val="00E61790"/>
    <w:rsid w:val="00E618FE"/>
    <w:rsid w:val="00E61DE7"/>
    <w:rsid w:val="00E61EE1"/>
    <w:rsid w:val="00E6216D"/>
    <w:rsid w:val="00E622BB"/>
    <w:rsid w:val="00E625AB"/>
    <w:rsid w:val="00E62E89"/>
    <w:rsid w:val="00E635EE"/>
    <w:rsid w:val="00E63B6D"/>
    <w:rsid w:val="00E64082"/>
    <w:rsid w:val="00E648B5"/>
    <w:rsid w:val="00E64D3E"/>
    <w:rsid w:val="00E64E7A"/>
    <w:rsid w:val="00E65643"/>
    <w:rsid w:val="00E6598C"/>
    <w:rsid w:val="00E669DE"/>
    <w:rsid w:val="00E6718E"/>
    <w:rsid w:val="00E675D4"/>
    <w:rsid w:val="00E701B6"/>
    <w:rsid w:val="00E70289"/>
    <w:rsid w:val="00E70F32"/>
    <w:rsid w:val="00E7106A"/>
    <w:rsid w:val="00E711BA"/>
    <w:rsid w:val="00E71563"/>
    <w:rsid w:val="00E7161D"/>
    <w:rsid w:val="00E719AE"/>
    <w:rsid w:val="00E71C2D"/>
    <w:rsid w:val="00E71CDB"/>
    <w:rsid w:val="00E7210F"/>
    <w:rsid w:val="00E72294"/>
    <w:rsid w:val="00E7236C"/>
    <w:rsid w:val="00E72928"/>
    <w:rsid w:val="00E729D5"/>
    <w:rsid w:val="00E72B6F"/>
    <w:rsid w:val="00E72DD4"/>
    <w:rsid w:val="00E73687"/>
    <w:rsid w:val="00E73AD8"/>
    <w:rsid w:val="00E73ED3"/>
    <w:rsid w:val="00E7426F"/>
    <w:rsid w:val="00E745FB"/>
    <w:rsid w:val="00E74956"/>
    <w:rsid w:val="00E74EF8"/>
    <w:rsid w:val="00E75176"/>
    <w:rsid w:val="00E751DC"/>
    <w:rsid w:val="00E752FF"/>
    <w:rsid w:val="00E75AD1"/>
    <w:rsid w:val="00E75CA5"/>
    <w:rsid w:val="00E76F6A"/>
    <w:rsid w:val="00E770AE"/>
    <w:rsid w:val="00E77609"/>
    <w:rsid w:val="00E77889"/>
    <w:rsid w:val="00E77D3D"/>
    <w:rsid w:val="00E8021E"/>
    <w:rsid w:val="00E804E5"/>
    <w:rsid w:val="00E80937"/>
    <w:rsid w:val="00E80CE4"/>
    <w:rsid w:val="00E813AA"/>
    <w:rsid w:val="00E81460"/>
    <w:rsid w:val="00E81E3F"/>
    <w:rsid w:val="00E82251"/>
    <w:rsid w:val="00E82CCE"/>
    <w:rsid w:val="00E830CB"/>
    <w:rsid w:val="00E831C7"/>
    <w:rsid w:val="00E83404"/>
    <w:rsid w:val="00E84122"/>
    <w:rsid w:val="00E8427E"/>
    <w:rsid w:val="00E842FF"/>
    <w:rsid w:val="00E84717"/>
    <w:rsid w:val="00E84ECC"/>
    <w:rsid w:val="00E850AD"/>
    <w:rsid w:val="00E85552"/>
    <w:rsid w:val="00E85DCA"/>
    <w:rsid w:val="00E86051"/>
    <w:rsid w:val="00E8634E"/>
    <w:rsid w:val="00E863E5"/>
    <w:rsid w:val="00E864DE"/>
    <w:rsid w:val="00E8662A"/>
    <w:rsid w:val="00E867B2"/>
    <w:rsid w:val="00E86D57"/>
    <w:rsid w:val="00E86EA4"/>
    <w:rsid w:val="00E871FC"/>
    <w:rsid w:val="00E87782"/>
    <w:rsid w:val="00E87CBF"/>
    <w:rsid w:val="00E900D6"/>
    <w:rsid w:val="00E901E8"/>
    <w:rsid w:val="00E9033B"/>
    <w:rsid w:val="00E9093B"/>
    <w:rsid w:val="00E90B05"/>
    <w:rsid w:val="00E91331"/>
    <w:rsid w:val="00E91446"/>
    <w:rsid w:val="00E9147C"/>
    <w:rsid w:val="00E916FD"/>
    <w:rsid w:val="00E917D1"/>
    <w:rsid w:val="00E91CBB"/>
    <w:rsid w:val="00E91E8B"/>
    <w:rsid w:val="00E92012"/>
    <w:rsid w:val="00E923DE"/>
    <w:rsid w:val="00E925DE"/>
    <w:rsid w:val="00E92982"/>
    <w:rsid w:val="00E92A31"/>
    <w:rsid w:val="00E92DE9"/>
    <w:rsid w:val="00E931F4"/>
    <w:rsid w:val="00E93740"/>
    <w:rsid w:val="00E9381A"/>
    <w:rsid w:val="00E93D71"/>
    <w:rsid w:val="00E9539E"/>
    <w:rsid w:val="00E9556D"/>
    <w:rsid w:val="00E95692"/>
    <w:rsid w:val="00E9593B"/>
    <w:rsid w:val="00E95B89"/>
    <w:rsid w:val="00E96552"/>
    <w:rsid w:val="00E96C36"/>
    <w:rsid w:val="00E978C5"/>
    <w:rsid w:val="00E97A00"/>
    <w:rsid w:val="00E97A5C"/>
    <w:rsid w:val="00EA0C62"/>
    <w:rsid w:val="00EA0D4A"/>
    <w:rsid w:val="00EA10BD"/>
    <w:rsid w:val="00EA120B"/>
    <w:rsid w:val="00EA12D0"/>
    <w:rsid w:val="00EA165E"/>
    <w:rsid w:val="00EA1A77"/>
    <w:rsid w:val="00EA2121"/>
    <w:rsid w:val="00EA2506"/>
    <w:rsid w:val="00EA2BAF"/>
    <w:rsid w:val="00EA31B7"/>
    <w:rsid w:val="00EA31E1"/>
    <w:rsid w:val="00EA3A8C"/>
    <w:rsid w:val="00EA3FEB"/>
    <w:rsid w:val="00EA4875"/>
    <w:rsid w:val="00EA5B2B"/>
    <w:rsid w:val="00EA62A6"/>
    <w:rsid w:val="00EA6709"/>
    <w:rsid w:val="00EA6E41"/>
    <w:rsid w:val="00EA7D1C"/>
    <w:rsid w:val="00EA7FDC"/>
    <w:rsid w:val="00EB03FE"/>
    <w:rsid w:val="00EB0407"/>
    <w:rsid w:val="00EB0483"/>
    <w:rsid w:val="00EB0E21"/>
    <w:rsid w:val="00EB1534"/>
    <w:rsid w:val="00EB1D80"/>
    <w:rsid w:val="00EB2575"/>
    <w:rsid w:val="00EB2D3D"/>
    <w:rsid w:val="00EB3358"/>
    <w:rsid w:val="00EB337A"/>
    <w:rsid w:val="00EB35A3"/>
    <w:rsid w:val="00EB3C72"/>
    <w:rsid w:val="00EB3E9D"/>
    <w:rsid w:val="00EB3EBF"/>
    <w:rsid w:val="00EB3F10"/>
    <w:rsid w:val="00EB4067"/>
    <w:rsid w:val="00EB4076"/>
    <w:rsid w:val="00EB5020"/>
    <w:rsid w:val="00EB552A"/>
    <w:rsid w:val="00EB559F"/>
    <w:rsid w:val="00EB565C"/>
    <w:rsid w:val="00EB58FC"/>
    <w:rsid w:val="00EB5DED"/>
    <w:rsid w:val="00EB5FCB"/>
    <w:rsid w:val="00EB63E1"/>
    <w:rsid w:val="00EB63F5"/>
    <w:rsid w:val="00EB69CC"/>
    <w:rsid w:val="00EB73E4"/>
    <w:rsid w:val="00EB752B"/>
    <w:rsid w:val="00EB75BD"/>
    <w:rsid w:val="00EB75D0"/>
    <w:rsid w:val="00EB7A3D"/>
    <w:rsid w:val="00EB7CDF"/>
    <w:rsid w:val="00EC0E5B"/>
    <w:rsid w:val="00EC100F"/>
    <w:rsid w:val="00EC14B8"/>
    <w:rsid w:val="00EC19D6"/>
    <w:rsid w:val="00EC1A68"/>
    <w:rsid w:val="00EC2090"/>
    <w:rsid w:val="00EC28B6"/>
    <w:rsid w:val="00EC3032"/>
    <w:rsid w:val="00EC3553"/>
    <w:rsid w:val="00EC3F5F"/>
    <w:rsid w:val="00EC442F"/>
    <w:rsid w:val="00EC4D23"/>
    <w:rsid w:val="00EC58A8"/>
    <w:rsid w:val="00EC5C2A"/>
    <w:rsid w:val="00EC5CE3"/>
    <w:rsid w:val="00EC5F88"/>
    <w:rsid w:val="00EC6EA6"/>
    <w:rsid w:val="00EC7447"/>
    <w:rsid w:val="00EC77AC"/>
    <w:rsid w:val="00EC7983"/>
    <w:rsid w:val="00EC7E7F"/>
    <w:rsid w:val="00ED0402"/>
    <w:rsid w:val="00ED0515"/>
    <w:rsid w:val="00ED1883"/>
    <w:rsid w:val="00ED1E62"/>
    <w:rsid w:val="00ED2110"/>
    <w:rsid w:val="00ED24E2"/>
    <w:rsid w:val="00ED2734"/>
    <w:rsid w:val="00ED2FBC"/>
    <w:rsid w:val="00ED36A1"/>
    <w:rsid w:val="00ED475E"/>
    <w:rsid w:val="00ED4775"/>
    <w:rsid w:val="00ED4827"/>
    <w:rsid w:val="00ED4ACE"/>
    <w:rsid w:val="00ED54AB"/>
    <w:rsid w:val="00ED54DB"/>
    <w:rsid w:val="00ED617F"/>
    <w:rsid w:val="00ED628D"/>
    <w:rsid w:val="00ED6378"/>
    <w:rsid w:val="00ED6B57"/>
    <w:rsid w:val="00ED6E59"/>
    <w:rsid w:val="00ED6FDA"/>
    <w:rsid w:val="00ED7354"/>
    <w:rsid w:val="00ED744D"/>
    <w:rsid w:val="00ED752E"/>
    <w:rsid w:val="00ED776E"/>
    <w:rsid w:val="00ED7DF2"/>
    <w:rsid w:val="00EE0471"/>
    <w:rsid w:val="00EE1659"/>
    <w:rsid w:val="00EE1AC9"/>
    <w:rsid w:val="00EE2271"/>
    <w:rsid w:val="00EE25FA"/>
    <w:rsid w:val="00EE2ACC"/>
    <w:rsid w:val="00EE2CEE"/>
    <w:rsid w:val="00EE370F"/>
    <w:rsid w:val="00EE3B7F"/>
    <w:rsid w:val="00EE3F53"/>
    <w:rsid w:val="00EE41FA"/>
    <w:rsid w:val="00EE4E62"/>
    <w:rsid w:val="00EE4EDE"/>
    <w:rsid w:val="00EE5049"/>
    <w:rsid w:val="00EE5A6D"/>
    <w:rsid w:val="00EE69CF"/>
    <w:rsid w:val="00EE6D13"/>
    <w:rsid w:val="00EE6D9F"/>
    <w:rsid w:val="00EE6EBA"/>
    <w:rsid w:val="00EF01B6"/>
    <w:rsid w:val="00EF0C16"/>
    <w:rsid w:val="00EF109C"/>
    <w:rsid w:val="00EF120D"/>
    <w:rsid w:val="00EF16F1"/>
    <w:rsid w:val="00EF17D1"/>
    <w:rsid w:val="00EF19A1"/>
    <w:rsid w:val="00EF1E8B"/>
    <w:rsid w:val="00EF2154"/>
    <w:rsid w:val="00EF245C"/>
    <w:rsid w:val="00EF2563"/>
    <w:rsid w:val="00EF2640"/>
    <w:rsid w:val="00EF3295"/>
    <w:rsid w:val="00EF33CF"/>
    <w:rsid w:val="00EF343B"/>
    <w:rsid w:val="00EF3951"/>
    <w:rsid w:val="00EF3B4D"/>
    <w:rsid w:val="00EF3B84"/>
    <w:rsid w:val="00EF3ED6"/>
    <w:rsid w:val="00EF42BE"/>
    <w:rsid w:val="00EF487A"/>
    <w:rsid w:val="00EF52F8"/>
    <w:rsid w:val="00EF561D"/>
    <w:rsid w:val="00EF5926"/>
    <w:rsid w:val="00EF5A7B"/>
    <w:rsid w:val="00EF6304"/>
    <w:rsid w:val="00EF63A9"/>
    <w:rsid w:val="00EF67BF"/>
    <w:rsid w:val="00EF6A2F"/>
    <w:rsid w:val="00EF6A6D"/>
    <w:rsid w:val="00EF771E"/>
    <w:rsid w:val="00EF7B51"/>
    <w:rsid w:val="00EF7B72"/>
    <w:rsid w:val="00F00219"/>
    <w:rsid w:val="00F00594"/>
    <w:rsid w:val="00F00909"/>
    <w:rsid w:val="00F00AC2"/>
    <w:rsid w:val="00F00DD7"/>
    <w:rsid w:val="00F00E41"/>
    <w:rsid w:val="00F01251"/>
    <w:rsid w:val="00F0152A"/>
    <w:rsid w:val="00F018CF"/>
    <w:rsid w:val="00F01BEF"/>
    <w:rsid w:val="00F01F91"/>
    <w:rsid w:val="00F02A83"/>
    <w:rsid w:val="00F02B92"/>
    <w:rsid w:val="00F03156"/>
    <w:rsid w:val="00F032BF"/>
    <w:rsid w:val="00F033BF"/>
    <w:rsid w:val="00F03548"/>
    <w:rsid w:val="00F04168"/>
    <w:rsid w:val="00F04B20"/>
    <w:rsid w:val="00F04B5B"/>
    <w:rsid w:val="00F04F3B"/>
    <w:rsid w:val="00F05107"/>
    <w:rsid w:val="00F0533A"/>
    <w:rsid w:val="00F05546"/>
    <w:rsid w:val="00F063B5"/>
    <w:rsid w:val="00F067DC"/>
    <w:rsid w:val="00F068CC"/>
    <w:rsid w:val="00F07134"/>
    <w:rsid w:val="00F07237"/>
    <w:rsid w:val="00F076BD"/>
    <w:rsid w:val="00F07E43"/>
    <w:rsid w:val="00F1006C"/>
    <w:rsid w:val="00F1063F"/>
    <w:rsid w:val="00F10766"/>
    <w:rsid w:val="00F10E03"/>
    <w:rsid w:val="00F1140A"/>
    <w:rsid w:val="00F11F6E"/>
    <w:rsid w:val="00F1233F"/>
    <w:rsid w:val="00F12693"/>
    <w:rsid w:val="00F129B4"/>
    <w:rsid w:val="00F12D1F"/>
    <w:rsid w:val="00F13818"/>
    <w:rsid w:val="00F13B10"/>
    <w:rsid w:val="00F13DA5"/>
    <w:rsid w:val="00F13DAD"/>
    <w:rsid w:val="00F14116"/>
    <w:rsid w:val="00F14197"/>
    <w:rsid w:val="00F14388"/>
    <w:rsid w:val="00F149EB"/>
    <w:rsid w:val="00F150AA"/>
    <w:rsid w:val="00F150F4"/>
    <w:rsid w:val="00F15502"/>
    <w:rsid w:val="00F15C12"/>
    <w:rsid w:val="00F160C9"/>
    <w:rsid w:val="00F16B25"/>
    <w:rsid w:val="00F17A12"/>
    <w:rsid w:val="00F20313"/>
    <w:rsid w:val="00F204D0"/>
    <w:rsid w:val="00F20639"/>
    <w:rsid w:val="00F20650"/>
    <w:rsid w:val="00F206B0"/>
    <w:rsid w:val="00F207B0"/>
    <w:rsid w:val="00F21B4C"/>
    <w:rsid w:val="00F2230D"/>
    <w:rsid w:val="00F22815"/>
    <w:rsid w:val="00F23070"/>
    <w:rsid w:val="00F23828"/>
    <w:rsid w:val="00F23833"/>
    <w:rsid w:val="00F238E5"/>
    <w:rsid w:val="00F23F49"/>
    <w:rsid w:val="00F24166"/>
    <w:rsid w:val="00F241B1"/>
    <w:rsid w:val="00F243A4"/>
    <w:rsid w:val="00F250D5"/>
    <w:rsid w:val="00F2581A"/>
    <w:rsid w:val="00F25CEE"/>
    <w:rsid w:val="00F25E5E"/>
    <w:rsid w:val="00F263E8"/>
    <w:rsid w:val="00F2667E"/>
    <w:rsid w:val="00F26CF0"/>
    <w:rsid w:val="00F27098"/>
    <w:rsid w:val="00F27A02"/>
    <w:rsid w:val="00F3083D"/>
    <w:rsid w:val="00F30B76"/>
    <w:rsid w:val="00F311E3"/>
    <w:rsid w:val="00F31403"/>
    <w:rsid w:val="00F31456"/>
    <w:rsid w:val="00F31DA7"/>
    <w:rsid w:val="00F31EBB"/>
    <w:rsid w:val="00F32F14"/>
    <w:rsid w:val="00F32FF9"/>
    <w:rsid w:val="00F332FB"/>
    <w:rsid w:val="00F333F4"/>
    <w:rsid w:val="00F33750"/>
    <w:rsid w:val="00F3394B"/>
    <w:rsid w:val="00F33D6A"/>
    <w:rsid w:val="00F340A8"/>
    <w:rsid w:val="00F3472F"/>
    <w:rsid w:val="00F34A6B"/>
    <w:rsid w:val="00F34CE3"/>
    <w:rsid w:val="00F34F56"/>
    <w:rsid w:val="00F359BA"/>
    <w:rsid w:val="00F35CB8"/>
    <w:rsid w:val="00F36099"/>
    <w:rsid w:val="00F3654E"/>
    <w:rsid w:val="00F36677"/>
    <w:rsid w:val="00F3677B"/>
    <w:rsid w:val="00F369D8"/>
    <w:rsid w:val="00F36EAC"/>
    <w:rsid w:val="00F3716D"/>
    <w:rsid w:val="00F372EF"/>
    <w:rsid w:val="00F376E3"/>
    <w:rsid w:val="00F37857"/>
    <w:rsid w:val="00F37E4A"/>
    <w:rsid w:val="00F40888"/>
    <w:rsid w:val="00F40D2E"/>
    <w:rsid w:val="00F41141"/>
    <w:rsid w:val="00F41205"/>
    <w:rsid w:val="00F412CC"/>
    <w:rsid w:val="00F4178C"/>
    <w:rsid w:val="00F426E5"/>
    <w:rsid w:val="00F42BE7"/>
    <w:rsid w:val="00F42DA8"/>
    <w:rsid w:val="00F436E1"/>
    <w:rsid w:val="00F43893"/>
    <w:rsid w:val="00F44076"/>
    <w:rsid w:val="00F4450F"/>
    <w:rsid w:val="00F4515A"/>
    <w:rsid w:val="00F454AF"/>
    <w:rsid w:val="00F454E2"/>
    <w:rsid w:val="00F45EF7"/>
    <w:rsid w:val="00F45FA0"/>
    <w:rsid w:val="00F46275"/>
    <w:rsid w:val="00F470F1"/>
    <w:rsid w:val="00F4761F"/>
    <w:rsid w:val="00F47762"/>
    <w:rsid w:val="00F47F23"/>
    <w:rsid w:val="00F47F86"/>
    <w:rsid w:val="00F506D2"/>
    <w:rsid w:val="00F50A5E"/>
    <w:rsid w:val="00F50C4E"/>
    <w:rsid w:val="00F50DE6"/>
    <w:rsid w:val="00F51265"/>
    <w:rsid w:val="00F51354"/>
    <w:rsid w:val="00F517D6"/>
    <w:rsid w:val="00F51B5C"/>
    <w:rsid w:val="00F5229E"/>
    <w:rsid w:val="00F529DD"/>
    <w:rsid w:val="00F52AD4"/>
    <w:rsid w:val="00F52FBF"/>
    <w:rsid w:val="00F5355E"/>
    <w:rsid w:val="00F53DA2"/>
    <w:rsid w:val="00F54011"/>
    <w:rsid w:val="00F54141"/>
    <w:rsid w:val="00F5475F"/>
    <w:rsid w:val="00F54C13"/>
    <w:rsid w:val="00F54D4E"/>
    <w:rsid w:val="00F55873"/>
    <w:rsid w:val="00F5669F"/>
    <w:rsid w:val="00F568CF"/>
    <w:rsid w:val="00F5797D"/>
    <w:rsid w:val="00F579D4"/>
    <w:rsid w:val="00F57BA7"/>
    <w:rsid w:val="00F60603"/>
    <w:rsid w:val="00F607FA"/>
    <w:rsid w:val="00F60821"/>
    <w:rsid w:val="00F60BA5"/>
    <w:rsid w:val="00F60C40"/>
    <w:rsid w:val="00F6127D"/>
    <w:rsid w:val="00F613DE"/>
    <w:rsid w:val="00F61CFF"/>
    <w:rsid w:val="00F62385"/>
    <w:rsid w:val="00F62BA9"/>
    <w:rsid w:val="00F62D03"/>
    <w:rsid w:val="00F62D06"/>
    <w:rsid w:val="00F62E04"/>
    <w:rsid w:val="00F63F9F"/>
    <w:rsid w:val="00F64442"/>
    <w:rsid w:val="00F64674"/>
    <w:rsid w:val="00F64FFD"/>
    <w:rsid w:val="00F655FA"/>
    <w:rsid w:val="00F657D6"/>
    <w:rsid w:val="00F65881"/>
    <w:rsid w:val="00F65AFC"/>
    <w:rsid w:val="00F66128"/>
    <w:rsid w:val="00F66145"/>
    <w:rsid w:val="00F666CC"/>
    <w:rsid w:val="00F67B4D"/>
    <w:rsid w:val="00F67B55"/>
    <w:rsid w:val="00F7045B"/>
    <w:rsid w:val="00F71703"/>
    <w:rsid w:val="00F71C40"/>
    <w:rsid w:val="00F71DFB"/>
    <w:rsid w:val="00F72172"/>
    <w:rsid w:val="00F72D06"/>
    <w:rsid w:val="00F72D18"/>
    <w:rsid w:val="00F72EF7"/>
    <w:rsid w:val="00F72F43"/>
    <w:rsid w:val="00F7300A"/>
    <w:rsid w:val="00F73403"/>
    <w:rsid w:val="00F738B4"/>
    <w:rsid w:val="00F73990"/>
    <w:rsid w:val="00F73B40"/>
    <w:rsid w:val="00F73CC6"/>
    <w:rsid w:val="00F74028"/>
    <w:rsid w:val="00F74103"/>
    <w:rsid w:val="00F7437E"/>
    <w:rsid w:val="00F74A1E"/>
    <w:rsid w:val="00F74B1C"/>
    <w:rsid w:val="00F74C73"/>
    <w:rsid w:val="00F7530B"/>
    <w:rsid w:val="00F758DB"/>
    <w:rsid w:val="00F75DA2"/>
    <w:rsid w:val="00F76132"/>
    <w:rsid w:val="00F76906"/>
    <w:rsid w:val="00F76D89"/>
    <w:rsid w:val="00F771DD"/>
    <w:rsid w:val="00F77506"/>
    <w:rsid w:val="00F804EE"/>
    <w:rsid w:val="00F80B82"/>
    <w:rsid w:val="00F82E06"/>
    <w:rsid w:val="00F835EB"/>
    <w:rsid w:val="00F8378F"/>
    <w:rsid w:val="00F83D0A"/>
    <w:rsid w:val="00F84137"/>
    <w:rsid w:val="00F84312"/>
    <w:rsid w:val="00F84EAB"/>
    <w:rsid w:val="00F851AB"/>
    <w:rsid w:val="00F853F4"/>
    <w:rsid w:val="00F856C6"/>
    <w:rsid w:val="00F8584C"/>
    <w:rsid w:val="00F85C00"/>
    <w:rsid w:val="00F85D7C"/>
    <w:rsid w:val="00F860F4"/>
    <w:rsid w:val="00F8634E"/>
    <w:rsid w:val="00F869AF"/>
    <w:rsid w:val="00F86EED"/>
    <w:rsid w:val="00F874AA"/>
    <w:rsid w:val="00F87CBB"/>
    <w:rsid w:val="00F87E4E"/>
    <w:rsid w:val="00F90101"/>
    <w:rsid w:val="00F90429"/>
    <w:rsid w:val="00F90934"/>
    <w:rsid w:val="00F90AAF"/>
    <w:rsid w:val="00F90C4B"/>
    <w:rsid w:val="00F90D64"/>
    <w:rsid w:val="00F90DB2"/>
    <w:rsid w:val="00F9130D"/>
    <w:rsid w:val="00F9160A"/>
    <w:rsid w:val="00F9174B"/>
    <w:rsid w:val="00F91A52"/>
    <w:rsid w:val="00F91A59"/>
    <w:rsid w:val="00F91C3A"/>
    <w:rsid w:val="00F91D92"/>
    <w:rsid w:val="00F92339"/>
    <w:rsid w:val="00F924CC"/>
    <w:rsid w:val="00F93217"/>
    <w:rsid w:val="00F93370"/>
    <w:rsid w:val="00F93DC6"/>
    <w:rsid w:val="00F94589"/>
    <w:rsid w:val="00F9471D"/>
    <w:rsid w:val="00F94788"/>
    <w:rsid w:val="00F9481D"/>
    <w:rsid w:val="00F94B47"/>
    <w:rsid w:val="00F94BBB"/>
    <w:rsid w:val="00F9517F"/>
    <w:rsid w:val="00F954DA"/>
    <w:rsid w:val="00F95522"/>
    <w:rsid w:val="00F959D0"/>
    <w:rsid w:val="00F9677A"/>
    <w:rsid w:val="00F96894"/>
    <w:rsid w:val="00F96939"/>
    <w:rsid w:val="00F96EA0"/>
    <w:rsid w:val="00F978B9"/>
    <w:rsid w:val="00F97C01"/>
    <w:rsid w:val="00F97DBD"/>
    <w:rsid w:val="00FA00CE"/>
    <w:rsid w:val="00FA0769"/>
    <w:rsid w:val="00FA099F"/>
    <w:rsid w:val="00FA0F38"/>
    <w:rsid w:val="00FA1047"/>
    <w:rsid w:val="00FA13EC"/>
    <w:rsid w:val="00FA2320"/>
    <w:rsid w:val="00FA257E"/>
    <w:rsid w:val="00FA2656"/>
    <w:rsid w:val="00FA281F"/>
    <w:rsid w:val="00FA2F43"/>
    <w:rsid w:val="00FA303E"/>
    <w:rsid w:val="00FA36C9"/>
    <w:rsid w:val="00FA373D"/>
    <w:rsid w:val="00FA393F"/>
    <w:rsid w:val="00FA3D8E"/>
    <w:rsid w:val="00FA3F24"/>
    <w:rsid w:val="00FA42D1"/>
    <w:rsid w:val="00FA49C8"/>
    <w:rsid w:val="00FA49D7"/>
    <w:rsid w:val="00FA5147"/>
    <w:rsid w:val="00FA53A1"/>
    <w:rsid w:val="00FA5507"/>
    <w:rsid w:val="00FA5657"/>
    <w:rsid w:val="00FA56FE"/>
    <w:rsid w:val="00FA60B2"/>
    <w:rsid w:val="00FA6594"/>
    <w:rsid w:val="00FA71DF"/>
    <w:rsid w:val="00FA77E1"/>
    <w:rsid w:val="00FA7A28"/>
    <w:rsid w:val="00FA7AB7"/>
    <w:rsid w:val="00FB06CC"/>
    <w:rsid w:val="00FB0814"/>
    <w:rsid w:val="00FB148A"/>
    <w:rsid w:val="00FB1CF6"/>
    <w:rsid w:val="00FB1F49"/>
    <w:rsid w:val="00FB295F"/>
    <w:rsid w:val="00FB2A71"/>
    <w:rsid w:val="00FB2B5F"/>
    <w:rsid w:val="00FB2C91"/>
    <w:rsid w:val="00FB2EBA"/>
    <w:rsid w:val="00FB2F6E"/>
    <w:rsid w:val="00FB3564"/>
    <w:rsid w:val="00FB4637"/>
    <w:rsid w:val="00FB535A"/>
    <w:rsid w:val="00FB5564"/>
    <w:rsid w:val="00FB5AA1"/>
    <w:rsid w:val="00FB6780"/>
    <w:rsid w:val="00FB6938"/>
    <w:rsid w:val="00FB6C11"/>
    <w:rsid w:val="00FB6EAB"/>
    <w:rsid w:val="00FB6FCD"/>
    <w:rsid w:val="00FB764A"/>
    <w:rsid w:val="00FB7B02"/>
    <w:rsid w:val="00FB7B7C"/>
    <w:rsid w:val="00FB7BF2"/>
    <w:rsid w:val="00FB7E46"/>
    <w:rsid w:val="00FC0136"/>
    <w:rsid w:val="00FC016C"/>
    <w:rsid w:val="00FC035C"/>
    <w:rsid w:val="00FC0EB7"/>
    <w:rsid w:val="00FC18FB"/>
    <w:rsid w:val="00FC2406"/>
    <w:rsid w:val="00FC2781"/>
    <w:rsid w:val="00FC2A71"/>
    <w:rsid w:val="00FC3324"/>
    <w:rsid w:val="00FC3391"/>
    <w:rsid w:val="00FC45A7"/>
    <w:rsid w:val="00FC46C5"/>
    <w:rsid w:val="00FC557E"/>
    <w:rsid w:val="00FC565C"/>
    <w:rsid w:val="00FC5B0B"/>
    <w:rsid w:val="00FC5EC3"/>
    <w:rsid w:val="00FC751D"/>
    <w:rsid w:val="00FC79EE"/>
    <w:rsid w:val="00FC7A39"/>
    <w:rsid w:val="00FD0C7E"/>
    <w:rsid w:val="00FD0D78"/>
    <w:rsid w:val="00FD12A9"/>
    <w:rsid w:val="00FD1303"/>
    <w:rsid w:val="00FD16FC"/>
    <w:rsid w:val="00FD190D"/>
    <w:rsid w:val="00FD2188"/>
    <w:rsid w:val="00FD239F"/>
    <w:rsid w:val="00FD29EB"/>
    <w:rsid w:val="00FD39D6"/>
    <w:rsid w:val="00FD3E78"/>
    <w:rsid w:val="00FD3FB1"/>
    <w:rsid w:val="00FD4342"/>
    <w:rsid w:val="00FD45EC"/>
    <w:rsid w:val="00FD4D4B"/>
    <w:rsid w:val="00FD503F"/>
    <w:rsid w:val="00FD5602"/>
    <w:rsid w:val="00FD59D1"/>
    <w:rsid w:val="00FD5B57"/>
    <w:rsid w:val="00FD5EF3"/>
    <w:rsid w:val="00FD68A5"/>
    <w:rsid w:val="00FD6CAF"/>
    <w:rsid w:val="00FD7000"/>
    <w:rsid w:val="00FD7A8E"/>
    <w:rsid w:val="00FD7BD8"/>
    <w:rsid w:val="00FD7C90"/>
    <w:rsid w:val="00FD7CB7"/>
    <w:rsid w:val="00FD7D59"/>
    <w:rsid w:val="00FE00DD"/>
    <w:rsid w:val="00FE066A"/>
    <w:rsid w:val="00FE0FD8"/>
    <w:rsid w:val="00FE1616"/>
    <w:rsid w:val="00FE1710"/>
    <w:rsid w:val="00FE1AC4"/>
    <w:rsid w:val="00FE1EC3"/>
    <w:rsid w:val="00FE2BAE"/>
    <w:rsid w:val="00FE3B4B"/>
    <w:rsid w:val="00FE3D1A"/>
    <w:rsid w:val="00FE4791"/>
    <w:rsid w:val="00FE48F4"/>
    <w:rsid w:val="00FE4949"/>
    <w:rsid w:val="00FE4D87"/>
    <w:rsid w:val="00FE4DDB"/>
    <w:rsid w:val="00FE5245"/>
    <w:rsid w:val="00FE5C32"/>
    <w:rsid w:val="00FE5DA4"/>
    <w:rsid w:val="00FE658A"/>
    <w:rsid w:val="00FE686D"/>
    <w:rsid w:val="00FE6BC5"/>
    <w:rsid w:val="00FE6DF9"/>
    <w:rsid w:val="00FE6F01"/>
    <w:rsid w:val="00FE7020"/>
    <w:rsid w:val="00FE76ED"/>
    <w:rsid w:val="00FE790D"/>
    <w:rsid w:val="00FE7B42"/>
    <w:rsid w:val="00FE7BE9"/>
    <w:rsid w:val="00FE7F2F"/>
    <w:rsid w:val="00FF0211"/>
    <w:rsid w:val="00FF0538"/>
    <w:rsid w:val="00FF07EE"/>
    <w:rsid w:val="00FF0B29"/>
    <w:rsid w:val="00FF12EF"/>
    <w:rsid w:val="00FF1F42"/>
    <w:rsid w:val="00FF1FC2"/>
    <w:rsid w:val="00FF248E"/>
    <w:rsid w:val="00FF2561"/>
    <w:rsid w:val="00FF286D"/>
    <w:rsid w:val="00FF296C"/>
    <w:rsid w:val="00FF2FEC"/>
    <w:rsid w:val="00FF30D7"/>
    <w:rsid w:val="00FF318E"/>
    <w:rsid w:val="00FF3458"/>
    <w:rsid w:val="00FF3AA8"/>
    <w:rsid w:val="00FF3EAA"/>
    <w:rsid w:val="00FF3F54"/>
    <w:rsid w:val="00FF43F8"/>
    <w:rsid w:val="00FF48A8"/>
    <w:rsid w:val="00FF5A52"/>
    <w:rsid w:val="00FF5C13"/>
    <w:rsid w:val="00FF5CC4"/>
    <w:rsid w:val="00FF6208"/>
    <w:rsid w:val="00FF63BA"/>
    <w:rsid w:val="00FF6A6F"/>
    <w:rsid w:val="00FF6CF1"/>
    <w:rsid w:val="00FF70C7"/>
    <w:rsid w:val="00FF798E"/>
    <w:rsid w:val="100823D3"/>
    <w:rsid w:val="1B3847A7"/>
    <w:rsid w:val="2A025B64"/>
    <w:rsid w:val="2B8DEF91"/>
    <w:rsid w:val="2D9FE863"/>
    <w:rsid w:val="2DDDF5C4"/>
    <w:rsid w:val="30829800"/>
    <w:rsid w:val="3E95DACE"/>
    <w:rsid w:val="421BBDE0"/>
    <w:rsid w:val="50401937"/>
    <w:rsid w:val="5F8A63DB"/>
    <w:rsid w:val="601C0553"/>
    <w:rsid w:val="69637F02"/>
    <w:rsid w:val="6FA1B4C2"/>
    <w:rsid w:val="720DD346"/>
    <w:rsid w:val="764FCB1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EE0D2"/>
  <w15:chartTrackingRefBased/>
  <w15:docId w15:val="{09E6C8A8-EDF0-4636-AA92-8641A603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AU"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6"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482887"/>
    <w:pPr>
      <w:spacing w:before="0" w:after="0"/>
    </w:pPr>
    <w:rPr>
      <w:rFonts w:ascii="Arial" w:hAnsi="Arial"/>
      <w:sz w:val="20"/>
    </w:rPr>
  </w:style>
  <w:style w:type="paragraph" w:styleId="Heading1">
    <w:name w:val="heading 1"/>
    <w:basedOn w:val="Normal"/>
    <w:next w:val="Body"/>
    <w:link w:val="Heading1Char"/>
    <w:uiPriority w:val="9"/>
    <w:qFormat/>
    <w:rsid w:val="00482887"/>
    <w:pPr>
      <w:pageBreakBefore/>
      <w:numPr>
        <w:numId w:val="16"/>
      </w:numPr>
      <w:spacing w:after="240"/>
      <w:outlineLvl w:val="0"/>
    </w:pPr>
    <w:rPr>
      <w:color w:val="DE2060" w:themeColor="accent1"/>
      <w:sz w:val="40"/>
      <w:szCs w:val="40"/>
    </w:rPr>
  </w:style>
  <w:style w:type="paragraph" w:styleId="Heading2">
    <w:name w:val="heading 2"/>
    <w:aliases w:val="Heading 2 (accessible),1.1 Heading 2 (accessible)"/>
    <w:basedOn w:val="Normal"/>
    <w:next w:val="Body"/>
    <w:link w:val="Heading2Char"/>
    <w:autoRedefine/>
    <w:uiPriority w:val="9"/>
    <w:qFormat/>
    <w:rsid w:val="00FA42D1"/>
    <w:pPr>
      <w:keepNext/>
      <w:keepLines/>
      <w:numPr>
        <w:ilvl w:val="1"/>
        <w:numId w:val="16"/>
      </w:numPr>
      <w:spacing w:before="240" w:after="160"/>
      <w:ind w:left="794"/>
      <w:outlineLvl w:val="1"/>
    </w:pPr>
    <w:rPr>
      <w:rFonts w:eastAsiaTheme="majorEastAsia" w:cs="Arial"/>
      <w:color w:val="3A3A3A"/>
      <w:sz w:val="32"/>
      <w:szCs w:val="32"/>
    </w:rPr>
  </w:style>
  <w:style w:type="paragraph" w:styleId="Heading3">
    <w:name w:val="heading 3"/>
    <w:basedOn w:val="Normal"/>
    <w:next w:val="Body"/>
    <w:link w:val="Heading3Char"/>
    <w:uiPriority w:val="9"/>
    <w:qFormat/>
    <w:rsid w:val="00482887"/>
    <w:pPr>
      <w:keepNext/>
      <w:keepLines/>
      <w:numPr>
        <w:ilvl w:val="2"/>
        <w:numId w:val="16"/>
      </w:numPr>
      <w:spacing w:before="240" w:after="120"/>
      <w:outlineLvl w:val="2"/>
    </w:pPr>
    <w:rPr>
      <w:rFonts w:eastAsiaTheme="majorEastAsia" w:cs="Arial"/>
      <w:color w:val="DE2060" w:themeColor="accent1"/>
      <w:sz w:val="28"/>
      <w:szCs w:val="28"/>
    </w:rPr>
  </w:style>
  <w:style w:type="paragraph" w:styleId="Heading4">
    <w:name w:val="heading 4"/>
    <w:basedOn w:val="Normal"/>
    <w:next w:val="Body"/>
    <w:link w:val="Heading4Char"/>
    <w:uiPriority w:val="3"/>
    <w:qFormat/>
    <w:rsid w:val="00482887"/>
    <w:pPr>
      <w:keepNext/>
      <w:spacing w:before="240" w:after="120"/>
      <w:outlineLvl w:val="3"/>
    </w:pPr>
    <w:rPr>
      <w:color w:val="CB530B" w:themeColor="accent2" w:themeShade="BF"/>
      <w:sz w:val="24"/>
      <w:szCs w:val="21"/>
    </w:rPr>
  </w:style>
  <w:style w:type="paragraph" w:styleId="Heading5">
    <w:name w:val="heading 5"/>
    <w:basedOn w:val="Normal"/>
    <w:next w:val="Body"/>
    <w:link w:val="Heading5Char"/>
    <w:uiPriority w:val="3"/>
    <w:qFormat/>
    <w:rsid w:val="00482887"/>
    <w:pPr>
      <w:keepNext/>
      <w:spacing w:before="240" w:after="120"/>
      <w:outlineLvl w:val="4"/>
    </w:pPr>
    <w:rPr>
      <w:color w:val="DE2060" w:themeColor="accent1"/>
      <w:szCs w:val="20"/>
    </w:rPr>
  </w:style>
  <w:style w:type="paragraph" w:styleId="Heading6">
    <w:name w:val="heading 6"/>
    <w:basedOn w:val="Normal"/>
    <w:next w:val="Normal"/>
    <w:link w:val="Heading6Char"/>
    <w:uiPriority w:val="9"/>
    <w:unhideWhenUsed/>
    <w:rsid w:val="00482887"/>
    <w:pPr>
      <w:keepNext/>
      <w:keepLines/>
      <w:spacing w:before="40"/>
      <w:outlineLvl w:val="5"/>
    </w:pPr>
    <w:rPr>
      <w:rFonts w:asciiTheme="majorHAnsi" w:eastAsiaTheme="majorEastAsia" w:hAnsiTheme="majorHAnsi" w:cstheme="majorBidi"/>
      <w:i/>
      <w:iCs/>
      <w:caps/>
      <w:color w:val="6F102F" w:themeColor="accent1" w:themeShade="80"/>
    </w:rPr>
  </w:style>
  <w:style w:type="paragraph" w:styleId="Heading7">
    <w:name w:val="heading 7"/>
    <w:basedOn w:val="Normal"/>
    <w:next w:val="Normal"/>
    <w:link w:val="Heading7Char"/>
    <w:uiPriority w:val="9"/>
    <w:unhideWhenUsed/>
    <w:qFormat/>
    <w:rsid w:val="00482887"/>
    <w:pPr>
      <w:keepNext/>
      <w:keepLines/>
      <w:spacing w:before="40"/>
      <w:outlineLvl w:val="6"/>
    </w:pPr>
    <w:rPr>
      <w:rFonts w:asciiTheme="majorHAnsi" w:eastAsiaTheme="majorEastAsia" w:hAnsiTheme="majorHAnsi" w:cstheme="majorBidi"/>
      <w:b/>
      <w:bCs/>
      <w:color w:val="6F102F" w:themeColor="accent1" w:themeShade="80"/>
    </w:rPr>
  </w:style>
  <w:style w:type="paragraph" w:styleId="Heading8">
    <w:name w:val="heading 8"/>
    <w:basedOn w:val="Normal"/>
    <w:next w:val="Normal"/>
    <w:link w:val="Heading8Char"/>
    <w:uiPriority w:val="9"/>
    <w:semiHidden/>
    <w:unhideWhenUsed/>
    <w:qFormat/>
    <w:rsid w:val="00482887"/>
    <w:pPr>
      <w:keepNext/>
      <w:keepLines/>
      <w:spacing w:before="40"/>
      <w:outlineLvl w:val="7"/>
    </w:pPr>
    <w:rPr>
      <w:rFonts w:asciiTheme="majorHAnsi" w:eastAsiaTheme="majorEastAsia" w:hAnsiTheme="majorHAnsi" w:cstheme="majorBidi"/>
      <w:b/>
      <w:bCs/>
      <w:i/>
      <w:iCs/>
      <w:color w:val="6F102F" w:themeColor="accent1" w:themeShade="80"/>
    </w:rPr>
  </w:style>
  <w:style w:type="paragraph" w:styleId="Heading9">
    <w:name w:val="heading 9"/>
    <w:basedOn w:val="Normal"/>
    <w:next w:val="Normal"/>
    <w:link w:val="Heading9Char"/>
    <w:uiPriority w:val="9"/>
    <w:semiHidden/>
    <w:unhideWhenUsed/>
    <w:qFormat/>
    <w:rsid w:val="00482887"/>
    <w:pPr>
      <w:keepNext/>
      <w:keepLines/>
      <w:spacing w:before="40"/>
      <w:outlineLvl w:val="8"/>
    </w:pPr>
    <w:rPr>
      <w:rFonts w:asciiTheme="majorHAnsi" w:eastAsiaTheme="majorEastAsia" w:hAnsiTheme="majorHAnsi" w:cstheme="majorBidi"/>
      <w:i/>
      <w:iCs/>
      <w:color w:val="6F102F"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
    <w:name w:val="Body Indent"/>
    <w:basedOn w:val="Body"/>
    <w:next w:val="Body"/>
    <w:qFormat/>
    <w:rsid w:val="00482887"/>
    <w:pPr>
      <w:ind w:left="851"/>
    </w:pPr>
  </w:style>
  <w:style w:type="paragraph" w:styleId="BodyText">
    <w:name w:val="Body Text"/>
    <w:basedOn w:val="Normal"/>
    <w:link w:val="BodyTextChar"/>
    <w:uiPriority w:val="99"/>
    <w:qFormat/>
    <w:rsid w:val="00482887"/>
    <w:pPr>
      <w:spacing w:before="140" w:after="140" w:line="276" w:lineRule="auto"/>
    </w:pPr>
  </w:style>
  <w:style w:type="paragraph" w:styleId="Title">
    <w:name w:val="Title"/>
    <w:basedOn w:val="Body"/>
    <w:next w:val="Body"/>
    <w:link w:val="TitleChar"/>
    <w:uiPriority w:val="10"/>
    <w:qFormat/>
    <w:rsid w:val="00482887"/>
    <w:pPr>
      <w:spacing w:before="0" w:after="0" w:line="240" w:lineRule="auto"/>
      <w:ind w:left="397"/>
    </w:pPr>
    <w:rPr>
      <w:color w:val="DE2060" w:themeColor="accent1"/>
      <w:sz w:val="76"/>
      <w:szCs w:val="76"/>
    </w:rPr>
  </w:style>
  <w:style w:type="character" w:customStyle="1" w:styleId="TitleChar">
    <w:name w:val="Title Char"/>
    <w:basedOn w:val="DefaultParagraphFont"/>
    <w:link w:val="Title"/>
    <w:uiPriority w:val="10"/>
    <w:rsid w:val="00482887"/>
    <w:rPr>
      <w:rFonts w:ascii="Arial" w:eastAsia="Times New Roman" w:hAnsi="Arial" w:cs="Times New Roman"/>
      <w:color w:val="DE2060" w:themeColor="accent1"/>
      <w:sz w:val="76"/>
      <w:szCs w:val="76"/>
    </w:rPr>
  </w:style>
  <w:style w:type="paragraph" w:customStyle="1" w:styleId="MajorHeading">
    <w:name w:val="Major Heading"/>
    <w:basedOn w:val="Normal"/>
    <w:next w:val="Normal"/>
    <w:link w:val="MajorHeadingChar"/>
    <w:uiPriority w:val="3"/>
    <w:qFormat/>
    <w:rsid w:val="00482887"/>
    <w:pPr>
      <w:pageBreakBefore/>
      <w:spacing w:after="240"/>
      <w:outlineLvl w:val="0"/>
    </w:pPr>
    <w:rPr>
      <w:color w:val="DE2060" w:themeColor="accent1"/>
      <w:sz w:val="40"/>
      <w:szCs w:val="40"/>
    </w:rPr>
  </w:style>
  <w:style w:type="character" w:customStyle="1" w:styleId="MajorHeadingChar">
    <w:name w:val="Major Heading Char"/>
    <w:basedOn w:val="DefaultParagraphFont"/>
    <w:link w:val="MajorHeading"/>
    <w:uiPriority w:val="3"/>
    <w:rsid w:val="00482887"/>
    <w:rPr>
      <w:rFonts w:ascii="Arial" w:hAnsi="Arial"/>
      <w:color w:val="DE2060" w:themeColor="accent1"/>
      <w:sz w:val="40"/>
      <w:szCs w:val="40"/>
    </w:rPr>
  </w:style>
  <w:style w:type="paragraph" w:styleId="NoSpacing">
    <w:name w:val="No Spacing"/>
    <w:uiPriority w:val="1"/>
    <w:qFormat/>
    <w:rsid w:val="00482887"/>
    <w:pPr>
      <w:spacing w:before="0" w:after="0"/>
    </w:pPr>
    <w:rPr>
      <w:rFonts w:ascii="Arial" w:hAnsi="Arial"/>
      <w:sz w:val="20"/>
    </w:rPr>
  </w:style>
  <w:style w:type="paragraph" w:styleId="Header">
    <w:name w:val="header"/>
    <w:basedOn w:val="Normal"/>
    <w:link w:val="HeaderChar"/>
    <w:uiPriority w:val="99"/>
    <w:unhideWhenUsed/>
    <w:rsid w:val="00482887"/>
    <w:pPr>
      <w:tabs>
        <w:tab w:val="center" w:pos="4513"/>
        <w:tab w:val="right" w:pos="9026"/>
      </w:tabs>
    </w:pPr>
  </w:style>
  <w:style w:type="character" w:customStyle="1" w:styleId="HeaderChar">
    <w:name w:val="Header Char"/>
    <w:basedOn w:val="DefaultParagraphFont"/>
    <w:link w:val="Header"/>
    <w:uiPriority w:val="99"/>
    <w:rsid w:val="00482887"/>
    <w:rPr>
      <w:rFonts w:ascii="Arial" w:hAnsi="Arial"/>
      <w:sz w:val="20"/>
    </w:rPr>
  </w:style>
  <w:style w:type="paragraph" w:styleId="Footer">
    <w:name w:val="footer"/>
    <w:basedOn w:val="Normal"/>
    <w:link w:val="FooterChar"/>
    <w:uiPriority w:val="99"/>
    <w:unhideWhenUsed/>
    <w:rsid w:val="00482887"/>
    <w:pPr>
      <w:tabs>
        <w:tab w:val="center" w:pos="4513"/>
        <w:tab w:val="right" w:pos="9026"/>
      </w:tabs>
    </w:pPr>
  </w:style>
  <w:style w:type="character" w:customStyle="1" w:styleId="FooterChar">
    <w:name w:val="Footer Char"/>
    <w:basedOn w:val="DefaultParagraphFont"/>
    <w:link w:val="Footer"/>
    <w:uiPriority w:val="99"/>
    <w:rsid w:val="00482887"/>
    <w:rPr>
      <w:rFonts w:ascii="Arial" w:hAnsi="Arial"/>
      <w:sz w:val="20"/>
    </w:rPr>
  </w:style>
  <w:style w:type="paragraph" w:customStyle="1" w:styleId="SubHeading1">
    <w:name w:val="Sub Heading 1"/>
    <w:basedOn w:val="Normal"/>
    <w:next w:val="Body"/>
    <w:link w:val="SubHeading1Char"/>
    <w:uiPriority w:val="3"/>
    <w:qFormat/>
    <w:rsid w:val="00482887"/>
    <w:pPr>
      <w:keepNext/>
      <w:spacing w:before="120" w:after="120"/>
    </w:pPr>
    <w:rPr>
      <w:bCs/>
      <w:color w:val="DE2060" w:themeColor="accent1"/>
      <w:sz w:val="32"/>
      <w:szCs w:val="32"/>
    </w:rPr>
  </w:style>
  <w:style w:type="character" w:customStyle="1" w:styleId="SubHeading1Char">
    <w:name w:val="Sub Heading 1 Char"/>
    <w:basedOn w:val="DefaultParagraphFont"/>
    <w:link w:val="SubHeading1"/>
    <w:uiPriority w:val="3"/>
    <w:rsid w:val="00482887"/>
    <w:rPr>
      <w:rFonts w:ascii="Arial" w:hAnsi="Arial"/>
      <w:bCs/>
      <w:color w:val="DE2060" w:themeColor="accent1"/>
      <w:sz w:val="32"/>
      <w:szCs w:val="32"/>
    </w:rPr>
  </w:style>
  <w:style w:type="paragraph" w:styleId="TOC1">
    <w:name w:val="toc 1"/>
    <w:basedOn w:val="Normal"/>
    <w:next w:val="Normal"/>
    <w:autoRedefine/>
    <w:uiPriority w:val="39"/>
    <w:unhideWhenUsed/>
    <w:qFormat/>
    <w:rsid w:val="004D16B4"/>
    <w:pPr>
      <w:tabs>
        <w:tab w:val="left" w:pos="1843"/>
        <w:tab w:val="right" w:leader="dot" w:pos="9638"/>
      </w:tabs>
      <w:spacing w:before="120" w:after="120"/>
      <w:ind w:left="567" w:hanging="567"/>
    </w:pPr>
    <w:rPr>
      <w:rFonts w:eastAsia="Times New Roman" w:cs="Times New Roman"/>
      <w:bCs/>
      <w:noProof/>
      <w:szCs w:val="20"/>
    </w:rPr>
  </w:style>
  <w:style w:type="paragraph" w:styleId="TOC2">
    <w:name w:val="toc 2"/>
    <w:basedOn w:val="Normal"/>
    <w:next w:val="Normal"/>
    <w:link w:val="TOC2Char"/>
    <w:uiPriority w:val="39"/>
    <w:unhideWhenUsed/>
    <w:qFormat/>
    <w:rsid w:val="00482887"/>
    <w:pPr>
      <w:tabs>
        <w:tab w:val="left" w:pos="1134"/>
        <w:tab w:val="right" w:leader="dot" w:pos="9638"/>
      </w:tabs>
      <w:spacing w:before="60" w:after="60"/>
      <w:ind w:left="1134" w:hanging="567"/>
    </w:pPr>
    <w:rPr>
      <w:rFonts w:eastAsia="Times New Roman" w:cs="Times New Roman"/>
      <w:noProof/>
      <w:szCs w:val="20"/>
    </w:rPr>
  </w:style>
  <w:style w:type="character" w:customStyle="1" w:styleId="TOC2Char">
    <w:name w:val="TOC 2 Char"/>
    <w:basedOn w:val="DefaultParagraphFont"/>
    <w:link w:val="TOC2"/>
    <w:uiPriority w:val="39"/>
    <w:rsid w:val="00482887"/>
    <w:rPr>
      <w:rFonts w:ascii="Arial" w:eastAsia="Times New Roman" w:hAnsi="Arial" w:cs="Times New Roman"/>
      <w:noProof/>
      <w:sz w:val="20"/>
      <w:szCs w:val="20"/>
    </w:rPr>
  </w:style>
  <w:style w:type="paragraph" w:styleId="TOC3">
    <w:name w:val="toc 3"/>
    <w:basedOn w:val="Normal"/>
    <w:next w:val="Normal"/>
    <w:uiPriority w:val="39"/>
    <w:unhideWhenUsed/>
    <w:qFormat/>
    <w:rsid w:val="00482887"/>
    <w:pPr>
      <w:tabs>
        <w:tab w:val="left" w:pos="1843"/>
        <w:tab w:val="right" w:leader="dot" w:pos="9638"/>
      </w:tabs>
      <w:spacing w:before="60" w:after="60"/>
      <w:ind w:left="1843" w:hanging="709"/>
    </w:pPr>
    <w:rPr>
      <w:rFonts w:eastAsia="Times New Roman" w:cs="Times New Roman"/>
      <w:noProof/>
      <w:szCs w:val="20"/>
    </w:rPr>
  </w:style>
  <w:style w:type="character" w:styleId="Hyperlink">
    <w:name w:val="Hyperlink"/>
    <w:basedOn w:val="DefaultParagraphFont"/>
    <w:uiPriority w:val="99"/>
    <w:unhideWhenUsed/>
    <w:rsid w:val="00482887"/>
    <w:rPr>
      <w:color w:val="000000" w:themeColor="text1"/>
      <w:u w:val="single"/>
    </w:rPr>
  </w:style>
  <w:style w:type="paragraph" w:styleId="TableofFigures">
    <w:name w:val="table of figures"/>
    <w:basedOn w:val="Normal"/>
    <w:next w:val="Normal"/>
    <w:uiPriority w:val="99"/>
    <w:unhideWhenUsed/>
    <w:rsid w:val="00482887"/>
    <w:pPr>
      <w:spacing w:before="60" w:after="60"/>
      <w:ind w:left="1134" w:right="567" w:hanging="1134"/>
    </w:pPr>
    <w:rPr>
      <w:color w:val="000000" w:themeColor="text1"/>
    </w:rPr>
  </w:style>
  <w:style w:type="paragraph" w:customStyle="1" w:styleId="Subheading2">
    <w:name w:val="Sub heading 2"/>
    <w:basedOn w:val="SubHeading1"/>
    <w:next w:val="Body"/>
    <w:link w:val="Subheading2Char"/>
    <w:uiPriority w:val="3"/>
    <w:qFormat/>
    <w:rsid w:val="00482887"/>
    <w:rPr>
      <w:sz w:val="24"/>
      <w:szCs w:val="24"/>
    </w:rPr>
  </w:style>
  <w:style w:type="character" w:customStyle="1" w:styleId="Subheading2Char">
    <w:name w:val="Sub heading 2 Char"/>
    <w:basedOn w:val="SubHeading1Char"/>
    <w:link w:val="Subheading2"/>
    <w:uiPriority w:val="3"/>
    <w:rsid w:val="00482887"/>
    <w:rPr>
      <w:rFonts w:ascii="Arial" w:hAnsi="Arial"/>
      <w:bCs/>
      <w:color w:val="DE2060" w:themeColor="accent1"/>
      <w:sz w:val="24"/>
      <w:szCs w:val="24"/>
    </w:rPr>
  </w:style>
  <w:style w:type="paragraph" w:styleId="Subtitle">
    <w:name w:val="Subtitle"/>
    <w:basedOn w:val="Body"/>
    <w:next w:val="Body"/>
    <w:link w:val="SubtitleChar"/>
    <w:uiPriority w:val="11"/>
    <w:qFormat/>
    <w:rsid w:val="00482887"/>
    <w:pPr>
      <w:spacing w:before="0" w:after="0" w:line="240" w:lineRule="auto"/>
      <w:ind w:left="397"/>
    </w:pPr>
    <w:rPr>
      <w:color w:val="DE2060" w:themeColor="accent1"/>
      <w:sz w:val="36"/>
      <w:szCs w:val="36"/>
    </w:rPr>
  </w:style>
  <w:style w:type="character" w:customStyle="1" w:styleId="SubtitleChar">
    <w:name w:val="Subtitle Char"/>
    <w:basedOn w:val="DefaultParagraphFont"/>
    <w:link w:val="Subtitle"/>
    <w:uiPriority w:val="11"/>
    <w:rsid w:val="00482887"/>
    <w:rPr>
      <w:rFonts w:ascii="Arial" w:eastAsia="Times New Roman" w:hAnsi="Arial" w:cs="Times New Roman"/>
      <w:color w:val="DE2060" w:themeColor="accent1"/>
      <w:sz w:val="36"/>
      <w:szCs w:val="36"/>
    </w:rPr>
  </w:style>
  <w:style w:type="paragraph" w:customStyle="1" w:styleId="BaseFigureNotes">
    <w:name w:val="Base Figure Notes"/>
    <w:basedOn w:val="Normal"/>
    <w:next w:val="Normal"/>
    <w:uiPriority w:val="7"/>
    <w:qFormat/>
    <w:rsid w:val="00482887"/>
    <w:pPr>
      <w:spacing w:before="120" w:after="120"/>
    </w:pPr>
    <w:rPr>
      <w:sz w:val="18"/>
    </w:rPr>
  </w:style>
  <w:style w:type="character" w:customStyle="1" w:styleId="Heading1Char">
    <w:name w:val="Heading 1 Char"/>
    <w:basedOn w:val="DefaultParagraphFont"/>
    <w:link w:val="Heading1"/>
    <w:uiPriority w:val="9"/>
    <w:rsid w:val="00482887"/>
    <w:rPr>
      <w:rFonts w:ascii="Arial" w:hAnsi="Arial"/>
      <w:color w:val="DE2060" w:themeColor="accent1"/>
      <w:sz w:val="40"/>
      <w:szCs w:val="40"/>
    </w:rPr>
  </w:style>
  <w:style w:type="character" w:customStyle="1" w:styleId="Heading2Char">
    <w:name w:val="Heading 2 Char"/>
    <w:aliases w:val="Heading 2 (accessible) Char,1.1 Heading 2 (accessible) Char"/>
    <w:basedOn w:val="DefaultParagraphFont"/>
    <w:link w:val="Heading2"/>
    <w:uiPriority w:val="9"/>
    <w:rsid w:val="00FA42D1"/>
    <w:rPr>
      <w:rFonts w:ascii="Arial" w:eastAsiaTheme="majorEastAsia" w:hAnsi="Arial" w:cs="Arial"/>
      <w:color w:val="3A3A3A"/>
      <w:sz w:val="32"/>
      <w:szCs w:val="32"/>
    </w:rPr>
  </w:style>
  <w:style w:type="character" w:customStyle="1" w:styleId="Heading3Char">
    <w:name w:val="Heading 3 Char"/>
    <w:basedOn w:val="DefaultParagraphFont"/>
    <w:link w:val="Heading3"/>
    <w:uiPriority w:val="9"/>
    <w:rsid w:val="00482887"/>
    <w:rPr>
      <w:rFonts w:ascii="Arial" w:eastAsiaTheme="majorEastAsia" w:hAnsi="Arial" w:cs="Arial"/>
      <w:color w:val="DE2060" w:themeColor="accent1"/>
      <w:sz w:val="28"/>
      <w:szCs w:val="28"/>
    </w:rPr>
  </w:style>
  <w:style w:type="paragraph" w:styleId="Caption">
    <w:name w:val="caption"/>
    <w:basedOn w:val="Quote2"/>
    <w:next w:val="Body"/>
    <w:link w:val="CaptionChar"/>
    <w:autoRedefine/>
    <w:uiPriority w:val="35"/>
    <w:qFormat/>
    <w:rsid w:val="00482887"/>
    <w:pPr>
      <w:keepNext/>
      <w:tabs>
        <w:tab w:val="left" w:pos="1134"/>
      </w:tabs>
      <w:spacing w:after="120"/>
      <w:ind w:right="0" w:hanging="1134"/>
      <w:jc w:val="left"/>
    </w:pPr>
    <w:rPr>
      <w:rFonts w:ascii="Arial" w:hAnsi="Arial" w:cs="Arial"/>
      <w:b/>
      <w:color w:val="F3772C" w:themeColor="accent2"/>
      <w:sz w:val="21"/>
      <w:szCs w:val="21"/>
    </w:rPr>
  </w:style>
  <w:style w:type="table" w:styleId="GridTable2-Accent1">
    <w:name w:val="Grid Table 2 Accent 1"/>
    <w:basedOn w:val="TableNormal"/>
    <w:uiPriority w:val="47"/>
    <w:locked/>
    <w:rsid w:val="00482887"/>
    <w:pPr>
      <w:spacing w:before="0" w:after="0"/>
    </w:pPr>
    <w:rPr>
      <w:rFonts w:ascii="Arial" w:hAnsi="Arial"/>
      <w:sz w:val="22"/>
      <w:szCs w:val="22"/>
    </w:rPr>
    <w:tblPr>
      <w:tblStyleRowBandSize w:val="1"/>
      <w:tblStyleColBandSize w:val="1"/>
      <w:tblBorders>
        <w:top w:val="single" w:sz="2" w:space="0" w:color="EB789F" w:themeColor="accent1" w:themeTint="99"/>
        <w:bottom w:val="single" w:sz="2" w:space="0" w:color="EB789F" w:themeColor="accent1" w:themeTint="99"/>
        <w:insideH w:val="single" w:sz="2" w:space="0" w:color="EB789F" w:themeColor="accent1" w:themeTint="99"/>
        <w:insideV w:val="single" w:sz="2" w:space="0" w:color="EB789F" w:themeColor="accent1" w:themeTint="99"/>
      </w:tblBorders>
    </w:tblPr>
    <w:tblStylePr w:type="firstRow">
      <w:pPr>
        <w:jc w:val="left"/>
      </w:pPr>
      <w:rPr>
        <w:b/>
        <w:bCs/>
      </w:rPr>
      <w:tblPr/>
      <w:tcPr>
        <w:tcBorders>
          <w:top w:val="nil"/>
          <w:bottom w:val="single" w:sz="12" w:space="0" w:color="EB789F" w:themeColor="accent1" w:themeTint="99"/>
          <w:insideH w:val="nil"/>
          <w:insideV w:val="nil"/>
        </w:tcBorders>
        <w:shd w:val="clear" w:color="auto" w:fill="FFFFFF" w:themeFill="background1"/>
        <w:vAlign w:val="bottom"/>
      </w:tcPr>
    </w:tblStylePr>
    <w:tblStylePr w:type="lastRow">
      <w:rPr>
        <w:b/>
        <w:bCs/>
      </w:rPr>
      <w:tblPr/>
      <w:tcPr>
        <w:tcBorders>
          <w:top w:val="double" w:sz="2" w:space="0" w:color="EB789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2DE" w:themeFill="accent1" w:themeFillTint="33"/>
      </w:tcPr>
    </w:tblStylePr>
    <w:tblStylePr w:type="band1Horz">
      <w:tblPr/>
      <w:tcPr>
        <w:shd w:val="clear" w:color="auto" w:fill="F8D2DE" w:themeFill="accent1" w:themeFillTint="33"/>
      </w:tcPr>
    </w:tblStylePr>
  </w:style>
  <w:style w:type="paragraph" w:styleId="FootnoteText">
    <w:name w:val="footnote text"/>
    <w:aliases w:val="Char"/>
    <w:basedOn w:val="Normal"/>
    <w:link w:val="FootnoteTextChar"/>
    <w:uiPriority w:val="99"/>
    <w:rsid w:val="001213B7"/>
    <w:pPr>
      <w:spacing w:before="60"/>
    </w:pPr>
    <w:rPr>
      <w:rFonts w:eastAsia="Times New Roman" w:cs="Times New Roman"/>
      <w:sz w:val="18"/>
      <w:szCs w:val="20"/>
      <w:lang w:val="en-US"/>
    </w:rPr>
  </w:style>
  <w:style w:type="character" w:customStyle="1" w:styleId="FootnoteTextChar">
    <w:name w:val="Footnote Text Char"/>
    <w:aliases w:val="Char Char"/>
    <w:basedOn w:val="DefaultParagraphFont"/>
    <w:link w:val="FootnoteText"/>
    <w:uiPriority w:val="99"/>
    <w:rsid w:val="001213B7"/>
    <w:rPr>
      <w:rFonts w:ascii="Arial" w:eastAsia="Times New Roman" w:hAnsi="Arial" w:cs="Times New Roman"/>
      <w:szCs w:val="20"/>
      <w:lang w:val="en-US"/>
    </w:rPr>
  </w:style>
  <w:style w:type="character" w:styleId="FootnoteReference">
    <w:name w:val="footnote reference"/>
    <w:uiPriority w:val="99"/>
    <w:rsid w:val="00482887"/>
    <w:rPr>
      <w:rFonts w:ascii="Arial" w:hAnsi="Arial"/>
      <w:sz w:val="16"/>
      <w:vertAlign w:val="superscript"/>
    </w:rPr>
  </w:style>
  <w:style w:type="table" w:styleId="GridTable2-Accent2">
    <w:name w:val="Grid Table 2 Accent 2"/>
    <w:basedOn w:val="TableNormal"/>
    <w:uiPriority w:val="47"/>
    <w:locked/>
    <w:rsid w:val="00482887"/>
    <w:pPr>
      <w:spacing w:before="0" w:after="0"/>
    </w:pPr>
    <w:rPr>
      <w:rFonts w:ascii="Arial" w:hAnsi="Arial"/>
      <w:szCs w:val="22"/>
    </w:rPr>
    <w:tblPr>
      <w:tblStyleRowBandSize w:val="1"/>
      <w:tblStyleColBandSize w:val="1"/>
      <w:tblBorders>
        <w:top w:val="single" w:sz="2" w:space="0" w:color="F7AD80" w:themeColor="accent2" w:themeTint="99"/>
        <w:bottom w:val="single" w:sz="2" w:space="0" w:color="F7AD80" w:themeColor="accent2" w:themeTint="99"/>
        <w:insideH w:val="single" w:sz="2" w:space="0" w:color="F7AD80" w:themeColor="accent2" w:themeTint="99"/>
        <w:insideV w:val="single" w:sz="2" w:space="0" w:color="F7AD80" w:themeColor="accent2" w:themeTint="99"/>
      </w:tblBorders>
    </w:tblPr>
    <w:tblStylePr w:type="firstRow">
      <w:pPr>
        <w:jc w:val="left"/>
      </w:pPr>
      <w:rPr>
        <w:b/>
        <w:bCs/>
      </w:rPr>
      <w:tblPr/>
      <w:tcPr>
        <w:tcBorders>
          <w:top w:val="nil"/>
          <w:bottom w:val="single" w:sz="12" w:space="0" w:color="F7AD80" w:themeColor="accent2" w:themeTint="99"/>
          <w:insideH w:val="nil"/>
          <w:insideV w:val="nil"/>
        </w:tcBorders>
        <w:shd w:val="clear" w:color="auto" w:fill="FFFFFF" w:themeFill="background1"/>
        <w:vAlign w:val="bottom"/>
      </w:tcPr>
    </w:tblStylePr>
    <w:tblStylePr w:type="lastRow">
      <w:rPr>
        <w:b/>
        <w:bCs/>
      </w:rPr>
      <w:tblPr/>
      <w:tcPr>
        <w:tcBorders>
          <w:top w:val="double" w:sz="2" w:space="0" w:color="F7AD8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3D4" w:themeFill="accent2" w:themeFillTint="33"/>
      </w:tcPr>
    </w:tblStylePr>
    <w:tblStylePr w:type="band1Horz">
      <w:tblPr/>
      <w:tcPr>
        <w:shd w:val="clear" w:color="auto" w:fill="FCE3D4" w:themeFill="accent2" w:themeFillTint="33"/>
      </w:tcPr>
    </w:tblStylePr>
  </w:style>
  <w:style w:type="character" w:customStyle="1" w:styleId="CaptionChar">
    <w:name w:val="Caption Char"/>
    <w:basedOn w:val="DefaultParagraphFont"/>
    <w:link w:val="Caption"/>
    <w:uiPriority w:val="35"/>
    <w:rsid w:val="00482887"/>
    <w:rPr>
      <w:rFonts w:ascii="Arial" w:eastAsia="Times New Roman" w:hAnsi="Arial" w:cs="Arial"/>
      <w:b/>
      <w:bCs/>
      <w:color w:val="F3772C" w:themeColor="accent2"/>
      <w:sz w:val="21"/>
      <w:szCs w:val="21"/>
      <w:lang w:eastAsia="en-AU"/>
    </w:rPr>
  </w:style>
  <w:style w:type="table" w:styleId="GridTable2-Accent3">
    <w:name w:val="Grid Table 2 Accent 3"/>
    <w:basedOn w:val="TableNormal"/>
    <w:uiPriority w:val="47"/>
    <w:locked/>
    <w:rsid w:val="00482887"/>
    <w:pPr>
      <w:spacing w:before="0" w:after="0"/>
    </w:pPr>
    <w:rPr>
      <w:rFonts w:ascii="Arial" w:hAnsi="Arial"/>
      <w:szCs w:val="22"/>
    </w:rPr>
    <w:tblPr>
      <w:tblStyleRowBandSize w:val="1"/>
      <w:tblStyleColBandSize w:val="1"/>
      <w:tblBorders>
        <w:top w:val="single" w:sz="2" w:space="0" w:color="D3E583" w:themeColor="accent3" w:themeTint="99"/>
        <w:bottom w:val="single" w:sz="2" w:space="0" w:color="D3E583" w:themeColor="accent3" w:themeTint="99"/>
        <w:insideH w:val="single" w:sz="2" w:space="0" w:color="D3E583" w:themeColor="accent3" w:themeTint="99"/>
        <w:insideV w:val="single" w:sz="2" w:space="0" w:color="D3E583" w:themeColor="accent3" w:themeTint="99"/>
      </w:tblBorders>
    </w:tblPr>
    <w:tblStylePr w:type="firstRow">
      <w:pPr>
        <w:jc w:val="left"/>
      </w:pPr>
      <w:rPr>
        <w:b/>
        <w:bCs/>
      </w:rPr>
      <w:tblPr/>
      <w:tcPr>
        <w:tcBorders>
          <w:top w:val="nil"/>
          <w:bottom w:val="single" w:sz="12" w:space="0" w:color="D3E583" w:themeColor="accent3" w:themeTint="99"/>
          <w:insideH w:val="nil"/>
          <w:insideV w:val="nil"/>
        </w:tcBorders>
        <w:shd w:val="clear" w:color="auto" w:fill="FFFFFF" w:themeFill="background1"/>
        <w:vAlign w:val="bottom"/>
      </w:tcPr>
    </w:tblStylePr>
    <w:tblStylePr w:type="lastRow">
      <w:rPr>
        <w:b/>
        <w:bCs/>
      </w:rPr>
      <w:tblPr/>
      <w:tcPr>
        <w:tcBorders>
          <w:top w:val="double" w:sz="2" w:space="0" w:color="D3E58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6D5" w:themeFill="accent3" w:themeFillTint="33"/>
      </w:tcPr>
    </w:tblStylePr>
    <w:tblStylePr w:type="band1Horz">
      <w:tblPr/>
      <w:tcPr>
        <w:shd w:val="clear" w:color="auto" w:fill="F0F6D5" w:themeFill="accent3" w:themeFillTint="33"/>
      </w:tcPr>
    </w:tblStylePr>
  </w:style>
  <w:style w:type="character" w:customStyle="1" w:styleId="Heading4Char">
    <w:name w:val="Heading 4 Char"/>
    <w:basedOn w:val="DefaultParagraphFont"/>
    <w:link w:val="Heading4"/>
    <w:uiPriority w:val="3"/>
    <w:rsid w:val="00482887"/>
    <w:rPr>
      <w:rFonts w:ascii="Arial" w:hAnsi="Arial"/>
      <w:color w:val="CB530B" w:themeColor="accent2" w:themeShade="BF"/>
      <w:sz w:val="24"/>
      <w:szCs w:val="21"/>
    </w:rPr>
  </w:style>
  <w:style w:type="character" w:customStyle="1" w:styleId="Heading5Char">
    <w:name w:val="Heading 5 Char"/>
    <w:basedOn w:val="DefaultParagraphFont"/>
    <w:link w:val="Heading5"/>
    <w:uiPriority w:val="3"/>
    <w:rsid w:val="00482887"/>
    <w:rPr>
      <w:rFonts w:ascii="Arial" w:hAnsi="Arial"/>
      <w:color w:val="DE2060" w:themeColor="accent1"/>
      <w:sz w:val="20"/>
      <w:szCs w:val="20"/>
    </w:rPr>
  </w:style>
  <w:style w:type="table" w:styleId="GridTable3-Accent1">
    <w:name w:val="Grid Table 3 Accent 1"/>
    <w:basedOn w:val="TableNormal"/>
    <w:uiPriority w:val="48"/>
    <w:locked/>
    <w:rsid w:val="00482887"/>
    <w:pPr>
      <w:spacing w:before="0" w:after="0"/>
    </w:pPr>
    <w:rPr>
      <w:rFonts w:ascii="Arial" w:hAnsi="Arial"/>
      <w:szCs w:val="22"/>
    </w:rPr>
    <w:tblPr>
      <w:tblStyleRowBandSize w:val="1"/>
      <w:tblStyleColBandSize w:val="1"/>
      <w:tblBorders>
        <w:top w:val="single" w:sz="4" w:space="0" w:color="EB789F" w:themeColor="accent1" w:themeTint="99"/>
        <w:left w:val="single" w:sz="4" w:space="0" w:color="EB789F" w:themeColor="accent1" w:themeTint="99"/>
        <w:bottom w:val="single" w:sz="4" w:space="0" w:color="EB789F" w:themeColor="accent1" w:themeTint="99"/>
        <w:right w:val="single" w:sz="4" w:space="0" w:color="EB789F" w:themeColor="accent1" w:themeTint="99"/>
        <w:insideH w:val="single" w:sz="4" w:space="0" w:color="EB789F" w:themeColor="accent1" w:themeTint="99"/>
        <w:insideV w:val="single" w:sz="4" w:space="0" w:color="EB789F" w:themeColor="accent1"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2DE" w:themeFill="accent1" w:themeFillTint="33"/>
      </w:tcPr>
    </w:tblStylePr>
    <w:tblStylePr w:type="band1Horz">
      <w:tblPr/>
      <w:tcPr>
        <w:shd w:val="clear" w:color="auto" w:fill="F8D2DE" w:themeFill="accent1" w:themeFillTint="33"/>
      </w:tcPr>
    </w:tblStylePr>
    <w:tblStylePr w:type="neCell">
      <w:tblPr/>
      <w:tcPr>
        <w:tcBorders>
          <w:bottom w:val="single" w:sz="4" w:space="0" w:color="EB789F" w:themeColor="accent1" w:themeTint="99"/>
        </w:tcBorders>
      </w:tcPr>
    </w:tblStylePr>
    <w:tblStylePr w:type="nwCell">
      <w:tblPr/>
      <w:tcPr>
        <w:tcBorders>
          <w:bottom w:val="single" w:sz="4" w:space="0" w:color="EB789F" w:themeColor="accent1" w:themeTint="99"/>
        </w:tcBorders>
      </w:tcPr>
    </w:tblStylePr>
    <w:tblStylePr w:type="seCell">
      <w:tblPr/>
      <w:tcPr>
        <w:tcBorders>
          <w:top w:val="single" w:sz="4" w:space="0" w:color="EB789F" w:themeColor="accent1" w:themeTint="99"/>
        </w:tcBorders>
      </w:tcPr>
    </w:tblStylePr>
    <w:tblStylePr w:type="swCell">
      <w:tblPr/>
      <w:tcPr>
        <w:tcBorders>
          <w:top w:val="single" w:sz="4" w:space="0" w:color="EB789F" w:themeColor="accent1" w:themeTint="99"/>
        </w:tcBorders>
      </w:tcPr>
    </w:tblStylePr>
  </w:style>
  <w:style w:type="table" w:styleId="GridTable3-Accent2">
    <w:name w:val="Grid Table 3 Accent 2"/>
    <w:basedOn w:val="TableNormal"/>
    <w:uiPriority w:val="48"/>
    <w:locked/>
    <w:rsid w:val="00482887"/>
    <w:pPr>
      <w:spacing w:before="0" w:after="0"/>
    </w:pPr>
    <w:rPr>
      <w:rFonts w:ascii="Arial" w:hAnsi="Arial"/>
      <w:szCs w:val="22"/>
    </w:rPr>
    <w:tblPr>
      <w:tblStyleRowBandSize w:val="1"/>
      <w:tblStyleColBandSize w:val="1"/>
      <w:tblBorders>
        <w:top w:val="single" w:sz="4" w:space="0" w:color="F7AD80" w:themeColor="accent2" w:themeTint="99"/>
        <w:left w:val="single" w:sz="4" w:space="0" w:color="F7AD80" w:themeColor="accent2" w:themeTint="99"/>
        <w:bottom w:val="single" w:sz="4" w:space="0" w:color="F7AD80" w:themeColor="accent2" w:themeTint="99"/>
        <w:right w:val="single" w:sz="4" w:space="0" w:color="F7AD80" w:themeColor="accent2" w:themeTint="99"/>
        <w:insideH w:val="single" w:sz="4" w:space="0" w:color="F7AD80" w:themeColor="accent2" w:themeTint="99"/>
        <w:insideV w:val="single" w:sz="4" w:space="0" w:color="F7AD80" w:themeColor="accent2"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4" w:themeFill="accent2" w:themeFillTint="33"/>
      </w:tcPr>
    </w:tblStylePr>
    <w:tblStylePr w:type="band1Horz">
      <w:tblPr/>
      <w:tcPr>
        <w:shd w:val="clear" w:color="auto" w:fill="FCE3D4" w:themeFill="accent2" w:themeFillTint="33"/>
      </w:tcPr>
    </w:tblStylePr>
    <w:tblStylePr w:type="neCell">
      <w:tblPr/>
      <w:tcPr>
        <w:tcBorders>
          <w:bottom w:val="single" w:sz="4" w:space="0" w:color="F7AD80" w:themeColor="accent2" w:themeTint="99"/>
        </w:tcBorders>
      </w:tcPr>
    </w:tblStylePr>
    <w:tblStylePr w:type="nwCell">
      <w:tblPr/>
      <w:tcPr>
        <w:tcBorders>
          <w:bottom w:val="single" w:sz="4" w:space="0" w:color="F7AD80" w:themeColor="accent2" w:themeTint="99"/>
        </w:tcBorders>
      </w:tcPr>
    </w:tblStylePr>
    <w:tblStylePr w:type="seCell">
      <w:tblPr/>
      <w:tcPr>
        <w:tcBorders>
          <w:top w:val="single" w:sz="4" w:space="0" w:color="F7AD80" w:themeColor="accent2" w:themeTint="99"/>
        </w:tcBorders>
      </w:tcPr>
    </w:tblStylePr>
    <w:tblStylePr w:type="swCell">
      <w:tblPr/>
      <w:tcPr>
        <w:tcBorders>
          <w:top w:val="single" w:sz="4" w:space="0" w:color="F7AD80" w:themeColor="accent2" w:themeTint="99"/>
        </w:tcBorders>
      </w:tcPr>
    </w:tblStylePr>
  </w:style>
  <w:style w:type="table" w:styleId="GridTable3-Accent6">
    <w:name w:val="Grid Table 3 Accent 6"/>
    <w:basedOn w:val="TableNormal"/>
    <w:uiPriority w:val="48"/>
    <w:locked/>
    <w:rsid w:val="00482887"/>
    <w:pPr>
      <w:spacing w:before="0" w:after="0"/>
    </w:pPr>
    <w:rPr>
      <w:rFonts w:ascii="Arial" w:hAnsi="Arial"/>
      <w:szCs w:val="22"/>
    </w:rPr>
    <w:tblPr>
      <w:tblStyleRowBandSize w:val="1"/>
      <w:tblStyleColBandSize w:val="1"/>
      <w:tblBorders>
        <w:top w:val="single" w:sz="4" w:space="0" w:color="DBCBBF" w:themeColor="accent6" w:themeTint="99"/>
        <w:left w:val="single" w:sz="4" w:space="0" w:color="DBCBBF" w:themeColor="accent6" w:themeTint="99"/>
        <w:bottom w:val="single" w:sz="4" w:space="0" w:color="DBCBBF" w:themeColor="accent6" w:themeTint="99"/>
        <w:right w:val="single" w:sz="4" w:space="0" w:color="DBCBBF" w:themeColor="accent6" w:themeTint="99"/>
        <w:insideH w:val="single" w:sz="4" w:space="0" w:color="DBCBBF" w:themeColor="accent6" w:themeTint="99"/>
        <w:insideV w:val="single" w:sz="4" w:space="0" w:color="DBCBBF" w:themeColor="accent6"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EDE9" w:themeFill="accent6" w:themeFillTint="33"/>
      </w:tcPr>
    </w:tblStylePr>
    <w:tblStylePr w:type="band1Horz">
      <w:tblPr/>
      <w:tcPr>
        <w:shd w:val="clear" w:color="auto" w:fill="F3EDE9" w:themeFill="accent6" w:themeFillTint="33"/>
      </w:tcPr>
    </w:tblStylePr>
    <w:tblStylePr w:type="neCell">
      <w:tblPr/>
      <w:tcPr>
        <w:tcBorders>
          <w:bottom w:val="single" w:sz="4" w:space="0" w:color="DBCBBF" w:themeColor="accent6" w:themeTint="99"/>
        </w:tcBorders>
      </w:tcPr>
    </w:tblStylePr>
    <w:tblStylePr w:type="nwCell">
      <w:tblPr/>
      <w:tcPr>
        <w:tcBorders>
          <w:bottom w:val="single" w:sz="4" w:space="0" w:color="DBCBBF" w:themeColor="accent6" w:themeTint="99"/>
        </w:tcBorders>
      </w:tcPr>
    </w:tblStylePr>
    <w:tblStylePr w:type="seCell">
      <w:tblPr/>
      <w:tcPr>
        <w:tcBorders>
          <w:top w:val="single" w:sz="4" w:space="0" w:color="DBCBBF" w:themeColor="accent6" w:themeTint="99"/>
        </w:tcBorders>
      </w:tcPr>
    </w:tblStylePr>
    <w:tblStylePr w:type="swCell">
      <w:tblPr/>
      <w:tcPr>
        <w:tcBorders>
          <w:top w:val="single" w:sz="4" w:space="0" w:color="DBCBBF" w:themeColor="accent6" w:themeTint="99"/>
        </w:tcBorders>
      </w:tcPr>
    </w:tblStylePr>
  </w:style>
  <w:style w:type="character" w:styleId="BookTitle">
    <w:name w:val="Book Title"/>
    <w:basedOn w:val="DefaultParagraphFont"/>
    <w:uiPriority w:val="33"/>
    <w:qFormat/>
    <w:rsid w:val="00482887"/>
    <w:rPr>
      <w:rFonts w:ascii="Arial" w:hAnsi="Arial"/>
      <w:iCs/>
      <w:color w:val="auto"/>
      <w:spacing w:val="5"/>
      <w:sz w:val="20"/>
      <w:szCs w:val="20"/>
    </w:rPr>
  </w:style>
  <w:style w:type="paragraph" w:styleId="ListBullet">
    <w:name w:val="List Bullet"/>
    <w:basedOn w:val="Normal"/>
    <w:uiPriority w:val="1"/>
    <w:qFormat/>
    <w:rsid w:val="00482887"/>
    <w:pPr>
      <w:numPr>
        <w:numId w:val="12"/>
      </w:numPr>
      <w:spacing w:before="60" w:after="60" w:line="300" w:lineRule="auto"/>
    </w:pPr>
  </w:style>
  <w:style w:type="paragraph" w:styleId="ListBullet2">
    <w:name w:val="List Bullet 2"/>
    <w:basedOn w:val="Normal"/>
    <w:uiPriority w:val="1"/>
    <w:qFormat/>
    <w:rsid w:val="00482887"/>
    <w:pPr>
      <w:numPr>
        <w:numId w:val="13"/>
      </w:numPr>
      <w:spacing w:before="60" w:after="60" w:line="300" w:lineRule="auto"/>
    </w:pPr>
  </w:style>
  <w:style w:type="table" w:styleId="GridTable4">
    <w:name w:val="Grid Table 4"/>
    <w:basedOn w:val="TableNormal"/>
    <w:uiPriority w:val="49"/>
    <w:rsid w:val="00482887"/>
    <w:pPr>
      <w:spacing w:before="0" w:after="0"/>
    </w:pPr>
    <w:rPr>
      <w:rFonts w:ascii="Arial" w:hAnsi="Arial"/>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pPr>
        <w:jc w:val="left"/>
      </w:pPr>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vAlign w:val="bottom"/>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3">
    <w:name w:val="List Bullet 3"/>
    <w:basedOn w:val="Normal"/>
    <w:uiPriority w:val="1"/>
    <w:qFormat/>
    <w:rsid w:val="00482887"/>
    <w:pPr>
      <w:numPr>
        <w:numId w:val="14"/>
      </w:numPr>
      <w:spacing w:before="60" w:after="60" w:line="300" w:lineRule="auto"/>
    </w:pPr>
  </w:style>
  <w:style w:type="table" w:styleId="GridTable4-Accent1">
    <w:name w:val="Grid Table 4 Accent 1"/>
    <w:basedOn w:val="TableNormal"/>
    <w:uiPriority w:val="49"/>
    <w:locked/>
    <w:rsid w:val="00482887"/>
    <w:pPr>
      <w:spacing w:before="0" w:after="0"/>
    </w:pPr>
    <w:rPr>
      <w:rFonts w:ascii="Arial" w:hAnsi="Arial"/>
      <w:szCs w:val="22"/>
    </w:rPr>
    <w:tblPr>
      <w:tblStyleRowBandSize w:val="1"/>
      <w:tblStyleColBandSize w:val="1"/>
      <w:tblBorders>
        <w:top w:val="single" w:sz="4" w:space="0" w:color="F2A5BE" w:themeColor="accent1" w:themeTint="66"/>
        <w:left w:val="single" w:sz="4" w:space="0" w:color="F2A5BE" w:themeColor="accent1" w:themeTint="66"/>
        <w:bottom w:val="single" w:sz="4" w:space="0" w:color="F2A5BE" w:themeColor="accent1" w:themeTint="66"/>
        <w:right w:val="single" w:sz="4" w:space="0" w:color="F2A5BE" w:themeColor="accent1" w:themeTint="66"/>
        <w:insideH w:val="single" w:sz="4" w:space="0" w:color="F2A5BE" w:themeColor="accent1" w:themeTint="66"/>
        <w:insideV w:val="single" w:sz="4" w:space="0" w:color="F2A5BE" w:themeColor="accent1" w:themeTint="66"/>
      </w:tblBorders>
    </w:tblPr>
    <w:tcPr>
      <w:vAlign w:val="bottom"/>
    </w:tcPr>
    <w:tblStylePr w:type="firstRow">
      <w:pPr>
        <w:jc w:val="left"/>
      </w:pPr>
      <w:rPr>
        <w:b/>
        <w:bCs/>
        <w:color w:val="FFFFFF" w:themeColor="background1"/>
      </w:rPr>
      <w:tblPr/>
      <w:tcPr>
        <w:shd w:val="clear" w:color="auto" w:fill="DE2060" w:themeFill="accent1"/>
      </w:tcPr>
    </w:tblStylePr>
    <w:tblStylePr w:type="lastRow">
      <w:rPr>
        <w:b/>
        <w:bCs/>
      </w:rPr>
      <w:tblPr/>
      <w:tcPr>
        <w:tcBorders>
          <w:top w:val="double" w:sz="4" w:space="0" w:color="DE2060" w:themeColor="accent1"/>
        </w:tcBorders>
      </w:tcPr>
    </w:tblStylePr>
    <w:tblStylePr w:type="firstCol">
      <w:rPr>
        <w:b/>
        <w:bCs/>
      </w:rPr>
    </w:tblStylePr>
    <w:tblStylePr w:type="lastCol">
      <w:rPr>
        <w:b/>
        <w:bCs/>
      </w:rPr>
    </w:tblStylePr>
    <w:tblStylePr w:type="band1Vert">
      <w:tblPr/>
      <w:tcPr>
        <w:shd w:val="clear" w:color="auto" w:fill="F8D2DE" w:themeFill="accent1" w:themeFillTint="33"/>
      </w:tcPr>
    </w:tblStylePr>
    <w:tblStylePr w:type="band1Horz">
      <w:tblPr/>
      <w:tcPr>
        <w:shd w:val="clear" w:color="auto" w:fill="F8D2DE" w:themeFill="accent1" w:themeFillTint="33"/>
      </w:tcPr>
    </w:tblStylePr>
  </w:style>
  <w:style w:type="table" w:styleId="GridTable4-Accent2">
    <w:name w:val="Grid Table 4 Accent 2"/>
    <w:basedOn w:val="TableNormal"/>
    <w:uiPriority w:val="49"/>
    <w:locked/>
    <w:rsid w:val="00482887"/>
    <w:pPr>
      <w:spacing w:before="0" w:after="0"/>
    </w:pPr>
    <w:rPr>
      <w:rFonts w:ascii="Arial" w:hAnsi="Arial"/>
      <w:szCs w:val="22"/>
    </w:rPr>
    <w:tblPr>
      <w:tblStyleRowBandSize w:val="1"/>
      <w:tblStyleColBandSize w:val="1"/>
      <w:tblBorders>
        <w:top w:val="single" w:sz="4" w:space="0" w:color="F7AD80" w:themeColor="accent2" w:themeTint="99"/>
        <w:left w:val="single" w:sz="4" w:space="0" w:color="F7AD80" w:themeColor="accent2" w:themeTint="99"/>
        <w:bottom w:val="single" w:sz="4" w:space="0" w:color="F7AD80" w:themeColor="accent2" w:themeTint="99"/>
        <w:right w:val="single" w:sz="4" w:space="0" w:color="F7AD80" w:themeColor="accent2" w:themeTint="99"/>
        <w:insideH w:val="single" w:sz="4" w:space="0" w:color="F7AD80" w:themeColor="accent2" w:themeTint="99"/>
        <w:insideV w:val="single" w:sz="4" w:space="0" w:color="F7AD80" w:themeColor="accent2" w:themeTint="99"/>
      </w:tblBorders>
    </w:tblPr>
    <w:tblStylePr w:type="firstRow">
      <w:pPr>
        <w:jc w:val="left"/>
      </w:pPr>
      <w:rPr>
        <w:b/>
        <w:bCs/>
        <w:color w:val="FFFFFF" w:themeColor="background1"/>
      </w:rPr>
      <w:tblPr/>
      <w:tcPr>
        <w:tcBorders>
          <w:top w:val="single" w:sz="4" w:space="0" w:color="F3772C" w:themeColor="accent2"/>
          <w:left w:val="single" w:sz="4" w:space="0" w:color="F3772C" w:themeColor="accent2"/>
          <w:bottom w:val="single" w:sz="4" w:space="0" w:color="F3772C" w:themeColor="accent2"/>
          <w:right w:val="single" w:sz="4" w:space="0" w:color="F3772C" w:themeColor="accent2"/>
          <w:insideH w:val="nil"/>
          <w:insideV w:val="nil"/>
        </w:tcBorders>
        <w:shd w:val="clear" w:color="auto" w:fill="F3772C" w:themeFill="accent2"/>
        <w:vAlign w:val="bottom"/>
      </w:tcPr>
    </w:tblStylePr>
    <w:tblStylePr w:type="lastRow">
      <w:rPr>
        <w:b/>
        <w:bCs/>
      </w:rPr>
      <w:tblPr/>
      <w:tcPr>
        <w:tcBorders>
          <w:top w:val="double" w:sz="4" w:space="0" w:color="F3772C" w:themeColor="accent2"/>
        </w:tcBorders>
      </w:tcPr>
    </w:tblStylePr>
    <w:tblStylePr w:type="firstCol">
      <w:rPr>
        <w:b/>
        <w:bCs/>
      </w:rPr>
    </w:tblStylePr>
    <w:tblStylePr w:type="lastCol">
      <w:rPr>
        <w:b/>
        <w:bCs/>
      </w:rPr>
    </w:tblStylePr>
    <w:tblStylePr w:type="band1Vert">
      <w:tblPr/>
      <w:tcPr>
        <w:shd w:val="clear" w:color="auto" w:fill="FCE3D4" w:themeFill="accent2" w:themeFillTint="33"/>
      </w:tcPr>
    </w:tblStylePr>
    <w:tblStylePr w:type="band1Horz">
      <w:tblPr/>
      <w:tcPr>
        <w:shd w:val="clear" w:color="auto" w:fill="FCE3D4" w:themeFill="accent2" w:themeFillTint="33"/>
      </w:tcPr>
    </w:tblStylePr>
  </w:style>
  <w:style w:type="table" w:styleId="GridTable4-Accent3">
    <w:name w:val="Grid Table 4 Accent 3"/>
    <w:basedOn w:val="TableNormal"/>
    <w:uiPriority w:val="49"/>
    <w:locked/>
    <w:rsid w:val="00482887"/>
    <w:pPr>
      <w:spacing w:before="0" w:after="0"/>
    </w:pPr>
    <w:rPr>
      <w:rFonts w:ascii="Arial" w:hAnsi="Arial"/>
      <w:szCs w:val="22"/>
    </w:rPr>
    <w:tblPr>
      <w:tblStyleRowBandSize w:val="1"/>
      <w:tblStyleColBandSize w:val="1"/>
      <w:tblBorders>
        <w:top w:val="single" w:sz="4" w:space="0" w:color="D3E583" w:themeColor="accent3" w:themeTint="99"/>
        <w:left w:val="single" w:sz="4" w:space="0" w:color="D3E583" w:themeColor="accent3" w:themeTint="99"/>
        <w:bottom w:val="single" w:sz="4" w:space="0" w:color="D3E583" w:themeColor="accent3" w:themeTint="99"/>
        <w:right w:val="single" w:sz="4" w:space="0" w:color="D3E583" w:themeColor="accent3" w:themeTint="99"/>
        <w:insideH w:val="single" w:sz="4" w:space="0" w:color="D3E583" w:themeColor="accent3" w:themeTint="99"/>
        <w:insideV w:val="single" w:sz="4" w:space="0" w:color="D3E583" w:themeColor="accent3" w:themeTint="99"/>
      </w:tblBorders>
    </w:tblPr>
    <w:tblStylePr w:type="firstRow">
      <w:pPr>
        <w:jc w:val="left"/>
      </w:pPr>
      <w:rPr>
        <w:b/>
        <w:bCs/>
        <w:color w:val="FFFFFF" w:themeColor="background1"/>
      </w:rPr>
      <w:tblPr/>
      <w:tcPr>
        <w:tcBorders>
          <w:top w:val="single" w:sz="4" w:space="0" w:color="B7D432" w:themeColor="accent3"/>
          <w:left w:val="single" w:sz="4" w:space="0" w:color="B7D432" w:themeColor="accent3"/>
          <w:bottom w:val="single" w:sz="4" w:space="0" w:color="B7D432" w:themeColor="accent3"/>
          <w:right w:val="single" w:sz="4" w:space="0" w:color="B7D432" w:themeColor="accent3"/>
          <w:insideH w:val="nil"/>
          <w:insideV w:val="nil"/>
        </w:tcBorders>
        <w:shd w:val="clear" w:color="auto" w:fill="B7D432" w:themeFill="accent3"/>
        <w:vAlign w:val="bottom"/>
      </w:tcPr>
    </w:tblStylePr>
    <w:tblStylePr w:type="lastRow">
      <w:rPr>
        <w:b/>
        <w:bCs/>
      </w:rPr>
      <w:tblPr/>
      <w:tcPr>
        <w:tcBorders>
          <w:top w:val="double" w:sz="4" w:space="0" w:color="B7D432" w:themeColor="accent3"/>
        </w:tcBorders>
      </w:tcPr>
    </w:tblStylePr>
    <w:tblStylePr w:type="firstCol">
      <w:rPr>
        <w:b/>
        <w:bCs/>
      </w:rPr>
    </w:tblStylePr>
    <w:tblStylePr w:type="lastCol">
      <w:rPr>
        <w:b/>
        <w:bCs/>
      </w:rPr>
    </w:tblStylePr>
    <w:tblStylePr w:type="band1Vert">
      <w:tblPr/>
      <w:tcPr>
        <w:shd w:val="clear" w:color="auto" w:fill="F0F6D5" w:themeFill="accent3" w:themeFillTint="33"/>
      </w:tcPr>
    </w:tblStylePr>
    <w:tblStylePr w:type="band1Horz">
      <w:tblPr/>
      <w:tcPr>
        <w:shd w:val="clear" w:color="auto" w:fill="F0F6D5" w:themeFill="accent3" w:themeFillTint="33"/>
      </w:tcPr>
    </w:tblStylePr>
  </w:style>
  <w:style w:type="table" w:styleId="GridTable4-Accent4">
    <w:name w:val="Grid Table 4 Accent 4"/>
    <w:basedOn w:val="TableNormal"/>
    <w:uiPriority w:val="49"/>
    <w:locked/>
    <w:rsid w:val="00482887"/>
    <w:pPr>
      <w:spacing w:before="0" w:after="0"/>
    </w:pPr>
    <w:rPr>
      <w:rFonts w:ascii="Arial" w:hAnsi="Arial"/>
      <w:szCs w:val="22"/>
    </w:rPr>
    <w:tblPr>
      <w:tblStyleRowBandSize w:val="1"/>
      <w:tblStyleColBandSize w:val="1"/>
      <w:tblBorders>
        <w:top w:val="single" w:sz="4" w:space="0" w:color="95D8D7" w:themeColor="accent4" w:themeTint="99"/>
        <w:left w:val="single" w:sz="4" w:space="0" w:color="95D8D7" w:themeColor="accent4" w:themeTint="99"/>
        <w:bottom w:val="single" w:sz="4" w:space="0" w:color="95D8D7" w:themeColor="accent4" w:themeTint="99"/>
        <w:right w:val="single" w:sz="4" w:space="0" w:color="95D8D7" w:themeColor="accent4" w:themeTint="99"/>
        <w:insideH w:val="single" w:sz="4" w:space="0" w:color="95D8D7" w:themeColor="accent4" w:themeTint="99"/>
        <w:insideV w:val="single" w:sz="4" w:space="0" w:color="95D8D7" w:themeColor="accent4" w:themeTint="99"/>
      </w:tblBorders>
    </w:tblPr>
    <w:tblStylePr w:type="firstRow">
      <w:pPr>
        <w:jc w:val="left"/>
      </w:pPr>
      <w:rPr>
        <w:b/>
        <w:bCs/>
        <w:color w:val="FFFFFF" w:themeColor="background1"/>
      </w:rPr>
      <w:tblPr/>
      <w:tcPr>
        <w:tcBorders>
          <w:top w:val="single" w:sz="4" w:space="0" w:color="4FBFBE" w:themeColor="accent4"/>
          <w:left w:val="single" w:sz="4" w:space="0" w:color="4FBFBE" w:themeColor="accent4"/>
          <w:bottom w:val="single" w:sz="4" w:space="0" w:color="4FBFBE" w:themeColor="accent4"/>
          <w:right w:val="single" w:sz="4" w:space="0" w:color="4FBFBE" w:themeColor="accent4"/>
          <w:insideH w:val="nil"/>
          <w:insideV w:val="nil"/>
        </w:tcBorders>
        <w:shd w:val="clear" w:color="auto" w:fill="4FBFBE" w:themeFill="accent4"/>
        <w:vAlign w:val="bottom"/>
      </w:tcPr>
    </w:tblStylePr>
    <w:tblStylePr w:type="lastRow">
      <w:rPr>
        <w:b/>
        <w:bCs/>
      </w:rPr>
      <w:tblPr/>
      <w:tcPr>
        <w:tcBorders>
          <w:top w:val="double" w:sz="4" w:space="0" w:color="4FBFBE" w:themeColor="accent4"/>
        </w:tcBorders>
      </w:tcPr>
    </w:tblStylePr>
    <w:tblStylePr w:type="firstCol">
      <w:rPr>
        <w:b/>
        <w:bCs/>
      </w:rPr>
    </w:tblStylePr>
    <w:tblStylePr w:type="lastCol">
      <w:rPr>
        <w:b/>
        <w:bCs/>
      </w:rPr>
    </w:tblStylePr>
    <w:tblStylePr w:type="band1Vert">
      <w:tblPr/>
      <w:tcPr>
        <w:shd w:val="clear" w:color="auto" w:fill="DBF2F2" w:themeFill="accent4" w:themeFillTint="33"/>
      </w:tcPr>
    </w:tblStylePr>
    <w:tblStylePr w:type="band1Horz">
      <w:tblPr/>
      <w:tcPr>
        <w:shd w:val="clear" w:color="auto" w:fill="DBF2F2" w:themeFill="accent4" w:themeFillTint="33"/>
      </w:tcPr>
    </w:tblStylePr>
  </w:style>
  <w:style w:type="table" w:styleId="GridTable4-Accent5">
    <w:name w:val="Grid Table 4 Accent 5"/>
    <w:basedOn w:val="TableNormal"/>
    <w:uiPriority w:val="49"/>
    <w:rsid w:val="00482887"/>
    <w:pPr>
      <w:spacing w:before="0" w:after="0"/>
    </w:pPr>
    <w:rPr>
      <w:rFonts w:ascii="Arial" w:hAnsi="Arial"/>
      <w:szCs w:val="22"/>
    </w:rPr>
    <w:tblPr>
      <w:tblStyleRowBandSize w:val="1"/>
      <w:tblStyleColBandSize w:val="1"/>
      <w:tblBorders>
        <w:top w:val="single" w:sz="4" w:space="0" w:color="FDD48D" w:themeColor="accent5" w:themeTint="99"/>
        <w:left w:val="single" w:sz="4" w:space="0" w:color="FDD48D" w:themeColor="accent5" w:themeTint="99"/>
        <w:bottom w:val="single" w:sz="4" w:space="0" w:color="FDD48D" w:themeColor="accent5" w:themeTint="99"/>
        <w:right w:val="single" w:sz="4" w:space="0" w:color="FDD48D" w:themeColor="accent5" w:themeTint="99"/>
        <w:insideH w:val="single" w:sz="4" w:space="0" w:color="FDD48D" w:themeColor="accent5" w:themeTint="99"/>
        <w:insideV w:val="single" w:sz="4" w:space="0" w:color="FDD48D" w:themeColor="accent5" w:themeTint="99"/>
      </w:tblBorders>
    </w:tblPr>
    <w:tblStylePr w:type="firstRow">
      <w:pPr>
        <w:jc w:val="left"/>
      </w:pPr>
      <w:rPr>
        <w:b/>
        <w:bCs/>
        <w:color w:val="FFFFFF" w:themeColor="background1"/>
      </w:rPr>
      <w:tblPr/>
      <w:tcPr>
        <w:tcBorders>
          <w:top w:val="single" w:sz="4" w:space="0" w:color="FCB942" w:themeColor="accent5"/>
          <w:left w:val="single" w:sz="4" w:space="0" w:color="FCB942" w:themeColor="accent5"/>
          <w:bottom w:val="single" w:sz="4" w:space="0" w:color="FCB942" w:themeColor="accent5"/>
          <w:right w:val="single" w:sz="4" w:space="0" w:color="FCB942" w:themeColor="accent5"/>
          <w:insideH w:val="nil"/>
          <w:insideV w:val="nil"/>
        </w:tcBorders>
        <w:shd w:val="clear" w:color="auto" w:fill="FCB942" w:themeFill="accent5"/>
        <w:vAlign w:val="bottom"/>
      </w:tcPr>
    </w:tblStylePr>
    <w:tblStylePr w:type="lastRow">
      <w:rPr>
        <w:b/>
        <w:bCs/>
      </w:rPr>
      <w:tblPr/>
      <w:tcPr>
        <w:tcBorders>
          <w:top w:val="double" w:sz="4" w:space="0" w:color="FCB942" w:themeColor="accent5"/>
        </w:tcBorders>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GridTable4-Accent6">
    <w:name w:val="Grid Table 4 Accent 6"/>
    <w:basedOn w:val="TableNormal"/>
    <w:uiPriority w:val="49"/>
    <w:locked/>
    <w:rsid w:val="00482887"/>
    <w:pPr>
      <w:spacing w:before="0" w:after="0"/>
    </w:pPr>
    <w:rPr>
      <w:rFonts w:ascii="Arial" w:hAnsi="Arial"/>
      <w:szCs w:val="22"/>
    </w:rPr>
    <w:tblPr>
      <w:tblStyleRowBandSize w:val="1"/>
      <w:tblStyleColBandSize w:val="1"/>
      <w:tblBorders>
        <w:top w:val="single" w:sz="4" w:space="0" w:color="DBCBBF" w:themeColor="accent6" w:themeTint="99"/>
        <w:left w:val="single" w:sz="4" w:space="0" w:color="DBCBBF" w:themeColor="accent6" w:themeTint="99"/>
        <w:bottom w:val="single" w:sz="4" w:space="0" w:color="DBCBBF" w:themeColor="accent6" w:themeTint="99"/>
        <w:right w:val="single" w:sz="4" w:space="0" w:color="DBCBBF" w:themeColor="accent6" w:themeTint="99"/>
        <w:insideH w:val="single" w:sz="4" w:space="0" w:color="DBCBBF" w:themeColor="accent6" w:themeTint="99"/>
        <w:insideV w:val="single" w:sz="4" w:space="0" w:color="DBCBBF" w:themeColor="accent6" w:themeTint="99"/>
      </w:tblBorders>
    </w:tblPr>
    <w:tblStylePr w:type="firstRow">
      <w:pPr>
        <w:jc w:val="left"/>
      </w:pPr>
      <w:rPr>
        <w:b/>
        <w:bCs/>
        <w:color w:val="FFFFFF" w:themeColor="background1"/>
      </w:rPr>
      <w:tblPr/>
      <w:tcPr>
        <w:tcBorders>
          <w:top w:val="single" w:sz="4" w:space="0" w:color="C3AA95" w:themeColor="accent6"/>
          <w:left w:val="single" w:sz="4" w:space="0" w:color="C3AA95" w:themeColor="accent6"/>
          <w:bottom w:val="single" w:sz="4" w:space="0" w:color="C3AA95" w:themeColor="accent6"/>
          <w:right w:val="single" w:sz="4" w:space="0" w:color="C3AA95" w:themeColor="accent6"/>
          <w:insideH w:val="nil"/>
          <w:insideV w:val="nil"/>
        </w:tcBorders>
        <w:shd w:val="clear" w:color="auto" w:fill="C3AA95" w:themeFill="accent6"/>
        <w:vAlign w:val="bottom"/>
      </w:tcPr>
    </w:tblStylePr>
    <w:tblStylePr w:type="lastRow">
      <w:rPr>
        <w:b/>
        <w:bCs/>
      </w:rPr>
      <w:tblPr/>
      <w:tcPr>
        <w:tcBorders>
          <w:top w:val="double" w:sz="4" w:space="0" w:color="C3AA95" w:themeColor="accent6"/>
        </w:tcBorders>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paragraph" w:styleId="NormalWeb">
    <w:name w:val="Normal (Web)"/>
    <w:basedOn w:val="Normal"/>
    <w:uiPriority w:val="99"/>
    <w:unhideWhenUsed/>
    <w:rsid w:val="00482887"/>
    <w:pPr>
      <w:spacing w:before="100" w:beforeAutospacing="1" w:after="100" w:afterAutospacing="1"/>
    </w:pPr>
    <w:rPr>
      <w:rFonts w:ascii="Times New Roman" w:eastAsia="Times New Roman" w:hAnsi="Times New Roman" w:cs="Times New Roman"/>
      <w:sz w:val="24"/>
      <w:szCs w:val="24"/>
      <w:lang w:eastAsia="en-AU"/>
    </w:rPr>
  </w:style>
  <w:style w:type="table" w:styleId="GridTable5Dark">
    <w:name w:val="Grid Table 5 Dark"/>
    <w:basedOn w:val="TableNormal"/>
    <w:uiPriority w:val="50"/>
    <w:rsid w:val="00482887"/>
    <w:pPr>
      <w:spacing w:before="0" w:after="0"/>
    </w:pPr>
    <w:rPr>
      <w:rFonts w:ascii="Arial" w:hAnsi="Arial"/>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pPr>
        <w:jc w:val="left"/>
      </w:pPr>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2Vert">
      <w:tblPr/>
      <w:tcPr>
        <w:shd w:val="clear" w:color="auto" w:fill="FFFFFF" w:themeFill="background1"/>
      </w:tcPr>
    </w:tblStylePr>
    <w:tblStylePr w:type="band1Horz">
      <w:tblPr/>
      <w:tcPr>
        <w:shd w:val="clear" w:color="auto" w:fill="FFFFFF" w:themeFill="background1"/>
      </w:tcPr>
    </w:tblStylePr>
  </w:style>
  <w:style w:type="character" w:styleId="CommentReference">
    <w:name w:val="annotation reference"/>
    <w:basedOn w:val="DefaultParagraphFont"/>
    <w:uiPriority w:val="99"/>
    <w:semiHidden/>
    <w:unhideWhenUsed/>
    <w:rsid w:val="00482887"/>
    <w:rPr>
      <w:sz w:val="16"/>
      <w:szCs w:val="16"/>
    </w:rPr>
  </w:style>
  <w:style w:type="paragraph" w:styleId="CommentText">
    <w:name w:val="annotation text"/>
    <w:basedOn w:val="Normal"/>
    <w:link w:val="CommentTextChar"/>
    <w:uiPriority w:val="99"/>
    <w:unhideWhenUsed/>
    <w:rsid w:val="00482887"/>
    <w:rPr>
      <w:szCs w:val="20"/>
    </w:rPr>
  </w:style>
  <w:style w:type="character" w:customStyle="1" w:styleId="CommentTextChar">
    <w:name w:val="Comment Text Char"/>
    <w:basedOn w:val="DefaultParagraphFont"/>
    <w:link w:val="CommentText"/>
    <w:uiPriority w:val="99"/>
    <w:rsid w:val="0048288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82887"/>
    <w:rPr>
      <w:b/>
      <w:bCs/>
    </w:rPr>
  </w:style>
  <w:style w:type="character" w:customStyle="1" w:styleId="CommentSubjectChar">
    <w:name w:val="Comment Subject Char"/>
    <w:basedOn w:val="CommentTextChar"/>
    <w:link w:val="CommentSubject"/>
    <w:uiPriority w:val="99"/>
    <w:semiHidden/>
    <w:rsid w:val="00482887"/>
    <w:rPr>
      <w:rFonts w:ascii="Arial" w:hAnsi="Arial"/>
      <w:b/>
      <w:bCs/>
      <w:sz w:val="20"/>
      <w:szCs w:val="20"/>
    </w:rPr>
  </w:style>
  <w:style w:type="table" w:styleId="GridTable5Dark-Accent2">
    <w:name w:val="Grid Table 5 Dark Accent 2"/>
    <w:basedOn w:val="TableNormal"/>
    <w:uiPriority w:val="50"/>
    <w:locked/>
    <w:rsid w:val="00482887"/>
    <w:pPr>
      <w:spacing w:before="0" w:after="0"/>
    </w:pPr>
    <w:rPr>
      <w:rFonts w:ascii="Arial" w:hAnsi="Arial"/>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3D4" w:themeFill="accent2" w:themeFillTint="33"/>
      <w:vAlign w:val="bottom"/>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772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772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772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772C" w:themeFill="accent2"/>
      </w:tcPr>
    </w:tblStylePr>
    <w:tblStylePr w:type="band1Vert">
      <w:tblPr/>
      <w:tcPr>
        <w:shd w:val="clear" w:color="auto" w:fill="FFFFFF" w:themeFill="background1"/>
      </w:tcPr>
    </w:tblStylePr>
    <w:tblStylePr w:type="band1Horz">
      <w:tblPr/>
      <w:tcPr>
        <w:shd w:val="clear" w:color="auto" w:fill="FFFFFF" w:themeFill="background1"/>
      </w:tcPr>
    </w:tblStylePr>
  </w:style>
  <w:style w:type="table" w:styleId="GridTable5Dark-Accent3">
    <w:name w:val="Grid Table 5 Dark Accent 3"/>
    <w:basedOn w:val="TableNormal"/>
    <w:uiPriority w:val="50"/>
    <w:locked/>
    <w:rsid w:val="00482887"/>
    <w:pPr>
      <w:spacing w:before="0" w:after="0"/>
    </w:pPr>
    <w:rPr>
      <w:rFonts w:ascii="Arial" w:hAnsi="Arial"/>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6D5" w:themeFill="accent3" w:themeFillTint="33"/>
    </w:tcPr>
    <w:tblStylePr w:type="firstRow">
      <w:pPr>
        <w:jc w:val="left"/>
      </w:pPr>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D432" w:themeFill="accent3"/>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D43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D43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D432" w:themeFill="accent3"/>
      </w:tcPr>
    </w:tblStylePr>
    <w:tblStylePr w:type="band1Vert">
      <w:tblPr/>
      <w:tcPr>
        <w:shd w:val="clear" w:color="auto" w:fill="FFFFFF" w:themeFill="background1"/>
      </w:tcPr>
    </w:tblStylePr>
    <w:tblStylePr w:type="band1Horz">
      <w:tblPr/>
      <w:tcPr>
        <w:shd w:val="clear" w:color="auto" w:fill="FFFFFF" w:themeFill="background1"/>
      </w:tcPr>
    </w:tblStylePr>
  </w:style>
  <w:style w:type="character" w:styleId="PlaceholderText">
    <w:name w:val="Placeholder Text"/>
    <w:basedOn w:val="DefaultParagraphFont"/>
    <w:uiPriority w:val="99"/>
    <w:semiHidden/>
    <w:rsid w:val="00482887"/>
    <w:rPr>
      <w:color w:val="808080"/>
    </w:rPr>
  </w:style>
  <w:style w:type="paragraph" w:styleId="ListParagraph">
    <w:name w:val="List Paragraph"/>
    <w:aliases w:val="Recommendation,L,0Bullet,Bullet point,Indented bullet,List Paragraph1,List Paragraph11,List Paragraph2,bullet point list"/>
    <w:basedOn w:val="Normal"/>
    <w:uiPriority w:val="34"/>
    <w:qFormat/>
    <w:rsid w:val="00482887"/>
    <w:pPr>
      <w:ind w:left="720"/>
      <w:contextualSpacing/>
    </w:pPr>
  </w:style>
  <w:style w:type="paragraph" w:styleId="Quote">
    <w:name w:val="Quote"/>
    <w:aliases w:val="Quote 1"/>
    <w:basedOn w:val="Normal"/>
    <w:next w:val="Body"/>
    <w:link w:val="QuoteChar"/>
    <w:uiPriority w:val="7"/>
    <w:qFormat/>
    <w:rsid w:val="00482887"/>
    <w:pPr>
      <w:spacing w:before="120" w:after="120" w:line="276" w:lineRule="auto"/>
      <w:ind w:left="1134" w:right="1134"/>
      <w:jc w:val="center"/>
    </w:pPr>
    <w:rPr>
      <w:rFonts w:asciiTheme="minorHAnsi" w:hAnsiTheme="minorHAnsi" w:cstheme="minorHAnsi"/>
      <w:sz w:val="22"/>
      <w:szCs w:val="22"/>
      <w:shd w:val="clear" w:color="auto" w:fill="FFFFFF"/>
    </w:rPr>
  </w:style>
  <w:style w:type="character" w:customStyle="1" w:styleId="QuoteChar">
    <w:name w:val="Quote Char"/>
    <w:aliases w:val="Quote 1 Char"/>
    <w:basedOn w:val="DefaultParagraphFont"/>
    <w:link w:val="Quote"/>
    <w:uiPriority w:val="7"/>
    <w:rsid w:val="00482887"/>
    <w:rPr>
      <w:rFonts w:cstheme="minorHAnsi"/>
      <w:sz w:val="22"/>
      <w:szCs w:val="22"/>
    </w:rPr>
  </w:style>
  <w:style w:type="table" w:styleId="GridTable5Dark-Accent4">
    <w:name w:val="Grid Table 5 Dark Accent 4"/>
    <w:basedOn w:val="TableNormal"/>
    <w:uiPriority w:val="50"/>
    <w:locked/>
    <w:rsid w:val="00482887"/>
    <w:pPr>
      <w:spacing w:before="0" w:after="0"/>
    </w:pPr>
    <w:rPr>
      <w:rFonts w:ascii="Arial" w:hAnsi="Arial"/>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F2" w:themeFill="accent4" w:themeFillTint="33"/>
    </w:tcPr>
    <w:tblStylePr w:type="firstRow">
      <w:pPr>
        <w:jc w:val="left"/>
      </w:pPr>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BFBE" w:themeFill="accent4"/>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BFB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BFB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BFBE" w:themeFill="accent4"/>
      </w:tcPr>
    </w:tblStylePr>
    <w:tblStylePr w:type="band1Vert">
      <w:tblPr/>
      <w:tcPr>
        <w:shd w:val="clear" w:color="auto" w:fill="FFFFFF" w:themeFill="background1"/>
      </w:tcPr>
    </w:tblStylePr>
    <w:tblStylePr w:type="band1Horz">
      <w:tblPr/>
      <w:tcPr>
        <w:shd w:val="clear" w:color="auto" w:fill="FFFFFF" w:themeFill="background1"/>
      </w:tcPr>
    </w:tblStylePr>
  </w:style>
  <w:style w:type="table" w:styleId="GridTable5Dark-Accent5">
    <w:name w:val="Grid Table 5 Dark Accent 5"/>
    <w:basedOn w:val="TableNormal"/>
    <w:uiPriority w:val="50"/>
    <w:rsid w:val="00482887"/>
    <w:pPr>
      <w:spacing w:before="0" w:after="0"/>
    </w:pPr>
    <w:rPr>
      <w:rFonts w:ascii="Arial" w:hAnsi="Arial"/>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0D8" w:themeFill="accent5" w:themeFillTint="33"/>
    </w:tcPr>
    <w:tblStylePr w:type="firstRow">
      <w:pPr>
        <w:jc w:val="left"/>
      </w:pPr>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CB942" w:themeFill="accent5"/>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CB94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CB94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CB942" w:themeFill="accent5"/>
      </w:tcPr>
    </w:tblStylePr>
    <w:tblStylePr w:type="band1Vert">
      <w:tblPr/>
      <w:tcPr>
        <w:shd w:val="clear" w:color="auto" w:fill="FFFFFF" w:themeFill="background1"/>
      </w:tcPr>
    </w:tblStylePr>
    <w:tblStylePr w:type="band1Horz">
      <w:tblPr/>
      <w:tcPr>
        <w:shd w:val="clear" w:color="auto" w:fill="FFFFFF" w:themeFill="background1"/>
      </w:tcPr>
    </w:tblStylePr>
  </w:style>
  <w:style w:type="table" w:styleId="GridTable5Dark-Accent6">
    <w:name w:val="Grid Table 5 Dark Accent 6"/>
    <w:basedOn w:val="TableNormal"/>
    <w:uiPriority w:val="50"/>
    <w:locked/>
    <w:rsid w:val="00482887"/>
    <w:pPr>
      <w:spacing w:before="0" w:after="0"/>
    </w:pPr>
    <w:rPr>
      <w:rFonts w:ascii="Arial" w:hAnsi="Arial"/>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EDE9" w:themeFill="accent6" w:themeFillTint="33"/>
    </w:tcPr>
    <w:tblStylePr w:type="firstRow">
      <w:pPr>
        <w:jc w:val="left"/>
      </w:pPr>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AA95" w:themeFill="accent6"/>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AA9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AA9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AA95" w:themeFill="accent6"/>
      </w:tcPr>
    </w:tblStylePr>
    <w:tblStylePr w:type="band1Vert">
      <w:tblPr/>
      <w:tcPr>
        <w:shd w:val="clear" w:color="auto" w:fill="E7DCD4" w:themeFill="accent6" w:themeFillTint="66"/>
      </w:tcPr>
    </w:tblStylePr>
    <w:tblStylePr w:type="band2Vert">
      <w:tblPr/>
      <w:tcPr>
        <w:shd w:val="clear" w:color="auto" w:fill="FFFFFF" w:themeFill="background1"/>
      </w:tcPr>
    </w:tblStylePr>
    <w:tblStylePr w:type="band1Horz">
      <w:tblPr/>
      <w:tcPr>
        <w:shd w:val="clear" w:color="auto" w:fill="FFFFFF" w:themeFill="background1"/>
      </w:tcPr>
    </w:tblStylePr>
  </w:style>
  <w:style w:type="table" w:styleId="GridTable6Colourful">
    <w:name w:val="Grid Table 6 Colorful"/>
    <w:basedOn w:val="TableNormal"/>
    <w:uiPriority w:val="51"/>
    <w:rsid w:val="00482887"/>
    <w:pPr>
      <w:spacing w:before="0" w:after="0"/>
    </w:pPr>
    <w:rPr>
      <w:rFonts w:ascii="Arial" w:hAnsi="Arial"/>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pPr>
        <w:jc w:val="left"/>
      </w:pPr>
      <w:rPr>
        <w:b/>
        <w:bCs/>
      </w:rPr>
      <w:tblPr/>
      <w:tcPr>
        <w:tcBorders>
          <w:bottom w:val="single" w:sz="12" w:space="0" w:color="666666" w:themeColor="text1" w:themeTint="99"/>
        </w:tcBorders>
        <w:vAlign w:val="bottom"/>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locked/>
    <w:rsid w:val="00482887"/>
    <w:pPr>
      <w:spacing w:before="0" w:after="0"/>
    </w:pPr>
    <w:rPr>
      <w:rFonts w:ascii="Arial" w:hAnsi="Arial"/>
      <w:color w:val="A61847" w:themeColor="accent1" w:themeShade="BF"/>
      <w:szCs w:val="22"/>
    </w:rPr>
    <w:tblPr>
      <w:tblStyleRowBandSize w:val="1"/>
      <w:tblStyleColBandSize w:val="1"/>
      <w:tblBorders>
        <w:top w:val="single" w:sz="4" w:space="0" w:color="EB789F" w:themeColor="accent1" w:themeTint="99"/>
        <w:left w:val="single" w:sz="4" w:space="0" w:color="EB789F" w:themeColor="accent1" w:themeTint="99"/>
        <w:bottom w:val="single" w:sz="4" w:space="0" w:color="EB789F" w:themeColor="accent1" w:themeTint="99"/>
        <w:right w:val="single" w:sz="4" w:space="0" w:color="EB789F" w:themeColor="accent1" w:themeTint="99"/>
        <w:insideH w:val="single" w:sz="4" w:space="0" w:color="EB789F" w:themeColor="accent1" w:themeTint="99"/>
        <w:insideV w:val="single" w:sz="4" w:space="0" w:color="EB789F" w:themeColor="accent1" w:themeTint="99"/>
      </w:tblBorders>
    </w:tblPr>
    <w:tblStylePr w:type="firstRow">
      <w:pPr>
        <w:jc w:val="left"/>
      </w:pPr>
      <w:rPr>
        <w:b/>
        <w:bCs/>
      </w:rPr>
      <w:tblPr/>
      <w:tcPr>
        <w:tcBorders>
          <w:bottom w:val="single" w:sz="12" w:space="0" w:color="EB789F" w:themeColor="accent1" w:themeTint="99"/>
        </w:tcBorders>
        <w:vAlign w:val="bottom"/>
      </w:tcPr>
    </w:tblStylePr>
    <w:tblStylePr w:type="lastRow">
      <w:rPr>
        <w:b/>
        <w:bCs/>
      </w:rPr>
      <w:tblPr/>
      <w:tcPr>
        <w:tcBorders>
          <w:top w:val="double" w:sz="4" w:space="0" w:color="EB789F" w:themeColor="accent1" w:themeTint="99"/>
        </w:tcBorders>
      </w:tcPr>
    </w:tblStylePr>
    <w:tblStylePr w:type="firstCol">
      <w:rPr>
        <w:b/>
        <w:bCs/>
      </w:rPr>
    </w:tblStylePr>
    <w:tblStylePr w:type="lastCol">
      <w:rPr>
        <w:b/>
        <w:bCs/>
      </w:rPr>
    </w:tblStylePr>
    <w:tblStylePr w:type="band1Vert">
      <w:tblPr/>
      <w:tcPr>
        <w:shd w:val="clear" w:color="auto" w:fill="F8D2DE" w:themeFill="accent1" w:themeFillTint="33"/>
      </w:tcPr>
    </w:tblStylePr>
    <w:tblStylePr w:type="band1Horz">
      <w:tblPr/>
      <w:tcPr>
        <w:shd w:val="clear" w:color="auto" w:fill="F8D2DE" w:themeFill="accent1" w:themeFillTint="33"/>
      </w:tcPr>
    </w:tblStylePr>
  </w:style>
  <w:style w:type="table" w:styleId="GridTable6ColourfulAccent2">
    <w:name w:val="Grid Table 6 Colorful Accent 2"/>
    <w:basedOn w:val="TableNormal"/>
    <w:uiPriority w:val="51"/>
    <w:locked/>
    <w:rsid w:val="00482887"/>
    <w:pPr>
      <w:spacing w:before="0" w:after="0"/>
    </w:pPr>
    <w:rPr>
      <w:rFonts w:ascii="Arial" w:hAnsi="Arial"/>
      <w:color w:val="CB530B" w:themeColor="accent2" w:themeShade="BF"/>
      <w:szCs w:val="22"/>
    </w:rPr>
    <w:tblPr>
      <w:tblStyleRowBandSize w:val="1"/>
      <w:tblStyleColBandSize w:val="1"/>
      <w:tblBorders>
        <w:top w:val="single" w:sz="4" w:space="0" w:color="F7AD80" w:themeColor="accent2" w:themeTint="99"/>
        <w:left w:val="single" w:sz="4" w:space="0" w:color="F7AD80" w:themeColor="accent2" w:themeTint="99"/>
        <w:bottom w:val="single" w:sz="4" w:space="0" w:color="F7AD80" w:themeColor="accent2" w:themeTint="99"/>
        <w:right w:val="single" w:sz="4" w:space="0" w:color="F7AD80" w:themeColor="accent2" w:themeTint="99"/>
        <w:insideH w:val="single" w:sz="4" w:space="0" w:color="F7AD80" w:themeColor="accent2" w:themeTint="99"/>
        <w:insideV w:val="single" w:sz="4" w:space="0" w:color="F7AD80" w:themeColor="accent2" w:themeTint="99"/>
      </w:tblBorders>
    </w:tblPr>
    <w:tblStylePr w:type="firstRow">
      <w:pPr>
        <w:jc w:val="left"/>
      </w:pPr>
      <w:rPr>
        <w:b/>
        <w:bCs/>
      </w:rPr>
      <w:tblPr/>
      <w:tcPr>
        <w:tcBorders>
          <w:bottom w:val="single" w:sz="12" w:space="0" w:color="F7AD80" w:themeColor="accent2" w:themeTint="99"/>
        </w:tcBorders>
        <w:vAlign w:val="bottom"/>
      </w:tcPr>
    </w:tblStylePr>
    <w:tblStylePr w:type="lastRow">
      <w:rPr>
        <w:b/>
        <w:bCs/>
      </w:rPr>
      <w:tblPr/>
      <w:tcPr>
        <w:tcBorders>
          <w:top w:val="double" w:sz="4" w:space="0" w:color="F7AD80" w:themeColor="accent2" w:themeTint="99"/>
        </w:tcBorders>
      </w:tcPr>
    </w:tblStylePr>
    <w:tblStylePr w:type="firstCol">
      <w:rPr>
        <w:b/>
        <w:bCs/>
      </w:rPr>
    </w:tblStylePr>
    <w:tblStylePr w:type="lastCol">
      <w:rPr>
        <w:b/>
        <w:bCs/>
      </w:rPr>
    </w:tblStylePr>
    <w:tblStylePr w:type="band1Vert">
      <w:tblPr/>
      <w:tcPr>
        <w:shd w:val="clear" w:color="auto" w:fill="FCE3D4" w:themeFill="accent2" w:themeFillTint="33"/>
      </w:tcPr>
    </w:tblStylePr>
    <w:tblStylePr w:type="band1Horz">
      <w:tblPr/>
      <w:tcPr>
        <w:shd w:val="clear" w:color="auto" w:fill="FCE3D4" w:themeFill="accent2" w:themeFillTint="33"/>
      </w:tcPr>
    </w:tblStylePr>
  </w:style>
  <w:style w:type="table" w:styleId="GridTable6ColourfulAccent3">
    <w:name w:val="Grid Table 6 Colorful Accent 3"/>
    <w:basedOn w:val="TableNormal"/>
    <w:uiPriority w:val="51"/>
    <w:locked/>
    <w:rsid w:val="00482887"/>
    <w:pPr>
      <w:spacing w:before="0" w:after="0"/>
    </w:pPr>
    <w:rPr>
      <w:rFonts w:ascii="Arial" w:hAnsi="Arial"/>
      <w:color w:val="8AA122" w:themeColor="accent3" w:themeShade="BF"/>
      <w:szCs w:val="22"/>
    </w:rPr>
    <w:tblPr>
      <w:tblStyleRowBandSize w:val="1"/>
      <w:tblStyleColBandSize w:val="1"/>
      <w:tblBorders>
        <w:top w:val="single" w:sz="4" w:space="0" w:color="D3E583" w:themeColor="accent3" w:themeTint="99"/>
        <w:left w:val="single" w:sz="4" w:space="0" w:color="D3E583" w:themeColor="accent3" w:themeTint="99"/>
        <w:bottom w:val="single" w:sz="4" w:space="0" w:color="D3E583" w:themeColor="accent3" w:themeTint="99"/>
        <w:right w:val="single" w:sz="4" w:space="0" w:color="D3E583" w:themeColor="accent3" w:themeTint="99"/>
        <w:insideH w:val="single" w:sz="4" w:space="0" w:color="D3E583" w:themeColor="accent3" w:themeTint="99"/>
        <w:insideV w:val="single" w:sz="4" w:space="0" w:color="D3E583" w:themeColor="accent3" w:themeTint="99"/>
      </w:tblBorders>
    </w:tblPr>
    <w:tblStylePr w:type="firstRow">
      <w:pPr>
        <w:jc w:val="left"/>
      </w:pPr>
      <w:rPr>
        <w:b/>
        <w:bCs/>
      </w:rPr>
      <w:tblPr/>
      <w:tcPr>
        <w:tcBorders>
          <w:bottom w:val="single" w:sz="12" w:space="0" w:color="D3E583" w:themeColor="accent3" w:themeTint="99"/>
        </w:tcBorders>
        <w:vAlign w:val="bottom"/>
      </w:tcPr>
    </w:tblStylePr>
    <w:tblStylePr w:type="lastRow">
      <w:rPr>
        <w:b/>
        <w:bCs/>
      </w:rPr>
      <w:tblPr/>
      <w:tcPr>
        <w:tcBorders>
          <w:top w:val="double" w:sz="4" w:space="0" w:color="D3E583" w:themeColor="accent3" w:themeTint="99"/>
        </w:tcBorders>
      </w:tcPr>
    </w:tblStylePr>
    <w:tblStylePr w:type="firstCol">
      <w:rPr>
        <w:b/>
        <w:bCs/>
      </w:rPr>
    </w:tblStylePr>
    <w:tblStylePr w:type="lastCol">
      <w:rPr>
        <w:b/>
        <w:bCs/>
      </w:rPr>
    </w:tblStylePr>
    <w:tblStylePr w:type="band1Vert">
      <w:tblPr/>
      <w:tcPr>
        <w:shd w:val="clear" w:color="auto" w:fill="F0F6D5" w:themeFill="accent3" w:themeFillTint="33"/>
      </w:tcPr>
    </w:tblStylePr>
    <w:tblStylePr w:type="band1Horz">
      <w:tblPr/>
      <w:tcPr>
        <w:shd w:val="clear" w:color="auto" w:fill="F0F6D5" w:themeFill="accent3" w:themeFillTint="33"/>
      </w:tcPr>
    </w:tblStylePr>
  </w:style>
  <w:style w:type="table" w:styleId="GridTable6ColourfulAccent4">
    <w:name w:val="Grid Table 6 Colorful Accent 4"/>
    <w:basedOn w:val="TableNormal"/>
    <w:uiPriority w:val="51"/>
    <w:locked/>
    <w:rsid w:val="00482887"/>
    <w:pPr>
      <w:spacing w:before="0" w:after="0"/>
    </w:pPr>
    <w:rPr>
      <w:rFonts w:ascii="Arial" w:hAnsi="Arial"/>
      <w:color w:val="369492" w:themeColor="accent4" w:themeShade="BF"/>
      <w:szCs w:val="22"/>
    </w:rPr>
    <w:tblPr>
      <w:tblStyleRowBandSize w:val="1"/>
      <w:tblStyleColBandSize w:val="1"/>
      <w:tblBorders>
        <w:top w:val="single" w:sz="4" w:space="0" w:color="95D8D7" w:themeColor="accent4" w:themeTint="99"/>
        <w:left w:val="single" w:sz="4" w:space="0" w:color="95D8D7" w:themeColor="accent4" w:themeTint="99"/>
        <w:bottom w:val="single" w:sz="4" w:space="0" w:color="95D8D7" w:themeColor="accent4" w:themeTint="99"/>
        <w:right w:val="single" w:sz="4" w:space="0" w:color="95D8D7" w:themeColor="accent4" w:themeTint="99"/>
        <w:insideH w:val="single" w:sz="4" w:space="0" w:color="95D8D7" w:themeColor="accent4" w:themeTint="99"/>
        <w:insideV w:val="single" w:sz="4" w:space="0" w:color="95D8D7" w:themeColor="accent4" w:themeTint="99"/>
      </w:tblBorders>
    </w:tblPr>
    <w:tblStylePr w:type="firstRow">
      <w:pPr>
        <w:jc w:val="left"/>
      </w:pPr>
      <w:rPr>
        <w:b/>
        <w:bCs/>
      </w:rPr>
      <w:tblPr/>
      <w:tcPr>
        <w:tcBorders>
          <w:bottom w:val="single" w:sz="12" w:space="0" w:color="95D8D7" w:themeColor="accent4" w:themeTint="99"/>
        </w:tcBorders>
        <w:vAlign w:val="bottom"/>
      </w:tcPr>
    </w:tblStylePr>
    <w:tblStylePr w:type="lastRow">
      <w:rPr>
        <w:b/>
        <w:bCs/>
      </w:rPr>
      <w:tblPr/>
      <w:tcPr>
        <w:tcBorders>
          <w:top w:val="double" w:sz="4" w:space="0" w:color="95D8D7" w:themeColor="accent4" w:themeTint="99"/>
        </w:tcBorders>
      </w:tcPr>
    </w:tblStylePr>
    <w:tblStylePr w:type="firstCol">
      <w:rPr>
        <w:b/>
        <w:bCs/>
      </w:rPr>
    </w:tblStylePr>
    <w:tblStylePr w:type="lastCol">
      <w:rPr>
        <w:b/>
        <w:bCs/>
      </w:rPr>
    </w:tblStylePr>
    <w:tblStylePr w:type="band1Vert">
      <w:tblPr/>
      <w:tcPr>
        <w:shd w:val="clear" w:color="auto" w:fill="DBF2F2" w:themeFill="accent4" w:themeFillTint="33"/>
      </w:tcPr>
    </w:tblStylePr>
    <w:tblStylePr w:type="band1Horz">
      <w:tblPr/>
      <w:tcPr>
        <w:shd w:val="clear" w:color="auto" w:fill="DBF2F2" w:themeFill="accent4" w:themeFillTint="33"/>
      </w:tcPr>
    </w:tblStylePr>
  </w:style>
  <w:style w:type="table" w:styleId="GridTable6ColourfulAccent5">
    <w:name w:val="Grid Table 6 Colorful Accent 5"/>
    <w:basedOn w:val="TableNormal"/>
    <w:uiPriority w:val="51"/>
    <w:rsid w:val="00482887"/>
    <w:pPr>
      <w:spacing w:before="0" w:after="0"/>
    </w:pPr>
    <w:rPr>
      <w:rFonts w:ascii="Arial" w:hAnsi="Arial"/>
      <w:color w:val="EA9703" w:themeColor="accent5" w:themeShade="BF"/>
      <w:szCs w:val="22"/>
    </w:rPr>
    <w:tblPr>
      <w:tblStyleRowBandSize w:val="1"/>
      <w:tblStyleColBandSize w:val="1"/>
      <w:tblBorders>
        <w:top w:val="single" w:sz="4" w:space="0" w:color="FDD48D" w:themeColor="accent5" w:themeTint="99"/>
        <w:left w:val="single" w:sz="4" w:space="0" w:color="FDD48D" w:themeColor="accent5" w:themeTint="99"/>
        <w:bottom w:val="single" w:sz="4" w:space="0" w:color="FDD48D" w:themeColor="accent5" w:themeTint="99"/>
        <w:right w:val="single" w:sz="4" w:space="0" w:color="FDD48D" w:themeColor="accent5" w:themeTint="99"/>
        <w:insideH w:val="single" w:sz="4" w:space="0" w:color="FDD48D" w:themeColor="accent5" w:themeTint="99"/>
        <w:insideV w:val="single" w:sz="4" w:space="0" w:color="FDD48D" w:themeColor="accent5" w:themeTint="99"/>
      </w:tblBorders>
    </w:tblPr>
    <w:tblStylePr w:type="firstRow">
      <w:pPr>
        <w:jc w:val="left"/>
      </w:pPr>
      <w:rPr>
        <w:b/>
        <w:bCs/>
      </w:rPr>
      <w:tblPr/>
      <w:tcPr>
        <w:tcBorders>
          <w:bottom w:val="single" w:sz="12" w:space="0" w:color="FDD48D" w:themeColor="accent5" w:themeTint="99"/>
        </w:tcBorders>
        <w:vAlign w:val="bottom"/>
      </w:tcPr>
    </w:tblStylePr>
    <w:tblStylePr w:type="lastRow">
      <w:rPr>
        <w:b/>
        <w:bCs/>
      </w:rPr>
      <w:tblPr/>
      <w:tcPr>
        <w:tcBorders>
          <w:top w:val="double" w:sz="4" w:space="0" w:color="FDD48D" w:themeColor="accent5" w:themeTint="99"/>
        </w:tcBorders>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GridTable6ColourfulAccent6">
    <w:name w:val="Grid Table 6 Colorful Accent 6"/>
    <w:basedOn w:val="TableNormal"/>
    <w:uiPriority w:val="51"/>
    <w:locked/>
    <w:rsid w:val="00482887"/>
    <w:pPr>
      <w:spacing w:before="0" w:after="0"/>
    </w:pPr>
    <w:rPr>
      <w:color w:val="A37D5D" w:themeColor="accent6" w:themeShade="BF"/>
      <w:sz w:val="22"/>
      <w:szCs w:val="22"/>
    </w:rPr>
    <w:tblPr>
      <w:tblStyleRowBandSize w:val="1"/>
      <w:tblStyleColBandSize w:val="1"/>
      <w:tblBorders>
        <w:top w:val="single" w:sz="4" w:space="0" w:color="DBCBBF" w:themeColor="accent6" w:themeTint="99"/>
        <w:left w:val="single" w:sz="4" w:space="0" w:color="DBCBBF" w:themeColor="accent6" w:themeTint="99"/>
        <w:bottom w:val="single" w:sz="4" w:space="0" w:color="DBCBBF" w:themeColor="accent6" w:themeTint="99"/>
        <w:right w:val="single" w:sz="4" w:space="0" w:color="DBCBBF" w:themeColor="accent6" w:themeTint="99"/>
        <w:insideH w:val="single" w:sz="4" w:space="0" w:color="DBCBBF" w:themeColor="accent6" w:themeTint="99"/>
        <w:insideV w:val="single" w:sz="4" w:space="0" w:color="DBCBBF" w:themeColor="accent6" w:themeTint="99"/>
      </w:tblBorders>
    </w:tblPr>
    <w:tblStylePr w:type="firstRow">
      <w:pPr>
        <w:jc w:val="left"/>
      </w:pPr>
      <w:rPr>
        <w:b/>
        <w:bCs/>
      </w:rPr>
      <w:tblPr/>
      <w:tcPr>
        <w:tcBorders>
          <w:bottom w:val="single" w:sz="12" w:space="0" w:color="DBCBBF" w:themeColor="accent6" w:themeTint="99"/>
        </w:tcBorders>
        <w:vAlign w:val="bottom"/>
      </w:tcPr>
    </w:tblStylePr>
    <w:tblStylePr w:type="lastRow">
      <w:rPr>
        <w:b/>
        <w:bCs/>
      </w:rPr>
      <w:tblPr/>
      <w:tcPr>
        <w:tcBorders>
          <w:top w:val="double" w:sz="4" w:space="0" w:color="DBCBBF" w:themeColor="accent6" w:themeTint="99"/>
        </w:tcBorders>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GridTable7Colourful">
    <w:name w:val="Grid Table 7 Colorful"/>
    <w:basedOn w:val="TableNormal"/>
    <w:uiPriority w:val="52"/>
    <w:rsid w:val="00482887"/>
    <w:pPr>
      <w:spacing w:before="0" w:after="0"/>
    </w:pPr>
    <w:rPr>
      <w:rFonts w:ascii="Arial" w:hAnsi="Arial"/>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val="0"/>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locked/>
    <w:rsid w:val="00482887"/>
    <w:pPr>
      <w:spacing w:before="0" w:after="0"/>
    </w:pPr>
    <w:rPr>
      <w:color w:val="A61847" w:themeColor="accent1" w:themeShade="BF"/>
      <w:sz w:val="22"/>
      <w:szCs w:val="22"/>
    </w:rPr>
    <w:tblPr>
      <w:tblStyleRowBandSize w:val="1"/>
      <w:tblStyleColBandSize w:val="1"/>
      <w:tblBorders>
        <w:top w:val="single" w:sz="4" w:space="0" w:color="EB789F" w:themeColor="accent1" w:themeTint="99"/>
        <w:left w:val="single" w:sz="4" w:space="0" w:color="EB789F" w:themeColor="accent1" w:themeTint="99"/>
        <w:bottom w:val="single" w:sz="4" w:space="0" w:color="EB789F" w:themeColor="accent1" w:themeTint="99"/>
        <w:right w:val="single" w:sz="4" w:space="0" w:color="EB789F" w:themeColor="accent1" w:themeTint="99"/>
        <w:insideH w:val="single" w:sz="4" w:space="0" w:color="EB789F" w:themeColor="accent1" w:themeTint="99"/>
        <w:insideV w:val="single" w:sz="4" w:space="0" w:color="EB789F" w:themeColor="accent1"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2DE" w:themeFill="accent1" w:themeFillTint="33"/>
      </w:tcPr>
    </w:tblStylePr>
    <w:tblStylePr w:type="band1Horz">
      <w:tblPr/>
      <w:tcPr>
        <w:shd w:val="clear" w:color="auto" w:fill="F8D2DE" w:themeFill="accent1" w:themeFillTint="33"/>
      </w:tcPr>
    </w:tblStylePr>
    <w:tblStylePr w:type="neCell">
      <w:tblPr/>
      <w:tcPr>
        <w:tcBorders>
          <w:bottom w:val="single" w:sz="4" w:space="0" w:color="EB789F" w:themeColor="accent1" w:themeTint="99"/>
        </w:tcBorders>
      </w:tcPr>
    </w:tblStylePr>
    <w:tblStylePr w:type="nwCell">
      <w:tblPr/>
      <w:tcPr>
        <w:tcBorders>
          <w:bottom w:val="single" w:sz="4" w:space="0" w:color="EB789F" w:themeColor="accent1" w:themeTint="99"/>
        </w:tcBorders>
      </w:tcPr>
    </w:tblStylePr>
    <w:tblStylePr w:type="seCell">
      <w:tblPr/>
      <w:tcPr>
        <w:tcBorders>
          <w:top w:val="single" w:sz="4" w:space="0" w:color="EB789F" w:themeColor="accent1" w:themeTint="99"/>
        </w:tcBorders>
      </w:tcPr>
    </w:tblStylePr>
    <w:tblStylePr w:type="swCell">
      <w:tblPr/>
      <w:tcPr>
        <w:tcBorders>
          <w:top w:val="single" w:sz="4" w:space="0" w:color="EB789F" w:themeColor="accent1" w:themeTint="99"/>
        </w:tcBorders>
      </w:tcPr>
    </w:tblStylePr>
  </w:style>
  <w:style w:type="table" w:styleId="GridTable7ColourfulAccent2">
    <w:name w:val="Grid Table 7 Colorful Accent 2"/>
    <w:basedOn w:val="TableNormal"/>
    <w:uiPriority w:val="52"/>
    <w:locked/>
    <w:rsid w:val="00482887"/>
    <w:pPr>
      <w:spacing w:before="0" w:after="0"/>
    </w:pPr>
    <w:rPr>
      <w:color w:val="CB530B" w:themeColor="accent2" w:themeShade="BF"/>
      <w:sz w:val="22"/>
      <w:szCs w:val="22"/>
    </w:rPr>
    <w:tblPr>
      <w:tblStyleRowBandSize w:val="1"/>
      <w:tblStyleColBandSize w:val="1"/>
      <w:tblBorders>
        <w:top w:val="single" w:sz="4" w:space="0" w:color="F7AD80" w:themeColor="accent2" w:themeTint="99"/>
        <w:left w:val="single" w:sz="4" w:space="0" w:color="F7AD80" w:themeColor="accent2" w:themeTint="99"/>
        <w:bottom w:val="single" w:sz="4" w:space="0" w:color="F7AD80" w:themeColor="accent2" w:themeTint="99"/>
        <w:right w:val="single" w:sz="4" w:space="0" w:color="F7AD80" w:themeColor="accent2" w:themeTint="99"/>
        <w:insideH w:val="single" w:sz="4" w:space="0" w:color="F7AD80" w:themeColor="accent2" w:themeTint="99"/>
        <w:insideV w:val="single" w:sz="4" w:space="0" w:color="F7AD80" w:themeColor="accent2"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4" w:themeFill="accent2" w:themeFillTint="33"/>
      </w:tcPr>
    </w:tblStylePr>
    <w:tblStylePr w:type="band1Horz">
      <w:tblPr/>
      <w:tcPr>
        <w:shd w:val="clear" w:color="auto" w:fill="FCE3D4" w:themeFill="accent2" w:themeFillTint="33"/>
      </w:tcPr>
    </w:tblStylePr>
    <w:tblStylePr w:type="neCell">
      <w:tblPr/>
      <w:tcPr>
        <w:tcBorders>
          <w:bottom w:val="single" w:sz="4" w:space="0" w:color="F7AD80" w:themeColor="accent2" w:themeTint="99"/>
        </w:tcBorders>
      </w:tcPr>
    </w:tblStylePr>
    <w:tblStylePr w:type="nwCell">
      <w:tblPr/>
      <w:tcPr>
        <w:tcBorders>
          <w:bottom w:val="single" w:sz="4" w:space="0" w:color="F7AD80" w:themeColor="accent2" w:themeTint="99"/>
        </w:tcBorders>
      </w:tcPr>
    </w:tblStylePr>
    <w:tblStylePr w:type="seCell">
      <w:tblPr/>
      <w:tcPr>
        <w:tcBorders>
          <w:top w:val="single" w:sz="4" w:space="0" w:color="F7AD80" w:themeColor="accent2" w:themeTint="99"/>
        </w:tcBorders>
      </w:tcPr>
    </w:tblStylePr>
    <w:tblStylePr w:type="swCell">
      <w:tblPr/>
      <w:tcPr>
        <w:tcBorders>
          <w:top w:val="single" w:sz="4" w:space="0" w:color="F7AD80" w:themeColor="accent2" w:themeTint="99"/>
        </w:tcBorders>
      </w:tcPr>
    </w:tblStylePr>
  </w:style>
  <w:style w:type="table" w:styleId="GridTable7ColourfulAccent3">
    <w:name w:val="Grid Table 7 Colorful Accent 3"/>
    <w:basedOn w:val="TableNormal"/>
    <w:uiPriority w:val="52"/>
    <w:locked/>
    <w:rsid w:val="00482887"/>
    <w:pPr>
      <w:spacing w:before="0" w:after="0"/>
    </w:pPr>
    <w:rPr>
      <w:color w:val="8AA122" w:themeColor="accent3" w:themeShade="BF"/>
      <w:sz w:val="22"/>
      <w:szCs w:val="22"/>
    </w:rPr>
    <w:tblPr>
      <w:tblStyleRowBandSize w:val="1"/>
      <w:tblStyleColBandSize w:val="1"/>
      <w:tblBorders>
        <w:top w:val="single" w:sz="4" w:space="0" w:color="D3E583" w:themeColor="accent3" w:themeTint="99"/>
        <w:left w:val="single" w:sz="4" w:space="0" w:color="D3E583" w:themeColor="accent3" w:themeTint="99"/>
        <w:bottom w:val="single" w:sz="4" w:space="0" w:color="D3E583" w:themeColor="accent3" w:themeTint="99"/>
        <w:right w:val="single" w:sz="4" w:space="0" w:color="D3E583" w:themeColor="accent3" w:themeTint="99"/>
        <w:insideH w:val="single" w:sz="4" w:space="0" w:color="D3E583" w:themeColor="accent3" w:themeTint="99"/>
        <w:insideV w:val="single" w:sz="4" w:space="0" w:color="D3E583" w:themeColor="accent3"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D5" w:themeFill="accent3" w:themeFillTint="33"/>
      </w:tcPr>
    </w:tblStylePr>
    <w:tblStylePr w:type="band1Horz">
      <w:tblPr/>
      <w:tcPr>
        <w:shd w:val="clear" w:color="auto" w:fill="F0F6D5" w:themeFill="accent3" w:themeFillTint="33"/>
      </w:tcPr>
    </w:tblStylePr>
    <w:tblStylePr w:type="neCell">
      <w:tblPr/>
      <w:tcPr>
        <w:tcBorders>
          <w:bottom w:val="single" w:sz="4" w:space="0" w:color="D3E583" w:themeColor="accent3" w:themeTint="99"/>
        </w:tcBorders>
      </w:tcPr>
    </w:tblStylePr>
    <w:tblStylePr w:type="nwCell">
      <w:tblPr/>
      <w:tcPr>
        <w:tcBorders>
          <w:bottom w:val="single" w:sz="4" w:space="0" w:color="D3E583" w:themeColor="accent3" w:themeTint="99"/>
        </w:tcBorders>
      </w:tcPr>
    </w:tblStylePr>
    <w:tblStylePr w:type="seCell">
      <w:tblPr/>
      <w:tcPr>
        <w:tcBorders>
          <w:top w:val="single" w:sz="4" w:space="0" w:color="D3E583" w:themeColor="accent3" w:themeTint="99"/>
        </w:tcBorders>
      </w:tcPr>
    </w:tblStylePr>
    <w:tblStylePr w:type="swCell">
      <w:tblPr/>
      <w:tcPr>
        <w:tcBorders>
          <w:top w:val="single" w:sz="4" w:space="0" w:color="D3E583" w:themeColor="accent3" w:themeTint="99"/>
        </w:tcBorders>
      </w:tcPr>
    </w:tblStylePr>
  </w:style>
  <w:style w:type="table" w:styleId="GridTable7ColourfulAccent4">
    <w:name w:val="Grid Table 7 Colorful Accent 4"/>
    <w:basedOn w:val="TableNormal"/>
    <w:uiPriority w:val="52"/>
    <w:locked/>
    <w:rsid w:val="00482887"/>
    <w:pPr>
      <w:spacing w:before="0" w:after="0"/>
    </w:pPr>
    <w:rPr>
      <w:color w:val="369492" w:themeColor="accent4" w:themeShade="BF"/>
      <w:sz w:val="22"/>
      <w:szCs w:val="22"/>
    </w:rPr>
    <w:tblPr>
      <w:tblStyleRowBandSize w:val="1"/>
      <w:tblStyleColBandSize w:val="1"/>
      <w:tblBorders>
        <w:top w:val="single" w:sz="4" w:space="0" w:color="95D8D7" w:themeColor="accent4" w:themeTint="99"/>
        <w:left w:val="single" w:sz="4" w:space="0" w:color="95D8D7" w:themeColor="accent4" w:themeTint="99"/>
        <w:bottom w:val="single" w:sz="4" w:space="0" w:color="95D8D7" w:themeColor="accent4" w:themeTint="99"/>
        <w:right w:val="single" w:sz="4" w:space="0" w:color="95D8D7" w:themeColor="accent4" w:themeTint="99"/>
        <w:insideH w:val="single" w:sz="4" w:space="0" w:color="95D8D7" w:themeColor="accent4" w:themeTint="99"/>
        <w:insideV w:val="single" w:sz="4" w:space="0" w:color="95D8D7" w:themeColor="accent4"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2F2" w:themeFill="accent4" w:themeFillTint="33"/>
      </w:tcPr>
    </w:tblStylePr>
    <w:tblStylePr w:type="band1Horz">
      <w:tblPr/>
      <w:tcPr>
        <w:shd w:val="clear" w:color="auto" w:fill="DBF2F2" w:themeFill="accent4" w:themeFillTint="33"/>
      </w:tcPr>
    </w:tblStylePr>
    <w:tblStylePr w:type="neCell">
      <w:tblPr/>
      <w:tcPr>
        <w:tcBorders>
          <w:bottom w:val="single" w:sz="4" w:space="0" w:color="95D8D7" w:themeColor="accent4" w:themeTint="99"/>
        </w:tcBorders>
      </w:tcPr>
    </w:tblStylePr>
    <w:tblStylePr w:type="nwCell">
      <w:tblPr/>
      <w:tcPr>
        <w:tcBorders>
          <w:bottom w:val="single" w:sz="4" w:space="0" w:color="95D8D7" w:themeColor="accent4" w:themeTint="99"/>
        </w:tcBorders>
      </w:tcPr>
    </w:tblStylePr>
    <w:tblStylePr w:type="seCell">
      <w:tblPr/>
      <w:tcPr>
        <w:tcBorders>
          <w:top w:val="single" w:sz="4" w:space="0" w:color="95D8D7" w:themeColor="accent4" w:themeTint="99"/>
        </w:tcBorders>
      </w:tcPr>
    </w:tblStylePr>
    <w:tblStylePr w:type="swCell">
      <w:tblPr/>
      <w:tcPr>
        <w:tcBorders>
          <w:top w:val="single" w:sz="4" w:space="0" w:color="95D8D7" w:themeColor="accent4" w:themeTint="99"/>
        </w:tcBorders>
      </w:tcPr>
    </w:tblStylePr>
  </w:style>
  <w:style w:type="table" w:styleId="GridTable7ColourfulAccent5">
    <w:name w:val="Grid Table 7 Colorful Accent 5"/>
    <w:basedOn w:val="TableNormal"/>
    <w:uiPriority w:val="52"/>
    <w:rsid w:val="00482887"/>
    <w:pPr>
      <w:spacing w:before="0" w:after="0"/>
    </w:pPr>
    <w:rPr>
      <w:color w:val="EA9703" w:themeColor="accent5" w:themeShade="BF"/>
      <w:sz w:val="22"/>
      <w:szCs w:val="22"/>
    </w:rPr>
    <w:tblPr>
      <w:tblStyleRowBandSize w:val="1"/>
      <w:tblStyleColBandSize w:val="1"/>
      <w:tblBorders>
        <w:top w:val="single" w:sz="4" w:space="0" w:color="FDD48D" w:themeColor="accent5" w:themeTint="99"/>
        <w:left w:val="single" w:sz="4" w:space="0" w:color="FDD48D" w:themeColor="accent5" w:themeTint="99"/>
        <w:bottom w:val="single" w:sz="4" w:space="0" w:color="FDD48D" w:themeColor="accent5" w:themeTint="99"/>
        <w:right w:val="single" w:sz="4" w:space="0" w:color="FDD48D" w:themeColor="accent5" w:themeTint="99"/>
        <w:insideH w:val="single" w:sz="4" w:space="0" w:color="FDD48D" w:themeColor="accent5" w:themeTint="99"/>
        <w:insideV w:val="single" w:sz="4" w:space="0" w:color="FDD48D" w:themeColor="accent5"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D8" w:themeFill="accent5" w:themeFillTint="33"/>
      </w:tcPr>
    </w:tblStylePr>
    <w:tblStylePr w:type="band1Horz">
      <w:tblPr/>
      <w:tcPr>
        <w:shd w:val="clear" w:color="auto" w:fill="FEF0D8" w:themeFill="accent5" w:themeFillTint="33"/>
      </w:tcPr>
    </w:tblStylePr>
    <w:tblStylePr w:type="neCell">
      <w:tblPr/>
      <w:tcPr>
        <w:tcBorders>
          <w:bottom w:val="single" w:sz="4" w:space="0" w:color="FDD48D" w:themeColor="accent5" w:themeTint="99"/>
        </w:tcBorders>
      </w:tcPr>
    </w:tblStylePr>
    <w:tblStylePr w:type="nwCell">
      <w:tblPr/>
      <w:tcPr>
        <w:tcBorders>
          <w:bottom w:val="single" w:sz="4" w:space="0" w:color="FDD48D" w:themeColor="accent5" w:themeTint="99"/>
        </w:tcBorders>
      </w:tcPr>
    </w:tblStylePr>
    <w:tblStylePr w:type="seCell">
      <w:tblPr/>
      <w:tcPr>
        <w:tcBorders>
          <w:top w:val="single" w:sz="4" w:space="0" w:color="FDD48D" w:themeColor="accent5" w:themeTint="99"/>
        </w:tcBorders>
      </w:tcPr>
    </w:tblStylePr>
    <w:tblStylePr w:type="swCell">
      <w:tblPr/>
      <w:tcPr>
        <w:tcBorders>
          <w:top w:val="single" w:sz="4" w:space="0" w:color="FDD48D" w:themeColor="accent5" w:themeTint="99"/>
        </w:tcBorders>
      </w:tcPr>
    </w:tblStylePr>
  </w:style>
  <w:style w:type="table" w:styleId="ListTable4-Accent1">
    <w:name w:val="List Table 4 Accent 1"/>
    <w:basedOn w:val="TableNormal"/>
    <w:uiPriority w:val="49"/>
    <w:locked/>
    <w:rsid w:val="00482887"/>
    <w:pPr>
      <w:spacing w:before="0" w:after="0"/>
    </w:pPr>
    <w:rPr>
      <w:rFonts w:ascii="Arial" w:hAnsi="Arial"/>
      <w:szCs w:val="22"/>
    </w:rPr>
    <w:tblPr>
      <w:tblStyleRowBandSize w:val="1"/>
      <w:tblStyleColBandSize w:val="1"/>
      <w:tblBorders>
        <w:bottom w:val="single" w:sz="4" w:space="0" w:color="EB789F" w:themeColor="accent1" w:themeTint="99"/>
      </w:tblBorders>
    </w:tblPr>
    <w:tblStylePr w:type="firstRow">
      <w:pPr>
        <w:jc w:val="left"/>
      </w:pPr>
      <w:rPr>
        <w:b/>
        <w:bCs/>
        <w:color w:val="FFFFFF" w:themeColor="background1"/>
      </w:rPr>
      <w:tblPr/>
      <w:tcPr>
        <w:shd w:val="clear" w:color="auto" w:fill="DE2060" w:themeFill="accent1"/>
        <w:vAlign w:val="bottom"/>
      </w:tcPr>
    </w:tblStylePr>
    <w:tblStylePr w:type="lastRow">
      <w:rPr>
        <w:b/>
        <w:bCs/>
      </w:rPr>
      <w:tblPr/>
      <w:tcPr>
        <w:tcBorders>
          <w:top w:val="double" w:sz="4" w:space="0" w:color="EB789F" w:themeColor="accent1" w:themeTint="99"/>
        </w:tcBorders>
      </w:tcPr>
    </w:tblStylePr>
    <w:tblStylePr w:type="firstCol">
      <w:rPr>
        <w:b/>
        <w:bCs/>
      </w:rPr>
    </w:tblStylePr>
    <w:tblStylePr w:type="lastCol">
      <w:rPr>
        <w:b/>
        <w:bCs/>
      </w:rPr>
    </w:tblStylePr>
    <w:tblStylePr w:type="band1Vert">
      <w:tblPr/>
      <w:tcPr>
        <w:shd w:val="clear" w:color="auto" w:fill="F8D2DE" w:themeFill="accent1" w:themeFillTint="33"/>
      </w:tcPr>
    </w:tblStylePr>
    <w:tblStylePr w:type="band1Horz">
      <w:tblPr/>
      <w:tcPr>
        <w:shd w:val="clear" w:color="auto" w:fill="F8D2DE" w:themeFill="accent1" w:themeFillTint="33"/>
      </w:tcPr>
    </w:tblStylePr>
  </w:style>
  <w:style w:type="table" w:styleId="ListTable4-Accent2">
    <w:name w:val="List Table 4 Accent 2"/>
    <w:basedOn w:val="TableNormal"/>
    <w:uiPriority w:val="49"/>
    <w:locked/>
    <w:rsid w:val="00482887"/>
    <w:pPr>
      <w:spacing w:before="0" w:after="0"/>
    </w:pPr>
    <w:rPr>
      <w:rFonts w:ascii="Arial" w:hAnsi="Arial"/>
      <w:szCs w:val="22"/>
    </w:rPr>
    <w:tblPr>
      <w:tblStyleRowBandSize w:val="1"/>
      <w:tblStyleColBandSize w:val="1"/>
      <w:tblBorders>
        <w:bottom w:val="single" w:sz="4" w:space="0" w:color="F7AD80" w:themeColor="accent2" w:themeTint="99"/>
      </w:tblBorders>
    </w:tblPr>
    <w:tblStylePr w:type="firstRow">
      <w:pPr>
        <w:jc w:val="left"/>
      </w:pPr>
      <w:rPr>
        <w:b/>
        <w:bCs/>
        <w:color w:val="FFFFFF" w:themeColor="background1"/>
      </w:rPr>
      <w:tblPr/>
      <w:tcPr>
        <w:tcBorders>
          <w:top w:val="single" w:sz="4" w:space="0" w:color="F3772C" w:themeColor="accent2"/>
          <w:left w:val="single" w:sz="4" w:space="0" w:color="F3772C" w:themeColor="accent2"/>
          <w:bottom w:val="single" w:sz="4" w:space="0" w:color="F3772C" w:themeColor="accent2"/>
          <w:right w:val="single" w:sz="4" w:space="0" w:color="F3772C" w:themeColor="accent2"/>
          <w:insideH w:val="nil"/>
        </w:tcBorders>
        <w:shd w:val="clear" w:color="auto" w:fill="F3772C" w:themeFill="accent2"/>
        <w:vAlign w:val="bottom"/>
      </w:tcPr>
    </w:tblStylePr>
    <w:tblStylePr w:type="lastRow">
      <w:rPr>
        <w:b/>
        <w:bCs/>
      </w:rPr>
      <w:tblPr/>
      <w:tcPr>
        <w:tcBorders>
          <w:top w:val="double" w:sz="4" w:space="0" w:color="F7AD80" w:themeColor="accent2" w:themeTint="99"/>
        </w:tcBorders>
      </w:tcPr>
    </w:tblStylePr>
    <w:tblStylePr w:type="firstCol">
      <w:rPr>
        <w:b/>
        <w:bCs/>
      </w:rPr>
    </w:tblStylePr>
    <w:tblStylePr w:type="lastCol">
      <w:rPr>
        <w:b/>
        <w:bCs/>
      </w:rPr>
    </w:tblStylePr>
    <w:tblStylePr w:type="band1Vert">
      <w:tblPr/>
      <w:tcPr>
        <w:shd w:val="clear" w:color="auto" w:fill="FCE3D4" w:themeFill="accent2" w:themeFillTint="33"/>
      </w:tcPr>
    </w:tblStylePr>
    <w:tblStylePr w:type="band1Horz">
      <w:tblPr/>
      <w:tcPr>
        <w:shd w:val="clear" w:color="auto" w:fill="FCE3D4" w:themeFill="accent2" w:themeFillTint="33"/>
      </w:tcPr>
    </w:tblStylePr>
  </w:style>
  <w:style w:type="table" w:styleId="ListTable4-Accent5">
    <w:name w:val="List Table 4 Accent 5"/>
    <w:basedOn w:val="TableNormal"/>
    <w:uiPriority w:val="49"/>
    <w:rsid w:val="00482887"/>
    <w:pPr>
      <w:spacing w:before="0" w:after="0"/>
    </w:pPr>
    <w:rPr>
      <w:rFonts w:ascii="Arial" w:hAnsi="Arial"/>
      <w:szCs w:val="22"/>
    </w:rPr>
    <w:tblPr>
      <w:tblStyleRowBandSize w:val="1"/>
      <w:tblStyleColBandSize w:val="1"/>
      <w:tblBorders>
        <w:bottom w:val="single" w:sz="4" w:space="0" w:color="FDD48D" w:themeColor="accent5" w:themeTint="99"/>
      </w:tblBorders>
    </w:tblPr>
    <w:tblStylePr w:type="firstRow">
      <w:pPr>
        <w:jc w:val="left"/>
      </w:pPr>
      <w:rPr>
        <w:b/>
        <w:bCs/>
        <w:color w:val="FFFFFF" w:themeColor="background1"/>
      </w:rPr>
      <w:tblPr/>
      <w:tcPr>
        <w:tcBorders>
          <w:top w:val="single" w:sz="4" w:space="0" w:color="FCB942" w:themeColor="accent5"/>
          <w:left w:val="single" w:sz="4" w:space="0" w:color="FCB942" w:themeColor="accent5"/>
          <w:bottom w:val="single" w:sz="4" w:space="0" w:color="FCB942" w:themeColor="accent5"/>
          <w:right w:val="single" w:sz="4" w:space="0" w:color="FCB942" w:themeColor="accent5"/>
          <w:insideH w:val="nil"/>
        </w:tcBorders>
        <w:shd w:val="clear" w:color="auto" w:fill="FCB942" w:themeFill="accent5"/>
        <w:vAlign w:val="bottom"/>
      </w:tcPr>
    </w:tblStylePr>
    <w:tblStylePr w:type="lastRow">
      <w:rPr>
        <w:b/>
        <w:bCs/>
      </w:rPr>
      <w:tblPr/>
      <w:tcPr>
        <w:tcBorders>
          <w:top w:val="double" w:sz="4" w:space="0" w:color="FDD48D" w:themeColor="accent5" w:themeTint="99"/>
        </w:tcBorders>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ListTable7ColourfulAccent3">
    <w:name w:val="List Table 7 Colorful Accent 3"/>
    <w:basedOn w:val="TableNormal"/>
    <w:uiPriority w:val="52"/>
    <w:locked/>
    <w:rsid w:val="00482887"/>
    <w:pPr>
      <w:spacing w:before="0" w:after="0"/>
    </w:pPr>
    <w:rPr>
      <w:color w:val="8AA122" w:themeColor="accent3" w:themeShade="BF"/>
      <w:sz w:val="22"/>
      <w:szCs w:val="22"/>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B7D432" w:themeColor="accent3"/>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B7D43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D43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D432" w:themeColor="accent3"/>
        </w:tcBorders>
        <w:shd w:val="clear" w:color="auto" w:fill="FFFFFF" w:themeFill="background1"/>
      </w:tcPr>
    </w:tblStylePr>
    <w:tblStylePr w:type="band1Vert">
      <w:tblPr/>
      <w:tcPr>
        <w:shd w:val="clear" w:color="auto" w:fill="F0F6D5" w:themeFill="accent3" w:themeFillTint="33"/>
      </w:tcPr>
    </w:tblStylePr>
    <w:tblStylePr w:type="band1Horz">
      <w:tblPr/>
      <w:tcPr>
        <w:shd w:val="clear" w:color="auto" w:fill="F0F6D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locked/>
    <w:rsid w:val="00482887"/>
    <w:pPr>
      <w:spacing w:before="0" w:after="0"/>
    </w:pPr>
    <w:rPr>
      <w:color w:val="369492" w:themeColor="accent4" w:themeShade="BF"/>
      <w:sz w:val="22"/>
      <w:szCs w:val="22"/>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4FBFBE" w:themeColor="accent4"/>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4FBFB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BFB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BFBE" w:themeColor="accent4"/>
        </w:tcBorders>
        <w:shd w:val="clear" w:color="auto" w:fill="FFFFFF" w:themeFill="background1"/>
      </w:tcPr>
    </w:tblStylePr>
    <w:tblStylePr w:type="band1Vert">
      <w:tblPr/>
      <w:tcPr>
        <w:shd w:val="clear" w:color="auto" w:fill="DBF2F2" w:themeFill="accent4" w:themeFillTint="33"/>
      </w:tcPr>
    </w:tblStylePr>
    <w:tblStylePr w:type="band1Horz">
      <w:tblPr/>
      <w:tcPr>
        <w:shd w:val="clear" w:color="auto" w:fill="DBF2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482887"/>
    <w:pPr>
      <w:spacing w:before="0" w:after="0"/>
    </w:pPr>
    <w:rPr>
      <w:color w:val="EA9703" w:themeColor="accent5" w:themeShade="BF"/>
      <w:sz w:val="22"/>
      <w:szCs w:val="22"/>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FCB942" w:themeColor="accent5"/>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FCB94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CB94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CB942" w:themeColor="accent5"/>
        </w:tcBorders>
        <w:shd w:val="clear" w:color="auto" w:fill="FFFFFF" w:themeFill="background1"/>
      </w:tcPr>
    </w:tblStylePr>
    <w:tblStylePr w:type="band1Vert">
      <w:tblPr/>
      <w:tcPr>
        <w:shd w:val="clear" w:color="auto" w:fill="FEF0D8" w:themeFill="accent5" w:themeFillTint="33"/>
      </w:tcPr>
    </w:tblStylePr>
    <w:tblStylePr w:type="band1Horz">
      <w:tblPr/>
      <w:tcPr>
        <w:shd w:val="clear" w:color="auto" w:fill="FEF0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locked/>
    <w:rsid w:val="00482887"/>
    <w:pPr>
      <w:spacing w:before="0" w:after="0"/>
    </w:pPr>
    <w:rPr>
      <w:color w:val="A37D5D" w:themeColor="accent6" w:themeShade="BF"/>
      <w:sz w:val="22"/>
      <w:szCs w:val="22"/>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C3AA95" w:themeColor="accent6"/>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C3AA9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AA9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AA95" w:themeColor="accent6"/>
        </w:tcBorders>
        <w:shd w:val="clear" w:color="auto" w:fill="FFFFFF" w:themeFill="background1"/>
      </w:tcPr>
    </w:tblStylePr>
    <w:tblStylePr w:type="band1Vert">
      <w:tblPr/>
      <w:tcPr>
        <w:shd w:val="clear" w:color="auto" w:fill="F3EDE9" w:themeFill="accent6" w:themeFillTint="33"/>
      </w:tcPr>
    </w:tblStylePr>
    <w:tblStylePr w:type="band1Horz">
      <w:tblPr/>
      <w:tcPr>
        <w:shd w:val="clear" w:color="auto" w:fill="F3ED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482887"/>
    <w:pPr>
      <w:spacing w:before="0" w:after="0"/>
    </w:pPr>
    <w:rPr>
      <w:rFonts w:ascii="Arial" w:hAnsi="Arial" w:cs="Times New Roman"/>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left"/>
      </w:pPr>
      <w:rPr>
        <w:b/>
        <w:bCs/>
      </w:rPr>
      <w:tblPr/>
      <w:tcPr>
        <w:vAlign w:val="bottom"/>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82887"/>
    <w:pPr>
      <w:spacing w:before="0" w:after="0"/>
    </w:pPr>
    <w:rPr>
      <w:rFonts w:ascii="Arial" w:hAnsi="Arial" w:cs="Times New Roman"/>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pPr>
        <w:jc w:val="left"/>
      </w:pPr>
      <w:rPr>
        <w:b/>
        <w:bCs/>
      </w:rPr>
      <w:tblPr/>
      <w:tcPr>
        <w:tcBorders>
          <w:bottom w:val="single" w:sz="4" w:space="0" w:color="7F7F7F" w:themeColor="text1" w:themeTint="80"/>
        </w:tcBorders>
        <w:vAlign w:val="bottom"/>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82887"/>
    <w:pPr>
      <w:spacing w:before="0" w:after="0"/>
    </w:pPr>
    <w:rPr>
      <w:rFonts w:ascii="Arial" w:hAnsi="Arial" w:cs="Times New Roman"/>
      <w:szCs w:val="20"/>
    </w:rPr>
    <w:tblPr>
      <w:tblStyleRowBandSize w:val="1"/>
      <w:tblStyleColBandSize w:val="1"/>
    </w:tblPr>
    <w:tblStylePr w:type="firstRow">
      <w:pPr>
        <w:jc w:val="left"/>
      </w:pPr>
      <w:rPr>
        <w:b/>
        <w:bCs/>
        <w:caps/>
      </w:rPr>
      <w:tblPr/>
      <w:tcPr>
        <w:tcBorders>
          <w:bottom w:val="single" w:sz="4" w:space="0" w:color="7F7F7F" w:themeColor="text1" w:themeTint="80"/>
        </w:tcBorders>
        <w:vAlign w:val="bottom"/>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82887"/>
    <w:pPr>
      <w:spacing w:before="0" w:after="0"/>
    </w:pPr>
    <w:rPr>
      <w:rFonts w:ascii="Arial" w:hAnsi="Arial" w:cs="Times New Roman"/>
      <w:szCs w:val="20"/>
    </w:rPr>
    <w:tblPr>
      <w:tblStyleRowBandSize w:val="1"/>
      <w:tblStyleColBandSize w:val="1"/>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482887"/>
    <w:pPr>
      <w:spacing w:before="0" w:after="0"/>
    </w:pPr>
    <w:rPr>
      <w:rFonts w:ascii="Arial" w:hAnsi="Arial"/>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left"/>
      </w:pPr>
      <w:tblPr/>
      <w:tcPr>
        <w:vAlign w:val="bottom"/>
      </w:tcPr>
    </w:tblStylePr>
  </w:style>
  <w:style w:type="table" w:styleId="TableGrid">
    <w:name w:val="Table Grid"/>
    <w:aliases w:val="SRC 2,DPS Table Grid"/>
    <w:basedOn w:val="TableNormal"/>
    <w:uiPriority w:val="39"/>
    <w:rsid w:val="00482887"/>
    <w:pPr>
      <w:spacing w:before="0" w:after="0"/>
    </w:pPr>
    <w:rPr>
      <w:rFonts w:ascii="Arial" w:hAnsi="Arial"/>
      <w:color w:val="0D0D0D" w:themeColor="text1" w:themeTint="F2"/>
      <w:szCs w:val="22"/>
    </w:r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blStylePr w:type="firstRow">
      <w:pPr>
        <w:jc w:val="left"/>
      </w:pPr>
      <w:rPr>
        <w:b/>
        <w:color w:val="000000" w:themeColor="text1"/>
      </w:rPr>
      <w:tblPr/>
      <w:tcPr>
        <w:vAlign w:val="bottom"/>
      </w:tcPr>
    </w:tblStylePr>
  </w:style>
  <w:style w:type="table" w:styleId="GridTable5Dark-Accent1">
    <w:name w:val="Grid Table 5 Dark Accent 1"/>
    <w:basedOn w:val="TableNormal"/>
    <w:uiPriority w:val="50"/>
    <w:locked/>
    <w:rsid w:val="00482887"/>
    <w:pPr>
      <w:spacing w:after="0"/>
    </w:pPr>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2DE" w:themeFill="accent1" w:themeFillTint="33"/>
    </w:tcPr>
    <w:tblStylePr w:type="firstRow">
      <w:pPr>
        <w:jc w:val="left"/>
      </w:pPr>
      <w:rPr>
        <w:b/>
        <w:bCs/>
        <w:color w:val="FFFFFF" w:themeColor="background1"/>
      </w:rPr>
      <w:tblPr/>
      <w:tcPr>
        <w:shd w:val="clear" w:color="auto" w:fill="DE2060" w:themeFill="accent1"/>
        <w:vAlign w:val="bottom"/>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2060" w:themeFill="accent1"/>
      </w:tcPr>
    </w:tblStylePr>
    <w:tblStylePr w:type="firstCol">
      <w:rPr>
        <w:b/>
        <w:bCs/>
        <w:color w:val="FFFFFF" w:themeColor="background1"/>
      </w:rPr>
      <w:tblPr/>
      <w:tcPr>
        <w:shd w:val="clear" w:color="auto" w:fill="DE2060" w:themeFill="accent1"/>
      </w:tcPr>
    </w:tblStylePr>
    <w:tblStylePr w:type="lastCol">
      <w:rPr>
        <w:b/>
        <w:bCs/>
        <w:color w:val="FFFFFF" w:themeColor="background1"/>
      </w:rPr>
      <w:tblPr/>
      <w:tcPr>
        <w:shd w:val="clear" w:color="auto" w:fill="FFFFFF" w:themeFill="background1"/>
      </w:tcPr>
    </w:tblStylePr>
    <w:tblStylePr w:type="band1Vert">
      <w:tblPr/>
      <w:tcPr>
        <w:shd w:val="clear" w:color="auto" w:fill="F8D2DE" w:themeFill="accent1" w:themeFillTint="33"/>
      </w:tcPr>
    </w:tblStylePr>
    <w:tblStylePr w:type="band2Vert">
      <w:tblPr/>
      <w:tcPr>
        <w:shd w:val="clear" w:color="auto" w:fill="FFFFFF" w:themeFill="background1"/>
      </w:tcPr>
    </w:tblStylePr>
    <w:tblStylePr w:type="band1Horz">
      <w:tblPr/>
      <w:tcPr>
        <w:shd w:val="clear" w:color="auto" w:fill="F8D2DE" w:themeFill="accent1" w:themeFillTint="33"/>
      </w:tcPr>
    </w:tblStylePr>
    <w:tblStylePr w:type="band2Horz">
      <w:tblPr/>
      <w:tcPr>
        <w:shd w:val="clear" w:color="auto" w:fill="FFFFFF" w:themeFill="background1"/>
      </w:tcPr>
    </w:tblStylePr>
  </w:style>
  <w:style w:type="table" w:styleId="ListTable3">
    <w:name w:val="List Table 3"/>
    <w:basedOn w:val="TableNormal"/>
    <w:uiPriority w:val="48"/>
    <w:rsid w:val="00482887"/>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jc w:val="left"/>
      </w:pPr>
      <w:rPr>
        <w:b/>
        <w:bCs/>
        <w:color w:val="FFFFFF" w:themeColor="background1"/>
      </w:rPr>
      <w:tblPr/>
      <w:tcPr>
        <w:shd w:val="clear" w:color="auto" w:fill="000000" w:themeFill="text1"/>
        <w:vAlign w:val="bottom"/>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locked/>
    <w:rsid w:val="00482887"/>
    <w:pPr>
      <w:spacing w:after="0"/>
    </w:pPr>
    <w:rPr>
      <w:rFonts w:ascii="Arial" w:hAnsi="Arial"/>
    </w:rPr>
    <w:tblPr>
      <w:tblStyleRowBandSize w:val="1"/>
      <w:tblStyleColBandSize w:val="1"/>
      <w:tblBorders>
        <w:top w:val="single" w:sz="4" w:space="0" w:color="DE2060" w:themeColor="accent1"/>
        <w:left w:val="single" w:sz="4" w:space="0" w:color="DE2060" w:themeColor="accent1"/>
        <w:bottom w:val="single" w:sz="4" w:space="0" w:color="DE2060" w:themeColor="accent1"/>
        <w:right w:val="single" w:sz="4" w:space="0" w:color="DE2060" w:themeColor="accent1"/>
      </w:tblBorders>
    </w:tblPr>
    <w:tcPr>
      <w:vAlign w:val="bottom"/>
    </w:tcPr>
    <w:tblStylePr w:type="firstRow">
      <w:pPr>
        <w:jc w:val="left"/>
      </w:pPr>
      <w:rPr>
        <w:b/>
        <w:bCs/>
        <w:color w:val="FFFFFF" w:themeColor="background1"/>
      </w:rPr>
      <w:tblPr/>
      <w:tcPr>
        <w:shd w:val="clear" w:color="auto" w:fill="DE2060" w:themeFill="accent1"/>
      </w:tcPr>
    </w:tblStylePr>
    <w:tblStylePr w:type="lastRow">
      <w:rPr>
        <w:b/>
        <w:bCs/>
      </w:rPr>
      <w:tblPr/>
      <w:tcPr>
        <w:tcBorders>
          <w:top w:val="double" w:sz="4" w:space="0" w:color="DE206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2060" w:themeColor="accent1"/>
          <w:right w:val="single" w:sz="4" w:space="0" w:color="DE2060" w:themeColor="accent1"/>
        </w:tcBorders>
      </w:tcPr>
    </w:tblStylePr>
    <w:tblStylePr w:type="band1Horz">
      <w:tblPr/>
      <w:tcPr>
        <w:tcBorders>
          <w:top w:val="single" w:sz="4" w:space="0" w:color="DE2060" w:themeColor="accent1"/>
          <w:bottom w:val="single" w:sz="4" w:space="0" w:color="DE206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2060" w:themeColor="accent1"/>
          <w:left w:val="nil"/>
        </w:tcBorders>
      </w:tcPr>
    </w:tblStylePr>
    <w:tblStylePr w:type="swCell">
      <w:tblPr/>
      <w:tcPr>
        <w:tcBorders>
          <w:top w:val="double" w:sz="4" w:space="0" w:color="DE2060" w:themeColor="accent1"/>
          <w:right w:val="nil"/>
        </w:tcBorders>
      </w:tcPr>
    </w:tblStylePr>
  </w:style>
  <w:style w:type="table" w:styleId="ListTable3-Accent2">
    <w:name w:val="List Table 3 Accent 2"/>
    <w:basedOn w:val="TableNormal"/>
    <w:uiPriority w:val="48"/>
    <w:locked/>
    <w:rsid w:val="00482887"/>
    <w:pPr>
      <w:spacing w:after="0"/>
    </w:pPr>
    <w:tblPr>
      <w:tblStyleRowBandSize w:val="1"/>
      <w:tblStyleColBandSize w:val="1"/>
      <w:tblBorders>
        <w:top w:val="single" w:sz="4" w:space="0" w:color="F3772C" w:themeColor="accent2"/>
        <w:left w:val="single" w:sz="4" w:space="0" w:color="F3772C" w:themeColor="accent2"/>
        <w:bottom w:val="single" w:sz="4" w:space="0" w:color="F3772C" w:themeColor="accent2"/>
        <w:right w:val="single" w:sz="4" w:space="0" w:color="F3772C" w:themeColor="accent2"/>
      </w:tblBorders>
    </w:tblPr>
    <w:tblStylePr w:type="firstRow">
      <w:pPr>
        <w:jc w:val="left"/>
      </w:pPr>
      <w:rPr>
        <w:b/>
        <w:bCs/>
        <w:color w:val="FFFFFF" w:themeColor="background1"/>
      </w:rPr>
      <w:tblPr/>
      <w:tcPr>
        <w:shd w:val="clear" w:color="auto" w:fill="F3772C" w:themeFill="accent2"/>
        <w:vAlign w:val="bottom"/>
      </w:tcPr>
    </w:tblStylePr>
    <w:tblStylePr w:type="lastRow">
      <w:rPr>
        <w:b/>
        <w:bCs/>
      </w:rPr>
      <w:tblPr/>
      <w:tcPr>
        <w:tcBorders>
          <w:top w:val="double" w:sz="4" w:space="0" w:color="F3772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772C" w:themeColor="accent2"/>
          <w:right w:val="single" w:sz="4" w:space="0" w:color="F3772C" w:themeColor="accent2"/>
        </w:tcBorders>
      </w:tcPr>
    </w:tblStylePr>
    <w:tblStylePr w:type="band1Horz">
      <w:tblPr/>
      <w:tcPr>
        <w:tcBorders>
          <w:top w:val="single" w:sz="4" w:space="0" w:color="F3772C" w:themeColor="accent2"/>
          <w:bottom w:val="single" w:sz="4" w:space="0" w:color="F3772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772C" w:themeColor="accent2"/>
          <w:left w:val="nil"/>
        </w:tcBorders>
      </w:tcPr>
    </w:tblStylePr>
    <w:tblStylePr w:type="swCell">
      <w:tblPr/>
      <w:tcPr>
        <w:tcBorders>
          <w:top w:val="double" w:sz="4" w:space="0" w:color="F3772C" w:themeColor="accent2"/>
          <w:right w:val="nil"/>
        </w:tcBorders>
      </w:tcPr>
    </w:tblStylePr>
  </w:style>
  <w:style w:type="table" w:styleId="ListTable3-Accent3">
    <w:name w:val="List Table 3 Accent 3"/>
    <w:basedOn w:val="TableNormal"/>
    <w:uiPriority w:val="48"/>
    <w:locked/>
    <w:rsid w:val="00482887"/>
    <w:pPr>
      <w:spacing w:after="0"/>
    </w:pPr>
    <w:tblPr>
      <w:tblStyleRowBandSize w:val="1"/>
      <w:tblStyleColBandSize w:val="1"/>
      <w:tblBorders>
        <w:top w:val="single" w:sz="4" w:space="0" w:color="B7D432" w:themeColor="accent3"/>
        <w:left w:val="single" w:sz="4" w:space="0" w:color="B7D432" w:themeColor="accent3"/>
        <w:bottom w:val="single" w:sz="4" w:space="0" w:color="B7D432" w:themeColor="accent3"/>
        <w:right w:val="single" w:sz="4" w:space="0" w:color="B7D432" w:themeColor="accent3"/>
      </w:tblBorders>
    </w:tblPr>
    <w:tblStylePr w:type="firstRow">
      <w:pPr>
        <w:jc w:val="left"/>
      </w:pPr>
      <w:rPr>
        <w:b/>
        <w:bCs/>
        <w:color w:val="FFFFFF" w:themeColor="background1"/>
      </w:rPr>
      <w:tblPr/>
      <w:tcPr>
        <w:shd w:val="clear" w:color="auto" w:fill="B7D432" w:themeFill="accent3"/>
        <w:vAlign w:val="bottom"/>
      </w:tcPr>
    </w:tblStylePr>
    <w:tblStylePr w:type="lastRow">
      <w:rPr>
        <w:b/>
        <w:bCs/>
      </w:rPr>
      <w:tblPr/>
      <w:tcPr>
        <w:tcBorders>
          <w:top w:val="double" w:sz="4" w:space="0" w:color="B7D43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D432" w:themeColor="accent3"/>
          <w:right w:val="single" w:sz="4" w:space="0" w:color="B7D432" w:themeColor="accent3"/>
        </w:tcBorders>
      </w:tcPr>
    </w:tblStylePr>
    <w:tblStylePr w:type="band1Horz">
      <w:tblPr/>
      <w:tcPr>
        <w:tcBorders>
          <w:top w:val="single" w:sz="4" w:space="0" w:color="B7D432" w:themeColor="accent3"/>
          <w:bottom w:val="single" w:sz="4" w:space="0" w:color="B7D43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D432" w:themeColor="accent3"/>
          <w:left w:val="nil"/>
        </w:tcBorders>
      </w:tcPr>
    </w:tblStylePr>
    <w:tblStylePr w:type="swCell">
      <w:tblPr/>
      <w:tcPr>
        <w:tcBorders>
          <w:top w:val="double" w:sz="4" w:space="0" w:color="B7D432" w:themeColor="accent3"/>
          <w:right w:val="nil"/>
        </w:tcBorders>
      </w:tcPr>
    </w:tblStylePr>
  </w:style>
  <w:style w:type="table" w:styleId="ListTable3-Accent4">
    <w:name w:val="List Table 3 Accent 4"/>
    <w:basedOn w:val="TableNormal"/>
    <w:uiPriority w:val="48"/>
    <w:locked/>
    <w:rsid w:val="00482887"/>
    <w:pPr>
      <w:spacing w:after="0"/>
    </w:pPr>
    <w:tblPr>
      <w:tblStyleRowBandSize w:val="1"/>
      <w:tblStyleColBandSize w:val="1"/>
      <w:tblBorders>
        <w:top w:val="single" w:sz="4" w:space="0" w:color="4FBFBE" w:themeColor="accent4"/>
        <w:left w:val="single" w:sz="4" w:space="0" w:color="4FBFBE" w:themeColor="accent4"/>
        <w:bottom w:val="single" w:sz="4" w:space="0" w:color="4FBFBE" w:themeColor="accent4"/>
        <w:right w:val="single" w:sz="4" w:space="0" w:color="4FBFBE" w:themeColor="accent4"/>
      </w:tblBorders>
    </w:tblPr>
    <w:tblStylePr w:type="firstRow">
      <w:pPr>
        <w:jc w:val="left"/>
      </w:pPr>
      <w:rPr>
        <w:b/>
        <w:bCs/>
        <w:color w:val="FFFFFF" w:themeColor="background1"/>
      </w:rPr>
      <w:tblPr/>
      <w:tcPr>
        <w:shd w:val="clear" w:color="auto" w:fill="4FBFBE" w:themeFill="accent4"/>
        <w:vAlign w:val="bottom"/>
      </w:tcPr>
    </w:tblStylePr>
    <w:tblStylePr w:type="lastRow">
      <w:rPr>
        <w:b/>
        <w:bCs/>
      </w:rPr>
      <w:tblPr/>
      <w:tcPr>
        <w:tcBorders>
          <w:top w:val="double" w:sz="4" w:space="0" w:color="4FBFB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BFBE" w:themeColor="accent4"/>
          <w:right w:val="single" w:sz="4" w:space="0" w:color="4FBFBE" w:themeColor="accent4"/>
        </w:tcBorders>
      </w:tcPr>
    </w:tblStylePr>
    <w:tblStylePr w:type="band1Horz">
      <w:tblPr/>
      <w:tcPr>
        <w:tcBorders>
          <w:top w:val="single" w:sz="4" w:space="0" w:color="4FBFBE" w:themeColor="accent4"/>
          <w:bottom w:val="single" w:sz="4" w:space="0" w:color="4FBFB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BFBE" w:themeColor="accent4"/>
          <w:left w:val="nil"/>
        </w:tcBorders>
      </w:tcPr>
    </w:tblStylePr>
    <w:tblStylePr w:type="swCell">
      <w:tblPr/>
      <w:tcPr>
        <w:tcBorders>
          <w:top w:val="double" w:sz="4" w:space="0" w:color="4FBFBE" w:themeColor="accent4"/>
          <w:right w:val="nil"/>
        </w:tcBorders>
      </w:tcPr>
    </w:tblStylePr>
  </w:style>
  <w:style w:type="table" w:styleId="ListTable3-Accent5">
    <w:name w:val="List Table 3 Accent 5"/>
    <w:basedOn w:val="TableNormal"/>
    <w:uiPriority w:val="48"/>
    <w:rsid w:val="00482887"/>
    <w:pPr>
      <w:spacing w:after="0"/>
    </w:pPr>
    <w:tblPr>
      <w:tblStyleRowBandSize w:val="1"/>
      <w:tblStyleColBandSize w:val="1"/>
      <w:tblBorders>
        <w:top w:val="single" w:sz="4" w:space="0" w:color="FCB942" w:themeColor="accent5"/>
        <w:left w:val="single" w:sz="4" w:space="0" w:color="FCB942" w:themeColor="accent5"/>
        <w:bottom w:val="single" w:sz="4" w:space="0" w:color="FCB942" w:themeColor="accent5"/>
        <w:right w:val="single" w:sz="4" w:space="0" w:color="FCB942" w:themeColor="accent5"/>
      </w:tblBorders>
    </w:tblPr>
    <w:tblStylePr w:type="firstRow">
      <w:pPr>
        <w:jc w:val="left"/>
      </w:pPr>
      <w:rPr>
        <w:b/>
        <w:bCs/>
        <w:color w:val="FFFFFF" w:themeColor="background1"/>
      </w:rPr>
      <w:tblPr/>
      <w:tcPr>
        <w:shd w:val="clear" w:color="auto" w:fill="FCB942" w:themeFill="accent5"/>
        <w:vAlign w:val="bottom"/>
      </w:tcPr>
    </w:tblStylePr>
    <w:tblStylePr w:type="lastRow">
      <w:rPr>
        <w:b/>
        <w:bCs/>
      </w:rPr>
      <w:tblPr/>
      <w:tcPr>
        <w:tcBorders>
          <w:top w:val="double" w:sz="4" w:space="0" w:color="FCB94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CB942" w:themeColor="accent5"/>
          <w:right w:val="single" w:sz="4" w:space="0" w:color="FCB942" w:themeColor="accent5"/>
        </w:tcBorders>
      </w:tcPr>
    </w:tblStylePr>
    <w:tblStylePr w:type="band1Horz">
      <w:tblPr/>
      <w:tcPr>
        <w:tcBorders>
          <w:top w:val="single" w:sz="4" w:space="0" w:color="FCB942" w:themeColor="accent5"/>
          <w:bottom w:val="single" w:sz="4" w:space="0" w:color="FCB94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CB942" w:themeColor="accent5"/>
          <w:left w:val="nil"/>
        </w:tcBorders>
      </w:tcPr>
    </w:tblStylePr>
    <w:tblStylePr w:type="swCell">
      <w:tblPr/>
      <w:tcPr>
        <w:tcBorders>
          <w:top w:val="double" w:sz="4" w:space="0" w:color="FCB942" w:themeColor="accent5"/>
          <w:right w:val="nil"/>
        </w:tcBorders>
      </w:tcPr>
    </w:tblStylePr>
  </w:style>
  <w:style w:type="table" w:styleId="ListTable3-Accent6">
    <w:name w:val="List Table 3 Accent 6"/>
    <w:basedOn w:val="TableNormal"/>
    <w:uiPriority w:val="48"/>
    <w:locked/>
    <w:rsid w:val="00482887"/>
    <w:pPr>
      <w:spacing w:after="0"/>
    </w:pPr>
    <w:tblPr>
      <w:tblStyleRowBandSize w:val="1"/>
      <w:tblStyleColBandSize w:val="1"/>
      <w:tblBorders>
        <w:top w:val="single" w:sz="4" w:space="0" w:color="C3AA95" w:themeColor="accent6"/>
        <w:left w:val="single" w:sz="4" w:space="0" w:color="C3AA95" w:themeColor="accent6"/>
        <w:bottom w:val="single" w:sz="4" w:space="0" w:color="C3AA95" w:themeColor="accent6"/>
        <w:right w:val="single" w:sz="4" w:space="0" w:color="C3AA95" w:themeColor="accent6"/>
      </w:tblBorders>
    </w:tblPr>
    <w:tblStylePr w:type="firstRow">
      <w:pPr>
        <w:jc w:val="left"/>
      </w:pPr>
      <w:rPr>
        <w:b/>
        <w:bCs/>
        <w:color w:val="FFFFFF" w:themeColor="background1"/>
      </w:rPr>
      <w:tblPr/>
      <w:tcPr>
        <w:shd w:val="clear" w:color="auto" w:fill="C3AA95" w:themeFill="accent6"/>
        <w:vAlign w:val="bottom"/>
      </w:tcPr>
    </w:tblStylePr>
    <w:tblStylePr w:type="lastRow">
      <w:rPr>
        <w:b/>
        <w:bCs/>
      </w:rPr>
      <w:tblPr/>
      <w:tcPr>
        <w:tcBorders>
          <w:top w:val="double" w:sz="4" w:space="0" w:color="C3AA9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AA95" w:themeColor="accent6"/>
          <w:right w:val="single" w:sz="4" w:space="0" w:color="C3AA95" w:themeColor="accent6"/>
        </w:tcBorders>
      </w:tcPr>
    </w:tblStylePr>
    <w:tblStylePr w:type="band1Horz">
      <w:tblPr/>
      <w:tcPr>
        <w:tcBorders>
          <w:top w:val="single" w:sz="4" w:space="0" w:color="C3AA95" w:themeColor="accent6"/>
          <w:bottom w:val="single" w:sz="4" w:space="0" w:color="C3AA9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AA95" w:themeColor="accent6"/>
          <w:left w:val="nil"/>
        </w:tcBorders>
      </w:tcPr>
    </w:tblStylePr>
    <w:tblStylePr w:type="swCell">
      <w:tblPr/>
      <w:tcPr>
        <w:tcBorders>
          <w:top w:val="double" w:sz="4" w:space="0" w:color="C3AA95" w:themeColor="accent6"/>
          <w:right w:val="nil"/>
        </w:tcBorders>
      </w:tcPr>
    </w:tblStylePr>
  </w:style>
  <w:style w:type="table" w:styleId="ListTable4">
    <w:name w:val="List Table 4"/>
    <w:basedOn w:val="TableNormal"/>
    <w:uiPriority w:val="49"/>
    <w:rsid w:val="00482887"/>
    <w:pPr>
      <w:spacing w:after="0"/>
    </w:pPr>
    <w:rPr>
      <w:rFonts w:ascii="Arial" w:hAnsi="Arial"/>
    </w:rPr>
    <w:tblPr>
      <w:tblStyleRowBandSize w:val="1"/>
      <w:tblStyleColBandSize w:val="1"/>
      <w:tblBorders>
        <w:bottom w:val="single" w:sz="4" w:space="0" w:color="666666" w:themeColor="text1" w:themeTint="99"/>
      </w:tblBorders>
    </w:tblPr>
    <w:tblStylePr w:type="firstRow">
      <w:pPr>
        <w:jc w:val="left"/>
      </w:pPr>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vAlign w:val="bottom"/>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3">
    <w:name w:val="List Table 4 Accent 3"/>
    <w:basedOn w:val="TableNormal"/>
    <w:uiPriority w:val="49"/>
    <w:locked/>
    <w:rsid w:val="00482887"/>
    <w:pPr>
      <w:spacing w:after="0"/>
    </w:pPr>
    <w:rPr>
      <w:rFonts w:ascii="Arial" w:hAnsi="Arial"/>
    </w:rPr>
    <w:tblPr>
      <w:tblStyleRowBandSize w:val="1"/>
      <w:tblStyleColBandSize w:val="1"/>
      <w:tblBorders>
        <w:bottom w:val="single" w:sz="4" w:space="0" w:color="D3E583" w:themeColor="accent3" w:themeTint="99"/>
      </w:tblBorders>
    </w:tblPr>
    <w:tblStylePr w:type="firstRow">
      <w:pPr>
        <w:jc w:val="left"/>
      </w:pPr>
      <w:rPr>
        <w:b/>
        <w:bCs/>
        <w:color w:val="FFFFFF" w:themeColor="background1"/>
      </w:rPr>
      <w:tblPr/>
      <w:tcPr>
        <w:tcBorders>
          <w:top w:val="single" w:sz="4" w:space="0" w:color="B7D432" w:themeColor="accent3"/>
          <w:left w:val="single" w:sz="4" w:space="0" w:color="B7D432" w:themeColor="accent3"/>
          <w:bottom w:val="single" w:sz="4" w:space="0" w:color="B7D432" w:themeColor="accent3"/>
          <w:right w:val="single" w:sz="4" w:space="0" w:color="B7D432" w:themeColor="accent3"/>
          <w:insideH w:val="nil"/>
        </w:tcBorders>
        <w:shd w:val="clear" w:color="auto" w:fill="B7D432" w:themeFill="accent3"/>
        <w:vAlign w:val="bottom"/>
      </w:tcPr>
    </w:tblStylePr>
    <w:tblStylePr w:type="lastRow">
      <w:rPr>
        <w:b/>
        <w:bCs/>
      </w:rPr>
      <w:tblPr/>
      <w:tcPr>
        <w:tcBorders>
          <w:top w:val="double" w:sz="4" w:space="0" w:color="D3E583" w:themeColor="accent3" w:themeTint="99"/>
        </w:tcBorders>
      </w:tcPr>
    </w:tblStylePr>
    <w:tblStylePr w:type="firstCol">
      <w:rPr>
        <w:b/>
        <w:bCs/>
      </w:rPr>
    </w:tblStylePr>
    <w:tblStylePr w:type="lastCol">
      <w:rPr>
        <w:b/>
        <w:bCs/>
      </w:rPr>
    </w:tblStylePr>
    <w:tblStylePr w:type="band1Vert">
      <w:tblPr/>
      <w:tcPr>
        <w:shd w:val="clear" w:color="auto" w:fill="F0F6D5" w:themeFill="accent3" w:themeFillTint="33"/>
      </w:tcPr>
    </w:tblStylePr>
    <w:tblStylePr w:type="band1Horz">
      <w:tblPr/>
      <w:tcPr>
        <w:shd w:val="clear" w:color="auto" w:fill="F0F6D5" w:themeFill="accent3" w:themeFillTint="33"/>
      </w:tcPr>
    </w:tblStylePr>
  </w:style>
  <w:style w:type="table" w:styleId="ListTable4-Accent4">
    <w:name w:val="List Table 4 Accent 4"/>
    <w:basedOn w:val="TableNormal"/>
    <w:uiPriority w:val="49"/>
    <w:locked/>
    <w:rsid w:val="00482887"/>
    <w:pPr>
      <w:spacing w:after="0"/>
    </w:pPr>
    <w:rPr>
      <w:rFonts w:ascii="Arial" w:hAnsi="Arial"/>
    </w:rPr>
    <w:tblPr>
      <w:tblStyleRowBandSize w:val="1"/>
      <w:tblStyleColBandSize w:val="1"/>
      <w:tblBorders>
        <w:bottom w:val="single" w:sz="4" w:space="0" w:color="95D8D7" w:themeColor="accent4" w:themeTint="99"/>
      </w:tblBorders>
    </w:tblPr>
    <w:tblStylePr w:type="firstRow">
      <w:pPr>
        <w:jc w:val="left"/>
      </w:pPr>
      <w:rPr>
        <w:b/>
        <w:bCs/>
        <w:color w:val="FFFFFF" w:themeColor="background1"/>
      </w:rPr>
      <w:tblPr/>
      <w:tcPr>
        <w:tcBorders>
          <w:top w:val="single" w:sz="4" w:space="0" w:color="4FBFBE" w:themeColor="accent4"/>
          <w:left w:val="single" w:sz="4" w:space="0" w:color="4FBFBE" w:themeColor="accent4"/>
          <w:bottom w:val="single" w:sz="4" w:space="0" w:color="4FBFBE" w:themeColor="accent4"/>
          <w:right w:val="single" w:sz="4" w:space="0" w:color="4FBFBE" w:themeColor="accent4"/>
          <w:insideH w:val="nil"/>
        </w:tcBorders>
        <w:shd w:val="clear" w:color="auto" w:fill="4FBFBE" w:themeFill="accent4"/>
        <w:vAlign w:val="bottom"/>
      </w:tcPr>
    </w:tblStylePr>
    <w:tblStylePr w:type="lastRow">
      <w:rPr>
        <w:b/>
        <w:bCs/>
      </w:rPr>
      <w:tblPr/>
      <w:tcPr>
        <w:tcBorders>
          <w:top w:val="double" w:sz="4" w:space="0" w:color="95D8D7" w:themeColor="accent4" w:themeTint="99"/>
        </w:tcBorders>
      </w:tcPr>
    </w:tblStylePr>
    <w:tblStylePr w:type="firstCol">
      <w:rPr>
        <w:b/>
        <w:bCs/>
      </w:rPr>
    </w:tblStylePr>
    <w:tblStylePr w:type="lastCol">
      <w:rPr>
        <w:b/>
        <w:bCs/>
      </w:rPr>
    </w:tblStylePr>
    <w:tblStylePr w:type="band1Vert">
      <w:tblPr/>
      <w:tcPr>
        <w:shd w:val="clear" w:color="auto" w:fill="DBF2F2" w:themeFill="accent4" w:themeFillTint="33"/>
      </w:tcPr>
    </w:tblStylePr>
    <w:tblStylePr w:type="band1Horz">
      <w:tblPr/>
      <w:tcPr>
        <w:shd w:val="clear" w:color="auto" w:fill="DBF2F2" w:themeFill="accent4" w:themeFillTint="33"/>
      </w:tcPr>
    </w:tblStylePr>
  </w:style>
  <w:style w:type="table" w:styleId="ListTable4-Accent6">
    <w:name w:val="List Table 4 Accent 6"/>
    <w:basedOn w:val="TableNormal"/>
    <w:uiPriority w:val="49"/>
    <w:locked/>
    <w:rsid w:val="00482887"/>
    <w:pPr>
      <w:spacing w:after="0"/>
    </w:pPr>
    <w:rPr>
      <w:rFonts w:ascii="Arial" w:hAnsi="Arial"/>
    </w:rPr>
    <w:tblPr>
      <w:tblStyleRowBandSize w:val="1"/>
      <w:tblStyleColBandSize w:val="1"/>
      <w:tblBorders>
        <w:bottom w:val="single" w:sz="4" w:space="0" w:color="DBCBBF" w:themeColor="accent6" w:themeTint="99"/>
      </w:tblBorders>
    </w:tblPr>
    <w:tblStylePr w:type="firstRow">
      <w:pPr>
        <w:jc w:val="left"/>
      </w:pPr>
      <w:rPr>
        <w:b/>
        <w:bCs/>
        <w:color w:val="FFFFFF" w:themeColor="background1"/>
      </w:rPr>
      <w:tblPr/>
      <w:tcPr>
        <w:tcBorders>
          <w:top w:val="single" w:sz="4" w:space="0" w:color="C3AA95" w:themeColor="accent6"/>
          <w:left w:val="single" w:sz="4" w:space="0" w:color="C3AA95" w:themeColor="accent6"/>
          <w:bottom w:val="single" w:sz="4" w:space="0" w:color="C3AA95" w:themeColor="accent6"/>
          <w:right w:val="single" w:sz="4" w:space="0" w:color="C3AA95" w:themeColor="accent6"/>
          <w:insideH w:val="nil"/>
        </w:tcBorders>
        <w:shd w:val="clear" w:color="auto" w:fill="C3AA95" w:themeFill="accent6"/>
        <w:vAlign w:val="bottom"/>
      </w:tcPr>
    </w:tblStylePr>
    <w:tblStylePr w:type="lastRow">
      <w:rPr>
        <w:b/>
        <w:bCs/>
      </w:rPr>
      <w:tblPr/>
      <w:tcPr>
        <w:tcBorders>
          <w:top w:val="double" w:sz="4" w:space="0" w:color="DBCBBF" w:themeColor="accent6" w:themeTint="99"/>
        </w:tcBorders>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ListTable5Dark">
    <w:name w:val="List Table 5 Dark"/>
    <w:basedOn w:val="TableNormal"/>
    <w:uiPriority w:val="50"/>
    <w:rsid w:val="00482887"/>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482887"/>
    <w:pPr>
      <w:spacing w:after="0"/>
    </w:pPr>
    <w:rPr>
      <w:color w:val="FFFFFF" w:themeColor="background1"/>
    </w:rPr>
    <w:tblPr>
      <w:tblStyleRowBandSize w:val="1"/>
      <w:tblStyleColBandSize w:val="1"/>
      <w:tblBorders>
        <w:top w:val="single" w:sz="24" w:space="0" w:color="DE2060" w:themeColor="accent1"/>
        <w:left w:val="single" w:sz="24" w:space="0" w:color="DE2060" w:themeColor="accent1"/>
        <w:bottom w:val="single" w:sz="24" w:space="0" w:color="DE2060" w:themeColor="accent1"/>
        <w:right w:val="single" w:sz="24" w:space="0" w:color="DE2060" w:themeColor="accent1"/>
      </w:tblBorders>
    </w:tblPr>
    <w:tcPr>
      <w:shd w:val="clear" w:color="auto" w:fill="DE2060" w:themeFill="accent1"/>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482887"/>
    <w:pPr>
      <w:spacing w:after="0"/>
    </w:pPr>
    <w:rPr>
      <w:color w:val="FFFFFF" w:themeColor="background1"/>
    </w:rPr>
    <w:tblPr>
      <w:tblStyleRowBandSize w:val="1"/>
      <w:tblStyleColBandSize w:val="1"/>
      <w:tblBorders>
        <w:top w:val="single" w:sz="24" w:space="0" w:color="F3772C" w:themeColor="accent2"/>
        <w:left w:val="single" w:sz="24" w:space="0" w:color="F3772C" w:themeColor="accent2"/>
        <w:bottom w:val="single" w:sz="24" w:space="0" w:color="F3772C" w:themeColor="accent2"/>
        <w:right w:val="single" w:sz="24" w:space="0" w:color="F3772C" w:themeColor="accent2"/>
      </w:tblBorders>
    </w:tblPr>
    <w:tcPr>
      <w:shd w:val="clear" w:color="auto" w:fill="F3772C" w:themeFill="accent2"/>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482887"/>
    <w:pPr>
      <w:spacing w:after="0"/>
    </w:pPr>
    <w:rPr>
      <w:color w:val="FFFFFF" w:themeColor="background1"/>
    </w:rPr>
    <w:tblPr>
      <w:tblStyleRowBandSize w:val="1"/>
      <w:tblStyleColBandSize w:val="1"/>
      <w:tblBorders>
        <w:top w:val="single" w:sz="24" w:space="0" w:color="B7D432" w:themeColor="accent3"/>
        <w:left w:val="single" w:sz="24" w:space="0" w:color="B7D432" w:themeColor="accent3"/>
        <w:bottom w:val="single" w:sz="24" w:space="0" w:color="B7D432" w:themeColor="accent3"/>
        <w:right w:val="single" w:sz="24" w:space="0" w:color="B7D432" w:themeColor="accent3"/>
      </w:tblBorders>
    </w:tblPr>
    <w:tcPr>
      <w:shd w:val="clear" w:color="auto" w:fill="B7D432" w:themeFill="accent3"/>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482887"/>
    <w:pPr>
      <w:spacing w:after="0"/>
    </w:pPr>
    <w:rPr>
      <w:color w:val="FFFFFF" w:themeColor="background1"/>
    </w:rPr>
    <w:tblPr>
      <w:tblStyleRowBandSize w:val="1"/>
      <w:tblStyleColBandSize w:val="1"/>
      <w:tblBorders>
        <w:top w:val="single" w:sz="24" w:space="0" w:color="4FBFBE" w:themeColor="accent4"/>
        <w:left w:val="single" w:sz="24" w:space="0" w:color="4FBFBE" w:themeColor="accent4"/>
        <w:bottom w:val="single" w:sz="24" w:space="0" w:color="4FBFBE" w:themeColor="accent4"/>
        <w:right w:val="single" w:sz="24" w:space="0" w:color="4FBFBE" w:themeColor="accent4"/>
      </w:tblBorders>
    </w:tblPr>
    <w:tcPr>
      <w:shd w:val="clear" w:color="auto" w:fill="4FBFBE" w:themeFill="accent4"/>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82887"/>
    <w:pPr>
      <w:spacing w:after="0"/>
    </w:pPr>
    <w:rPr>
      <w:color w:val="FFFFFF" w:themeColor="background1"/>
    </w:rPr>
    <w:tblPr>
      <w:tblStyleRowBandSize w:val="1"/>
      <w:tblStyleColBandSize w:val="1"/>
      <w:tblBorders>
        <w:top w:val="single" w:sz="24" w:space="0" w:color="FCB942" w:themeColor="accent5"/>
        <w:left w:val="single" w:sz="24" w:space="0" w:color="FCB942" w:themeColor="accent5"/>
        <w:bottom w:val="single" w:sz="24" w:space="0" w:color="FCB942" w:themeColor="accent5"/>
        <w:right w:val="single" w:sz="24" w:space="0" w:color="FCB942" w:themeColor="accent5"/>
      </w:tblBorders>
    </w:tblPr>
    <w:tcPr>
      <w:shd w:val="clear" w:color="auto" w:fill="FCB942" w:themeFill="accent5"/>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482887"/>
    <w:pPr>
      <w:spacing w:after="0"/>
    </w:pPr>
    <w:rPr>
      <w:color w:val="FFFFFF" w:themeColor="background1"/>
    </w:rPr>
    <w:tblPr>
      <w:tblStyleRowBandSize w:val="1"/>
      <w:tblStyleColBandSize w:val="1"/>
      <w:tblBorders>
        <w:top w:val="single" w:sz="24" w:space="0" w:color="C3AA95" w:themeColor="accent6"/>
        <w:left w:val="single" w:sz="24" w:space="0" w:color="C3AA95" w:themeColor="accent6"/>
        <w:bottom w:val="single" w:sz="24" w:space="0" w:color="C3AA95" w:themeColor="accent6"/>
        <w:right w:val="single" w:sz="24" w:space="0" w:color="C3AA95" w:themeColor="accent6"/>
      </w:tblBorders>
    </w:tblPr>
    <w:tcPr>
      <w:shd w:val="clear" w:color="auto" w:fill="C3AA95" w:themeFill="accent6"/>
    </w:tcPr>
    <w:tblStylePr w:type="firstRow">
      <w:pPr>
        <w:jc w:val="left"/>
      </w:pPr>
      <w:rPr>
        <w:b/>
        <w:bCs/>
      </w:rPr>
      <w:tblPr/>
      <w:tcPr>
        <w:tcBorders>
          <w:bottom w:val="single" w:sz="18" w:space="0" w:color="FFFFFF" w:themeColor="background1"/>
        </w:tcBorders>
        <w:vAlign w:val="bottom"/>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482887"/>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pPr>
        <w:jc w:val="left"/>
      </w:pPr>
      <w:rPr>
        <w:b/>
        <w:bCs/>
      </w:rPr>
      <w:tblPr/>
      <w:tcPr>
        <w:tcBorders>
          <w:bottom w:val="single" w:sz="4" w:space="0" w:color="000000" w:themeColor="text1"/>
        </w:tcBorders>
        <w:vAlign w:val="bottom"/>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locked/>
    <w:rsid w:val="00482887"/>
    <w:pPr>
      <w:spacing w:after="0"/>
    </w:pPr>
    <w:rPr>
      <w:color w:val="A61847" w:themeColor="accent1" w:themeShade="BF"/>
    </w:rPr>
    <w:tblPr>
      <w:tblStyleRowBandSize w:val="1"/>
      <w:tblStyleColBandSize w:val="1"/>
      <w:tblBorders>
        <w:top w:val="single" w:sz="4" w:space="0" w:color="DE2060" w:themeColor="accent1"/>
        <w:bottom w:val="single" w:sz="4" w:space="0" w:color="DE2060" w:themeColor="accent1"/>
      </w:tblBorders>
    </w:tblPr>
    <w:tblStylePr w:type="firstRow">
      <w:pPr>
        <w:jc w:val="left"/>
      </w:pPr>
      <w:rPr>
        <w:b/>
        <w:bCs/>
      </w:rPr>
      <w:tblPr/>
      <w:tcPr>
        <w:tcBorders>
          <w:bottom w:val="single" w:sz="4" w:space="0" w:color="DE2060" w:themeColor="accent1"/>
        </w:tcBorders>
        <w:vAlign w:val="bottom"/>
      </w:tcPr>
    </w:tblStylePr>
    <w:tblStylePr w:type="lastRow">
      <w:rPr>
        <w:b/>
        <w:bCs/>
      </w:rPr>
      <w:tblPr/>
      <w:tcPr>
        <w:tcBorders>
          <w:top w:val="double" w:sz="4" w:space="0" w:color="DE2060" w:themeColor="accent1"/>
        </w:tcBorders>
      </w:tcPr>
    </w:tblStylePr>
    <w:tblStylePr w:type="firstCol">
      <w:rPr>
        <w:b/>
        <w:bCs/>
      </w:rPr>
    </w:tblStylePr>
    <w:tblStylePr w:type="lastCol">
      <w:rPr>
        <w:b/>
        <w:bCs/>
      </w:rPr>
    </w:tblStylePr>
    <w:tblStylePr w:type="band1Vert">
      <w:tblPr/>
      <w:tcPr>
        <w:shd w:val="clear" w:color="auto" w:fill="F8D2DE" w:themeFill="accent1" w:themeFillTint="33"/>
      </w:tcPr>
    </w:tblStylePr>
    <w:tblStylePr w:type="band1Horz">
      <w:tblPr/>
      <w:tcPr>
        <w:shd w:val="clear" w:color="auto" w:fill="F8D2DE" w:themeFill="accent1" w:themeFillTint="33"/>
      </w:tcPr>
    </w:tblStylePr>
  </w:style>
  <w:style w:type="table" w:styleId="ListTable6ColourfulAccent2">
    <w:name w:val="List Table 6 Colorful Accent 2"/>
    <w:basedOn w:val="TableNormal"/>
    <w:uiPriority w:val="51"/>
    <w:locked/>
    <w:rsid w:val="00482887"/>
    <w:pPr>
      <w:spacing w:after="0"/>
    </w:pPr>
    <w:rPr>
      <w:color w:val="CB530B" w:themeColor="accent2" w:themeShade="BF"/>
    </w:rPr>
    <w:tblPr>
      <w:tblStyleRowBandSize w:val="1"/>
      <w:tblStyleColBandSize w:val="1"/>
      <w:tblBorders>
        <w:top w:val="single" w:sz="4" w:space="0" w:color="F3772C" w:themeColor="accent2"/>
        <w:bottom w:val="single" w:sz="4" w:space="0" w:color="F3772C" w:themeColor="accent2"/>
      </w:tblBorders>
    </w:tblPr>
    <w:tblStylePr w:type="firstRow">
      <w:pPr>
        <w:jc w:val="left"/>
      </w:pPr>
      <w:rPr>
        <w:b/>
        <w:bCs/>
      </w:rPr>
      <w:tblPr/>
      <w:tcPr>
        <w:tcBorders>
          <w:bottom w:val="single" w:sz="4" w:space="0" w:color="F3772C" w:themeColor="accent2"/>
        </w:tcBorders>
        <w:vAlign w:val="bottom"/>
      </w:tcPr>
    </w:tblStylePr>
    <w:tblStylePr w:type="lastRow">
      <w:rPr>
        <w:b/>
        <w:bCs/>
      </w:rPr>
      <w:tblPr/>
      <w:tcPr>
        <w:tcBorders>
          <w:top w:val="double" w:sz="4" w:space="0" w:color="F3772C" w:themeColor="accent2"/>
        </w:tcBorders>
      </w:tcPr>
    </w:tblStylePr>
    <w:tblStylePr w:type="firstCol">
      <w:rPr>
        <w:b/>
        <w:bCs/>
      </w:rPr>
    </w:tblStylePr>
    <w:tblStylePr w:type="lastCol">
      <w:rPr>
        <w:b/>
        <w:bCs/>
      </w:rPr>
    </w:tblStylePr>
    <w:tblStylePr w:type="band1Vert">
      <w:tblPr/>
      <w:tcPr>
        <w:shd w:val="clear" w:color="auto" w:fill="FCE3D4" w:themeFill="accent2" w:themeFillTint="33"/>
      </w:tcPr>
    </w:tblStylePr>
    <w:tblStylePr w:type="band1Horz">
      <w:tblPr/>
      <w:tcPr>
        <w:shd w:val="clear" w:color="auto" w:fill="FCE3D4" w:themeFill="accent2" w:themeFillTint="33"/>
      </w:tcPr>
    </w:tblStylePr>
  </w:style>
  <w:style w:type="table" w:styleId="ListTable6ColourfulAccent3">
    <w:name w:val="List Table 6 Colorful Accent 3"/>
    <w:basedOn w:val="TableNormal"/>
    <w:uiPriority w:val="51"/>
    <w:locked/>
    <w:rsid w:val="00482887"/>
    <w:pPr>
      <w:spacing w:after="0"/>
    </w:pPr>
    <w:rPr>
      <w:color w:val="8AA122" w:themeColor="accent3" w:themeShade="BF"/>
    </w:rPr>
    <w:tblPr>
      <w:tblStyleRowBandSize w:val="1"/>
      <w:tblStyleColBandSize w:val="1"/>
      <w:tblBorders>
        <w:top w:val="single" w:sz="4" w:space="0" w:color="B7D432" w:themeColor="accent3"/>
        <w:bottom w:val="single" w:sz="4" w:space="0" w:color="B7D432" w:themeColor="accent3"/>
      </w:tblBorders>
    </w:tblPr>
    <w:tblStylePr w:type="firstRow">
      <w:pPr>
        <w:jc w:val="left"/>
      </w:pPr>
      <w:rPr>
        <w:b/>
        <w:bCs/>
      </w:rPr>
      <w:tblPr/>
      <w:tcPr>
        <w:tcBorders>
          <w:bottom w:val="single" w:sz="4" w:space="0" w:color="B7D432" w:themeColor="accent3"/>
        </w:tcBorders>
        <w:vAlign w:val="bottom"/>
      </w:tcPr>
    </w:tblStylePr>
    <w:tblStylePr w:type="lastRow">
      <w:rPr>
        <w:b/>
        <w:bCs/>
      </w:rPr>
      <w:tblPr/>
      <w:tcPr>
        <w:tcBorders>
          <w:top w:val="double" w:sz="4" w:space="0" w:color="B7D432" w:themeColor="accent3"/>
        </w:tcBorders>
      </w:tcPr>
    </w:tblStylePr>
    <w:tblStylePr w:type="firstCol">
      <w:rPr>
        <w:b/>
        <w:bCs/>
      </w:rPr>
    </w:tblStylePr>
    <w:tblStylePr w:type="lastCol">
      <w:rPr>
        <w:b/>
        <w:bCs/>
      </w:rPr>
    </w:tblStylePr>
    <w:tblStylePr w:type="band1Vert">
      <w:tblPr/>
      <w:tcPr>
        <w:shd w:val="clear" w:color="auto" w:fill="F0F6D5" w:themeFill="accent3" w:themeFillTint="33"/>
      </w:tcPr>
    </w:tblStylePr>
    <w:tblStylePr w:type="band1Horz">
      <w:tblPr/>
      <w:tcPr>
        <w:shd w:val="clear" w:color="auto" w:fill="F0F6D5" w:themeFill="accent3" w:themeFillTint="33"/>
      </w:tcPr>
    </w:tblStylePr>
  </w:style>
  <w:style w:type="table" w:styleId="ListTable6ColourfulAccent4">
    <w:name w:val="List Table 6 Colorful Accent 4"/>
    <w:basedOn w:val="TableNormal"/>
    <w:uiPriority w:val="51"/>
    <w:locked/>
    <w:rsid w:val="00482887"/>
    <w:pPr>
      <w:spacing w:after="0"/>
    </w:pPr>
    <w:rPr>
      <w:color w:val="369492" w:themeColor="accent4" w:themeShade="BF"/>
    </w:rPr>
    <w:tblPr>
      <w:tblStyleRowBandSize w:val="1"/>
      <w:tblStyleColBandSize w:val="1"/>
      <w:tblBorders>
        <w:top w:val="single" w:sz="4" w:space="0" w:color="4FBFBE" w:themeColor="accent4"/>
        <w:bottom w:val="single" w:sz="4" w:space="0" w:color="4FBFBE" w:themeColor="accent4"/>
      </w:tblBorders>
    </w:tblPr>
    <w:tblStylePr w:type="firstRow">
      <w:pPr>
        <w:jc w:val="left"/>
      </w:pPr>
      <w:rPr>
        <w:b/>
        <w:bCs/>
      </w:rPr>
      <w:tblPr/>
      <w:tcPr>
        <w:tcBorders>
          <w:bottom w:val="single" w:sz="4" w:space="0" w:color="4FBFBE" w:themeColor="accent4"/>
        </w:tcBorders>
        <w:vAlign w:val="bottom"/>
      </w:tcPr>
    </w:tblStylePr>
    <w:tblStylePr w:type="lastRow">
      <w:rPr>
        <w:b/>
        <w:bCs/>
      </w:rPr>
      <w:tblPr/>
      <w:tcPr>
        <w:tcBorders>
          <w:top w:val="double" w:sz="4" w:space="0" w:color="4FBFBE" w:themeColor="accent4"/>
        </w:tcBorders>
      </w:tcPr>
    </w:tblStylePr>
    <w:tblStylePr w:type="firstCol">
      <w:rPr>
        <w:b/>
        <w:bCs/>
      </w:rPr>
    </w:tblStylePr>
    <w:tblStylePr w:type="lastCol">
      <w:rPr>
        <w:b/>
        <w:bCs/>
      </w:rPr>
    </w:tblStylePr>
    <w:tblStylePr w:type="band1Vert">
      <w:tblPr/>
      <w:tcPr>
        <w:shd w:val="clear" w:color="auto" w:fill="DBF2F2" w:themeFill="accent4" w:themeFillTint="33"/>
      </w:tcPr>
    </w:tblStylePr>
    <w:tblStylePr w:type="band1Horz">
      <w:tblPr/>
      <w:tcPr>
        <w:shd w:val="clear" w:color="auto" w:fill="DBF2F2" w:themeFill="accent4" w:themeFillTint="33"/>
      </w:tcPr>
    </w:tblStylePr>
  </w:style>
  <w:style w:type="table" w:styleId="ListTable6ColourfulAccent5">
    <w:name w:val="List Table 6 Colorful Accent 5"/>
    <w:basedOn w:val="TableNormal"/>
    <w:uiPriority w:val="51"/>
    <w:rsid w:val="00482887"/>
    <w:pPr>
      <w:spacing w:after="0"/>
    </w:pPr>
    <w:rPr>
      <w:color w:val="EA9703" w:themeColor="accent5" w:themeShade="BF"/>
    </w:rPr>
    <w:tblPr>
      <w:tblStyleRowBandSize w:val="1"/>
      <w:tblStyleColBandSize w:val="1"/>
      <w:tblBorders>
        <w:top w:val="single" w:sz="4" w:space="0" w:color="FCB942" w:themeColor="accent5"/>
        <w:bottom w:val="single" w:sz="4" w:space="0" w:color="FCB942" w:themeColor="accent5"/>
      </w:tblBorders>
    </w:tblPr>
    <w:tblStylePr w:type="firstRow">
      <w:pPr>
        <w:jc w:val="left"/>
      </w:pPr>
      <w:rPr>
        <w:b/>
        <w:bCs/>
      </w:rPr>
      <w:tblPr/>
      <w:tcPr>
        <w:tcBorders>
          <w:bottom w:val="single" w:sz="4" w:space="0" w:color="FCB942" w:themeColor="accent5"/>
        </w:tcBorders>
        <w:vAlign w:val="bottom"/>
      </w:tcPr>
    </w:tblStylePr>
    <w:tblStylePr w:type="lastRow">
      <w:rPr>
        <w:b/>
        <w:bCs/>
      </w:rPr>
      <w:tblPr/>
      <w:tcPr>
        <w:tcBorders>
          <w:top w:val="double" w:sz="4" w:space="0" w:color="FCB942" w:themeColor="accent5"/>
        </w:tcBorders>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ListTable6ColourfulAccent6">
    <w:name w:val="List Table 6 Colorful Accent 6"/>
    <w:basedOn w:val="TableNormal"/>
    <w:uiPriority w:val="51"/>
    <w:locked/>
    <w:rsid w:val="00482887"/>
    <w:pPr>
      <w:spacing w:after="0"/>
    </w:pPr>
    <w:rPr>
      <w:color w:val="A37D5D" w:themeColor="accent6" w:themeShade="BF"/>
    </w:rPr>
    <w:tblPr>
      <w:tblStyleRowBandSize w:val="1"/>
      <w:tblStyleColBandSize w:val="1"/>
      <w:tblBorders>
        <w:top w:val="single" w:sz="4" w:space="0" w:color="C3AA95" w:themeColor="accent6"/>
        <w:bottom w:val="single" w:sz="4" w:space="0" w:color="C3AA95" w:themeColor="accent6"/>
      </w:tblBorders>
    </w:tblPr>
    <w:tblStylePr w:type="firstRow">
      <w:pPr>
        <w:jc w:val="left"/>
      </w:pPr>
      <w:rPr>
        <w:b/>
        <w:bCs/>
      </w:rPr>
      <w:tblPr/>
      <w:tcPr>
        <w:tcBorders>
          <w:bottom w:val="single" w:sz="4" w:space="0" w:color="C3AA95" w:themeColor="accent6"/>
        </w:tcBorders>
        <w:vAlign w:val="bottom"/>
      </w:tcPr>
    </w:tblStylePr>
    <w:tblStylePr w:type="lastRow">
      <w:rPr>
        <w:b/>
        <w:bCs/>
      </w:rPr>
      <w:tblPr/>
      <w:tcPr>
        <w:tcBorders>
          <w:top w:val="double" w:sz="4" w:space="0" w:color="C3AA95" w:themeColor="accent6"/>
        </w:tcBorders>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ListTable7Colourful">
    <w:name w:val="List Table 7 Colorful"/>
    <w:basedOn w:val="TableNormal"/>
    <w:uiPriority w:val="52"/>
    <w:rsid w:val="00482887"/>
    <w:pPr>
      <w:spacing w:after="0"/>
    </w:pPr>
    <w:rPr>
      <w:color w:val="000000" w:themeColor="text1"/>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locked/>
    <w:rsid w:val="00482887"/>
    <w:pPr>
      <w:spacing w:after="0"/>
    </w:pPr>
    <w:rPr>
      <w:color w:val="A61847" w:themeColor="accent1" w:themeShade="BF"/>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DE2060" w:themeColor="accent1"/>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DE206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206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2060" w:themeColor="accent1"/>
        </w:tcBorders>
        <w:shd w:val="clear" w:color="auto" w:fill="FFFFFF" w:themeFill="background1"/>
      </w:tcPr>
    </w:tblStylePr>
    <w:tblStylePr w:type="band1Vert">
      <w:tblPr/>
      <w:tcPr>
        <w:shd w:val="clear" w:color="auto" w:fill="F8D2DE" w:themeFill="accent1" w:themeFillTint="33"/>
      </w:tcPr>
    </w:tblStylePr>
    <w:tblStylePr w:type="band1Horz">
      <w:tblPr/>
      <w:tcPr>
        <w:shd w:val="clear" w:color="auto" w:fill="F8D2D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locked/>
    <w:rsid w:val="00482887"/>
    <w:pPr>
      <w:spacing w:after="0"/>
    </w:pPr>
    <w:rPr>
      <w:color w:val="CB530B" w:themeColor="accent2" w:themeShade="BF"/>
    </w:rPr>
    <w:tblPr>
      <w:tblStyleRowBandSize w:val="1"/>
      <w:tblStyleColBandSize w:val="1"/>
    </w:tblPr>
    <w:tblStylePr w:type="firstRow">
      <w:pPr>
        <w:jc w:val="left"/>
      </w:pPr>
      <w:rPr>
        <w:rFonts w:asciiTheme="majorHAnsi" w:eastAsiaTheme="majorEastAsia" w:hAnsiTheme="majorHAnsi" w:cstheme="majorBidi"/>
        <w:i/>
        <w:iCs/>
        <w:sz w:val="26"/>
      </w:rPr>
      <w:tblPr/>
      <w:tcPr>
        <w:tcBorders>
          <w:bottom w:val="single" w:sz="4" w:space="0" w:color="F3772C" w:themeColor="accent2"/>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F3772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772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772C" w:themeColor="accent2"/>
        </w:tcBorders>
        <w:shd w:val="clear" w:color="auto" w:fill="FFFFFF" w:themeFill="background1"/>
      </w:tcPr>
    </w:tblStylePr>
    <w:tblStylePr w:type="band1Vert">
      <w:tblPr/>
      <w:tcPr>
        <w:shd w:val="clear" w:color="auto" w:fill="FCE3D4" w:themeFill="accent2" w:themeFillTint="33"/>
      </w:tcPr>
    </w:tblStylePr>
    <w:tblStylePr w:type="band1Horz">
      <w:tblPr/>
      <w:tcPr>
        <w:shd w:val="clear" w:color="auto" w:fill="FCE3D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482887"/>
    <w:pPr>
      <w:spacing w:after="0"/>
    </w:pPr>
    <w:rPr>
      <w:rFonts w:ascii="Arial" w:hAnsi="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pPr>
        <w:jc w:val="left"/>
      </w:pPr>
      <w:rPr>
        <w:b/>
        <w:bCs/>
      </w:rPr>
      <w:tblPr/>
      <w:tcPr>
        <w:tcBorders>
          <w:bottom w:val="single" w:sz="12" w:space="0" w:color="666666" w:themeColor="text1" w:themeTint="99"/>
        </w:tcBorders>
        <w:vAlign w:val="bottom"/>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482887"/>
    <w:pPr>
      <w:spacing w:after="0"/>
    </w:pPr>
    <w:rPr>
      <w:rFonts w:ascii="Arial" w:hAnsi="Arial"/>
    </w:rPr>
    <w:tblPr>
      <w:tblStyleRowBandSize w:val="1"/>
      <w:tblStyleColBandSize w:val="1"/>
      <w:tblBorders>
        <w:top w:val="single" w:sz="4" w:space="0" w:color="65FAFF" w:themeColor="text2" w:themeTint="66"/>
        <w:left w:val="single" w:sz="4" w:space="0" w:color="65FAFF" w:themeColor="text2" w:themeTint="66"/>
        <w:bottom w:val="single" w:sz="4" w:space="0" w:color="65FAFF" w:themeColor="text2" w:themeTint="66"/>
        <w:right w:val="single" w:sz="4" w:space="0" w:color="65FAFF" w:themeColor="text2" w:themeTint="66"/>
        <w:insideH w:val="single" w:sz="4" w:space="0" w:color="65FAFF" w:themeColor="text2" w:themeTint="66"/>
        <w:insideV w:val="single" w:sz="4" w:space="0" w:color="65FAFF" w:themeColor="text2" w:themeTint="66"/>
      </w:tblBorders>
    </w:tblPr>
    <w:tblStylePr w:type="firstRow">
      <w:pPr>
        <w:jc w:val="left"/>
      </w:pPr>
      <w:rPr>
        <w:b/>
        <w:bCs/>
      </w:rPr>
      <w:tblPr/>
      <w:tcPr>
        <w:tcBorders>
          <w:bottom w:val="single" w:sz="12" w:space="0" w:color="DE2060" w:themeColor="accent1"/>
        </w:tcBorders>
      </w:tcPr>
    </w:tblStylePr>
    <w:tblStylePr w:type="lastRow">
      <w:rPr>
        <w:b/>
        <w:bCs/>
      </w:rPr>
      <w:tblPr/>
      <w:tcPr>
        <w:tcBorders>
          <w:top w:val="double" w:sz="2" w:space="0" w:color="18F8FF" w:themeColor="text2" w:themeTint="99"/>
        </w:tcBorders>
      </w:tcPr>
    </w:tblStylePr>
    <w:tblStylePr w:type="firstCol">
      <w:rPr>
        <w:b/>
        <w:bCs/>
      </w:rPr>
    </w:tblStylePr>
    <w:tblStylePr w:type="lastCol">
      <w:rPr>
        <w:b/>
        <w:bCs/>
      </w:rPr>
    </w:tblStylePr>
    <w:tblStylePr w:type="band1Horz">
      <w:tblPr/>
      <w:tcPr>
        <w:tcBorders>
          <w:top w:val="single" w:sz="2" w:space="0" w:color="18F8FF" w:themeColor="text2" w:themeTint="99"/>
          <w:left w:val="single" w:sz="2" w:space="0" w:color="18F8FF" w:themeColor="text2" w:themeTint="99"/>
          <w:bottom w:val="single" w:sz="2" w:space="0" w:color="18F8FF" w:themeColor="text2" w:themeTint="99"/>
          <w:right w:val="single" w:sz="2" w:space="0" w:color="18F8FF" w:themeColor="text2" w:themeTint="99"/>
          <w:insideH w:val="single" w:sz="2" w:space="0" w:color="18F8FF" w:themeColor="text2" w:themeTint="99"/>
          <w:insideV w:val="single" w:sz="2" w:space="0" w:color="18F8FF" w:themeColor="text2" w:themeTint="99"/>
          <w:tl2br w:val="nil"/>
          <w:tr2bl w:val="nil"/>
        </w:tcBorders>
      </w:tcPr>
    </w:tblStylePr>
    <w:tblStylePr w:type="band2Horz">
      <w:tblPr/>
      <w:tcPr>
        <w:tcBorders>
          <w:top w:val="single" w:sz="4" w:space="0" w:color="18F8FF" w:themeColor="text2" w:themeTint="99"/>
          <w:left w:val="single" w:sz="4" w:space="0" w:color="18F8FF" w:themeColor="text2" w:themeTint="99"/>
          <w:bottom w:val="single" w:sz="4" w:space="0" w:color="18F8FF" w:themeColor="text2" w:themeTint="99"/>
          <w:right w:val="single" w:sz="4" w:space="0" w:color="18F8FF" w:themeColor="text2" w:themeTint="99"/>
          <w:insideH w:val="single" w:sz="4" w:space="0" w:color="18F8FF" w:themeColor="text2" w:themeTint="99"/>
          <w:insideV w:val="single" w:sz="4" w:space="0" w:color="18F8FF" w:themeColor="text2" w:themeTint="99"/>
          <w:tl2br w:val="nil"/>
          <w:tr2bl w:val="nil"/>
        </w:tcBorders>
      </w:tcPr>
    </w:tblStylePr>
  </w:style>
  <w:style w:type="table" w:styleId="GridTable1LightAccent2">
    <w:name w:val="Grid Table 1 Light Accent 2"/>
    <w:basedOn w:val="TableNormal"/>
    <w:uiPriority w:val="46"/>
    <w:locked/>
    <w:rsid w:val="00482887"/>
    <w:pPr>
      <w:spacing w:after="0"/>
    </w:pPr>
    <w:rPr>
      <w:rFonts w:ascii="Arial" w:hAnsi="Arial"/>
    </w:rPr>
    <w:tblPr>
      <w:tblStyleRowBandSize w:val="1"/>
      <w:tblStyleColBandSize w:val="1"/>
      <w:tblBorders>
        <w:top w:val="single" w:sz="4" w:space="0" w:color="FAC8AA" w:themeColor="accent2" w:themeTint="66"/>
        <w:left w:val="single" w:sz="4" w:space="0" w:color="FAC8AA" w:themeColor="accent2" w:themeTint="66"/>
        <w:bottom w:val="single" w:sz="4" w:space="0" w:color="FAC8AA" w:themeColor="accent2" w:themeTint="66"/>
        <w:right w:val="single" w:sz="4" w:space="0" w:color="FAC8AA" w:themeColor="accent2" w:themeTint="66"/>
        <w:insideH w:val="single" w:sz="4" w:space="0" w:color="FAC8AA" w:themeColor="accent2" w:themeTint="66"/>
        <w:insideV w:val="single" w:sz="4" w:space="0" w:color="FAC8AA" w:themeColor="accent2" w:themeTint="66"/>
      </w:tblBorders>
    </w:tblPr>
    <w:tblStylePr w:type="firstRow">
      <w:pPr>
        <w:jc w:val="left"/>
      </w:pPr>
      <w:rPr>
        <w:b/>
        <w:bCs/>
      </w:rPr>
      <w:tblPr/>
      <w:tcPr>
        <w:tcBorders>
          <w:bottom w:val="single" w:sz="12" w:space="0" w:color="F7AD80" w:themeColor="accent2" w:themeTint="99"/>
        </w:tcBorders>
        <w:vAlign w:val="bottom"/>
      </w:tcPr>
    </w:tblStylePr>
    <w:tblStylePr w:type="lastRow">
      <w:rPr>
        <w:b/>
        <w:bCs/>
      </w:rPr>
      <w:tblPr/>
      <w:tcPr>
        <w:tcBorders>
          <w:top w:val="double" w:sz="2" w:space="0" w:color="F7AD8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482887"/>
    <w:pPr>
      <w:spacing w:after="0"/>
    </w:pPr>
    <w:rPr>
      <w:rFonts w:ascii="Arial" w:hAnsi="Arial"/>
    </w:rPr>
    <w:tblPr>
      <w:tblStyleRowBandSize w:val="1"/>
      <w:tblStyleColBandSize w:val="1"/>
      <w:tblBorders>
        <w:top w:val="single" w:sz="4" w:space="0" w:color="E2EDAC" w:themeColor="accent3" w:themeTint="66"/>
        <w:left w:val="single" w:sz="4" w:space="0" w:color="E2EDAC" w:themeColor="accent3" w:themeTint="66"/>
        <w:bottom w:val="single" w:sz="4" w:space="0" w:color="E2EDAC" w:themeColor="accent3" w:themeTint="66"/>
        <w:right w:val="single" w:sz="4" w:space="0" w:color="E2EDAC" w:themeColor="accent3" w:themeTint="66"/>
        <w:insideH w:val="single" w:sz="4" w:space="0" w:color="E2EDAC" w:themeColor="accent3" w:themeTint="66"/>
        <w:insideV w:val="single" w:sz="4" w:space="0" w:color="E2EDAC" w:themeColor="accent3" w:themeTint="66"/>
      </w:tblBorders>
    </w:tblPr>
    <w:tblStylePr w:type="firstRow">
      <w:pPr>
        <w:jc w:val="left"/>
      </w:pPr>
      <w:rPr>
        <w:b/>
        <w:bCs/>
      </w:rPr>
      <w:tblPr/>
      <w:tcPr>
        <w:tcBorders>
          <w:bottom w:val="single" w:sz="12" w:space="0" w:color="D3E583" w:themeColor="accent3" w:themeTint="99"/>
        </w:tcBorders>
        <w:vAlign w:val="bottom"/>
      </w:tcPr>
    </w:tblStylePr>
    <w:tblStylePr w:type="lastRow">
      <w:rPr>
        <w:b/>
        <w:bCs/>
      </w:rPr>
      <w:tblPr/>
      <w:tcPr>
        <w:tcBorders>
          <w:top w:val="double" w:sz="2" w:space="0" w:color="D3E58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482887"/>
    <w:pPr>
      <w:spacing w:after="0"/>
    </w:pPr>
    <w:rPr>
      <w:rFonts w:ascii="Arial" w:hAnsi="Arial"/>
    </w:rPr>
    <w:tblPr>
      <w:tblStyleRowBandSize w:val="1"/>
      <w:tblStyleColBandSize w:val="1"/>
      <w:tblBorders>
        <w:top w:val="single" w:sz="4" w:space="0" w:color="B8E5E4" w:themeColor="accent4" w:themeTint="66"/>
        <w:left w:val="single" w:sz="4" w:space="0" w:color="B8E5E4" w:themeColor="accent4" w:themeTint="66"/>
        <w:bottom w:val="single" w:sz="4" w:space="0" w:color="B8E5E4" w:themeColor="accent4" w:themeTint="66"/>
        <w:right w:val="single" w:sz="4" w:space="0" w:color="B8E5E4" w:themeColor="accent4" w:themeTint="66"/>
        <w:insideH w:val="single" w:sz="4" w:space="0" w:color="B8E5E4" w:themeColor="accent4" w:themeTint="66"/>
        <w:insideV w:val="single" w:sz="4" w:space="0" w:color="B8E5E4" w:themeColor="accent4" w:themeTint="66"/>
      </w:tblBorders>
    </w:tblPr>
    <w:tblStylePr w:type="firstRow">
      <w:pPr>
        <w:jc w:val="left"/>
      </w:pPr>
      <w:rPr>
        <w:b/>
        <w:bCs/>
      </w:rPr>
      <w:tblPr/>
      <w:tcPr>
        <w:tcBorders>
          <w:bottom w:val="single" w:sz="12" w:space="0" w:color="95D8D7" w:themeColor="accent4" w:themeTint="99"/>
        </w:tcBorders>
        <w:vAlign w:val="bottom"/>
      </w:tcPr>
    </w:tblStylePr>
    <w:tblStylePr w:type="lastRow">
      <w:rPr>
        <w:b/>
        <w:bCs/>
      </w:rPr>
      <w:tblPr/>
      <w:tcPr>
        <w:tcBorders>
          <w:top w:val="double" w:sz="2" w:space="0" w:color="95D8D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82887"/>
    <w:pPr>
      <w:spacing w:after="0"/>
    </w:pPr>
    <w:rPr>
      <w:rFonts w:ascii="Arial" w:hAnsi="Arial"/>
    </w:rPr>
    <w:tblPr>
      <w:tblStyleRowBandSize w:val="1"/>
      <w:tblStyleColBandSize w:val="1"/>
      <w:tblBorders>
        <w:top w:val="single" w:sz="4" w:space="0" w:color="FDE2B3" w:themeColor="accent5" w:themeTint="66"/>
        <w:left w:val="single" w:sz="4" w:space="0" w:color="FDE2B3" w:themeColor="accent5" w:themeTint="66"/>
        <w:bottom w:val="single" w:sz="4" w:space="0" w:color="FDE2B3" w:themeColor="accent5" w:themeTint="66"/>
        <w:right w:val="single" w:sz="4" w:space="0" w:color="FDE2B3" w:themeColor="accent5" w:themeTint="66"/>
        <w:insideH w:val="single" w:sz="4" w:space="0" w:color="FDE2B3" w:themeColor="accent5" w:themeTint="66"/>
        <w:insideV w:val="single" w:sz="4" w:space="0" w:color="FDE2B3" w:themeColor="accent5" w:themeTint="66"/>
      </w:tblBorders>
    </w:tblPr>
    <w:tblStylePr w:type="firstRow">
      <w:pPr>
        <w:jc w:val="left"/>
      </w:pPr>
      <w:rPr>
        <w:b/>
        <w:bCs/>
      </w:rPr>
      <w:tblPr/>
      <w:tcPr>
        <w:tcBorders>
          <w:bottom w:val="single" w:sz="12" w:space="0" w:color="FDD48D" w:themeColor="accent5" w:themeTint="99"/>
        </w:tcBorders>
        <w:vAlign w:val="bottom"/>
      </w:tcPr>
    </w:tblStylePr>
    <w:tblStylePr w:type="lastRow">
      <w:rPr>
        <w:b/>
        <w:bCs/>
      </w:rPr>
      <w:tblPr/>
      <w:tcPr>
        <w:tcBorders>
          <w:top w:val="double" w:sz="2" w:space="0" w:color="FDD4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482887"/>
    <w:pPr>
      <w:spacing w:after="0"/>
    </w:pPr>
    <w:rPr>
      <w:rFonts w:ascii="Arial" w:hAnsi="Arial"/>
    </w:rPr>
    <w:tblPr>
      <w:tblStyleRowBandSize w:val="1"/>
      <w:tblStyleColBandSize w:val="1"/>
      <w:tblBorders>
        <w:top w:val="single" w:sz="4" w:space="0" w:color="E7DCD4" w:themeColor="accent6" w:themeTint="66"/>
        <w:left w:val="single" w:sz="4" w:space="0" w:color="E7DCD4" w:themeColor="accent6" w:themeTint="66"/>
        <w:bottom w:val="single" w:sz="4" w:space="0" w:color="E7DCD4" w:themeColor="accent6" w:themeTint="66"/>
        <w:right w:val="single" w:sz="4" w:space="0" w:color="E7DCD4" w:themeColor="accent6" w:themeTint="66"/>
        <w:insideH w:val="single" w:sz="4" w:space="0" w:color="E7DCD4" w:themeColor="accent6" w:themeTint="66"/>
        <w:insideV w:val="single" w:sz="4" w:space="0" w:color="E7DCD4" w:themeColor="accent6" w:themeTint="66"/>
      </w:tblBorders>
    </w:tblPr>
    <w:tblStylePr w:type="firstRow">
      <w:pPr>
        <w:jc w:val="left"/>
      </w:pPr>
      <w:rPr>
        <w:b/>
        <w:bCs/>
      </w:rPr>
      <w:tblPr/>
      <w:tcPr>
        <w:tcBorders>
          <w:bottom w:val="single" w:sz="12" w:space="0" w:color="DBCBBF" w:themeColor="accent6" w:themeTint="99"/>
        </w:tcBorders>
        <w:vAlign w:val="bottom"/>
      </w:tcPr>
    </w:tblStylePr>
    <w:tblStylePr w:type="lastRow">
      <w:rPr>
        <w:b/>
        <w:bCs/>
      </w:rPr>
      <w:tblPr/>
      <w:tcPr>
        <w:tcBorders>
          <w:top w:val="double" w:sz="2" w:space="0" w:color="DBCBBF" w:themeColor="accent6" w:themeTint="99"/>
        </w:tcBorders>
      </w:tcPr>
    </w:tblStylePr>
    <w:tblStylePr w:type="firstCol">
      <w:rPr>
        <w:b/>
        <w:bCs/>
      </w:rPr>
    </w:tblStylePr>
    <w:tblStylePr w:type="lastCol">
      <w:rPr>
        <w:b/>
        <w:bCs/>
      </w:rPr>
    </w:tblStylePr>
  </w:style>
  <w:style w:type="table" w:styleId="GridTable3">
    <w:name w:val="Grid Table 3"/>
    <w:basedOn w:val="TableNormal"/>
    <w:uiPriority w:val="48"/>
    <w:rsid w:val="00482887"/>
    <w:pPr>
      <w:spacing w:after="0"/>
    </w:pPr>
    <w:rPr>
      <w:rFonts w:ascii="Arial" w:hAnsi="Ari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
    <w:name w:val="Grid Table 2"/>
    <w:basedOn w:val="TableNormal"/>
    <w:uiPriority w:val="47"/>
    <w:rsid w:val="00482887"/>
    <w:pPr>
      <w:spacing w:after="0"/>
    </w:pPr>
    <w:rPr>
      <w:rFonts w:ascii="Arial" w:hAnsi="Ari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pPr>
        <w:jc w:val="left"/>
      </w:pPr>
      <w:rPr>
        <w:b/>
        <w:bCs/>
      </w:rPr>
      <w:tblPr/>
      <w:tcPr>
        <w:tcBorders>
          <w:top w:val="nil"/>
          <w:bottom w:val="single" w:sz="12" w:space="0" w:color="666666" w:themeColor="text1" w:themeTint="99"/>
          <w:insideH w:val="nil"/>
          <w:insideV w:val="nil"/>
        </w:tcBorders>
        <w:shd w:val="clear" w:color="auto" w:fill="FFFFFF" w:themeFill="background1"/>
        <w:vAlign w:val="bottom"/>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4">
    <w:name w:val="Grid Table 2 Accent 4"/>
    <w:basedOn w:val="TableNormal"/>
    <w:uiPriority w:val="47"/>
    <w:locked/>
    <w:rsid w:val="00482887"/>
    <w:pPr>
      <w:spacing w:after="0"/>
    </w:pPr>
    <w:rPr>
      <w:rFonts w:ascii="Arial" w:hAnsi="Arial"/>
    </w:rPr>
    <w:tblPr>
      <w:tblStyleRowBandSize w:val="1"/>
      <w:tblStyleColBandSize w:val="1"/>
      <w:tblBorders>
        <w:top w:val="single" w:sz="2" w:space="0" w:color="95D8D7" w:themeColor="accent4" w:themeTint="99"/>
        <w:bottom w:val="single" w:sz="2" w:space="0" w:color="95D8D7" w:themeColor="accent4" w:themeTint="99"/>
        <w:insideH w:val="single" w:sz="2" w:space="0" w:color="95D8D7" w:themeColor="accent4" w:themeTint="99"/>
        <w:insideV w:val="single" w:sz="2" w:space="0" w:color="95D8D7" w:themeColor="accent4" w:themeTint="99"/>
      </w:tblBorders>
    </w:tblPr>
    <w:tblStylePr w:type="firstRow">
      <w:pPr>
        <w:jc w:val="left"/>
      </w:pPr>
      <w:rPr>
        <w:b/>
        <w:bCs/>
      </w:rPr>
      <w:tblPr/>
      <w:tcPr>
        <w:tcBorders>
          <w:top w:val="nil"/>
          <w:bottom w:val="single" w:sz="12" w:space="0" w:color="95D8D7" w:themeColor="accent4" w:themeTint="99"/>
          <w:insideH w:val="nil"/>
          <w:insideV w:val="nil"/>
        </w:tcBorders>
        <w:shd w:val="clear" w:color="auto" w:fill="FFFFFF" w:themeFill="background1"/>
        <w:vAlign w:val="bottom"/>
      </w:tcPr>
    </w:tblStylePr>
    <w:tblStylePr w:type="lastRow">
      <w:rPr>
        <w:b/>
        <w:bCs/>
      </w:rPr>
      <w:tblPr/>
      <w:tcPr>
        <w:tcBorders>
          <w:top w:val="double" w:sz="2" w:space="0" w:color="95D8D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2F2" w:themeFill="accent4" w:themeFillTint="33"/>
      </w:tcPr>
    </w:tblStylePr>
    <w:tblStylePr w:type="band1Horz">
      <w:tblPr/>
      <w:tcPr>
        <w:shd w:val="clear" w:color="auto" w:fill="DBF2F2" w:themeFill="accent4" w:themeFillTint="33"/>
      </w:tcPr>
    </w:tblStylePr>
  </w:style>
  <w:style w:type="table" w:styleId="GridTable2-Accent5">
    <w:name w:val="Grid Table 2 Accent 5"/>
    <w:basedOn w:val="TableNormal"/>
    <w:uiPriority w:val="47"/>
    <w:rsid w:val="00482887"/>
    <w:pPr>
      <w:spacing w:after="0"/>
    </w:pPr>
    <w:rPr>
      <w:rFonts w:ascii="Arial" w:hAnsi="Arial"/>
    </w:rPr>
    <w:tblPr>
      <w:tblStyleRowBandSize w:val="1"/>
      <w:tblStyleColBandSize w:val="1"/>
      <w:tblBorders>
        <w:top w:val="single" w:sz="2" w:space="0" w:color="FDD48D" w:themeColor="accent5" w:themeTint="99"/>
        <w:bottom w:val="single" w:sz="2" w:space="0" w:color="FDD48D" w:themeColor="accent5" w:themeTint="99"/>
        <w:insideH w:val="single" w:sz="2" w:space="0" w:color="FDD48D" w:themeColor="accent5" w:themeTint="99"/>
        <w:insideV w:val="single" w:sz="2" w:space="0" w:color="FDD48D" w:themeColor="accent5" w:themeTint="99"/>
      </w:tblBorders>
    </w:tblPr>
    <w:tblStylePr w:type="firstRow">
      <w:pPr>
        <w:jc w:val="left"/>
      </w:pPr>
      <w:rPr>
        <w:b/>
        <w:bCs/>
      </w:rPr>
      <w:tblPr/>
      <w:tcPr>
        <w:tcBorders>
          <w:top w:val="nil"/>
          <w:bottom w:val="single" w:sz="12" w:space="0" w:color="FDD48D" w:themeColor="accent5" w:themeTint="99"/>
          <w:insideH w:val="nil"/>
          <w:insideV w:val="nil"/>
        </w:tcBorders>
        <w:shd w:val="clear" w:color="auto" w:fill="FFFFFF" w:themeFill="background1"/>
        <w:vAlign w:val="bottom"/>
      </w:tcPr>
    </w:tblStylePr>
    <w:tblStylePr w:type="lastRow">
      <w:rPr>
        <w:b/>
        <w:bCs/>
      </w:rPr>
      <w:tblPr/>
      <w:tcPr>
        <w:tcBorders>
          <w:top w:val="double" w:sz="2" w:space="0" w:color="FDD4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GridTable2-Accent6">
    <w:name w:val="Grid Table 2 Accent 6"/>
    <w:basedOn w:val="TableNormal"/>
    <w:uiPriority w:val="47"/>
    <w:locked/>
    <w:rsid w:val="00482887"/>
    <w:pPr>
      <w:spacing w:after="0"/>
    </w:pPr>
    <w:rPr>
      <w:rFonts w:ascii="Arial" w:hAnsi="Arial"/>
    </w:rPr>
    <w:tblPr>
      <w:tblStyleRowBandSize w:val="1"/>
      <w:tblStyleColBandSize w:val="1"/>
      <w:tblBorders>
        <w:top w:val="single" w:sz="2" w:space="0" w:color="DBCBBF" w:themeColor="accent6" w:themeTint="99"/>
        <w:bottom w:val="single" w:sz="2" w:space="0" w:color="DBCBBF" w:themeColor="accent6" w:themeTint="99"/>
        <w:insideH w:val="single" w:sz="2" w:space="0" w:color="DBCBBF" w:themeColor="accent6" w:themeTint="99"/>
        <w:insideV w:val="single" w:sz="2" w:space="0" w:color="DBCBBF" w:themeColor="accent6" w:themeTint="99"/>
      </w:tblBorders>
    </w:tblPr>
    <w:tblStylePr w:type="firstRow">
      <w:pPr>
        <w:jc w:val="left"/>
      </w:pPr>
      <w:rPr>
        <w:b/>
        <w:bCs/>
      </w:rPr>
      <w:tblPr/>
      <w:tcPr>
        <w:tcBorders>
          <w:top w:val="nil"/>
          <w:bottom w:val="single" w:sz="12" w:space="0" w:color="DBCBBF" w:themeColor="accent6" w:themeTint="99"/>
          <w:insideH w:val="nil"/>
          <w:insideV w:val="nil"/>
        </w:tcBorders>
        <w:shd w:val="clear" w:color="auto" w:fill="FFFFFF" w:themeFill="background1"/>
        <w:vAlign w:val="bottom"/>
      </w:tcPr>
    </w:tblStylePr>
    <w:tblStylePr w:type="lastRow">
      <w:rPr>
        <w:b/>
        <w:bCs/>
      </w:rPr>
      <w:tblPr/>
      <w:tcPr>
        <w:tcBorders>
          <w:top w:val="double" w:sz="2" w:space="0" w:color="DBCB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GridTable3-Accent3">
    <w:name w:val="Grid Table 3 Accent 3"/>
    <w:basedOn w:val="TableNormal"/>
    <w:uiPriority w:val="48"/>
    <w:locked/>
    <w:rsid w:val="00482887"/>
    <w:pPr>
      <w:spacing w:after="0"/>
    </w:pPr>
    <w:rPr>
      <w:rFonts w:ascii="Arial" w:hAnsi="Arial"/>
    </w:rPr>
    <w:tblPr>
      <w:tblStyleRowBandSize w:val="1"/>
      <w:tblStyleColBandSize w:val="1"/>
      <w:tblBorders>
        <w:top w:val="single" w:sz="4" w:space="0" w:color="D3E583" w:themeColor="accent3" w:themeTint="99"/>
        <w:left w:val="single" w:sz="4" w:space="0" w:color="D3E583" w:themeColor="accent3" w:themeTint="99"/>
        <w:bottom w:val="single" w:sz="4" w:space="0" w:color="D3E583" w:themeColor="accent3" w:themeTint="99"/>
        <w:right w:val="single" w:sz="4" w:space="0" w:color="D3E583" w:themeColor="accent3" w:themeTint="99"/>
        <w:insideH w:val="single" w:sz="4" w:space="0" w:color="D3E583" w:themeColor="accent3" w:themeTint="99"/>
        <w:insideV w:val="single" w:sz="4" w:space="0" w:color="D3E583" w:themeColor="accent3"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D5" w:themeFill="accent3" w:themeFillTint="33"/>
      </w:tcPr>
    </w:tblStylePr>
    <w:tblStylePr w:type="band1Horz">
      <w:tblPr/>
      <w:tcPr>
        <w:shd w:val="clear" w:color="auto" w:fill="F0F6D5" w:themeFill="accent3" w:themeFillTint="33"/>
      </w:tcPr>
    </w:tblStylePr>
    <w:tblStylePr w:type="neCell">
      <w:tblPr/>
      <w:tcPr>
        <w:tcBorders>
          <w:bottom w:val="single" w:sz="4" w:space="0" w:color="D3E583" w:themeColor="accent3" w:themeTint="99"/>
        </w:tcBorders>
      </w:tcPr>
    </w:tblStylePr>
    <w:tblStylePr w:type="nwCell">
      <w:tblPr/>
      <w:tcPr>
        <w:tcBorders>
          <w:bottom w:val="single" w:sz="4" w:space="0" w:color="D3E583" w:themeColor="accent3" w:themeTint="99"/>
        </w:tcBorders>
      </w:tcPr>
    </w:tblStylePr>
    <w:tblStylePr w:type="seCell">
      <w:tblPr/>
      <w:tcPr>
        <w:tcBorders>
          <w:top w:val="single" w:sz="4" w:space="0" w:color="D3E583" w:themeColor="accent3" w:themeTint="99"/>
        </w:tcBorders>
      </w:tcPr>
    </w:tblStylePr>
    <w:tblStylePr w:type="swCell">
      <w:tblPr/>
      <w:tcPr>
        <w:tcBorders>
          <w:top w:val="single" w:sz="4" w:space="0" w:color="D3E583" w:themeColor="accent3" w:themeTint="99"/>
        </w:tcBorders>
      </w:tcPr>
    </w:tblStylePr>
  </w:style>
  <w:style w:type="table" w:styleId="GridTable3-Accent4">
    <w:name w:val="Grid Table 3 Accent 4"/>
    <w:basedOn w:val="TableNormal"/>
    <w:uiPriority w:val="48"/>
    <w:locked/>
    <w:rsid w:val="00482887"/>
    <w:pPr>
      <w:spacing w:after="0"/>
    </w:pPr>
    <w:rPr>
      <w:rFonts w:ascii="Arial" w:hAnsi="Arial"/>
    </w:rPr>
    <w:tblPr>
      <w:tblStyleRowBandSize w:val="1"/>
      <w:tblStyleColBandSize w:val="1"/>
      <w:tblBorders>
        <w:top w:val="single" w:sz="4" w:space="0" w:color="95D8D7" w:themeColor="accent4" w:themeTint="99"/>
        <w:left w:val="single" w:sz="4" w:space="0" w:color="95D8D7" w:themeColor="accent4" w:themeTint="99"/>
        <w:bottom w:val="single" w:sz="4" w:space="0" w:color="95D8D7" w:themeColor="accent4" w:themeTint="99"/>
        <w:right w:val="single" w:sz="4" w:space="0" w:color="95D8D7" w:themeColor="accent4" w:themeTint="99"/>
        <w:insideH w:val="single" w:sz="4" w:space="0" w:color="95D8D7" w:themeColor="accent4" w:themeTint="99"/>
        <w:insideV w:val="single" w:sz="4" w:space="0" w:color="95D8D7" w:themeColor="accent4"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2F2" w:themeFill="accent4" w:themeFillTint="33"/>
      </w:tcPr>
    </w:tblStylePr>
    <w:tblStylePr w:type="band1Horz">
      <w:tblPr/>
      <w:tcPr>
        <w:shd w:val="clear" w:color="auto" w:fill="DBF2F2" w:themeFill="accent4" w:themeFillTint="33"/>
      </w:tcPr>
    </w:tblStylePr>
    <w:tblStylePr w:type="neCell">
      <w:tblPr/>
      <w:tcPr>
        <w:tcBorders>
          <w:bottom w:val="single" w:sz="4" w:space="0" w:color="95D8D7" w:themeColor="accent4" w:themeTint="99"/>
        </w:tcBorders>
      </w:tcPr>
    </w:tblStylePr>
    <w:tblStylePr w:type="nwCell">
      <w:tblPr/>
      <w:tcPr>
        <w:tcBorders>
          <w:bottom w:val="single" w:sz="4" w:space="0" w:color="95D8D7" w:themeColor="accent4" w:themeTint="99"/>
        </w:tcBorders>
      </w:tcPr>
    </w:tblStylePr>
    <w:tblStylePr w:type="seCell">
      <w:tblPr/>
      <w:tcPr>
        <w:tcBorders>
          <w:top w:val="single" w:sz="4" w:space="0" w:color="95D8D7" w:themeColor="accent4" w:themeTint="99"/>
        </w:tcBorders>
      </w:tcPr>
    </w:tblStylePr>
    <w:tblStylePr w:type="swCell">
      <w:tblPr/>
      <w:tcPr>
        <w:tcBorders>
          <w:top w:val="single" w:sz="4" w:space="0" w:color="95D8D7" w:themeColor="accent4" w:themeTint="99"/>
        </w:tcBorders>
      </w:tcPr>
    </w:tblStylePr>
  </w:style>
  <w:style w:type="table" w:styleId="GridTable3-Accent5">
    <w:name w:val="Grid Table 3 Accent 5"/>
    <w:basedOn w:val="TableNormal"/>
    <w:uiPriority w:val="48"/>
    <w:rsid w:val="00482887"/>
    <w:pPr>
      <w:spacing w:after="0"/>
    </w:pPr>
    <w:rPr>
      <w:rFonts w:ascii="Arial" w:hAnsi="Arial"/>
    </w:rPr>
    <w:tblPr>
      <w:tblStyleRowBandSize w:val="1"/>
      <w:tblStyleColBandSize w:val="1"/>
      <w:tblBorders>
        <w:top w:val="single" w:sz="4" w:space="0" w:color="FDD48D" w:themeColor="accent5" w:themeTint="99"/>
        <w:left w:val="single" w:sz="4" w:space="0" w:color="FDD48D" w:themeColor="accent5" w:themeTint="99"/>
        <w:bottom w:val="single" w:sz="4" w:space="0" w:color="FDD48D" w:themeColor="accent5" w:themeTint="99"/>
        <w:right w:val="single" w:sz="4" w:space="0" w:color="FDD48D" w:themeColor="accent5" w:themeTint="99"/>
        <w:insideH w:val="single" w:sz="4" w:space="0" w:color="FDD48D" w:themeColor="accent5" w:themeTint="99"/>
        <w:insideV w:val="single" w:sz="4" w:space="0" w:color="FDD48D" w:themeColor="accent5"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D8" w:themeFill="accent5" w:themeFillTint="33"/>
      </w:tcPr>
    </w:tblStylePr>
    <w:tblStylePr w:type="band1Horz">
      <w:tblPr/>
      <w:tcPr>
        <w:shd w:val="clear" w:color="auto" w:fill="FEF0D8" w:themeFill="accent5" w:themeFillTint="33"/>
      </w:tcPr>
    </w:tblStylePr>
    <w:tblStylePr w:type="neCell">
      <w:tblPr/>
      <w:tcPr>
        <w:tcBorders>
          <w:bottom w:val="single" w:sz="4" w:space="0" w:color="FDD48D" w:themeColor="accent5" w:themeTint="99"/>
        </w:tcBorders>
      </w:tcPr>
    </w:tblStylePr>
    <w:tblStylePr w:type="nwCell">
      <w:tblPr/>
      <w:tcPr>
        <w:tcBorders>
          <w:bottom w:val="single" w:sz="4" w:space="0" w:color="FDD48D" w:themeColor="accent5" w:themeTint="99"/>
        </w:tcBorders>
      </w:tcPr>
    </w:tblStylePr>
    <w:tblStylePr w:type="seCell">
      <w:tblPr/>
      <w:tcPr>
        <w:tcBorders>
          <w:top w:val="single" w:sz="4" w:space="0" w:color="FDD48D" w:themeColor="accent5" w:themeTint="99"/>
        </w:tcBorders>
      </w:tcPr>
    </w:tblStylePr>
    <w:tblStylePr w:type="swCell">
      <w:tblPr/>
      <w:tcPr>
        <w:tcBorders>
          <w:top w:val="single" w:sz="4" w:space="0" w:color="FDD48D" w:themeColor="accent5" w:themeTint="99"/>
        </w:tcBorders>
      </w:tcPr>
    </w:tblStylePr>
  </w:style>
  <w:style w:type="table" w:styleId="PlainTable5">
    <w:name w:val="Plain Table 5"/>
    <w:basedOn w:val="TableNormal"/>
    <w:uiPriority w:val="45"/>
    <w:rsid w:val="00482887"/>
    <w:pPr>
      <w:spacing w:after="0"/>
    </w:pPr>
    <w:rPr>
      <w:rFonts w:ascii="Arial" w:hAnsi="Arial"/>
    </w:rPr>
    <w:tblPr>
      <w:tblStyleRowBandSize w:val="1"/>
      <w:tblStyleColBandSize w:val="1"/>
    </w:tblPr>
    <w:tblStylePr w:type="firstRow">
      <w:pPr>
        <w:jc w:val="left"/>
      </w:pPr>
      <w:rPr>
        <w:rFonts w:ascii="Arial" w:eastAsiaTheme="majorEastAsia" w:hAnsi="Arial" w:cstheme="majorBidi"/>
        <w:i w:val="0"/>
        <w:iCs/>
        <w:sz w:val="18"/>
      </w:rPr>
      <w:tblPr/>
      <w:tcPr>
        <w:tcBorders>
          <w:bottom w:val="single" w:sz="4" w:space="0" w:color="7F7F7F" w:themeColor="text1" w:themeTint="80"/>
        </w:tcBorders>
        <w:shd w:val="clear" w:color="auto" w:fill="FFFFFF" w:themeFill="background1"/>
        <w:vAlign w:val="bottom"/>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left"/>
      </w:pPr>
      <w:rPr>
        <w:rFonts w:ascii="Arial" w:eastAsiaTheme="majorEastAsia" w:hAnsi="Arial" w:cstheme="majorBidi"/>
        <w:i w:val="0"/>
        <w:iCs/>
        <w:sz w:val="18"/>
      </w:rPr>
      <w:tblPr/>
      <w:tcPr>
        <w:tcBorders>
          <w:right w:val="single" w:sz="4" w:space="0" w:color="7F7F7F" w:themeColor="text1" w:themeTint="80"/>
        </w:tcBorders>
        <w:shd w:val="clear" w:color="auto" w:fill="FFFFFF" w:themeFill="background1"/>
      </w:tcPr>
    </w:tblStylePr>
    <w:tblStylePr w:type="lastCol">
      <w:rPr>
        <w:rFonts w:ascii="Arial" w:eastAsiaTheme="majorEastAsia" w:hAnsi="Arial" w:cstheme="majorBidi"/>
        <w:i w:val="0"/>
        <w:iCs/>
        <w:sz w:val="18"/>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482887"/>
    <w:pPr>
      <w:spacing w:after="0"/>
    </w:pPr>
    <w:tblPr>
      <w:tblStyleRowBandSize w:val="1"/>
      <w:tblStyleColBandSize w:val="1"/>
    </w:tblPr>
    <w:tblStylePr w:type="firstRow">
      <w:pPr>
        <w:jc w:val="left"/>
      </w:pPr>
      <w:rPr>
        <w:b/>
        <w:bCs/>
      </w:rPr>
      <w:tblPr/>
      <w:tcPr>
        <w:tcBorders>
          <w:bottom w:val="single" w:sz="4" w:space="0" w:color="666666" w:themeColor="text1" w:themeTint="99"/>
        </w:tcBorders>
        <w:vAlign w:val="bottom"/>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locked/>
    <w:rsid w:val="00482887"/>
    <w:pPr>
      <w:spacing w:after="0"/>
    </w:pPr>
    <w:tblPr>
      <w:tblStyleRowBandSize w:val="1"/>
      <w:tblStyleColBandSize w:val="1"/>
    </w:tblPr>
    <w:tblStylePr w:type="firstRow">
      <w:pPr>
        <w:jc w:val="left"/>
      </w:pPr>
      <w:rPr>
        <w:b/>
        <w:bCs/>
      </w:rPr>
      <w:tblPr/>
      <w:tcPr>
        <w:tcBorders>
          <w:bottom w:val="single" w:sz="4" w:space="0" w:color="EB789F" w:themeColor="accent1" w:themeTint="99"/>
        </w:tcBorders>
        <w:vAlign w:val="bottom"/>
      </w:tcPr>
    </w:tblStylePr>
    <w:tblStylePr w:type="lastRow">
      <w:rPr>
        <w:b/>
        <w:bCs/>
      </w:rPr>
      <w:tblPr/>
      <w:tcPr>
        <w:tcBorders>
          <w:top w:val="single" w:sz="4" w:space="0" w:color="EB789F" w:themeColor="accent1" w:themeTint="99"/>
        </w:tcBorders>
      </w:tcPr>
    </w:tblStylePr>
    <w:tblStylePr w:type="firstCol">
      <w:rPr>
        <w:b/>
        <w:bCs/>
      </w:rPr>
    </w:tblStylePr>
    <w:tblStylePr w:type="lastCol">
      <w:rPr>
        <w:b/>
        <w:bCs/>
      </w:rPr>
    </w:tblStylePr>
    <w:tblStylePr w:type="band1Vert">
      <w:tblPr/>
      <w:tcPr>
        <w:shd w:val="clear" w:color="auto" w:fill="F8D2DE" w:themeFill="accent1" w:themeFillTint="33"/>
      </w:tcPr>
    </w:tblStylePr>
    <w:tblStylePr w:type="band1Horz">
      <w:tblPr/>
      <w:tcPr>
        <w:shd w:val="clear" w:color="auto" w:fill="F8D2DE" w:themeFill="accent1" w:themeFillTint="33"/>
      </w:tcPr>
    </w:tblStylePr>
  </w:style>
  <w:style w:type="table" w:styleId="ListTable1Light-Accent2">
    <w:name w:val="List Table 1 Light Accent 2"/>
    <w:basedOn w:val="TableNormal"/>
    <w:uiPriority w:val="46"/>
    <w:locked/>
    <w:rsid w:val="00482887"/>
    <w:pPr>
      <w:spacing w:after="0"/>
    </w:pPr>
    <w:tblPr>
      <w:tblStyleRowBandSize w:val="1"/>
      <w:tblStyleColBandSize w:val="1"/>
    </w:tblPr>
    <w:tblStylePr w:type="firstRow">
      <w:pPr>
        <w:jc w:val="left"/>
      </w:pPr>
      <w:rPr>
        <w:b/>
        <w:bCs/>
      </w:rPr>
      <w:tblPr/>
      <w:tcPr>
        <w:tcBorders>
          <w:bottom w:val="single" w:sz="4" w:space="0" w:color="F7AD80" w:themeColor="accent2" w:themeTint="99"/>
        </w:tcBorders>
        <w:vAlign w:val="bottom"/>
      </w:tcPr>
    </w:tblStylePr>
    <w:tblStylePr w:type="lastRow">
      <w:rPr>
        <w:b/>
        <w:bCs/>
      </w:rPr>
      <w:tblPr/>
      <w:tcPr>
        <w:tcBorders>
          <w:top w:val="single" w:sz="4" w:space="0" w:color="F7AD80" w:themeColor="accent2" w:themeTint="99"/>
        </w:tcBorders>
      </w:tcPr>
    </w:tblStylePr>
    <w:tblStylePr w:type="firstCol">
      <w:rPr>
        <w:b/>
        <w:bCs/>
      </w:rPr>
    </w:tblStylePr>
    <w:tblStylePr w:type="lastCol">
      <w:rPr>
        <w:b/>
        <w:bCs/>
      </w:rPr>
    </w:tblStylePr>
    <w:tblStylePr w:type="band1Vert">
      <w:tblPr/>
      <w:tcPr>
        <w:shd w:val="clear" w:color="auto" w:fill="FCE3D4" w:themeFill="accent2" w:themeFillTint="33"/>
      </w:tcPr>
    </w:tblStylePr>
    <w:tblStylePr w:type="band1Horz">
      <w:tblPr/>
      <w:tcPr>
        <w:shd w:val="clear" w:color="auto" w:fill="FCE3D4" w:themeFill="accent2" w:themeFillTint="33"/>
      </w:tcPr>
    </w:tblStylePr>
  </w:style>
  <w:style w:type="table" w:styleId="ListTable1Light-Accent3">
    <w:name w:val="List Table 1 Light Accent 3"/>
    <w:basedOn w:val="TableNormal"/>
    <w:uiPriority w:val="46"/>
    <w:locked/>
    <w:rsid w:val="00482887"/>
    <w:pPr>
      <w:spacing w:after="0"/>
    </w:pPr>
    <w:tblPr>
      <w:tblStyleRowBandSize w:val="1"/>
      <w:tblStyleColBandSize w:val="1"/>
    </w:tblPr>
    <w:tblStylePr w:type="firstRow">
      <w:pPr>
        <w:jc w:val="left"/>
      </w:pPr>
      <w:rPr>
        <w:b/>
        <w:bCs/>
      </w:rPr>
      <w:tblPr/>
      <w:tcPr>
        <w:tcBorders>
          <w:bottom w:val="single" w:sz="4" w:space="0" w:color="D3E583" w:themeColor="accent3" w:themeTint="99"/>
        </w:tcBorders>
        <w:vAlign w:val="bottom"/>
      </w:tcPr>
    </w:tblStylePr>
    <w:tblStylePr w:type="lastRow">
      <w:rPr>
        <w:b/>
        <w:bCs/>
      </w:rPr>
      <w:tblPr/>
      <w:tcPr>
        <w:tcBorders>
          <w:top w:val="single" w:sz="4" w:space="0" w:color="D3E583" w:themeColor="accent3" w:themeTint="99"/>
        </w:tcBorders>
      </w:tcPr>
    </w:tblStylePr>
    <w:tblStylePr w:type="firstCol">
      <w:rPr>
        <w:b/>
        <w:bCs/>
      </w:rPr>
    </w:tblStylePr>
    <w:tblStylePr w:type="lastCol">
      <w:rPr>
        <w:b/>
        <w:bCs/>
      </w:rPr>
    </w:tblStylePr>
    <w:tblStylePr w:type="band1Vert">
      <w:tblPr/>
      <w:tcPr>
        <w:shd w:val="clear" w:color="auto" w:fill="F0F6D5" w:themeFill="accent3" w:themeFillTint="33"/>
      </w:tcPr>
    </w:tblStylePr>
    <w:tblStylePr w:type="band1Horz">
      <w:tblPr/>
      <w:tcPr>
        <w:shd w:val="clear" w:color="auto" w:fill="F0F6D5" w:themeFill="accent3" w:themeFillTint="33"/>
      </w:tcPr>
    </w:tblStylePr>
  </w:style>
  <w:style w:type="table" w:styleId="ListTable1Light-Accent4">
    <w:name w:val="List Table 1 Light Accent 4"/>
    <w:basedOn w:val="TableNormal"/>
    <w:uiPriority w:val="46"/>
    <w:locked/>
    <w:rsid w:val="00482887"/>
    <w:pPr>
      <w:spacing w:after="0"/>
    </w:pPr>
    <w:tblPr>
      <w:tblStyleRowBandSize w:val="1"/>
      <w:tblStyleColBandSize w:val="1"/>
    </w:tblPr>
    <w:tblStylePr w:type="firstRow">
      <w:pPr>
        <w:jc w:val="left"/>
      </w:pPr>
      <w:rPr>
        <w:b/>
        <w:bCs/>
      </w:rPr>
      <w:tblPr/>
      <w:tcPr>
        <w:tcBorders>
          <w:bottom w:val="single" w:sz="4" w:space="0" w:color="95D8D7" w:themeColor="accent4" w:themeTint="99"/>
        </w:tcBorders>
        <w:vAlign w:val="bottom"/>
      </w:tcPr>
    </w:tblStylePr>
    <w:tblStylePr w:type="lastRow">
      <w:rPr>
        <w:b/>
        <w:bCs/>
      </w:rPr>
      <w:tblPr/>
      <w:tcPr>
        <w:tcBorders>
          <w:top w:val="single" w:sz="4" w:space="0" w:color="95D8D7" w:themeColor="accent4" w:themeTint="99"/>
        </w:tcBorders>
      </w:tcPr>
    </w:tblStylePr>
    <w:tblStylePr w:type="firstCol">
      <w:rPr>
        <w:b/>
        <w:bCs/>
      </w:rPr>
    </w:tblStylePr>
    <w:tblStylePr w:type="lastCol">
      <w:rPr>
        <w:b/>
        <w:bCs/>
      </w:rPr>
    </w:tblStylePr>
    <w:tblStylePr w:type="band1Vert">
      <w:tblPr/>
      <w:tcPr>
        <w:shd w:val="clear" w:color="auto" w:fill="DBF2F2" w:themeFill="accent4" w:themeFillTint="33"/>
      </w:tcPr>
    </w:tblStylePr>
    <w:tblStylePr w:type="band1Horz">
      <w:tblPr/>
      <w:tcPr>
        <w:shd w:val="clear" w:color="auto" w:fill="DBF2F2" w:themeFill="accent4" w:themeFillTint="33"/>
      </w:tcPr>
    </w:tblStylePr>
  </w:style>
  <w:style w:type="table" w:styleId="ListTable1Light-Accent5">
    <w:name w:val="List Table 1 Light Accent 5"/>
    <w:basedOn w:val="TableNormal"/>
    <w:uiPriority w:val="46"/>
    <w:rsid w:val="00482887"/>
    <w:pPr>
      <w:spacing w:after="0"/>
    </w:pPr>
    <w:tblPr>
      <w:tblStyleRowBandSize w:val="1"/>
      <w:tblStyleColBandSize w:val="1"/>
    </w:tblPr>
    <w:tblStylePr w:type="firstRow">
      <w:pPr>
        <w:jc w:val="left"/>
      </w:pPr>
      <w:rPr>
        <w:b/>
        <w:bCs/>
      </w:rPr>
      <w:tblPr/>
      <w:tcPr>
        <w:tcBorders>
          <w:bottom w:val="single" w:sz="4" w:space="0" w:color="FDD48D" w:themeColor="accent5" w:themeTint="99"/>
        </w:tcBorders>
        <w:vAlign w:val="bottom"/>
      </w:tcPr>
    </w:tblStylePr>
    <w:tblStylePr w:type="lastRow">
      <w:rPr>
        <w:b/>
        <w:bCs/>
      </w:rPr>
      <w:tblPr/>
      <w:tcPr>
        <w:tcBorders>
          <w:top w:val="single" w:sz="4" w:space="0" w:color="FDD48D" w:themeColor="accent5" w:themeTint="99"/>
        </w:tcBorders>
      </w:tc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table" w:styleId="ListTable1Light-Accent6">
    <w:name w:val="List Table 1 Light Accent 6"/>
    <w:basedOn w:val="TableNormal"/>
    <w:uiPriority w:val="46"/>
    <w:locked/>
    <w:rsid w:val="00482887"/>
    <w:pPr>
      <w:spacing w:after="0"/>
    </w:pPr>
    <w:tblPr>
      <w:tblStyleRowBandSize w:val="1"/>
      <w:tblStyleColBandSize w:val="1"/>
    </w:tblPr>
    <w:tblStylePr w:type="firstRow">
      <w:pPr>
        <w:jc w:val="left"/>
      </w:pPr>
      <w:rPr>
        <w:b/>
        <w:bCs/>
      </w:rPr>
      <w:tblPr/>
      <w:tcPr>
        <w:tcBorders>
          <w:bottom w:val="single" w:sz="4" w:space="0" w:color="DBCBBF" w:themeColor="accent6" w:themeTint="99"/>
        </w:tcBorders>
        <w:vAlign w:val="bottom"/>
      </w:tcPr>
    </w:tblStylePr>
    <w:tblStylePr w:type="lastRow">
      <w:rPr>
        <w:b/>
        <w:bCs/>
      </w:rPr>
      <w:tblPr/>
      <w:tcPr>
        <w:tcBorders>
          <w:top w:val="single" w:sz="4" w:space="0" w:color="DBCBBF" w:themeColor="accent6" w:themeTint="99"/>
        </w:tcBorders>
      </w:tc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table" w:styleId="ListTable2">
    <w:name w:val="List Table 2"/>
    <w:basedOn w:val="TableNormal"/>
    <w:uiPriority w:val="47"/>
    <w:rsid w:val="00482887"/>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locked/>
    <w:rsid w:val="00482887"/>
    <w:pPr>
      <w:spacing w:after="0"/>
    </w:pPr>
    <w:tblPr>
      <w:tblStyleRowBandSize w:val="1"/>
      <w:tblStyleColBandSize w:val="1"/>
      <w:tblBorders>
        <w:top w:val="single" w:sz="4" w:space="0" w:color="EB789F" w:themeColor="accent1" w:themeTint="99"/>
        <w:bottom w:val="single" w:sz="4" w:space="0" w:color="EB789F" w:themeColor="accent1" w:themeTint="99"/>
        <w:insideH w:val="single" w:sz="4" w:space="0" w:color="EB789F" w:themeColor="accent1"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8D2DE" w:themeFill="accent1" w:themeFillTint="33"/>
      </w:tcPr>
    </w:tblStylePr>
    <w:tblStylePr w:type="band1Horz">
      <w:tblPr/>
      <w:tcPr>
        <w:shd w:val="clear" w:color="auto" w:fill="F8D2DE" w:themeFill="accent1" w:themeFillTint="33"/>
      </w:tcPr>
    </w:tblStylePr>
  </w:style>
  <w:style w:type="table" w:styleId="ListTable2-Accent2">
    <w:name w:val="List Table 2 Accent 2"/>
    <w:basedOn w:val="TableNormal"/>
    <w:uiPriority w:val="47"/>
    <w:locked/>
    <w:rsid w:val="00482887"/>
    <w:pPr>
      <w:spacing w:after="0"/>
    </w:pPr>
    <w:tblPr>
      <w:tblStyleRowBandSize w:val="1"/>
      <w:tblStyleColBandSize w:val="1"/>
      <w:tblBorders>
        <w:top w:val="single" w:sz="4" w:space="0" w:color="F7AD80" w:themeColor="accent2" w:themeTint="99"/>
        <w:bottom w:val="single" w:sz="4" w:space="0" w:color="F7AD80" w:themeColor="accent2" w:themeTint="99"/>
        <w:insideH w:val="single" w:sz="4" w:space="0" w:color="F7AD80" w:themeColor="accent2"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CE3D4" w:themeFill="accent2" w:themeFillTint="33"/>
      </w:tcPr>
    </w:tblStylePr>
    <w:tblStylePr w:type="band1Horz">
      <w:tblPr/>
      <w:tcPr>
        <w:shd w:val="clear" w:color="auto" w:fill="FCE3D4" w:themeFill="accent2" w:themeFillTint="33"/>
      </w:tcPr>
    </w:tblStylePr>
  </w:style>
  <w:style w:type="table" w:styleId="ListTable2-Accent3">
    <w:name w:val="List Table 2 Accent 3"/>
    <w:basedOn w:val="TableNormal"/>
    <w:uiPriority w:val="47"/>
    <w:locked/>
    <w:rsid w:val="00482887"/>
    <w:pPr>
      <w:spacing w:after="0"/>
    </w:pPr>
    <w:tblPr>
      <w:tblStyleRowBandSize w:val="1"/>
      <w:tblStyleColBandSize w:val="1"/>
      <w:tblBorders>
        <w:top w:val="single" w:sz="4" w:space="0" w:color="D3E583" w:themeColor="accent3" w:themeTint="99"/>
        <w:bottom w:val="single" w:sz="4" w:space="0" w:color="D3E583" w:themeColor="accent3" w:themeTint="99"/>
        <w:insideH w:val="single" w:sz="4" w:space="0" w:color="D3E583" w:themeColor="accent3"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0F6D5" w:themeFill="accent3" w:themeFillTint="33"/>
      </w:tcPr>
    </w:tblStylePr>
    <w:tblStylePr w:type="band1Horz">
      <w:tblPr/>
      <w:tcPr>
        <w:shd w:val="clear" w:color="auto" w:fill="F0F6D5" w:themeFill="accent3" w:themeFillTint="33"/>
      </w:tcPr>
    </w:tblStylePr>
  </w:style>
  <w:style w:type="table" w:styleId="ListTable2-Accent4">
    <w:name w:val="List Table 2 Accent 4"/>
    <w:basedOn w:val="TableNormal"/>
    <w:uiPriority w:val="47"/>
    <w:locked/>
    <w:rsid w:val="00482887"/>
    <w:pPr>
      <w:spacing w:after="0"/>
    </w:pPr>
    <w:tblPr>
      <w:tblStyleRowBandSize w:val="1"/>
      <w:tblStyleColBandSize w:val="1"/>
      <w:tblBorders>
        <w:top w:val="single" w:sz="4" w:space="0" w:color="95D8D7" w:themeColor="accent4" w:themeTint="99"/>
        <w:bottom w:val="single" w:sz="4" w:space="0" w:color="95D8D7" w:themeColor="accent4" w:themeTint="99"/>
        <w:insideH w:val="single" w:sz="4" w:space="0" w:color="95D8D7" w:themeColor="accent4"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DBF2F2" w:themeFill="accent4" w:themeFillTint="33"/>
      </w:tcPr>
    </w:tblStylePr>
    <w:tblStylePr w:type="band1Horz">
      <w:tblPr/>
      <w:tcPr>
        <w:shd w:val="clear" w:color="auto" w:fill="DBF2F2" w:themeFill="accent4" w:themeFillTint="33"/>
      </w:tcPr>
    </w:tblStylePr>
  </w:style>
  <w:style w:type="table" w:styleId="ListTable2-Accent5">
    <w:name w:val="List Table 2 Accent 5"/>
    <w:basedOn w:val="TableNormal"/>
    <w:uiPriority w:val="47"/>
    <w:rsid w:val="00482887"/>
    <w:pPr>
      <w:spacing w:after="0"/>
    </w:pPr>
    <w:tblPr>
      <w:tblStyleRowBandSize w:val="1"/>
      <w:tblStyleColBandSize w:val="1"/>
      <w:tblBorders>
        <w:top w:val="single" w:sz="4" w:space="0" w:color="FDD48D" w:themeColor="accent5" w:themeTint="99"/>
        <w:bottom w:val="single" w:sz="4" w:space="0" w:color="FDD48D" w:themeColor="accent5" w:themeTint="99"/>
        <w:insideH w:val="single" w:sz="4" w:space="0" w:color="FDD48D" w:themeColor="accent5"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EF0D8" w:themeFill="accent5" w:themeFillTint="33"/>
      </w:tcPr>
    </w:tblStylePr>
    <w:tblStylePr w:type="band1Horz">
      <w:tblPr/>
      <w:tcPr>
        <w:shd w:val="clear" w:color="auto" w:fill="FEF0D8" w:themeFill="accent5" w:themeFillTint="33"/>
      </w:tcPr>
    </w:tblStylePr>
  </w:style>
  <w:style w:type="character" w:customStyle="1" w:styleId="BodyTextChar">
    <w:name w:val="Body Text Char"/>
    <w:basedOn w:val="DefaultParagraphFont"/>
    <w:link w:val="BodyText"/>
    <w:uiPriority w:val="99"/>
    <w:rsid w:val="00482887"/>
    <w:rPr>
      <w:rFonts w:ascii="Arial" w:hAnsi="Arial"/>
      <w:sz w:val="20"/>
    </w:rPr>
  </w:style>
  <w:style w:type="paragraph" w:customStyle="1" w:styleId="Quote2">
    <w:name w:val="Quote 2"/>
    <w:basedOn w:val="Subtitle"/>
    <w:next w:val="Normal"/>
    <w:link w:val="Quote2Char"/>
    <w:uiPriority w:val="7"/>
    <w:qFormat/>
    <w:rsid w:val="00482887"/>
    <w:pPr>
      <w:spacing w:before="120"/>
      <w:ind w:left="1134" w:right="1134"/>
      <w:jc w:val="center"/>
    </w:pPr>
    <w:rPr>
      <w:rFonts w:ascii="Calibri" w:hAnsi="Calibri"/>
      <w:bCs/>
      <w:sz w:val="20"/>
      <w:szCs w:val="20"/>
      <w:lang w:eastAsia="en-AU"/>
    </w:rPr>
  </w:style>
  <w:style w:type="character" w:customStyle="1" w:styleId="Quote2Char">
    <w:name w:val="Quote 2 Char"/>
    <w:basedOn w:val="SubtitleChar"/>
    <w:link w:val="Quote2"/>
    <w:uiPriority w:val="7"/>
    <w:rsid w:val="00482887"/>
    <w:rPr>
      <w:rFonts w:ascii="Calibri" w:eastAsia="Times New Roman" w:hAnsi="Calibri" w:cs="Times New Roman"/>
      <w:bCs/>
      <w:color w:val="DE2060" w:themeColor="accent1"/>
      <w:sz w:val="20"/>
      <w:szCs w:val="20"/>
      <w:lang w:eastAsia="en-AU"/>
    </w:rPr>
  </w:style>
  <w:style w:type="paragraph" w:customStyle="1" w:styleId="Bullets1">
    <w:name w:val="Bullets 1"/>
    <w:basedOn w:val="Normal"/>
    <w:qFormat/>
    <w:rsid w:val="00482887"/>
    <w:pPr>
      <w:tabs>
        <w:tab w:val="num" w:pos="425"/>
      </w:tabs>
      <w:spacing w:before="60" w:after="60" w:line="300" w:lineRule="auto"/>
      <w:ind w:left="851" w:hanging="426"/>
    </w:pPr>
    <w:rPr>
      <w:rFonts w:eastAsia="Times New Roman" w:cs="Times New Roman"/>
      <w:szCs w:val="20"/>
    </w:rPr>
  </w:style>
  <w:style w:type="paragraph" w:customStyle="1" w:styleId="TableFormat">
    <w:name w:val="Table Format"/>
    <w:basedOn w:val="Body"/>
    <w:next w:val="Body"/>
    <w:uiPriority w:val="1"/>
    <w:qFormat/>
    <w:rsid w:val="00482887"/>
    <w:pPr>
      <w:spacing w:before="60" w:after="60" w:line="240" w:lineRule="auto"/>
      <w:jc w:val="right"/>
    </w:pPr>
    <w:rPr>
      <w:sz w:val="18"/>
    </w:rPr>
  </w:style>
  <w:style w:type="paragraph" w:styleId="Revision">
    <w:name w:val="Revision"/>
    <w:hidden/>
    <w:uiPriority w:val="99"/>
    <w:semiHidden/>
    <w:rsid w:val="00AD2ACB"/>
    <w:pPr>
      <w:spacing w:before="0" w:after="0"/>
    </w:pPr>
    <w:rPr>
      <w:rFonts w:ascii="Arial" w:hAnsi="Arial"/>
      <w:sz w:val="20"/>
    </w:rPr>
  </w:style>
  <w:style w:type="paragraph" w:customStyle="1" w:styleId="Body">
    <w:name w:val="Body"/>
    <w:basedOn w:val="Normal"/>
    <w:link w:val="BodyChar"/>
    <w:qFormat/>
    <w:rsid w:val="00482887"/>
    <w:pPr>
      <w:spacing w:before="120" w:after="120" w:line="300" w:lineRule="auto"/>
    </w:pPr>
    <w:rPr>
      <w:rFonts w:eastAsia="Times New Roman" w:cs="Times New Roman"/>
      <w:szCs w:val="20"/>
    </w:rPr>
  </w:style>
  <w:style w:type="character" w:customStyle="1" w:styleId="BodyChar">
    <w:name w:val="Body Char"/>
    <w:aliases w:val="#List Paragraph Char,b1 Char,b + line Char,level 1 Char,Number Char,b Char,List Paragraph111 Char,F5 List Paragraph Char,Dot pt Char,CV text Char,List Paragraph Char,List Paragraph1 Char,List Paragraph11 Char,Recommendation Char,L Char,Main Ch"/>
    <w:link w:val="Body"/>
    <w:qFormat/>
    <w:rsid w:val="00482887"/>
    <w:rPr>
      <w:rFonts w:ascii="Arial" w:eastAsia="Times New Roman" w:hAnsi="Arial" w:cs="Times New Roman"/>
      <w:sz w:val="20"/>
      <w:szCs w:val="20"/>
    </w:rPr>
  </w:style>
  <w:style w:type="paragraph" w:customStyle="1" w:styleId="Bullets2">
    <w:name w:val="Bullets 2"/>
    <w:basedOn w:val="Normal"/>
    <w:qFormat/>
    <w:rsid w:val="00482887"/>
    <w:pPr>
      <w:numPr>
        <w:ilvl w:val="1"/>
        <w:numId w:val="11"/>
      </w:numPr>
      <w:spacing w:before="60" w:after="60" w:line="300" w:lineRule="auto"/>
    </w:pPr>
    <w:rPr>
      <w:rFonts w:eastAsia="Times New Roman" w:cs="Times New Roman"/>
      <w:szCs w:val="20"/>
    </w:rPr>
  </w:style>
  <w:style w:type="paragraph" w:customStyle="1" w:styleId="Bullets3">
    <w:name w:val="Bullets 3"/>
    <w:basedOn w:val="Normal"/>
    <w:qFormat/>
    <w:rsid w:val="00482887"/>
    <w:pPr>
      <w:numPr>
        <w:numId w:val="11"/>
      </w:numPr>
      <w:spacing w:before="60" w:after="60" w:line="300" w:lineRule="auto"/>
    </w:pPr>
    <w:rPr>
      <w:rFonts w:eastAsia="Times New Roman" w:cs="Times New Roman"/>
      <w:szCs w:val="20"/>
    </w:rPr>
  </w:style>
  <w:style w:type="table" w:styleId="ListTable2-Accent6">
    <w:name w:val="List Table 2 Accent 6"/>
    <w:basedOn w:val="TableNormal"/>
    <w:uiPriority w:val="47"/>
    <w:locked/>
    <w:rsid w:val="00482887"/>
    <w:pPr>
      <w:spacing w:after="0"/>
    </w:pPr>
    <w:tblPr>
      <w:tblStyleRowBandSize w:val="1"/>
      <w:tblStyleColBandSize w:val="1"/>
      <w:tblBorders>
        <w:top w:val="single" w:sz="4" w:space="0" w:color="DBCBBF" w:themeColor="accent6" w:themeTint="99"/>
        <w:bottom w:val="single" w:sz="4" w:space="0" w:color="DBCBBF" w:themeColor="accent6" w:themeTint="99"/>
        <w:insideH w:val="single" w:sz="4" w:space="0" w:color="DBCBBF" w:themeColor="accent6" w:themeTint="99"/>
      </w:tblBorders>
    </w:tblPr>
    <w:tblStylePr w:type="firstRow">
      <w:pPr>
        <w:jc w:val="left"/>
      </w:pPr>
      <w:rPr>
        <w:b/>
        <w:bCs/>
      </w:rPr>
      <w:tblPr/>
      <w:tcPr>
        <w:vAlign w:val="bottom"/>
      </w:tcPr>
    </w:tblStylePr>
    <w:tblStylePr w:type="lastRow">
      <w:rPr>
        <w:b/>
        <w:bCs/>
      </w:rPr>
    </w:tblStylePr>
    <w:tblStylePr w:type="firstCol">
      <w:rPr>
        <w:b/>
        <w:bCs/>
      </w:rPr>
    </w:tblStylePr>
    <w:tblStylePr w:type="lastCol">
      <w:rPr>
        <w:b/>
        <w:bCs/>
      </w:rPr>
    </w:tblStylePr>
    <w:tblStylePr w:type="band1Vert">
      <w:tblPr/>
      <w:tcPr>
        <w:shd w:val="clear" w:color="auto" w:fill="F3EDE9" w:themeFill="accent6" w:themeFillTint="33"/>
      </w:tcPr>
    </w:tblStylePr>
    <w:tblStylePr w:type="band1Horz">
      <w:tblPr/>
      <w:tcPr>
        <w:shd w:val="clear" w:color="auto" w:fill="F3EDE9" w:themeFill="accent6" w:themeFillTint="33"/>
      </w:tcPr>
    </w:tblStylePr>
  </w:style>
  <w:style w:type="paragraph" w:customStyle="1" w:styleId="AppendixHeading">
    <w:name w:val="Appendix Heading"/>
    <w:basedOn w:val="MajorHeading"/>
    <w:next w:val="Body"/>
    <w:link w:val="AppendixHeadingChar"/>
    <w:qFormat/>
    <w:rsid w:val="00482887"/>
    <w:pPr>
      <w:ind w:left="2552" w:hanging="2552"/>
    </w:pPr>
    <w:rPr>
      <w:rFonts w:cstheme="majorBidi"/>
    </w:rPr>
  </w:style>
  <w:style w:type="character" w:customStyle="1" w:styleId="AppendixHeadingChar">
    <w:name w:val="Appendix Heading Char"/>
    <w:basedOn w:val="Heading1Char"/>
    <w:link w:val="AppendixHeading"/>
    <w:rsid w:val="00482887"/>
    <w:rPr>
      <w:rFonts w:ascii="Arial" w:hAnsi="Arial" w:cstheme="majorBidi"/>
      <w:color w:val="DE2060" w:themeColor="accent1"/>
      <w:sz w:val="40"/>
      <w:szCs w:val="40"/>
    </w:rPr>
  </w:style>
  <w:style w:type="paragraph" w:styleId="TableofAuthorities">
    <w:name w:val="table of authorities"/>
    <w:basedOn w:val="Normal"/>
    <w:next w:val="Normal"/>
    <w:uiPriority w:val="99"/>
    <w:semiHidden/>
    <w:unhideWhenUsed/>
    <w:rsid w:val="00482887"/>
    <w:pPr>
      <w:ind w:left="284" w:hanging="284"/>
    </w:pPr>
    <w:rPr>
      <w:rFonts w:ascii="Arial Nova" w:hAnsi="Arial Nova"/>
    </w:rPr>
  </w:style>
  <w:style w:type="paragraph" w:styleId="Bibliography">
    <w:name w:val="Bibliography"/>
    <w:basedOn w:val="Normal"/>
    <w:next w:val="Normal"/>
    <w:uiPriority w:val="37"/>
    <w:qFormat/>
    <w:rsid w:val="00482887"/>
    <w:pPr>
      <w:spacing w:before="120" w:after="120"/>
      <w:ind w:left="284" w:hanging="284"/>
    </w:pPr>
    <w:rPr>
      <w:rFonts w:cs="Arial"/>
    </w:rPr>
  </w:style>
  <w:style w:type="table" w:styleId="GridTable7ColourfulAccent6">
    <w:name w:val="Grid Table 7 Colorful Accent 6"/>
    <w:basedOn w:val="TableNormal"/>
    <w:uiPriority w:val="52"/>
    <w:locked/>
    <w:rsid w:val="00482887"/>
    <w:pPr>
      <w:spacing w:after="0"/>
    </w:pPr>
    <w:rPr>
      <w:color w:val="A37D5D" w:themeColor="accent6" w:themeShade="BF"/>
    </w:rPr>
    <w:tblPr>
      <w:tblStyleRowBandSize w:val="1"/>
      <w:tblStyleColBandSize w:val="1"/>
      <w:tblBorders>
        <w:top w:val="single" w:sz="4" w:space="0" w:color="DBCBBF" w:themeColor="accent6" w:themeTint="99"/>
        <w:left w:val="single" w:sz="4" w:space="0" w:color="DBCBBF" w:themeColor="accent6" w:themeTint="99"/>
        <w:bottom w:val="single" w:sz="4" w:space="0" w:color="DBCBBF" w:themeColor="accent6" w:themeTint="99"/>
        <w:right w:val="single" w:sz="4" w:space="0" w:color="DBCBBF" w:themeColor="accent6" w:themeTint="99"/>
        <w:insideH w:val="single" w:sz="4" w:space="0" w:color="DBCBBF" w:themeColor="accent6" w:themeTint="99"/>
        <w:insideV w:val="single" w:sz="4" w:space="0" w:color="DBCBBF" w:themeColor="accent6" w:themeTint="99"/>
      </w:tblBorders>
    </w:tblPr>
    <w:tblStylePr w:type="firstRow">
      <w:pPr>
        <w:jc w:val="left"/>
      </w:pPr>
      <w:rPr>
        <w:b/>
        <w:bCs/>
      </w:rPr>
      <w:tblPr/>
      <w:tcPr>
        <w:tcBorders>
          <w:top w:val="nil"/>
          <w:left w:val="nil"/>
          <w:right w:val="nil"/>
          <w:insideH w:val="nil"/>
          <w:insideV w:val="nil"/>
        </w:tcBorders>
        <w:shd w:val="clear" w:color="auto" w:fill="FFFFFF" w:themeFill="background1"/>
        <w:vAlign w:val="bottom"/>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EDE9" w:themeFill="accent6" w:themeFillTint="33"/>
      </w:tcPr>
    </w:tblStylePr>
    <w:tblStylePr w:type="band1Horz">
      <w:tblPr/>
      <w:tcPr>
        <w:shd w:val="clear" w:color="auto" w:fill="F3EDE9" w:themeFill="accent6" w:themeFillTint="33"/>
      </w:tcPr>
    </w:tblStylePr>
    <w:tblStylePr w:type="neCell">
      <w:tblPr/>
      <w:tcPr>
        <w:tcBorders>
          <w:bottom w:val="single" w:sz="4" w:space="0" w:color="DBCBBF" w:themeColor="accent6" w:themeTint="99"/>
        </w:tcBorders>
      </w:tcPr>
    </w:tblStylePr>
    <w:tblStylePr w:type="nwCell">
      <w:tblPr/>
      <w:tcPr>
        <w:tcBorders>
          <w:bottom w:val="single" w:sz="4" w:space="0" w:color="DBCBBF" w:themeColor="accent6" w:themeTint="99"/>
        </w:tcBorders>
      </w:tcPr>
    </w:tblStylePr>
    <w:tblStylePr w:type="seCell">
      <w:tblPr/>
      <w:tcPr>
        <w:tcBorders>
          <w:top w:val="single" w:sz="4" w:space="0" w:color="DBCBBF" w:themeColor="accent6" w:themeTint="99"/>
        </w:tcBorders>
      </w:tcPr>
    </w:tblStylePr>
    <w:tblStylePr w:type="swCell">
      <w:tblPr/>
      <w:tcPr>
        <w:tcBorders>
          <w:top w:val="single" w:sz="4" w:space="0" w:color="DBCBBF" w:themeColor="accent6" w:themeTint="99"/>
        </w:tcBorders>
      </w:tcPr>
    </w:tblStylePr>
  </w:style>
  <w:style w:type="table" w:customStyle="1" w:styleId="SRC2ndPage">
    <w:name w:val="SRC 2nd Page"/>
    <w:basedOn w:val="TableNormal"/>
    <w:uiPriority w:val="99"/>
    <w:rsid w:val="00482887"/>
    <w:pPr>
      <w:spacing w:before="0" w:after="0"/>
    </w:pPr>
    <w:rPr>
      <w:rFonts w:ascii="Arial" w:hAnsi="Arial"/>
    </w:rPr>
    <w:tblPr/>
    <w:tblStylePr w:type="firstRow">
      <w:pPr>
        <w:jc w:val="left"/>
      </w:pPr>
      <w:tblPr/>
      <w:tcPr>
        <w:vAlign w:val="bottom"/>
      </w:tcPr>
    </w:tblStylePr>
  </w:style>
  <w:style w:type="character" w:styleId="UnresolvedMention">
    <w:name w:val="Unresolved Mention"/>
    <w:basedOn w:val="DefaultParagraphFont"/>
    <w:uiPriority w:val="99"/>
    <w:unhideWhenUsed/>
    <w:rsid w:val="00482887"/>
    <w:rPr>
      <w:color w:val="605E5C"/>
      <w:shd w:val="clear" w:color="auto" w:fill="E1DFDD"/>
    </w:rPr>
  </w:style>
  <w:style w:type="paragraph" w:customStyle="1" w:styleId="Bullets-noindent">
    <w:name w:val="Bullets - no indent"/>
    <w:basedOn w:val="Body"/>
    <w:qFormat/>
    <w:rsid w:val="00482887"/>
    <w:pPr>
      <w:numPr>
        <w:numId w:val="10"/>
      </w:numPr>
      <w:spacing w:before="60" w:after="60"/>
    </w:pPr>
  </w:style>
  <w:style w:type="character" w:styleId="Emphasis">
    <w:name w:val="Emphasis"/>
    <w:basedOn w:val="DefaultParagraphFont"/>
    <w:uiPriority w:val="20"/>
    <w:rsid w:val="00482887"/>
    <w:rPr>
      <w:i/>
      <w:iCs/>
    </w:rPr>
  </w:style>
  <w:style w:type="character" w:customStyle="1" w:styleId="Heading6Char">
    <w:name w:val="Heading 6 Char"/>
    <w:basedOn w:val="DefaultParagraphFont"/>
    <w:link w:val="Heading6"/>
    <w:uiPriority w:val="9"/>
    <w:rsid w:val="00482887"/>
    <w:rPr>
      <w:rFonts w:asciiTheme="majorHAnsi" w:eastAsiaTheme="majorEastAsia" w:hAnsiTheme="majorHAnsi" w:cstheme="majorBidi"/>
      <w:i/>
      <w:iCs/>
      <w:caps/>
      <w:color w:val="6F102F" w:themeColor="accent1" w:themeShade="80"/>
      <w:sz w:val="20"/>
    </w:rPr>
  </w:style>
  <w:style w:type="character" w:customStyle="1" w:styleId="Heading7Char">
    <w:name w:val="Heading 7 Char"/>
    <w:basedOn w:val="DefaultParagraphFont"/>
    <w:link w:val="Heading7"/>
    <w:uiPriority w:val="9"/>
    <w:rsid w:val="00482887"/>
    <w:rPr>
      <w:rFonts w:asciiTheme="majorHAnsi" w:eastAsiaTheme="majorEastAsia" w:hAnsiTheme="majorHAnsi" w:cstheme="majorBidi"/>
      <w:b/>
      <w:bCs/>
      <w:color w:val="6F102F" w:themeColor="accent1" w:themeShade="80"/>
      <w:sz w:val="20"/>
    </w:rPr>
  </w:style>
  <w:style w:type="character" w:customStyle="1" w:styleId="Heading8Char">
    <w:name w:val="Heading 8 Char"/>
    <w:basedOn w:val="DefaultParagraphFont"/>
    <w:link w:val="Heading8"/>
    <w:uiPriority w:val="9"/>
    <w:semiHidden/>
    <w:rsid w:val="00482887"/>
    <w:rPr>
      <w:rFonts w:asciiTheme="majorHAnsi" w:eastAsiaTheme="majorEastAsia" w:hAnsiTheme="majorHAnsi" w:cstheme="majorBidi"/>
      <w:b/>
      <w:bCs/>
      <w:i/>
      <w:iCs/>
      <w:color w:val="6F102F" w:themeColor="accent1" w:themeShade="80"/>
      <w:sz w:val="20"/>
    </w:rPr>
  </w:style>
  <w:style w:type="character" w:customStyle="1" w:styleId="Heading9Char">
    <w:name w:val="Heading 9 Char"/>
    <w:basedOn w:val="DefaultParagraphFont"/>
    <w:link w:val="Heading9"/>
    <w:uiPriority w:val="9"/>
    <w:semiHidden/>
    <w:rsid w:val="00482887"/>
    <w:rPr>
      <w:rFonts w:asciiTheme="majorHAnsi" w:eastAsiaTheme="majorEastAsia" w:hAnsiTheme="majorHAnsi" w:cstheme="majorBidi"/>
      <w:i/>
      <w:iCs/>
      <w:color w:val="6F102F" w:themeColor="accent1" w:themeShade="80"/>
      <w:sz w:val="20"/>
    </w:rPr>
  </w:style>
  <w:style w:type="character" w:styleId="IntenseEmphasis">
    <w:name w:val="Intense Emphasis"/>
    <w:basedOn w:val="DefaultParagraphFont"/>
    <w:uiPriority w:val="21"/>
    <w:rsid w:val="00482887"/>
    <w:rPr>
      <w:b/>
      <w:bCs/>
      <w:i/>
      <w:iCs/>
    </w:rPr>
  </w:style>
  <w:style w:type="paragraph" w:styleId="IntenseQuote">
    <w:name w:val="Intense Quote"/>
    <w:basedOn w:val="Normal"/>
    <w:next w:val="Normal"/>
    <w:link w:val="IntenseQuoteChar"/>
    <w:uiPriority w:val="30"/>
    <w:rsid w:val="00482887"/>
    <w:pPr>
      <w:spacing w:before="100" w:beforeAutospacing="1" w:after="240"/>
      <w:ind w:left="720"/>
      <w:jc w:val="center"/>
    </w:pPr>
    <w:rPr>
      <w:rFonts w:asciiTheme="majorHAnsi" w:eastAsiaTheme="majorEastAsia" w:hAnsiTheme="majorHAnsi" w:cstheme="majorBidi"/>
      <w:color w:val="EE3B6F"/>
      <w:spacing w:val="-6"/>
      <w:sz w:val="32"/>
      <w:szCs w:val="32"/>
    </w:rPr>
  </w:style>
  <w:style w:type="character" w:customStyle="1" w:styleId="IntenseQuoteChar">
    <w:name w:val="Intense Quote Char"/>
    <w:basedOn w:val="DefaultParagraphFont"/>
    <w:link w:val="IntenseQuote"/>
    <w:uiPriority w:val="30"/>
    <w:rsid w:val="00482887"/>
    <w:rPr>
      <w:rFonts w:asciiTheme="majorHAnsi" w:eastAsiaTheme="majorEastAsia" w:hAnsiTheme="majorHAnsi" w:cstheme="majorBidi"/>
      <w:color w:val="EE3B6F"/>
      <w:spacing w:val="-6"/>
      <w:sz w:val="32"/>
      <w:szCs w:val="32"/>
    </w:rPr>
  </w:style>
  <w:style w:type="character" w:styleId="IntenseReference">
    <w:name w:val="Intense Reference"/>
    <w:basedOn w:val="DefaultParagraphFont"/>
    <w:uiPriority w:val="32"/>
    <w:rsid w:val="00482887"/>
    <w:rPr>
      <w:b/>
      <w:bCs/>
      <w:smallCaps/>
      <w:color w:val="EE3B6F"/>
      <w:u w:val="single"/>
    </w:rPr>
  </w:style>
  <w:style w:type="character" w:styleId="Strong">
    <w:name w:val="Strong"/>
    <w:basedOn w:val="DefaultParagraphFont"/>
    <w:uiPriority w:val="22"/>
    <w:qFormat/>
    <w:rsid w:val="00482887"/>
    <w:rPr>
      <w:b/>
      <w:bCs/>
    </w:rPr>
  </w:style>
  <w:style w:type="character" w:styleId="SubtleEmphasis">
    <w:name w:val="Subtle Emphasis"/>
    <w:basedOn w:val="DefaultParagraphFont"/>
    <w:uiPriority w:val="19"/>
    <w:rsid w:val="00482887"/>
    <w:rPr>
      <w:i/>
      <w:iCs/>
      <w:color w:val="595959" w:themeColor="text1" w:themeTint="A6"/>
    </w:rPr>
  </w:style>
  <w:style w:type="character" w:styleId="SubtleReference">
    <w:name w:val="Subtle Reference"/>
    <w:basedOn w:val="DefaultParagraphFont"/>
    <w:uiPriority w:val="31"/>
    <w:rsid w:val="00482887"/>
    <w:rPr>
      <w:smallCaps/>
      <w:color w:val="595959" w:themeColor="text1" w:themeTint="A6"/>
      <w:u w:val="none" w:color="7F7F7F" w:themeColor="text1" w:themeTint="80"/>
      <w:bdr w:val="none" w:sz="0" w:space="0" w:color="auto"/>
    </w:rPr>
  </w:style>
  <w:style w:type="paragraph" w:styleId="TOCHeading">
    <w:name w:val="TOC Heading"/>
    <w:basedOn w:val="Heading1"/>
    <w:next w:val="Normal"/>
    <w:uiPriority w:val="39"/>
    <w:unhideWhenUsed/>
    <w:qFormat/>
    <w:rsid w:val="00482887"/>
    <w:pPr>
      <w:ind w:left="1134" w:hanging="1134"/>
      <w:outlineLvl w:val="9"/>
    </w:pPr>
  </w:style>
  <w:style w:type="paragraph" w:customStyle="1" w:styleId="Appendix1">
    <w:name w:val="Appendix 1"/>
    <w:basedOn w:val="Normal"/>
    <w:next w:val="Body"/>
    <w:uiPriority w:val="99"/>
    <w:qFormat/>
    <w:rsid w:val="00482887"/>
    <w:pPr>
      <w:pageBreakBefore/>
      <w:numPr>
        <w:numId w:val="7"/>
      </w:numPr>
      <w:spacing w:after="240"/>
      <w:outlineLvl w:val="0"/>
    </w:pPr>
    <w:rPr>
      <w:color w:val="DE2060" w:themeColor="accent1"/>
      <w:sz w:val="40"/>
    </w:rPr>
  </w:style>
  <w:style w:type="paragraph" w:customStyle="1" w:styleId="Appendix2">
    <w:name w:val="Appendix 2"/>
    <w:basedOn w:val="Normal"/>
    <w:next w:val="Body"/>
    <w:uiPriority w:val="99"/>
    <w:qFormat/>
    <w:rsid w:val="002A54CB"/>
    <w:pPr>
      <w:keepNext/>
      <w:numPr>
        <w:ilvl w:val="1"/>
        <w:numId w:val="7"/>
      </w:numPr>
      <w:spacing w:before="240" w:after="120"/>
      <w:ind w:left="1134"/>
      <w:outlineLvl w:val="1"/>
    </w:pPr>
    <w:rPr>
      <w:color w:val="DE2060" w:themeColor="accent1"/>
      <w:sz w:val="32"/>
      <w:szCs w:val="32"/>
    </w:rPr>
  </w:style>
  <w:style w:type="paragraph" w:customStyle="1" w:styleId="Appendix3accessible">
    <w:name w:val="Appendix 3 (accessible)"/>
    <w:basedOn w:val="Normal"/>
    <w:next w:val="Body"/>
    <w:link w:val="Appendix3accessibleChar"/>
    <w:uiPriority w:val="4"/>
    <w:qFormat/>
    <w:rsid w:val="002A4C57"/>
    <w:pPr>
      <w:keepNext/>
      <w:numPr>
        <w:ilvl w:val="2"/>
        <w:numId w:val="7"/>
      </w:numPr>
      <w:spacing w:before="240" w:after="120"/>
      <w:outlineLvl w:val="2"/>
    </w:pPr>
    <w:rPr>
      <w:rFonts w:eastAsiaTheme="majorEastAsia" w:cs="Arial"/>
      <w:color w:val="C2185B"/>
      <w:sz w:val="28"/>
      <w:szCs w:val="28"/>
    </w:rPr>
  </w:style>
  <w:style w:type="paragraph" w:customStyle="1" w:styleId="SubHeading20">
    <w:name w:val="Sub Heading 2"/>
    <w:basedOn w:val="SubHeading1"/>
    <w:next w:val="Body"/>
    <w:link w:val="SubHeading2Char0"/>
    <w:uiPriority w:val="3"/>
    <w:qFormat/>
    <w:rsid w:val="00482887"/>
    <w:rPr>
      <w:sz w:val="24"/>
      <w:szCs w:val="24"/>
    </w:rPr>
  </w:style>
  <w:style w:type="character" w:customStyle="1" w:styleId="SubHeading2Char0">
    <w:name w:val="Sub Heading 2 Char"/>
    <w:basedOn w:val="SubHeading1Char"/>
    <w:link w:val="SubHeading20"/>
    <w:uiPriority w:val="3"/>
    <w:rsid w:val="00482887"/>
    <w:rPr>
      <w:rFonts w:ascii="Arial" w:hAnsi="Arial"/>
      <w:bCs/>
      <w:color w:val="DE2060" w:themeColor="accent1"/>
      <w:sz w:val="24"/>
      <w:szCs w:val="24"/>
    </w:rPr>
  </w:style>
  <w:style w:type="paragraph" w:customStyle="1" w:styleId="TOC">
    <w:name w:val="TOC"/>
    <w:basedOn w:val="Body"/>
    <w:link w:val="TOCChar"/>
    <w:autoRedefine/>
    <w:uiPriority w:val="4"/>
    <w:qFormat/>
    <w:rsid w:val="00482887"/>
    <w:pPr>
      <w:pageBreakBefore/>
      <w:contextualSpacing/>
    </w:pPr>
    <w:rPr>
      <w:color w:val="DE2060" w:themeColor="accent1"/>
      <w:sz w:val="40"/>
    </w:rPr>
  </w:style>
  <w:style w:type="character" w:customStyle="1" w:styleId="TOCChar">
    <w:name w:val="TOC Char"/>
    <w:basedOn w:val="MajorHeadingChar"/>
    <w:link w:val="TOC"/>
    <w:uiPriority w:val="4"/>
    <w:rsid w:val="00482887"/>
    <w:rPr>
      <w:rFonts w:ascii="Arial" w:eastAsia="Times New Roman" w:hAnsi="Arial" w:cs="Times New Roman"/>
      <w:color w:val="DE2060" w:themeColor="accent1"/>
      <w:sz w:val="40"/>
      <w:szCs w:val="20"/>
    </w:rPr>
  </w:style>
  <w:style w:type="paragraph" w:customStyle="1" w:styleId="FigureNote">
    <w:name w:val="Figure Note"/>
    <w:basedOn w:val="Normal"/>
    <w:link w:val="FigureNoteChar"/>
    <w:qFormat/>
    <w:rsid w:val="00482887"/>
    <w:pPr>
      <w:spacing w:before="120" w:after="120"/>
      <w:jc w:val="both"/>
    </w:pPr>
    <w:rPr>
      <w:rFonts w:eastAsia="Calibri" w:cs="Times New Roman"/>
      <w:sz w:val="16"/>
      <w:szCs w:val="22"/>
      <w:lang w:val="en-GB"/>
    </w:rPr>
  </w:style>
  <w:style w:type="character" w:customStyle="1" w:styleId="FigureNoteChar">
    <w:name w:val="Figure Note Char"/>
    <w:basedOn w:val="DefaultParagraphFont"/>
    <w:link w:val="FigureNote"/>
    <w:rsid w:val="00482887"/>
    <w:rPr>
      <w:rFonts w:ascii="Arial" w:eastAsia="Calibri" w:hAnsi="Arial" w:cs="Times New Roman"/>
      <w:sz w:val="16"/>
      <w:szCs w:val="22"/>
      <w:lang w:val="en-GB"/>
    </w:rPr>
  </w:style>
  <w:style w:type="paragraph" w:customStyle="1" w:styleId="Sourcenote">
    <w:name w:val="Source note"/>
    <w:basedOn w:val="Normal"/>
    <w:uiPriority w:val="4"/>
    <w:qFormat/>
    <w:rsid w:val="00C87626"/>
    <w:pPr>
      <w:keepNext/>
    </w:pPr>
    <w:rPr>
      <w:color w:val="ED0000"/>
      <w:sz w:val="18"/>
      <w:lang w:eastAsia="en-AU"/>
    </w:rPr>
  </w:style>
  <w:style w:type="table" w:customStyle="1" w:styleId="SRC1">
    <w:name w:val="SRC 1"/>
    <w:basedOn w:val="TableNormal"/>
    <w:uiPriority w:val="99"/>
    <w:rsid w:val="00482887"/>
    <w:rPr>
      <w:rFonts w:ascii="Arial" w:hAnsi="Arial"/>
      <w:szCs w:val="22"/>
    </w:rPr>
    <w:tblPr>
      <w:tblStyleRowBandSize w:val="1"/>
      <w:tblStyleColBandSize w:val="1"/>
      <w:tblBorders>
        <w:bottom w:val="single" w:sz="4" w:space="0" w:color="004DCF"/>
      </w:tblBorders>
    </w:tblPr>
    <w:tblStylePr w:type="firstRow">
      <w:pPr>
        <w:wordWrap/>
        <w:spacing w:beforeLines="0" w:before="60" w:beforeAutospacing="0" w:afterLines="0" w:after="60" w:afterAutospacing="0" w:line="240" w:lineRule="auto"/>
        <w:contextualSpacing w:val="0"/>
        <w:jc w:val="left"/>
      </w:pPr>
      <w:rPr>
        <w:rFonts w:ascii="Arial" w:hAnsi="Arial"/>
        <w:b/>
        <w:color w:val="FFFFFF"/>
        <w:sz w:val="18"/>
      </w:rPr>
      <w:tblPr/>
      <w:tcPr>
        <w:shd w:val="clear" w:color="auto" w:fill="004DCF"/>
        <w:vAlign w:val="center"/>
      </w:tcPr>
    </w:tblStylePr>
    <w:tblStylePr w:type="lastRow">
      <w:pPr>
        <w:wordWrap/>
        <w:spacing w:beforeLines="0" w:before="60" w:beforeAutospacing="0" w:afterLines="0" w:after="60" w:afterAutospacing="0" w:line="240" w:lineRule="auto"/>
        <w:contextualSpacing w:val="0"/>
        <w:jc w:val="left"/>
      </w:pPr>
      <w:rPr>
        <w:rFonts w:ascii="Arial" w:hAnsi="Arial"/>
        <w:sz w:val="18"/>
      </w:rPr>
    </w:tblStylePr>
    <w:tblStylePr w:type="firstCol">
      <w:pPr>
        <w:wordWrap/>
        <w:spacing w:beforeLines="0" w:before="60" w:beforeAutospacing="0" w:afterLines="0" w:after="60" w:afterAutospacing="0" w:line="240" w:lineRule="auto"/>
        <w:contextualSpacing w:val="0"/>
        <w:jc w:val="left"/>
      </w:pPr>
      <w:rPr>
        <w:rFonts w:ascii="Arial" w:hAnsi="Arial"/>
        <w:sz w:val="18"/>
      </w:rPr>
      <w:tblPr/>
      <w:tcPr>
        <w:vAlign w:val="center"/>
      </w:tcPr>
    </w:tblStylePr>
    <w:tblStylePr w:type="lastCol">
      <w:rPr>
        <w:rFonts w:ascii="Arial" w:hAnsi="Arial"/>
        <w:sz w:val="18"/>
      </w:rPr>
    </w:tblStylePr>
    <w:tblStylePr w:type="band1Vert">
      <w:pPr>
        <w:wordWrap/>
        <w:spacing w:beforeLines="0" w:before="60" w:beforeAutospacing="0" w:afterLines="0" w:after="60" w:afterAutospacing="0" w:line="240" w:lineRule="auto"/>
        <w:ind w:rightChars="0" w:right="113"/>
        <w:contextualSpacing w:val="0"/>
        <w:jc w:val="left"/>
        <w:outlineLvl w:val="9"/>
      </w:pPr>
      <w:rPr>
        <w:rFonts w:ascii="Arial" w:hAnsi="Arial"/>
        <w:sz w:val="18"/>
      </w:rPr>
      <w:tblPr/>
      <w:tcPr>
        <w:vAlign w:val="center"/>
      </w:tcPr>
    </w:tblStylePr>
    <w:tblStylePr w:type="band2Vert">
      <w:pPr>
        <w:wordWrap/>
        <w:spacing w:beforeLines="0" w:before="60" w:beforeAutospacing="0" w:afterLines="0" w:after="60" w:afterAutospacing="0" w:line="240" w:lineRule="auto"/>
        <w:ind w:rightChars="0" w:right="113"/>
        <w:contextualSpacing w:val="0"/>
        <w:jc w:val="left"/>
      </w:pPr>
      <w:rPr>
        <w:rFonts w:ascii="Arial" w:hAnsi="Arial"/>
        <w:sz w:val="18"/>
      </w:r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left"/>
      </w:pPr>
      <w:rPr>
        <w:rFonts w:ascii="Arial" w:hAnsi="Arial"/>
        <w:sz w:val="18"/>
      </w:rPr>
      <w:tblPr/>
      <w:tcPr>
        <w:shd w:val="clear" w:color="auto" w:fill="C2D8FF"/>
        <w:vAlign w:val="center"/>
      </w:tcPr>
    </w:tblStylePr>
    <w:tblStylePr w:type="band2Horz">
      <w:pPr>
        <w:wordWrap/>
        <w:spacing w:beforeLines="0" w:before="60" w:beforeAutospacing="0" w:afterLines="0" w:after="60" w:afterAutospacing="0"/>
        <w:contextualSpacing w:val="0"/>
        <w:jc w:val="left"/>
      </w:pPr>
      <w:rPr>
        <w:rFonts w:ascii="Arial" w:hAnsi="Arial"/>
        <w:sz w:val="18"/>
      </w:rPr>
      <w:tblPr/>
      <w:tcPr>
        <w:vAlign w:val="center"/>
      </w:tcPr>
    </w:tblStylePr>
    <w:tblStylePr w:type="neCell">
      <w:rPr>
        <w:rFonts w:ascii="Arial" w:hAnsi="Arial"/>
        <w:sz w:val="18"/>
      </w:rPr>
    </w:tblStylePr>
    <w:tblStylePr w:type="nwCell">
      <w:rPr>
        <w:rFonts w:ascii="Arial" w:hAnsi="Arial"/>
        <w:sz w:val="18"/>
      </w:rPr>
    </w:tblStylePr>
    <w:tblStylePr w:type="seCell">
      <w:rPr>
        <w:rFonts w:ascii="Arial" w:hAnsi="Arial"/>
        <w:sz w:val="18"/>
      </w:rPr>
    </w:tblStylePr>
    <w:tblStylePr w:type="swCell">
      <w:rPr>
        <w:rFonts w:ascii="Arial" w:hAnsi="Arial"/>
        <w:sz w:val="18"/>
      </w:rPr>
    </w:tblStylePr>
  </w:style>
  <w:style w:type="paragraph" w:customStyle="1" w:styleId="NoParagraphStyle">
    <w:name w:val="[No Paragraph Style]"/>
    <w:autoRedefine/>
    <w:rsid w:val="00482887"/>
    <w:pPr>
      <w:widowControl w:val="0"/>
      <w:autoSpaceDE w:val="0"/>
      <w:autoSpaceDN w:val="0"/>
      <w:adjustRightInd w:val="0"/>
      <w:spacing w:before="0" w:after="0" w:line="288" w:lineRule="auto"/>
      <w:textAlignment w:val="center"/>
    </w:pPr>
    <w:rPr>
      <w:rFonts w:ascii="Calibri" w:eastAsia="Yu Gothic" w:hAnsi="Calibri" w:cs="MinionPro-Regular"/>
      <w:b/>
      <w:bCs/>
      <w:caps/>
      <w:color w:val="FFFFFF"/>
      <w:sz w:val="32"/>
      <w:szCs w:val="32"/>
      <w:lang w:val="en-GB"/>
    </w:rPr>
  </w:style>
  <w:style w:type="paragraph" w:customStyle="1" w:styleId="Intropullout">
    <w:name w:val="Intro/pull out"/>
    <w:autoRedefine/>
    <w:uiPriority w:val="99"/>
    <w:qFormat/>
    <w:rsid w:val="00482887"/>
    <w:pPr>
      <w:widowControl w:val="0"/>
      <w:suppressAutoHyphens/>
      <w:autoSpaceDE w:val="0"/>
      <w:autoSpaceDN w:val="0"/>
      <w:adjustRightInd w:val="0"/>
      <w:spacing w:before="113" w:after="170" w:line="300" w:lineRule="atLeast"/>
      <w:textAlignment w:val="center"/>
    </w:pPr>
    <w:rPr>
      <w:rFonts w:ascii="Calibri" w:eastAsia="Yu Gothic" w:hAnsi="Calibri" w:cs="DINOT-Light"/>
      <w:color w:val="004459"/>
      <w:spacing w:val="-2"/>
      <w:sz w:val="23"/>
      <w:szCs w:val="23"/>
      <w:lang w:val="en-GB"/>
    </w:rPr>
  </w:style>
  <w:style w:type="paragraph" w:customStyle="1" w:styleId="Subhead2">
    <w:name w:val="Subhead 2"/>
    <w:autoRedefine/>
    <w:uiPriority w:val="99"/>
    <w:qFormat/>
    <w:rsid w:val="00482887"/>
    <w:pPr>
      <w:keepNext/>
      <w:widowControl w:val="0"/>
      <w:tabs>
        <w:tab w:val="left" w:pos="170"/>
        <w:tab w:val="left" w:pos="340"/>
        <w:tab w:val="left" w:pos="510"/>
        <w:tab w:val="left" w:pos="680"/>
      </w:tabs>
      <w:suppressAutoHyphens/>
      <w:autoSpaceDE w:val="0"/>
      <w:autoSpaceDN w:val="0"/>
      <w:adjustRightInd w:val="0"/>
      <w:spacing w:before="227" w:after="0" w:line="280" w:lineRule="atLeast"/>
      <w:textAlignment w:val="center"/>
    </w:pPr>
    <w:rPr>
      <w:rFonts w:ascii="DINOT-Medium" w:eastAsia="Yu Gothic" w:hAnsi="DINOT-Medium" w:cs="DINOT-Medium"/>
      <w:color w:val="00777B"/>
      <w:spacing w:val="-1"/>
      <w:sz w:val="20"/>
      <w:szCs w:val="20"/>
      <w:lang w:val="en-GB"/>
    </w:rPr>
  </w:style>
  <w:style w:type="paragraph" w:customStyle="1" w:styleId="dashboard">
    <w:name w:val="dashboard #"/>
    <w:rsid w:val="00482887"/>
    <w:pPr>
      <w:spacing w:before="0" w:after="1920"/>
      <w:ind w:left="425"/>
    </w:pPr>
    <w:rPr>
      <w:rFonts w:ascii="Aptos Display" w:eastAsia="Yu Gothic" w:hAnsi="Aptos Display" w:cs="Times New Roman"/>
      <w:b/>
      <w:color w:val="FFFFFF"/>
      <w:sz w:val="20"/>
      <w:szCs w:val="20"/>
      <w:lang w:val="en-US"/>
    </w:rPr>
  </w:style>
  <w:style w:type="paragraph" w:customStyle="1" w:styleId="TablecolumnheadAPPX">
    <w:name w:val="Table column head APPX"/>
    <w:basedOn w:val="Normal"/>
    <w:qFormat/>
    <w:rsid w:val="00482887"/>
    <w:pPr>
      <w:widowControl w:val="0"/>
      <w:suppressAutoHyphens/>
      <w:autoSpaceDE w:val="0"/>
      <w:autoSpaceDN w:val="0"/>
      <w:adjustRightInd w:val="0"/>
      <w:spacing w:before="113" w:line="288" w:lineRule="auto"/>
      <w:textAlignment w:val="center"/>
    </w:pPr>
    <w:rPr>
      <w:rFonts w:ascii="Arial-BoldMT" w:eastAsia="Yu Gothic" w:hAnsi="Arial-BoldMT" w:cs="Arial-BoldMT"/>
      <w:b/>
      <w:bCs/>
      <w:color w:val="000000"/>
      <w:sz w:val="18"/>
      <w:lang w:val="en-GB"/>
    </w:rPr>
  </w:style>
  <w:style w:type="paragraph" w:customStyle="1" w:styleId="TableAPPXbulletALPHA">
    <w:name w:val="Table APPX bullet ALPHA"/>
    <w:basedOn w:val="Normal"/>
    <w:qFormat/>
    <w:rsid w:val="00482887"/>
    <w:pPr>
      <w:widowControl w:val="0"/>
      <w:numPr>
        <w:numId w:val="15"/>
      </w:numPr>
      <w:tabs>
        <w:tab w:val="left" w:pos="283"/>
      </w:tabs>
      <w:suppressAutoHyphens/>
      <w:autoSpaceDE w:val="0"/>
      <w:autoSpaceDN w:val="0"/>
      <w:adjustRightInd w:val="0"/>
      <w:spacing w:before="43" w:line="288" w:lineRule="auto"/>
      <w:textAlignment w:val="center"/>
    </w:pPr>
    <w:rPr>
      <w:rFonts w:ascii="ArialMT" w:eastAsia="Yu Gothic" w:hAnsi="ArialMT" w:cs="ArialMT"/>
      <w:color w:val="000000"/>
      <w:sz w:val="18"/>
      <w:lang w:val="en-GB"/>
    </w:rPr>
  </w:style>
  <w:style w:type="paragraph" w:customStyle="1" w:styleId="Body01">
    <w:name w:val="Body 01"/>
    <w:uiPriority w:val="99"/>
    <w:rsid w:val="00482887"/>
    <w:pPr>
      <w:spacing w:before="240" w:after="0" w:line="240" w:lineRule="atLeast"/>
    </w:pPr>
    <w:rPr>
      <w:rFonts w:ascii="Aptos Display" w:eastAsia="Yu Gothic" w:hAnsi="Aptos Display" w:cs="Gotham-Light"/>
      <w:color w:val="000A23"/>
      <w:spacing w:val="-2"/>
      <w:sz w:val="20"/>
      <w:lang w:val="en-GB"/>
    </w:rPr>
  </w:style>
  <w:style w:type="character" w:customStyle="1" w:styleId="Body02BOLD">
    <w:name w:val="Body 02 BOLD"/>
    <w:uiPriority w:val="1"/>
    <w:qFormat/>
    <w:rsid w:val="00482887"/>
    <w:rPr>
      <w:rFonts w:ascii="Arial" w:hAnsi="Arial" w:cs="Arial"/>
      <w:b/>
      <w:sz w:val="20"/>
      <w:szCs w:val="20"/>
      <w:lang w:val="en-GB"/>
    </w:rPr>
  </w:style>
  <w:style w:type="paragraph" w:customStyle="1" w:styleId="Bodyruleabove">
    <w:name w:val="Body rule above"/>
    <w:basedOn w:val="Normal"/>
    <w:uiPriority w:val="99"/>
    <w:rsid w:val="00482887"/>
    <w:pPr>
      <w:widowControl w:val="0"/>
      <w:suppressAutoHyphens/>
      <w:autoSpaceDE w:val="0"/>
      <w:autoSpaceDN w:val="0"/>
      <w:adjustRightInd w:val="0"/>
      <w:spacing w:before="227" w:line="240" w:lineRule="atLeast"/>
      <w:textAlignment w:val="center"/>
    </w:pPr>
    <w:rPr>
      <w:rFonts w:ascii="Gotham-Light" w:eastAsia="Yu Gothic" w:hAnsi="Gotham-Light" w:cs="Gotham-Light"/>
      <w:color w:val="000A23"/>
      <w:spacing w:val="-2"/>
      <w:sz w:val="18"/>
      <w:lang w:val="en-GB"/>
    </w:rPr>
  </w:style>
  <w:style w:type="paragraph" w:customStyle="1" w:styleId="Bullet01">
    <w:name w:val="Bullet 01"/>
    <w:basedOn w:val="Body01"/>
    <w:uiPriority w:val="99"/>
    <w:rsid w:val="00482887"/>
    <w:pPr>
      <w:widowControl w:val="0"/>
      <w:tabs>
        <w:tab w:val="left" w:pos="170"/>
      </w:tabs>
      <w:suppressAutoHyphens/>
      <w:autoSpaceDE w:val="0"/>
      <w:autoSpaceDN w:val="0"/>
      <w:adjustRightInd w:val="0"/>
      <w:spacing w:before="57"/>
      <w:ind w:left="170" w:hanging="170"/>
      <w:textAlignment w:val="center"/>
    </w:pPr>
  </w:style>
  <w:style w:type="paragraph" w:customStyle="1" w:styleId="Documenttitle">
    <w:name w:val="Document title"/>
    <w:uiPriority w:val="99"/>
    <w:rsid w:val="00482887"/>
    <w:pPr>
      <w:widowControl w:val="0"/>
      <w:suppressAutoHyphens/>
      <w:autoSpaceDE w:val="0"/>
      <w:autoSpaceDN w:val="0"/>
      <w:adjustRightInd w:val="0"/>
      <w:spacing w:before="0" w:after="720" w:line="720" w:lineRule="atLeast"/>
      <w:ind w:left="426"/>
      <w:textAlignment w:val="center"/>
    </w:pPr>
    <w:rPr>
      <w:rFonts w:ascii="Aptos Display" w:eastAsia="Yu Gothic" w:hAnsi="Aptos Display" w:cs="CaeciliaLTStd-Heavy"/>
      <w:color w:val="FFFFFF"/>
      <w:spacing w:val="-6"/>
      <w:sz w:val="62"/>
      <w:szCs w:val="62"/>
      <w:lang w:val="en-GB"/>
    </w:rPr>
  </w:style>
  <w:style w:type="paragraph" w:customStyle="1" w:styleId="Intropara">
    <w:name w:val="Intro para"/>
    <w:qFormat/>
    <w:rsid w:val="00482887"/>
    <w:pPr>
      <w:spacing w:before="0" w:after="0" w:line="220" w:lineRule="exact"/>
    </w:pPr>
    <w:rPr>
      <w:rFonts w:ascii="Aptos Display" w:eastAsia="Yu Gothic" w:hAnsi="Aptos Display" w:cs="CaeciliaLTStd-Heavy"/>
      <w:sz w:val="24"/>
      <w:szCs w:val="21"/>
      <w:lang w:val="en-GB"/>
    </w:rPr>
  </w:style>
  <w:style w:type="paragraph" w:customStyle="1" w:styleId="tablesub01">
    <w:name w:val="table sub 01"/>
    <w:basedOn w:val="Bodyruleabove"/>
    <w:uiPriority w:val="99"/>
    <w:rsid w:val="00482887"/>
    <w:rPr>
      <w:rFonts w:ascii="Calibri" w:hAnsi="Calibri" w:cs="Gotham-Medium"/>
      <w:sz w:val="22"/>
    </w:rPr>
  </w:style>
  <w:style w:type="paragraph" w:customStyle="1" w:styleId="tablesubhead">
    <w:name w:val="table subhead"/>
    <w:qFormat/>
    <w:rsid w:val="00482887"/>
    <w:pPr>
      <w:spacing w:before="0" w:after="0"/>
    </w:pPr>
    <w:rPr>
      <w:rFonts w:ascii="Aptos Display" w:eastAsia="Yu Gothic" w:hAnsi="Aptos Display" w:cs="Gotham-Book"/>
      <w:b/>
      <w:spacing w:val="-4"/>
      <w:sz w:val="20"/>
      <w:lang w:val="en-GB"/>
    </w:rPr>
  </w:style>
  <w:style w:type="paragraph" w:customStyle="1" w:styleId="Tabletext">
    <w:name w:val="Table text"/>
    <w:link w:val="TabletextChar"/>
    <w:qFormat/>
    <w:rsid w:val="00482887"/>
    <w:pPr>
      <w:spacing w:before="0" w:after="0"/>
    </w:pPr>
    <w:rPr>
      <w:rFonts w:ascii="Aptos Display" w:eastAsia="Yu Gothic" w:hAnsi="Aptos Display" w:cs="Gotham-Light"/>
      <w:color w:val="000A23"/>
      <w:spacing w:val="-2"/>
      <w:sz w:val="20"/>
      <w:lang w:val="en-GB"/>
    </w:rPr>
  </w:style>
  <w:style w:type="paragraph" w:customStyle="1" w:styleId="Sub03">
    <w:name w:val="Sub 03"/>
    <w:basedOn w:val="tablesub01"/>
    <w:qFormat/>
    <w:rsid w:val="00482887"/>
  </w:style>
  <w:style w:type="paragraph" w:customStyle="1" w:styleId="Sub1">
    <w:name w:val="Sub 1"/>
    <w:basedOn w:val="Normal"/>
    <w:uiPriority w:val="99"/>
    <w:rsid w:val="00482887"/>
    <w:pPr>
      <w:widowControl w:val="0"/>
      <w:pBdr>
        <w:bottom w:val="dashSmallGap" w:sz="4" w:space="6" w:color="auto"/>
      </w:pBdr>
      <w:suppressAutoHyphens/>
      <w:autoSpaceDE w:val="0"/>
      <w:autoSpaceDN w:val="0"/>
      <w:adjustRightInd w:val="0"/>
      <w:spacing w:before="240" w:after="60" w:line="280" w:lineRule="atLeast"/>
      <w:textAlignment w:val="center"/>
    </w:pPr>
    <w:rPr>
      <w:rFonts w:ascii="Calibri" w:eastAsia="Yu Gothic" w:hAnsi="Calibri" w:cs="CaeciliaLTStd-Heavy"/>
      <w:b/>
      <w:spacing w:val="-4"/>
      <w:szCs w:val="21"/>
      <w:lang w:val="en-GB"/>
    </w:rPr>
  </w:style>
  <w:style w:type="paragraph" w:customStyle="1" w:styleId="Sub1nounderline">
    <w:name w:val="Sub 1 no underline"/>
    <w:basedOn w:val="Normal"/>
    <w:link w:val="Sub1nounderlineChar"/>
    <w:qFormat/>
    <w:rsid w:val="00482887"/>
    <w:pPr>
      <w:widowControl w:val="0"/>
      <w:suppressAutoHyphens/>
      <w:autoSpaceDE w:val="0"/>
      <w:autoSpaceDN w:val="0"/>
      <w:adjustRightInd w:val="0"/>
      <w:spacing w:before="240" w:after="60" w:line="260" w:lineRule="atLeast"/>
      <w:textAlignment w:val="center"/>
    </w:pPr>
    <w:rPr>
      <w:rFonts w:ascii="Aptos Display" w:eastAsia="Yu Gothic" w:hAnsi="Aptos Display" w:cs="Gotham-Book"/>
      <w:b/>
      <w:spacing w:val="-4"/>
      <w:szCs w:val="20"/>
      <w:lang w:val="en-GB"/>
    </w:rPr>
  </w:style>
  <w:style w:type="paragraph" w:customStyle="1" w:styleId="Tablecolumnheader">
    <w:name w:val="Table column header"/>
    <w:basedOn w:val="Sub1"/>
    <w:qFormat/>
    <w:rsid w:val="00482887"/>
    <w:pPr>
      <w:spacing w:before="100" w:beforeAutospacing="1"/>
    </w:pPr>
  </w:style>
  <w:style w:type="paragraph" w:customStyle="1" w:styleId="Programtitle">
    <w:name w:val="Program title"/>
    <w:basedOn w:val="Header"/>
    <w:next w:val="NoParagraphStyle"/>
    <w:qFormat/>
    <w:rsid w:val="00482887"/>
    <w:pPr>
      <w:widowControl w:val="0"/>
      <w:tabs>
        <w:tab w:val="clear" w:pos="4513"/>
        <w:tab w:val="clear" w:pos="9026"/>
        <w:tab w:val="center" w:pos="4320"/>
        <w:tab w:val="right" w:pos="8640"/>
      </w:tabs>
      <w:suppressAutoHyphens/>
      <w:autoSpaceDE w:val="0"/>
      <w:autoSpaceDN w:val="0"/>
      <w:adjustRightInd w:val="0"/>
      <w:spacing w:before="142" w:after="180" w:line="290" w:lineRule="atLeast"/>
      <w:textAlignment w:val="center"/>
    </w:pPr>
    <w:rPr>
      <w:rFonts w:eastAsia="Yu Gothic" w:cs="Arial"/>
      <w:caps/>
      <w:color w:val="FFFFFF"/>
      <w:sz w:val="26"/>
      <w:szCs w:val="26"/>
      <w:lang w:val="en-GB"/>
    </w:rPr>
  </w:style>
  <w:style w:type="paragraph" w:customStyle="1" w:styleId="Featuretext">
    <w:name w:val="Feature text"/>
    <w:basedOn w:val="Normal"/>
    <w:rsid w:val="00482887"/>
    <w:pPr>
      <w:widowControl w:val="0"/>
      <w:tabs>
        <w:tab w:val="left" w:pos="510"/>
        <w:tab w:val="left" w:pos="680"/>
      </w:tabs>
      <w:suppressAutoHyphens/>
      <w:autoSpaceDE w:val="0"/>
      <w:autoSpaceDN w:val="0"/>
      <w:adjustRightInd w:val="0"/>
      <w:spacing w:before="57" w:line="240" w:lineRule="atLeast"/>
      <w:textAlignment w:val="center"/>
    </w:pPr>
    <w:rPr>
      <w:rFonts w:eastAsia="Yu Gothic" w:cs="VIC-Regular"/>
      <w:color w:val="00455B"/>
      <w:spacing w:val="4"/>
      <w:sz w:val="18"/>
      <w:lang w:val="en-GB"/>
    </w:rPr>
  </w:style>
  <w:style w:type="paragraph" w:customStyle="1" w:styleId="Followerdocumenttitle">
    <w:name w:val="Follower document title"/>
    <w:basedOn w:val="Normal"/>
    <w:rsid w:val="00482887"/>
    <w:pPr>
      <w:keepNext/>
      <w:keepLines/>
      <w:widowControl w:val="0"/>
      <w:suppressAutoHyphens/>
      <w:autoSpaceDE w:val="0"/>
      <w:autoSpaceDN w:val="0"/>
      <w:adjustRightInd w:val="0"/>
      <w:spacing w:before="142" w:after="120" w:line="290" w:lineRule="atLeast"/>
      <w:textAlignment w:val="center"/>
      <w:outlineLvl w:val="0"/>
    </w:pPr>
    <w:rPr>
      <w:rFonts w:eastAsia="Yu Gothic Light" w:cs="Arial"/>
      <w:b/>
      <w:bCs/>
      <w:caps/>
      <w:color w:val="00455B"/>
      <w:sz w:val="22"/>
      <w:szCs w:val="32"/>
      <w:lang w:val="en-GB"/>
    </w:rPr>
  </w:style>
  <w:style w:type="character" w:customStyle="1" w:styleId="Teal">
    <w:name w:val="Teal"/>
    <w:uiPriority w:val="1"/>
    <w:qFormat/>
    <w:rsid w:val="00482887"/>
    <w:rPr>
      <w:color w:val="009096"/>
    </w:rPr>
  </w:style>
  <w:style w:type="paragraph" w:customStyle="1" w:styleId="Subtitle03">
    <w:name w:val="Subtitle 03"/>
    <w:basedOn w:val="NoParagraphStyle"/>
    <w:autoRedefine/>
    <w:qFormat/>
    <w:rsid w:val="00482887"/>
    <w:pPr>
      <w:spacing w:before="80" w:line="240" w:lineRule="exact"/>
    </w:pPr>
    <w:rPr>
      <w:rFonts w:ascii="Arial" w:hAnsi="Arial" w:cs="Arial"/>
      <w:b w:val="0"/>
      <w:color w:val="000000"/>
      <w:sz w:val="19"/>
      <w:szCs w:val="19"/>
    </w:rPr>
  </w:style>
  <w:style w:type="character" w:customStyle="1" w:styleId="Italic">
    <w:name w:val="Italic"/>
    <w:basedOn w:val="DefaultParagraphFont"/>
    <w:uiPriority w:val="1"/>
    <w:qFormat/>
    <w:rsid w:val="00482887"/>
    <w:rPr>
      <w:i/>
    </w:rPr>
  </w:style>
  <w:style w:type="paragraph" w:customStyle="1" w:styleId="DocumentTitle1">
    <w:name w:val="Document Title 1"/>
    <w:basedOn w:val="NoParagraphStyle"/>
    <w:uiPriority w:val="99"/>
    <w:rsid w:val="00482887"/>
    <w:pPr>
      <w:suppressAutoHyphens/>
      <w:spacing w:after="181" w:line="1240" w:lineRule="atLeast"/>
    </w:pPr>
    <w:rPr>
      <w:rFonts w:ascii="Arial" w:hAnsi="Arial" w:cs="Arial"/>
      <w:caps w:val="0"/>
      <w:color w:val="auto"/>
      <w:spacing w:val="-10"/>
      <w:sz w:val="48"/>
      <w:szCs w:val="48"/>
    </w:rPr>
  </w:style>
  <w:style w:type="paragraph" w:customStyle="1" w:styleId="DocumentTitle3">
    <w:name w:val="Document Title 3"/>
    <w:basedOn w:val="NoParagraphStyle"/>
    <w:uiPriority w:val="99"/>
    <w:rsid w:val="00482887"/>
    <w:pPr>
      <w:suppressAutoHyphens/>
      <w:spacing w:after="80" w:line="640" w:lineRule="atLeast"/>
    </w:pPr>
    <w:rPr>
      <w:rFonts w:ascii="ArialMT" w:hAnsi="ArialMT" w:cs="ArialMT"/>
      <w:b w:val="0"/>
      <w:bCs w:val="0"/>
      <w:color w:val="000000"/>
      <w:spacing w:val="2"/>
    </w:rPr>
  </w:style>
  <w:style w:type="paragraph" w:customStyle="1" w:styleId="H0ChapterTitle">
    <w:name w:val="H0 Chapter Title"/>
    <w:basedOn w:val="NoParagraphStyle"/>
    <w:uiPriority w:val="99"/>
    <w:rsid w:val="00482887"/>
    <w:pPr>
      <w:suppressAutoHyphens/>
      <w:spacing w:after="850" w:line="480" w:lineRule="atLeast"/>
    </w:pPr>
    <w:rPr>
      <w:rFonts w:ascii="Arial-Black" w:hAnsi="Arial-Black" w:cs="Arial-Black"/>
      <w:b w:val="0"/>
      <w:bCs w:val="0"/>
      <w:caps w:val="0"/>
      <w:color w:val="000000"/>
      <w:sz w:val="36"/>
      <w:szCs w:val="36"/>
    </w:rPr>
  </w:style>
  <w:style w:type="paragraph" w:customStyle="1" w:styleId="Bodycopy">
    <w:name w:val="Body copy"/>
    <w:basedOn w:val="Normal"/>
    <w:uiPriority w:val="99"/>
    <w:rsid w:val="00482887"/>
    <w:pPr>
      <w:widowControl w:val="0"/>
      <w:suppressAutoHyphens/>
      <w:autoSpaceDE w:val="0"/>
      <w:autoSpaceDN w:val="0"/>
      <w:adjustRightInd w:val="0"/>
      <w:spacing w:before="142" w:line="290" w:lineRule="atLeast"/>
      <w:textAlignment w:val="center"/>
    </w:pPr>
    <w:rPr>
      <w:rFonts w:ascii="ArialMT" w:eastAsia="Yu Gothic" w:hAnsi="ArialMT" w:cs="ArialMT"/>
      <w:color w:val="000000"/>
      <w:szCs w:val="20"/>
      <w:lang w:val="en-GB"/>
    </w:rPr>
  </w:style>
  <w:style w:type="paragraph" w:customStyle="1" w:styleId="H1Bodycopyheader">
    <w:name w:val="H1 Body copy header"/>
    <w:basedOn w:val="NoParagraphStyle"/>
    <w:uiPriority w:val="99"/>
    <w:rsid w:val="00482887"/>
    <w:pPr>
      <w:keepNext/>
      <w:keepLines/>
      <w:suppressAutoHyphens/>
      <w:spacing w:before="340"/>
      <w:ind w:left="567" w:hanging="567"/>
    </w:pPr>
    <w:rPr>
      <w:rFonts w:ascii="ArialMT" w:hAnsi="ArialMT" w:cs="ArialMT"/>
      <w:b w:val="0"/>
      <w:bCs w:val="0"/>
      <w:caps w:val="0"/>
      <w:color w:val="314753"/>
      <w:sz w:val="26"/>
      <w:szCs w:val="26"/>
    </w:rPr>
  </w:style>
  <w:style w:type="paragraph" w:customStyle="1" w:styleId="TableTITLETABLES">
    <w:name w:val="Table TITLE (TABLES)"/>
    <w:basedOn w:val="NoParagraphStyle"/>
    <w:uiPriority w:val="99"/>
    <w:rsid w:val="00482887"/>
    <w:pPr>
      <w:keepNext/>
      <w:suppressAutoHyphens/>
      <w:spacing w:before="397"/>
    </w:pPr>
    <w:rPr>
      <w:rFonts w:ascii="ArialMT" w:hAnsi="ArialMT" w:cs="ArialMT"/>
      <w:b w:val="0"/>
      <w:bCs w:val="0"/>
      <w:caps w:val="0"/>
      <w:color w:val="314753"/>
      <w:sz w:val="20"/>
      <w:szCs w:val="20"/>
    </w:rPr>
  </w:style>
  <w:style w:type="paragraph" w:customStyle="1" w:styleId="TableSPACETABLES">
    <w:name w:val="Table SPACE (TABLES)"/>
    <w:basedOn w:val="NoParagraphStyle"/>
    <w:uiPriority w:val="99"/>
    <w:rsid w:val="00482887"/>
    <w:pPr>
      <w:suppressAutoHyphens/>
      <w:spacing w:before="113" w:after="227"/>
    </w:pPr>
    <w:rPr>
      <w:rFonts w:ascii="Arial-BoldMT" w:hAnsi="Arial-BoldMT" w:cs="Arial-BoldMT"/>
      <w:caps w:val="0"/>
      <w:color w:val="000000"/>
      <w:sz w:val="18"/>
      <w:szCs w:val="18"/>
      <w:lang w:val="en-US"/>
    </w:rPr>
  </w:style>
  <w:style w:type="paragraph" w:customStyle="1" w:styleId="FigTITLE">
    <w:name w:val="Fig TITLE"/>
    <w:basedOn w:val="TableTITLETABLES"/>
    <w:uiPriority w:val="99"/>
    <w:rsid w:val="00482887"/>
    <w:pPr>
      <w:spacing w:after="57"/>
    </w:pPr>
  </w:style>
  <w:style w:type="paragraph" w:customStyle="1" w:styleId="FigSPACE">
    <w:name w:val="Fig SPACE"/>
    <w:basedOn w:val="NoParagraphStyle"/>
    <w:uiPriority w:val="99"/>
    <w:rsid w:val="00482887"/>
    <w:pPr>
      <w:suppressAutoHyphens/>
      <w:spacing w:before="170" w:after="227"/>
    </w:pPr>
    <w:rPr>
      <w:rFonts w:ascii="Arial-BoldMT" w:hAnsi="Arial-BoldMT" w:cs="Arial-BoldMT"/>
      <w:caps w:val="0"/>
      <w:color w:val="000000"/>
      <w:sz w:val="18"/>
      <w:szCs w:val="18"/>
      <w:lang w:val="en-US"/>
    </w:rPr>
  </w:style>
  <w:style w:type="paragraph" w:customStyle="1" w:styleId="TableTextTABLES">
    <w:name w:val="Table Text (TABLES)"/>
    <w:basedOn w:val="NoParagraphStyle"/>
    <w:uiPriority w:val="99"/>
    <w:rsid w:val="00482887"/>
    <w:pPr>
      <w:suppressAutoHyphens/>
      <w:spacing w:before="85"/>
    </w:pPr>
    <w:rPr>
      <w:rFonts w:ascii="ArialMT" w:hAnsi="ArialMT" w:cs="ArialMT"/>
      <w:b w:val="0"/>
      <w:bCs w:val="0"/>
      <w:caps w:val="0"/>
      <w:color w:val="000000"/>
      <w:sz w:val="17"/>
      <w:szCs w:val="17"/>
    </w:rPr>
  </w:style>
  <w:style w:type="paragraph" w:customStyle="1" w:styleId="TablecolumnheadTABLES">
    <w:name w:val="Table column head (TABLES)"/>
    <w:basedOn w:val="TableTextTABLES"/>
    <w:uiPriority w:val="99"/>
    <w:rsid w:val="00482887"/>
    <w:pPr>
      <w:spacing w:before="0" w:line="240" w:lineRule="auto"/>
    </w:pPr>
    <w:rPr>
      <w:rFonts w:ascii="Arial Black" w:hAnsi="Arial Black" w:cs="Arial-BoldMT"/>
      <w:bCs/>
    </w:rPr>
  </w:style>
  <w:style w:type="paragraph" w:customStyle="1" w:styleId="Footnote">
    <w:name w:val="Footnote"/>
    <w:basedOn w:val="NoParagraphStyle"/>
    <w:uiPriority w:val="99"/>
    <w:rsid w:val="00482887"/>
    <w:pPr>
      <w:tabs>
        <w:tab w:val="left" w:pos="170"/>
      </w:tabs>
      <w:suppressAutoHyphens/>
      <w:spacing w:before="28"/>
    </w:pPr>
    <w:rPr>
      <w:rFonts w:ascii="ArialMT" w:hAnsi="ArialMT" w:cs="ArialMT"/>
      <w:b w:val="0"/>
      <w:bCs w:val="0"/>
      <w:caps w:val="0"/>
      <w:color w:val="000000"/>
      <w:sz w:val="16"/>
      <w:szCs w:val="16"/>
    </w:rPr>
  </w:style>
  <w:style w:type="character" w:customStyle="1" w:styleId="Kitalic">
    <w:name w:val="K italic"/>
    <w:uiPriority w:val="99"/>
    <w:rsid w:val="00482887"/>
  </w:style>
  <w:style w:type="paragraph" w:customStyle="1" w:styleId="TabletotalTABLES">
    <w:name w:val="Table total (TABLES)"/>
    <w:basedOn w:val="TableTextTABLES"/>
    <w:uiPriority w:val="99"/>
    <w:rsid w:val="00482887"/>
    <w:rPr>
      <w:rFonts w:ascii="Arial-BoldMT" w:hAnsi="Arial-BoldMT" w:cs="Arial-BoldMT"/>
      <w:b/>
      <w:bCs/>
    </w:rPr>
  </w:style>
  <w:style w:type="paragraph" w:customStyle="1" w:styleId="TablefooterTABLES">
    <w:name w:val="Table footer (TABLES)"/>
    <w:basedOn w:val="TableTextTABLES"/>
    <w:uiPriority w:val="99"/>
    <w:rsid w:val="00482887"/>
    <w:pPr>
      <w:tabs>
        <w:tab w:val="left" w:pos="227"/>
      </w:tabs>
      <w:spacing w:before="28"/>
    </w:pPr>
    <w:rPr>
      <w:sz w:val="14"/>
      <w:szCs w:val="14"/>
    </w:rPr>
  </w:style>
  <w:style w:type="paragraph" w:customStyle="1" w:styleId="Tablecolumnhead2TABLES">
    <w:name w:val="Table column head 2 (TABLES)"/>
    <w:basedOn w:val="TablecolumnheadTABLES"/>
    <w:uiPriority w:val="99"/>
    <w:rsid w:val="00482887"/>
  </w:style>
  <w:style w:type="character" w:customStyle="1" w:styleId="AtleticoMED">
    <w:name w:val="Atletico MED"/>
    <w:uiPriority w:val="99"/>
    <w:rsid w:val="00482887"/>
  </w:style>
  <w:style w:type="paragraph" w:customStyle="1" w:styleId="ListingsContents">
    <w:name w:val="Listings (Contents)"/>
    <w:basedOn w:val="NoParagraphStyle"/>
    <w:uiPriority w:val="99"/>
    <w:rsid w:val="00482887"/>
    <w:pPr>
      <w:tabs>
        <w:tab w:val="left" w:pos="283"/>
        <w:tab w:val="left" w:pos="2268"/>
        <w:tab w:val="right" w:pos="7370"/>
      </w:tabs>
      <w:suppressAutoHyphens/>
      <w:spacing w:after="113"/>
    </w:pPr>
    <w:rPr>
      <w:rFonts w:ascii="ArialMT" w:hAnsi="ArialMT" w:cs="ArialMT"/>
      <w:b w:val="0"/>
      <w:bCs w:val="0"/>
      <w:caps w:val="0"/>
      <w:color w:val="000000"/>
      <w:spacing w:val="-1"/>
      <w:sz w:val="20"/>
      <w:szCs w:val="20"/>
    </w:rPr>
  </w:style>
  <w:style w:type="character" w:customStyle="1" w:styleId="KlavikaMED">
    <w:name w:val="Klavika MED"/>
    <w:uiPriority w:val="99"/>
    <w:rsid w:val="00482887"/>
  </w:style>
  <w:style w:type="paragraph" w:customStyle="1" w:styleId="Bullettier1">
    <w:name w:val="Bullet tier 1"/>
    <w:basedOn w:val="Bodycopy"/>
    <w:uiPriority w:val="99"/>
    <w:rsid w:val="00482887"/>
    <w:pPr>
      <w:spacing w:before="71"/>
      <w:ind w:left="227" w:hanging="227"/>
    </w:pPr>
  </w:style>
  <w:style w:type="character" w:customStyle="1" w:styleId="Superscript">
    <w:name w:val="Superscript"/>
    <w:uiPriority w:val="99"/>
    <w:rsid w:val="00482887"/>
    <w:rPr>
      <w:vertAlign w:val="superscript"/>
    </w:rPr>
  </w:style>
  <w:style w:type="paragraph" w:customStyle="1" w:styleId="TableBULLETTABLES">
    <w:name w:val="Table BULLET (TABLES)"/>
    <w:basedOn w:val="TableTextTABLES"/>
    <w:uiPriority w:val="99"/>
    <w:rsid w:val="00482887"/>
    <w:pPr>
      <w:tabs>
        <w:tab w:val="left" w:pos="170"/>
      </w:tabs>
      <w:spacing w:before="57"/>
      <w:ind w:left="170" w:hanging="170"/>
    </w:pPr>
  </w:style>
  <w:style w:type="character" w:customStyle="1" w:styleId="Aunderline">
    <w:name w:val="A underline"/>
    <w:uiPriority w:val="99"/>
    <w:rsid w:val="00482887"/>
    <w:rPr>
      <w:u w:val="thick"/>
    </w:rPr>
  </w:style>
  <w:style w:type="character" w:customStyle="1" w:styleId="Aitalic">
    <w:name w:val="A italic"/>
    <w:uiPriority w:val="99"/>
    <w:rsid w:val="00482887"/>
  </w:style>
  <w:style w:type="paragraph" w:customStyle="1" w:styleId="TableTEXTAPPXTABLES">
    <w:name w:val="Table TEXT APPX (TABLES)"/>
    <w:basedOn w:val="TableTextTABLES"/>
    <w:uiPriority w:val="99"/>
    <w:rsid w:val="00482887"/>
    <w:pPr>
      <w:tabs>
        <w:tab w:val="left" w:pos="283"/>
      </w:tabs>
      <w:spacing w:before="43"/>
    </w:pPr>
  </w:style>
  <w:style w:type="paragraph" w:customStyle="1" w:styleId="Footerrunning">
    <w:name w:val="Footer (running)"/>
    <w:basedOn w:val="NoParagraphStyle"/>
    <w:uiPriority w:val="99"/>
    <w:rsid w:val="00482887"/>
    <w:pPr>
      <w:suppressAutoHyphens/>
      <w:spacing w:after="80"/>
    </w:pPr>
    <w:rPr>
      <w:rFonts w:ascii="ArialMT" w:hAnsi="ArialMT" w:cs="ArialMT"/>
      <w:b w:val="0"/>
      <w:bCs w:val="0"/>
      <w:caps w:val="0"/>
      <w:color w:val="000000"/>
      <w:spacing w:val="1"/>
      <w:sz w:val="18"/>
      <w:szCs w:val="18"/>
    </w:rPr>
  </w:style>
  <w:style w:type="paragraph" w:customStyle="1" w:styleId="Tabletitle">
    <w:name w:val="Table title"/>
    <w:basedOn w:val="Normal"/>
    <w:qFormat/>
    <w:rsid w:val="00482887"/>
    <w:pPr>
      <w:keepNext/>
      <w:widowControl w:val="0"/>
      <w:suppressAutoHyphens/>
      <w:autoSpaceDE w:val="0"/>
      <w:autoSpaceDN w:val="0"/>
      <w:adjustRightInd w:val="0"/>
      <w:spacing w:before="240" w:after="120" w:line="290" w:lineRule="atLeast"/>
      <w:textAlignment w:val="center"/>
    </w:pPr>
    <w:rPr>
      <w:rFonts w:ascii="ArialMT" w:eastAsia="Yu Gothic" w:hAnsi="ArialMT" w:cs="ArialMT"/>
      <w:b/>
      <w:szCs w:val="20"/>
      <w:lang w:val="en-GB"/>
    </w:rPr>
  </w:style>
  <w:style w:type="character" w:customStyle="1" w:styleId="KlavikaREGDKorange">
    <w:name w:val="Klavika REG DK orange"/>
    <w:uiPriority w:val="99"/>
    <w:rsid w:val="00482887"/>
    <w:rPr>
      <w:color w:val="000000"/>
    </w:rPr>
  </w:style>
  <w:style w:type="character" w:customStyle="1" w:styleId="TabletextBOLD">
    <w:name w:val="Table text BOLD"/>
    <w:basedOn w:val="DefaultParagraphFont"/>
    <w:uiPriority w:val="1"/>
    <w:qFormat/>
    <w:rsid w:val="00482887"/>
    <w:rPr>
      <w:rFonts w:ascii="Arial" w:hAnsi="Arial" w:cs="Arial-BoldMT"/>
      <w:b/>
      <w:bCs/>
      <w:i w:val="0"/>
      <w:color w:val="000000"/>
      <w:sz w:val="18"/>
      <w:szCs w:val="17"/>
      <w:lang w:val="en-GB"/>
    </w:rPr>
  </w:style>
  <w:style w:type="paragraph" w:customStyle="1" w:styleId="DocumentTitle2">
    <w:name w:val="Document Title 2"/>
    <w:basedOn w:val="Normal"/>
    <w:qFormat/>
    <w:rsid w:val="00482887"/>
    <w:pPr>
      <w:widowControl w:val="0"/>
      <w:suppressAutoHyphens/>
      <w:autoSpaceDE w:val="0"/>
      <w:autoSpaceDN w:val="0"/>
      <w:adjustRightInd w:val="0"/>
      <w:spacing w:before="142" w:line="290" w:lineRule="atLeast"/>
      <w:textAlignment w:val="center"/>
    </w:pPr>
    <w:rPr>
      <w:rFonts w:ascii="ArialMT" w:eastAsia="Yu Gothic" w:hAnsi="ArialMT" w:cs="ArialMT"/>
      <w:bCs/>
      <w:color w:val="000000"/>
      <w:sz w:val="48"/>
      <w:szCs w:val="48"/>
      <w:lang w:val="en-GB"/>
    </w:rPr>
  </w:style>
  <w:style w:type="paragraph" w:styleId="BalloonText">
    <w:name w:val="Balloon Text"/>
    <w:basedOn w:val="Normal"/>
    <w:link w:val="BalloonTextChar2"/>
    <w:uiPriority w:val="99"/>
    <w:semiHidden/>
    <w:unhideWhenUsed/>
    <w:rsid w:val="00482887"/>
    <w:rPr>
      <w:rFonts w:ascii="Segoe UI" w:hAnsi="Segoe UI" w:cs="Segoe UI"/>
      <w:sz w:val="18"/>
    </w:rPr>
  </w:style>
  <w:style w:type="character" w:customStyle="1" w:styleId="BalloonTextChar">
    <w:name w:val="Balloon Text Char"/>
    <w:basedOn w:val="DefaultParagraphFont"/>
    <w:link w:val="BalloonText1"/>
    <w:uiPriority w:val="99"/>
    <w:semiHidden/>
    <w:rsid w:val="00482887"/>
    <w:rPr>
      <w:rFonts w:ascii="Lucida Grande" w:eastAsia="Yu Gothic" w:hAnsi="Lucida Grande" w:cs="Lucida Grande"/>
      <w:lang w:val="en-GB"/>
    </w:rPr>
  </w:style>
  <w:style w:type="paragraph" w:styleId="TOC4">
    <w:name w:val="toc 4"/>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480"/>
      <w:textAlignment w:val="center"/>
    </w:pPr>
    <w:rPr>
      <w:rFonts w:eastAsiaTheme="minorEastAsia" w:cs="Arial"/>
      <w:szCs w:val="20"/>
      <w:lang w:val="en-GB"/>
    </w:rPr>
  </w:style>
  <w:style w:type="paragraph" w:styleId="TOC5">
    <w:name w:val="toc 5"/>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720"/>
      <w:textAlignment w:val="center"/>
    </w:pPr>
    <w:rPr>
      <w:rFonts w:eastAsiaTheme="minorEastAsia" w:cs="Arial"/>
      <w:szCs w:val="20"/>
      <w:lang w:val="en-GB"/>
    </w:rPr>
  </w:style>
  <w:style w:type="paragraph" w:styleId="TOC6">
    <w:name w:val="toc 6"/>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960"/>
      <w:textAlignment w:val="center"/>
    </w:pPr>
    <w:rPr>
      <w:rFonts w:eastAsiaTheme="minorEastAsia" w:cs="Arial"/>
      <w:szCs w:val="20"/>
      <w:lang w:val="en-GB"/>
    </w:rPr>
  </w:style>
  <w:style w:type="paragraph" w:styleId="TOC7">
    <w:name w:val="toc 7"/>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1200"/>
      <w:textAlignment w:val="center"/>
    </w:pPr>
    <w:rPr>
      <w:rFonts w:eastAsiaTheme="minorEastAsia" w:cs="Arial"/>
      <w:szCs w:val="20"/>
      <w:lang w:val="en-GB"/>
    </w:rPr>
  </w:style>
  <w:style w:type="paragraph" w:styleId="TOC8">
    <w:name w:val="toc 8"/>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1440"/>
      <w:textAlignment w:val="center"/>
    </w:pPr>
    <w:rPr>
      <w:rFonts w:eastAsiaTheme="minorEastAsia" w:cs="Arial"/>
      <w:szCs w:val="20"/>
      <w:lang w:val="en-GB"/>
    </w:rPr>
  </w:style>
  <w:style w:type="paragraph" w:styleId="TOC9">
    <w:name w:val="toc 9"/>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1680"/>
      <w:textAlignment w:val="center"/>
    </w:pPr>
    <w:rPr>
      <w:rFonts w:eastAsiaTheme="minorEastAsia" w:cs="Arial"/>
      <w:szCs w:val="20"/>
      <w:lang w:val="en-GB"/>
    </w:rPr>
  </w:style>
  <w:style w:type="character" w:customStyle="1" w:styleId="Mention1">
    <w:name w:val="Mention1"/>
    <w:basedOn w:val="DefaultParagraphFont"/>
    <w:uiPriority w:val="99"/>
    <w:semiHidden/>
    <w:unhideWhenUsed/>
    <w:rsid w:val="00482887"/>
    <w:rPr>
      <w:color w:val="2B579A"/>
      <w:shd w:val="clear" w:color="auto" w:fill="E6E6E6"/>
    </w:rPr>
  </w:style>
  <w:style w:type="character" w:styleId="FollowedHyperlink">
    <w:name w:val="FollowedHyperlink"/>
    <w:basedOn w:val="DefaultParagraphFont"/>
    <w:uiPriority w:val="99"/>
    <w:semiHidden/>
    <w:unhideWhenUsed/>
    <w:rsid w:val="00482887"/>
    <w:rPr>
      <w:color w:val="4B7CCA" w:themeColor="followedHyperlink"/>
      <w:u w:val="single"/>
    </w:rPr>
  </w:style>
  <w:style w:type="paragraph" w:customStyle="1" w:styleId="p1">
    <w:name w:val="p1"/>
    <w:basedOn w:val="Normal"/>
    <w:rsid w:val="00482887"/>
    <w:pPr>
      <w:widowControl w:val="0"/>
      <w:suppressAutoHyphens/>
      <w:autoSpaceDE w:val="0"/>
      <w:autoSpaceDN w:val="0"/>
      <w:adjustRightInd w:val="0"/>
      <w:spacing w:before="107" w:line="218" w:lineRule="atLeast"/>
      <w:textAlignment w:val="center"/>
    </w:pPr>
    <w:rPr>
      <w:rFonts w:ascii="Klavika" w:hAnsi="Klavika" w:cs="Times New Roman"/>
      <w:sz w:val="15"/>
      <w:szCs w:val="15"/>
      <w:lang w:val="en-GB" w:eastAsia="en-GB"/>
    </w:rPr>
  </w:style>
  <w:style w:type="paragraph" w:customStyle="1" w:styleId="p2">
    <w:name w:val="p2"/>
    <w:basedOn w:val="Normal"/>
    <w:rsid w:val="00482887"/>
    <w:pPr>
      <w:widowControl w:val="0"/>
      <w:suppressAutoHyphens/>
      <w:autoSpaceDE w:val="0"/>
      <w:autoSpaceDN w:val="0"/>
      <w:adjustRightInd w:val="0"/>
      <w:spacing w:before="255" w:line="290" w:lineRule="atLeast"/>
      <w:textAlignment w:val="center"/>
    </w:pPr>
    <w:rPr>
      <w:rFonts w:ascii="Klavika" w:hAnsi="Klavika" w:cs="Times New Roman"/>
      <w:color w:val="3F5966"/>
      <w:szCs w:val="20"/>
      <w:lang w:val="en-GB" w:eastAsia="en-GB"/>
    </w:rPr>
  </w:style>
  <w:style w:type="paragraph" w:customStyle="1" w:styleId="p3">
    <w:name w:val="p3"/>
    <w:basedOn w:val="Normal"/>
    <w:rsid w:val="00482887"/>
    <w:pPr>
      <w:widowControl w:val="0"/>
      <w:suppressAutoHyphens/>
      <w:autoSpaceDE w:val="0"/>
      <w:autoSpaceDN w:val="0"/>
      <w:adjustRightInd w:val="0"/>
      <w:spacing w:before="299" w:line="290" w:lineRule="atLeast"/>
      <w:textAlignment w:val="center"/>
    </w:pPr>
    <w:rPr>
      <w:rFonts w:ascii="Atletico" w:hAnsi="Atletico" w:cs="Times New Roman"/>
      <w:color w:val="3F5966"/>
      <w:sz w:val="15"/>
      <w:szCs w:val="15"/>
      <w:lang w:val="en-GB" w:eastAsia="en-GB"/>
    </w:rPr>
  </w:style>
  <w:style w:type="paragraph" w:customStyle="1" w:styleId="p4">
    <w:name w:val="p4"/>
    <w:basedOn w:val="Normal"/>
    <w:rsid w:val="00482887"/>
    <w:pPr>
      <w:widowControl w:val="0"/>
      <w:suppressAutoHyphens/>
      <w:autoSpaceDE w:val="0"/>
      <w:autoSpaceDN w:val="0"/>
      <w:adjustRightInd w:val="0"/>
      <w:spacing w:before="142" w:line="290" w:lineRule="atLeast"/>
      <w:textAlignment w:val="center"/>
    </w:pPr>
    <w:rPr>
      <w:rFonts w:ascii="Klavika" w:hAnsi="Klavika" w:cs="Times New Roman"/>
      <w:sz w:val="18"/>
      <w:lang w:val="en-GB" w:eastAsia="en-GB"/>
    </w:rPr>
  </w:style>
  <w:style w:type="paragraph" w:customStyle="1" w:styleId="p5">
    <w:name w:val="p5"/>
    <w:basedOn w:val="Normal"/>
    <w:rsid w:val="00482887"/>
    <w:pPr>
      <w:widowControl w:val="0"/>
      <w:suppressAutoHyphens/>
      <w:autoSpaceDE w:val="0"/>
      <w:autoSpaceDN w:val="0"/>
      <w:adjustRightInd w:val="0"/>
      <w:spacing w:before="63" w:line="290" w:lineRule="atLeast"/>
      <w:jc w:val="center"/>
      <w:textAlignment w:val="center"/>
    </w:pPr>
    <w:rPr>
      <w:rFonts w:ascii="Atletico" w:hAnsi="Atletico" w:cs="Times New Roman"/>
      <w:sz w:val="13"/>
      <w:szCs w:val="13"/>
      <w:lang w:val="en-GB" w:eastAsia="en-GB"/>
    </w:rPr>
  </w:style>
  <w:style w:type="paragraph" w:customStyle="1" w:styleId="p6">
    <w:name w:val="p6"/>
    <w:basedOn w:val="Normal"/>
    <w:rsid w:val="00482887"/>
    <w:pPr>
      <w:widowControl w:val="0"/>
      <w:suppressAutoHyphens/>
      <w:autoSpaceDE w:val="0"/>
      <w:autoSpaceDN w:val="0"/>
      <w:adjustRightInd w:val="0"/>
      <w:spacing w:before="63" w:line="290" w:lineRule="atLeast"/>
      <w:textAlignment w:val="center"/>
    </w:pPr>
    <w:rPr>
      <w:rFonts w:ascii="Atletico" w:hAnsi="Atletico" w:cs="Times New Roman"/>
      <w:sz w:val="13"/>
      <w:szCs w:val="13"/>
      <w:lang w:val="en-GB" w:eastAsia="en-GB"/>
    </w:rPr>
  </w:style>
  <w:style w:type="paragraph" w:customStyle="1" w:styleId="p7">
    <w:name w:val="p7"/>
    <w:basedOn w:val="Normal"/>
    <w:rsid w:val="00482887"/>
    <w:pPr>
      <w:widowControl w:val="0"/>
      <w:suppressAutoHyphens/>
      <w:autoSpaceDE w:val="0"/>
      <w:autoSpaceDN w:val="0"/>
      <w:adjustRightInd w:val="0"/>
      <w:spacing w:before="86" w:after="170" w:line="290" w:lineRule="atLeast"/>
      <w:textAlignment w:val="center"/>
    </w:pPr>
    <w:rPr>
      <w:rFonts w:ascii="Atletico" w:hAnsi="Atletico" w:cs="Times New Roman"/>
      <w:sz w:val="15"/>
      <w:szCs w:val="15"/>
      <w:lang w:val="en-GB" w:eastAsia="en-GB"/>
    </w:rPr>
  </w:style>
  <w:style w:type="paragraph" w:customStyle="1" w:styleId="p8">
    <w:name w:val="p8"/>
    <w:basedOn w:val="Normal"/>
    <w:rsid w:val="00482887"/>
    <w:pPr>
      <w:widowControl w:val="0"/>
      <w:suppressAutoHyphens/>
      <w:autoSpaceDE w:val="0"/>
      <w:autoSpaceDN w:val="0"/>
      <w:adjustRightInd w:val="0"/>
      <w:spacing w:before="107" w:line="218" w:lineRule="atLeast"/>
      <w:textAlignment w:val="center"/>
    </w:pPr>
    <w:rPr>
      <w:rFonts w:ascii="Klavika" w:hAnsi="Klavika" w:cs="Times New Roman"/>
      <w:sz w:val="15"/>
      <w:szCs w:val="15"/>
      <w:lang w:val="en-GB" w:eastAsia="en-GB"/>
    </w:rPr>
  </w:style>
  <w:style w:type="paragraph" w:customStyle="1" w:styleId="p9">
    <w:name w:val="p9"/>
    <w:basedOn w:val="Normal"/>
    <w:rsid w:val="00482887"/>
    <w:pPr>
      <w:widowControl w:val="0"/>
      <w:suppressAutoHyphens/>
      <w:autoSpaceDE w:val="0"/>
      <w:autoSpaceDN w:val="0"/>
      <w:adjustRightInd w:val="0"/>
      <w:spacing w:before="299" w:after="44" w:line="290" w:lineRule="atLeast"/>
      <w:textAlignment w:val="center"/>
    </w:pPr>
    <w:rPr>
      <w:rFonts w:ascii="Atletico" w:hAnsi="Atletico" w:cs="Times New Roman"/>
      <w:color w:val="3F5966"/>
      <w:sz w:val="15"/>
      <w:szCs w:val="15"/>
      <w:lang w:val="en-GB" w:eastAsia="en-GB"/>
    </w:rPr>
  </w:style>
  <w:style w:type="paragraph" w:customStyle="1" w:styleId="p10">
    <w:name w:val="p10"/>
    <w:basedOn w:val="Normal"/>
    <w:rsid w:val="00482887"/>
    <w:pPr>
      <w:widowControl w:val="0"/>
      <w:suppressAutoHyphens/>
      <w:autoSpaceDE w:val="0"/>
      <w:autoSpaceDN w:val="0"/>
      <w:adjustRightInd w:val="0"/>
      <w:spacing w:before="128" w:after="170" w:line="290" w:lineRule="atLeast"/>
      <w:textAlignment w:val="center"/>
    </w:pPr>
    <w:rPr>
      <w:rFonts w:ascii="Atletico" w:hAnsi="Atletico" w:cs="Times New Roman"/>
      <w:sz w:val="14"/>
      <w:szCs w:val="14"/>
      <w:lang w:val="en-GB" w:eastAsia="en-GB"/>
    </w:rPr>
  </w:style>
  <w:style w:type="character" w:customStyle="1" w:styleId="s1">
    <w:name w:val="s1"/>
    <w:basedOn w:val="DefaultParagraphFont"/>
    <w:rsid w:val="00482887"/>
    <w:rPr>
      <w:spacing w:val="-2"/>
    </w:rPr>
  </w:style>
  <w:style w:type="character" w:customStyle="1" w:styleId="apple-converted-space">
    <w:name w:val="apple-converted-space"/>
    <w:basedOn w:val="DefaultParagraphFont"/>
    <w:rsid w:val="00482887"/>
  </w:style>
  <w:style w:type="character" w:customStyle="1" w:styleId="s2">
    <w:name w:val="s2"/>
    <w:basedOn w:val="DefaultParagraphFont"/>
    <w:rsid w:val="00482887"/>
    <w:rPr>
      <w:spacing w:val="-3"/>
    </w:rPr>
  </w:style>
  <w:style w:type="character" w:customStyle="1" w:styleId="apple-tab-span">
    <w:name w:val="apple-tab-span"/>
    <w:basedOn w:val="DefaultParagraphFont"/>
    <w:rsid w:val="00482887"/>
  </w:style>
  <w:style w:type="paragraph" w:customStyle="1" w:styleId="p11">
    <w:name w:val="p11"/>
    <w:basedOn w:val="Normal"/>
    <w:rsid w:val="00482887"/>
    <w:pPr>
      <w:widowControl w:val="0"/>
      <w:suppressAutoHyphens/>
      <w:autoSpaceDE w:val="0"/>
      <w:autoSpaceDN w:val="0"/>
      <w:adjustRightInd w:val="0"/>
      <w:spacing w:before="299" w:after="44" w:line="290" w:lineRule="atLeast"/>
      <w:textAlignment w:val="center"/>
    </w:pPr>
    <w:rPr>
      <w:rFonts w:ascii="Atletico" w:hAnsi="Atletico" w:cs="Times New Roman"/>
      <w:color w:val="3F5966"/>
      <w:sz w:val="15"/>
      <w:szCs w:val="15"/>
      <w:lang w:val="en-GB" w:eastAsia="en-GB"/>
    </w:rPr>
  </w:style>
  <w:style w:type="paragraph" w:customStyle="1" w:styleId="p12">
    <w:name w:val="p12"/>
    <w:basedOn w:val="Normal"/>
    <w:rsid w:val="00482887"/>
    <w:pPr>
      <w:widowControl w:val="0"/>
      <w:suppressAutoHyphens/>
      <w:autoSpaceDE w:val="0"/>
      <w:autoSpaceDN w:val="0"/>
      <w:adjustRightInd w:val="0"/>
      <w:spacing w:before="128" w:after="170" w:line="290" w:lineRule="atLeast"/>
      <w:textAlignment w:val="center"/>
    </w:pPr>
    <w:rPr>
      <w:rFonts w:ascii="Atletico" w:hAnsi="Atletico" w:cs="Times New Roman"/>
      <w:sz w:val="14"/>
      <w:szCs w:val="14"/>
      <w:lang w:val="en-GB" w:eastAsia="en-GB"/>
    </w:rPr>
  </w:style>
  <w:style w:type="paragraph" w:customStyle="1" w:styleId="p13">
    <w:name w:val="p13"/>
    <w:basedOn w:val="Normal"/>
    <w:rsid w:val="00482887"/>
    <w:pPr>
      <w:widowControl w:val="0"/>
      <w:suppressAutoHyphens/>
      <w:autoSpaceDE w:val="0"/>
      <w:autoSpaceDN w:val="0"/>
      <w:adjustRightInd w:val="0"/>
      <w:spacing w:before="213" w:after="44" w:line="290" w:lineRule="atLeast"/>
      <w:textAlignment w:val="center"/>
    </w:pPr>
    <w:rPr>
      <w:rFonts w:ascii="Atletico" w:hAnsi="Atletico" w:cs="Times New Roman"/>
      <w:color w:val="3F5966"/>
      <w:sz w:val="15"/>
      <w:szCs w:val="15"/>
      <w:lang w:val="en-GB" w:eastAsia="en-GB"/>
    </w:rPr>
  </w:style>
  <w:style w:type="paragraph" w:customStyle="1" w:styleId="Tabletextcentred">
    <w:name w:val="Table text centred"/>
    <w:basedOn w:val="Tabletext"/>
    <w:autoRedefine/>
    <w:qFormat/>
    <w:rsid w:val="00482887"/>
    <w:pPr>
      <w:tabs>
        <w:tab w:val="left" w:pos="170"/>
      </w:tabs>
      <w:spacing w:line="190" w:lineRule="exact"/>
      <w:jc w:val="center"/>
    </w:pPr>
    <w:rPr>
      <w:rFonts w:ascii="Aptos" w:eastAsia="Aptos" w:hAnsi="Aptos" w:cs="Times New Roman"/>
      <w:color w:val="auto"/>
      <w:spacing w:val="0"/>
      <w:sz w:val="18"/>
      <w:szCs w:val="20"/>
      <w:lang w:eastAsia="en-GB"/>
    </w:rPr>
  </w:style>
  <w:style w:type="paragraph" w:customStyle="1" w:styleId="Note">
    <w:name w:val="Note"/>
    <w:basedOn w:val="Normal"/>
    <w:qFormat/>
    <w:rsid w:val="00482887"/>
    <w:pPr>
      <w:widowControl w:val="0"/>
      <w:suppressAutoHyphens/>
      <w:autoSpaceDE w:val="0"/>
      <w:autoSpaceDN w:val="0"/>
      <w:adjustRightInd w:val="0"/>
      <w:textAlignment w:val="center"/>
    </w:pPr>
    <w:rPr>
      <w:rFonts w:cs="Times New Roman"/>
      <w:sz w:val="16"/>
      <w:szCs w:val="15"/>
      <w:lang w:val="en-GB" w:eastAsia="en-GB"/>
    </w:rPr>
  </w:style>
  <w:style w:type="paragraph" w:customStyle="1" w:styleId="Figspace0">
    <w:name w:val="Fig space"/>
    <w:rsid w:val="00482887"/>
    <w:pPr>
      <w:spacing w:before="0" w:after="360"/>
    </w:pPr>
    <w:rPr>
      <w:rFonts w:cs="Times New Roman"/>
      <w:b/>
      <w:sz w:val="21"/>
      <w:szCs w:val="20"/>
      <w:lang w:val="en-GB" w:eastAsia="en-GB"/>
    </w:rPr>
  </w:style>
  <w:style w:type="paragraph" w:customStyle="1" w:styleId="Heading31">
    <w:name w:val="Heading 31"/>
    <w:basedOn w:val="Normal"/>
    <w:next w:val="Normal"/>
    <w:uiPriority w:val="9"/>
    <w:unhideWhenUsed/>
    <w:qFormat/>
    <w:rsid w:val="00482887"/>
    <w:pPr>
      <w:keepNext/>
      <w:keepLines/>
      <w:widowControl w:val="0"/>
      <w:suppressAutoHyphens/>
      <w:autoSpaceDE w:val="0"/>
      <w:autoSpaceDN w:val="0"/>
      <w:adjustRightInd w:val="0"/>
      <w:spacing w:before="360" w:line="290" w:lineRule="atLeast"/>
      <w:textAlignment w:val="center"/>
      <w:outlineLvl w:val="2"/>
    </w:pPr>
    <w:rPr>
      <w:rFonts w:eastAsia="MS Gothic" w:cs="Times New Roman"/>
      <w:b/>
      <w:bCs/>
      <w:szCs w:val="20"/>
      <w:lang w:val="en-GB"/>
    </w:rPr>
  </w:style>
  <w:style w:type="paragraph" w:customStyle="1" w:styleId="DocTitle-1">
    <w:name w:val="Doc Title - 1"/>
    <w:basedOn w:val="NoParagraphStyle"/>
    <w:uiPriority w:val="99"/>
    <w:rsid w:val="00482887"/>
    <w:rPr>
      <w:rFonts w:eastAsia="MS Mincho"/>
    </w:rPr>
  </w:style>
  <w:style w:type="paragraph" w:customStyle="1" w:styleId="DocTitle-3tier">
    <w:name w:val="Doc Title - 3 tier"/>
    <w:basedOn w:val="NoParagraphStyle"/>
    <w:uiPriority w:val="99"/>
    <w:rsid w:val="00482887"/>
    <w:rPr>
      <w:rFonts w:eastAsia="MS Mincho"/>
    </w:rPr>
  </w:style>
  <w:style w:type="paragraph" w:customStyle="1" w:styleId="TablecolumnheadCENTRETABLES">
    <w:name w:val="Table column head CENTRE (TABLES)"/>
    <w:basedOn w:val="TableTextTABLES"/>
    <w:uiPriority w:val="99"/>
    <w:rsid w:val="00482887"/>
    <w:pPr>
      <w:suppressAutoHyphens w:val="0"/>
      <w:spacing w:before="0"/>
    </w:pPr>
    <w:rPr>
      <w:rFonts w:ascii="Calibri" w:eastAsia="MS Mincho" w:hAnsi="Calibri" w:cs="MinionPro-Regular"/>
      <w:b/>
      <w:bCs/>
      <w:caps/>
      <w:color w:val="FFFFFF"/>
      <w:sz w:val="32"/>
      <w:szCs w:val="32"/>
    </w:rPr>
  </w:style>
  <w:style w:type="character" w:customStyle="1" w:styleId="KlavikaREGDKgreen">
    <w:name w:val="Klavika REG DK green"/>
    <w:uiPriority w:val="99"/>
    <w:rsid w:val="00482887"/>
    <w:rPr>
      <w:color w:val="000000"/>
    </w:rPr>
  </w:style>
  <w:style w:type="paragraph" w:customStyle="1" w:styleId="H2Bodycopyheader">
    <w:name w:val="H2 Body copy header"/>
    <w:basedOn w:val="NoParagraphStyle"/>
    <w:uiPriority w:val="99"/>
    <w:rsid w:val="00482887"/>
    <w:rPr>
      <w:rFonts w:eastAsia="MS Mincho"/>
    </w:rPr>
  </w:style>
  <w:style w:type="paragraph" w:customStyle="1" w:styleId="TableTABLES">
    <w:name w:val="Table # (TABLES)"/>
    <w:basedOn w:val="TableTextTABLES"/>
    <w:uiPriority w:val="99"/>
    <w:rsid w:val="00482887"/>
    <w:pPr>
      <w:suppressAutoHyphens w:val="0"/>
      <w:spacing w:before="0"/>
    </w:pPr>
    <w:rPr>
      <w:rFonts w:ascii="Calibri" w:eastAsia="MS Mincho" w:hAnsi="Calibri" w:cs="MinionPro-Regular"/>
      <w:b/>
      <w:bCs/>
      <w:caps/>
      <w:color w:val="FFFFFF"/>
      <w:sz w:val="32"/>
      <w:szCs w:val="32"/>
    </w:rPr>
  </w:style>
  <w:style w:type="paragraph" w:customStyle="1" w:styleId="TableTextC">
    <w:name w:val="Table Text C"/>
    <w:basedOn w:val="TableTextTABLES"/>
    <w:qFormat/>
    <w:rsid w:val="00482887"/>
    <w:pPr>
      <w:suppressAutoHyphens w:val="0"/>
      <w:spacing w:before="0"/>
    </w:pPr>
    <w:rPr>
      <w:rFonts w:ascii="Calibri" w:eastAsia="MS Mincho" w:hAnsi="Calibri" w:cs="MinionPro-Regular"/>
      <w:b/>
      <w:bCs/>
      <w:caps/>
      <w:color w:val="FFFFFF"/>
      <w:sz w:val="32"/>
      <w:szCs w:val="32"/>
    </w:rPr>
  </w:style>
  <w:style w:type="paragraph" w:customStyle="1" w:styleId="CommentText1">
    <w:name w:val="Comment Text1"/>
    <w:basedOn w:val="Normal"/>
    <w:next w:val="CommentText"/>
    <w:uiPriority w:val="99"/>
    <w:semiHidden/>
    <w:unhideWhenUsed/>
    <w:rsid w:val="00482887"/>
    <w:pPr>
      <w:widowControl w:val="0"/>
      <w:suppressAutoHyphens/>
      <w:autoSpaceDE w:val="0"/>
      <w:autoSpaceDN w:val="0"/>
      <w:adjustRightInd w:val="0"/>
      <w:spacing w:before="142" w:line="290" w:lineRule="atLeast"/>
      <w:textAlignment w:val="center"/>
    </w:pPr>
    <w:rPr>
      <w:rFonts w:cs="Arial"/>
      <w:szCs w:val="20"/>
      <w:lang w:val="en-GB"/>
    </w:rPr>
  </w:style>
  <w:style w:type="paragraph" w:customStyle="1" w:styleId="CommentSubject1">
    <w:name w:val="Comment Subject1"/>
    <w:basedOn w:val="CommentText"/>
    <w:next w:val="CommentText"/>
    <w:uiPriority w:val="99"/>
    <w:semiHidden/>
    <w:unhideWhenUsed/>
    <w:rsid w:val="00482887"/>
    <w:pPr>
      <w:widowControl w:val="0"/>
      <w:suppressAutoHyphens/>
      <w:autoSpaceDE w:val="0"/>
      <w:autoSpaceDN w:val="0"/>
      <w:adjustRightInd w:val="0"/>
      <w:spacing w:before="142" w:line="290" w:lineRule="atLeast"/>
      <w:textAlignment w:val="center"/>
    </w:pPr>
    <w:rPr>
      <w:rFonts w:ascii="Times New Roman" w:hAnsi="Times New Roman" w:cs="Times New Roman"/>
      <w:lang w:val="en-GB" w:eastAsia="en-GB"/>
    </w:rPr>
  </w:style>
  <w:style w:type="paragraph" w:customStyle="1" w:styleId="BalloonText1">
    <w:name w:val="Balloon Text1"/>
    <w:basedOn w:val="Normal"/>
    <w:next w:val="BalloonText"/>
    <w:link w:val="BalloonTextChar"/>
    <w:uiPriority w:val="99"/>
    <w:semiHidden/>
    <w:unhideWhenUsed/>
    <w:rsid w:val="00482887"/>
    <w:pPr>
      <w:widowControl w:val="0"/>
      <w:suppressAutoHyphens/>
      <w:autoSpaceDE w:val="0"/>
      <w:autoSpaceDN w:val="0"/>
      <w:adjustRightInd w:val="0"/>
      <w:spacing w:before="142" w:line="290" w:lineRule="atLeast"/>
      <w:textAlignment w:val="center"/>
    </w:pPr>
    <w:rPr>
      <w:rFonts w:ascii="Lucida Grande" w:eastAsia="Yu Gothic" w:hAnsi="Lucida Grande" w:cs="Lucida Grande"/>
      <w:sz w:val="18"/>
      <w:lang w:val="en-GB"/>
    </w:rPr>
  </w:style>
  <w:style w:type="table" w:customStyle="1" w:styleId="QILTTableStylePH">
    <w:name w:val="QILT Table Style PH"/>
    <w:basedOn w:val="TableNormal"/>
    <w:uiPriority w:val="99"/>
    <w:rsid w:val="00482887"/>
    <w:pPr>
      <w:spacing w:before="0" w:after="0"/>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paragraph" w:customStyle="1" w:styleId="Revision1">
    <w:name w:val="Revision1"/>
    <w:next w:val="Revision"/>
    <w:hidden/>
    <w:uiPriority w:val="99"/>
    <w:semiHidden/>
    <w:rsid w:val="00B453F0"/>
    <w:pPr>
      <w:spacing w:before="0" w:after="0"/>
    </w:pPr>
    <w:rPr>
      <w:rFonts w:ascii="Arial" w:eastAsia="MS Mincho" w:hAnsi="Arial"/>
      <w:sz w:val="20"/>
      <w:szCs w:val="24"/>
      <w:lang w:val="en-US"/>
    </w:rPr>
  </w:style>
  <w:style w:type="character" w:customStyle="1" w:styleId="Heading3Char1">
    <w:name w:val="Heading 3 Char1"/>
    <w:basedOn w:val="DefaultParagraphFont"/>
    <w:uiPriority w:val="9"/>
    <w:semiHidden/>
    <w:rsid w:val="00482887"/>
    <w:rPr>
      <w:rFonts w:ascii="Aptos Display" w:eastAsia="Yu Gothic Light" w:hAnsi="Aptos Display" w:cs="Times New Roman"/>
      <w:color w:val="002567"/>
      <w:lang w:eastAsia="en-GB"/>
    </w:rPr>
  </w:style>
  <w:style w:type="character" w:customStyle="1" w:styleId="CommentTextChar1">
    <w:name w:val="Comment Text Char1"/>
    <w:basedOn w:val="DefaultParagraphFont"/>
    <w:uiPriority w:val="99"/>
    <w:semiHidden/>
    <w:rsid w:val="00482887"/>
    <w:rPr>
      <w:rFonts w:ascii="Times New Roman" w:hAnsi="Times New Roman" w:cs="Times New Roman"/>
      <w:sz w:val="20"/>
      <w:szCs w:val="20"/>
      <w:lang w:eastAsia="en-GB"/>
    </w:rPr>
  </w:style>
  <w:style w:type="character" w:customStyle="1" w:styleId="CommentSubjectChar1">
    <w:name w:val="Comment Subject Char1"/>
    <w:basedOn w:val="CommentTextChar1"/>
    <w:uiPriority w:val="99"/>
    <w:semiHidden/>
    <w:rsid w:val="00482887"/>
    <w:rPr>
      <w:rFonts w:ascii="Times New Roman" w:hAnsi="Times New Roman" w:cs="Times New Roman"/>
      <w:b/>
      <w:bCs/>
      <w:sz w:val="20"/>
      <w:szCs w:val="20"/>
      <w:lang w:eastAsia="en-GB"/>
    </w:rPr>
  </w:style>
  <w:style w:type="character" w:customStyle="1" w:styleId="BalloonTextChar1">
    <w:name w:val="Balloon Text Char1"/>
    <w:basedOn w:val="DefaultParagraphFont"/>
    <w:uiPriority w:val="99"/>
    <w:semiHidden/>
    <w:rsid w:val="00482887"/>
    <w:rPr>
      <w:rFonts w:ascii="Segoe UI" w:hAnsi="Segoe UI" w:cs="Segoe UI"/>
      <w:sz w:val="18"/>
      <w:szCs w:val="18"/>
      <w:lang w:eastAsia="en-GB"/>
    </w:rPr>
  </w:style>
  <w:style w:type="table" w:customStyle="1" w:styleId="QILTTableStylePH1">
    <w:name w:val="QILT Table Style PH1"/>
    <w:basedOn w:val="TableNormal"/>
    <w:uiPriority w:val="99"/>
    <w:rsid w:val="00482887"/>
    <w:pPr>
      <w:spacing w:before="0" w:after="0"/>
    </w:pPr>
    <w:rPr>
      <w:rFonts w:eastAsia="Yu Gothic"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table" w:customStyle="1" w:styleId="TableGrid1">
    <w:name w:val="Table Grid1"/>
    <w:basedOn w:val="TableNormal"/>
    <w:next w:val="TableGrid"/>
    <w:uiPriority w:val="39"/>
    <w:rsid w:val="00482887"/>
    <w:pPr>
      <w:spacing w:before="0" w:after="0"/>
    </w:pPr>
    <w:rPr>
      <w:rFonts w:eastAsia="Times New Roman"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ILTTableStylePH2">
    <w:name w:val="QILT Table Style PH2"/>
    <w:basedOn w:val="TableNormal"/>
    <w:uiPriority w:val="99"/>
    <w:rsid w:val="00482887"/>
    <w:pPr>
      <w:spacing w:before="0" w:after="0"/>
    </w:pPr>
    <w:rPr>
      <w:rFonts w:eastAsia="Yu Gothic"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table" w:customStyle="1" w:styleId="QILTTableStylePH3">
    <w:name w:val="QILT Table Style PH3"/>
    <w:basedOn w:val="TableNormal"/>
    <w:uiPriority w:val="99"/>
    <w:rsid w:val="00482887"/>
    <w:pPr>
      <w:spacing w:before="0" w:after="0"/>
    </w:pPr>
    <w:rPr>
      <w:rFonts w:eastAsia="Yu Gothic"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character" w:customStyle="1" w:styleId="UnresolvedMention1">
    <w:name w:val="Unresolved Mention1"/>
    <w:basedOn w:val="DefaultParagraphFont"/>
    <w:uiPriority w:val="99"/>
    <w:unhideWhenUsed/>
    <w:rsid w:val="00482887"/>
    <w:rPr>
      <w:color w:val="605E5C"/>
      <w:shd w:val="clear" w:color="auto" w:fill="E1DFDD"/>
    </w:rPr>
  </w:style>
  <w:style w:type="paragraph" w:styleId="EndnoteText">
    <w:name w:val="endnote text"/>
    <w:basedOn w:val="Normal"/>
    <w:link w:val="EndnoteTextChar1"/>
    <w:uiPriority w:val="99"/>
    <w:semiHidden/>
    <w:unhideWhenUsed/>
    <w:rsid w:val="00482887"/>
    <w:rPr>
      <w:szCs w:val="20"/>
    </w:rPr>
  </w:style>
  <w:style w:type="character" w:customStyle="1" w:styleId="EndnoteTextChar">
    <w:name w:val="Endnote Text Char"/>
    <w:basedOn w:val="DefaultParagraphFont"/>
    <w:link w:val="EndnoteText1"/>
    <w:uiPriority w:val="99"/>
    <w:semiHidden/>
    <w:rsid w:val="00482887"/>
    <w:rPr>
      <w:rFonts w:ascii="Arial" w:eastAsia="Yu Gothic" w:hAnsi="Arial" w:cs="Arial"/>
      <w:sz w:val="20"/>
      <w:szCs w:val="20"/>
      <w:lang w:val="en-GB"/>
    </w:rPr>
  </w:style>
  <w:style w:type="character" w:styleId="EndnoteReference">
    <w:name w:val="endnote reference"/>
    <w:basedOn w:val="DefaultParagraphFont"/>
    <w:uiPriority w:val="99"/>
    <w:semiHidden/>
    <w:unhideWhenUsed/>
    <w:rsid w:val="00482887"/>
    <w:rPr>
      <w:vertAlign w:val="superscript"/>
    </w:rPr>
  </w:style>
  <w:style w:type="paragraph" w:customStyle="1" w:styleId="Style1">
    <w:name w:val="Style1"/>
    <w:basedOn w:val="Sub1nounderline"/>
    <w:link w:val="Style1Char"/>
    <w:qFormat/>
    <w:rsid w:val="00482887"/>
    <w:rPr>
      <w:rFonts w:ascii="Arial" w:hAnsi="Arial"/>
      <w:b w:val="0"/>
    </w:rPr>
  </w:style>
  <w:style w:type="character" w:customStyle="1" w:styleId="Sub1nounderlineChar">
    <w:name w:val="Sub 1 no underline Char"/>
    <w:basedOn w:val="DefaultParagraphFont"/>
    <w:link w:val="Sub1nounderline"/>
    <w:rsid w:val="00482887"/>
    <w:rPr>
      <w:rFonts w:ascii="Aptos Display" w:eastAsia="Yu Gothic" w:hAnsi="Aptos Display" w:cs="Gotham-Book"/>
      <w:b/>
      <w:spacing w:val="-4"/>
      <w:sz w:val="20"/>
      <w:szCs w:val="20"/>
      <w:lang w:val="en-GB"/>
    </w:rPr>
  </w:style>
  <w:style w:type="character" w:customStyle="1" w:styleId="Style1Char">
    <w:name w:val="Style1 Char"/>
    <w:basedOn w:val="Sub1nounderlineChar"/>
    <w:link w:val="Style1"/>
    <w:rsid w:val="00482887"/>
    <w:rPr>
      <w:rFonts w:ascii="Arial" w:eastAsia="Yu Gothic" w:hAnsi="Arial" w:cs="Gotham-Book"/>
      <w:b w:val="0"/>
      <w:spacing w:val="-4"/>
      <w:sz w:val="20"/>
      <w:szCs w:val="20"/>
      <w:lang w:val="en-GB"/>
    </w:rPr>
  </w:style>
  <w:style w:type="paragraph" w:customStyle="1" w:styleId="Footertable">
    <w:name w:val="Footer (table)"/>
    <w:link w:val="FootertableChar"/>
    <w:uiPriority w:val="99"/>
    <w:rsid w:val="00B453F0"/>
    <w:pPr>
      <w:widowControl w:val="0"/>
      <w:suppressAutoHyphens/>
      <w:autoSpaceDE w:val="0"/>
      <w:autoSpaceDN w:val="0"/>
      <w:adjustRightInd w:val="0"/>
      <w:spacing w:before="0" w:after="0"/>
      <w:textAlignment w:val="center"/>
    </w:pPr>
    <w:rPr>
      <w:rFonts w:ascii="ArialMT" w:eastAsiaTheme="minorEastAsia" w:hAnsi="ArialMT" w:cs="ArialMT"/>
      <w:color w:val="000000"/>
      <w:spacing w:val="1"/>
      <w:sz w:val="16"/>
      <w:szCs w:val="16"/>
      <w:lang w:val="en-GB"/>
    </w:rPr>
  </w:style>
  <w:style w:type="paragraph" w:customStyle="1" w:styleId="Bullet1">
    <w:name w:val="Bullet 1"/>
    <w:basedOn w:val="BodyText"/>
    <w:qFormat/>
    <w:rsid w:val="00B453F0"/>
    <w:pPr>
      <w:framePr w:wrap="around" w:hAnchor="text"/>
      <w:tabs>
        <w:tab w:val="left" w:pos="284"/>
        <w:tab w:val="left" w:pos="4872"/>
        <w:tab w:val="left" w:pos="11338"/>
      </w:tabs>
      <w:spacing w:before="120" w:after="0" w:line="230" w:lineRule="exact"/>
      <w:ind w:left="170" w:hanging="170"/>
    </w:pPr>
    <w:rPr>
      <w:rFonts w:ascii="Calibri" w:hAnsi="Calibri" w:cs="Calibri"/>
      <w:color w:val="000000"/>
      <w:sz w:val="18"/>
      <w:lang w:val="en-GB" w:eastAsia="en-GB"/>
    </w:rPr>
  </w:style>
  <w:style w:type="paragraph" w:customStyle="1" w:styleId="TablecolumnheadLTABLES">
    <w:name w:val="Table column head L (TABLES)"/>
    <w:basedOn w:val="Normal"/>
    <w:uiPriority w:val="99"/>
    <w:rsid w:val="00B453F0"/>
    <w:pPr>
      <w:suppressAutoHyphens/>
      <w:autoSpaceDE w:val="0"/>
      <w:autoSpaceDN w:val="0"/>
      <w:adjustRightInd w:val="0"/>
      <w:spacing w:line="288" w:lineRule="auto"/>
      <w:textAlignment w:val="center"/>
    </w:pPr>
    <w:rPr>
      <w:rFonts w:ascii="Calibri-Bold" w:hAnsi="Calibri-Bold" w:cs="Calibri-Bold"/>
      <w:b/>
      <w:bCs/>
      <w:color w:val="000000"/>
      <w:sz w:val="18"/>
      <w:lang w:val="en-US"/>
    </w:rPr>
  </w:style>
  <w:style w:type="paragraph" w:customStyle="1" w:styleId="TabletextcentredTABLES">
    <w:name w:val="Table text centred (TABLES)"/>
    <w:basedOn w:val="TableTextTABLES"/>
    <w:uiPriority w:val="99"/>
    <w:rsid w:val="00B453F0"/>
    <w:pPr>
      <w:widowControl/>
      <w:jc w:val="center"/>
    </w:pPr>
    <w:rPr>
      <w:rFonts w:ascii="Calibri-Light" w:eastAsiaTheme="minorHAnsi" w:hAnsi="Calibri-Light" w:cs="Calibri-Light"/>
    </w:rPr>
  </w:style>
  <w:style w:type="paragraph" w:customStyle="1" w:styleId="Heading0">
    <w:name w:val="Heading 0"/>
    <w:basedOn w:val="Heading1"/>
    <w:qFormat/>
    <w:rsid w:val="00B453F0"/>
    <w:pPr>
      <w:keepNext/>
      <w:keepLines/>
      <w:pageBreakBefore w:val="0"/>
      <w:numPr>
        <w:numId w:val="0"/>
      </w:numPr>
      <w:spacing w:before="240" w:after="0"/>
    </w:pPr>
    <w:rPr>
      <w:rFonts w:asciiTheme="majorHAnsi" w:eastAsiaTheme="majorEastAsia" w:hAnsiTheme="majorHAnsi" w:cstheme="majorBidi"/>
      <w:color w:val="auto"/>
      <w:lang w:val="en-GB" w:eastAsia="en-GB"/>
    </w:rPr>
  </w:style>
  <w:style w:type="paragraph" w:customStyle="1" w:styleId="TabletextRangedLeft">
    <w:name w:val="Table text (Ranged Left)"/>
    <w:qFormat/>
    <w:rsid w:val="00B453F0"/>
    <w:pPr>
      <w:spacing w:before="0" w:after="0"/>
    </w:pPr>
    <w:rPr>
      <w:rFonts w:ascii="ArialMT" w:eastAsiaTheme="minorEastAsia" w:hAnsi="ArialMT" w:cs="Gotham-Light"/>
      <w:spacing w:val="-2"/>
      <w:sz w:val="20"/>
      <w:lang w:val="en-GB"/>
    </w:rPr>
  </w:style>
  <w:style w:type="paragraph" w:customStyle="1" w:styleId="TablecolumnheaderL">
    <w:name w:val="Table column header L"/>
    <w:basedOn w:val="Normal"/>
    <w:qFormat/>
    <w:rsid w:val="00B453F0"/>
    <w:pPr>
      <w:spacing w:line="190" w:lineRule="exact"/>
    </w:pPr>
    <w:rPr>
      <w:rFonts w:eastAsiaTheme="minorEastAsia" w:cs="Calibri"/>
      <w:b/>
      <w:spacing w:val="-2"/>
      <w:sz w:val="18"/>
      <w:lang w:val="en-US"/>
    </w:rPr>
  </w:style>
  <w:style w:type="paragraph" w:customStyle="1" w:styleId="TableHead-L1-LEFTalign">
    <w:name w:val="Table Head - L1 - LEFT align"/>
    <w:basedOn w:val="Normal"/>
    <w:qFormat/>
    <w:rsid w:val="00B453F0"/>
    <w:rPr>
      <w:rFonts w:ascii="ArialMT" w:eastAsiaTheme="minorEastAsia" w:hAnsi="ArialMT" w:cs="Gotham-Light"/>
      <w:b/>
      <w:spacing w:val="-2"/>
      <w:lang w:val="en-GB"/>
    </w:rPr>
  </w:style>
  <w:style w:type="paragraph" w:customStyle="1" w:styleId="TablebulletALPHATABLES">
    <w:name w:val="Table bullet ALPHA (TABLES)"/>
    <w:basedOn w:val="Normal"/>
    <w:uiPriority w:val="99"/>
    <w:rsid w:val="00482887"/>
    <w:pPr>
      <w:tabs>
        <w:tab w:val="left" w:pos="170"/>
      </w:tabs>
      <w:suppressAutoHyphens/>
      <w:autoSpaceDE w:val="0"/>
      <w:autoSpaceDN w:val="0"/>
      <w:adjustRightInd w:val="0"/>
      <w:spacing w:before="57" w:line="288" w:lineRule="auto"/>
      <w:ind w:left="227" w:hanging="227"/>
      <w:textAlignment w:val="center"/>
    </w:pPr>
    <w:rPr>
      <w:rFonts w:ascii="Calibri-Light" w:hAnsi="Calibri-Light" w:cs="Calibri-Light"/>
      <w:color w:val="000000"/>
      <w:sz w:val="17"/>
      <w:szCs w:val="17"/>
      <w:lang w:val="en-GB"/>
    </w:rPr>
  </w:style>
  <w:style w:type="paragraph" w:customStyle="1" w:styleId="Default">
    <w:name w:val="Default"/>
    <w:rsid w:val="00B453F0"/>
    <w:pPr>
      <w:autoSpaceDE w:val="0"/>
      <w:autoSpaceDN w:val="0"/>
      <w:adjustRightInd w:val="0"/>
      <w:spacing w:before="0" w:after="0"/>
    </w:pPr>
    <w:rPr>
      <w:rFonts w:ascii="Arial" w:hAnsi="Arial" w:cs="Arial"/>
      <w:color w:val="000000"/>
      <w:sz w:val="24"/>
      <w:szCs w:val="24"/>
    </w:rPr>
  </w:style>
  <w:style w:type="paragraph" w:customStyle="1" w:styleId="FirstParagraph">
    <w:name w:val="First Paragraph"/>
    <w:basedOn w:val="BodyText"/>
    <w:next w:val="BodyText"/>
    <w:qFormat/>
    <w:rsid w:val="00B453F0"/>
    <w:pPr>
      <w:framePr w:wrap="around" w:hAnchor="text"/>
      <w:spacing w:before="180" w:after="180" w:line="240" w:lineRule="auto"/>
    </w:pPr>
    <w:rPr>
      <w:rFonts w:ascii="Calibri" w:hAnsi="Calibri"/>
      <w:color w:val="000000"/>
      <w:sz w:val="24"/>
      <w:szCs w:val="24"/>
      <w:lang w:val="en-US"/>
    </w:rPr>
  </w:style>
  <w:style w:type="character" w:customStyle="1" w:styleId="UnresolvedMention2">
    <w:name w:val="Unresolved Mention2"/>
    <w:basedOn w:val="DefaultParagraphFont"/>
    <w:uiPriority w:val="99"/>
    <w:semiHidden/>
    <w:unhideWhenUsed/>
    <w:rsid w:val="00B453F0"/>
    <w:rPr>
      <w:color w:val="605E5C"/>
      <w:shd w:val="clear" w:color="auto" w:fill="E1DFDD"/>
    </w:rPr>
  </w:style>
  <w:style w:type="paragraph" w:customStyle="1" w:styleId="Syntaxfont">
    <w:name w:val="Syntax font"/>
    <w:basedOn w:val="Body"/>
    <w:link w:val="SyntaxfontChar"/>
    <w:qFormat/>
    <w:rsid w:val="00B453F0"/>
    <w:pPr>
      <w:spacing w:line="240" w:lineRule="auto"/>
      <w:contextualSpacing/>
    </w:pPr>
    <w:rPr>
      <w:lang w:bidi="en-US"/>
    </w:rPr>
  </w:style>
  <w:style w:type="character" w:customStyle="1" w:styleId="SyntaxfontChar">
    <w:name w:val="Syntax font Char"/>
    <w:basedOn w:val="BodyChar"/>
    <w:link w:val="Syntaxfont"/>
    <w:rsid w:val="00B453F0"/>
    <w:rPr>
      <w:rFonts w:ascii="Arial" w:eastAsia="Times New Roman" w:hAnsi="Arial" w:cs="Times New Roman"/>
      <w:sz w:val="20"/>
      <w:szCs w:val="20"/>
      <w:lang w:bidi="en-US"/>
    </w:rPr>
  </w:style>
  <w:style w:type="table" w:customStyle="1" w:styleId="GridTable4-Accent21">
    <w:name w:val="Grid Table 4 - Accent 21"/>
    <w:basedOn w:val="TableNormal"/>
    <w:uiPriority w:val="49"/>
    <w:rsid w:val="00B453F0"/>
    <w:pPr>
      <w:spacing w:before="0" w:after="0"/>
    </w:pPr>
    <w:rPr>
      <w:sz w:val="20"/>
      <w:szCs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heme="minorHAnsi" w:hAnsiTheme="minorHAnsi"/>
        <w:b/>
        <w:bCs/>
        <w:color w:val="FFFFFF" w:themeColor="background1"/>
        <w:sz w:val="20"/>
      </w:rPr>
      <w:tblPr/>
      <w:tcPr>
        <w:shd w:val="clear" w:color="auto" w:fill="4FBFBE" w:themeFill="accent4"/>
      </w:tcPr>
    </w:tblStylePr>
    <w:tblStylePr w:type="lastRow">
      <w:rPr>
        <w:rFonts w:asciiTheme="minorHAnsi" w:hAnsiTheme="minorHAnsi"/>
        <w:b/>
        <w:bCs/>
        <w:sz w:val="20"/>
      </w:rPr>
      <w:tblPr/>
      <w:tcPr>
        <w:tcBorders>
          <w:top w:val="double" w:sz="4" w:space="0" w:color="F3772C" w:themeColor="accent2"/>
        </w:tcBorders>
      </w:tcPr>
    </w:tblStylePr>
    <w:tblStylePr w:type="firstCol">
      <w:rPr>
        <w:rFonts w:asciiTheme="minorHAnsi" w:hAnsiTheme="minorHAnsi"/>
        <w:b/>
        <w:bCs/>
        <w:sz w:val="20"/>
      </w:rPr>
    </w:tblStylePr>
    <w:tblStylePr w:type="lastCol">
      <w:rPr>
        <w:rFonts w:asciiTheme="minorHAnsi" w:hAnsiTheme="minorHAnsi"/>
        <w:b/>
        <w:bCs/>
        <w:sz w:val="20"/>
      </w:rPr>
    </w:tblStylePr>
    <w:tblStylePr w:type="band1Vert">
      <w:rPr>
        <w:rFonts w:asciiTheme="minorHAnsi" w:hAnsiTheme="minorHAnsi"/>
        <w:sz w:val="20"/>
      </w:rPr>
      <w:tblPr/>
      <w:tcPr>
        <w:shd w:val="clear" w:color="auto" w:fill="DBF2F2" w:themeFill="accent4" w:themeFillTint="33"/>
      </w:tcPr>
    </w:tblStylePr>
    <w:tblStylePr w:type="band2Vert">
      <w:rPr>
        <w:rFonts w:asciiTheme="minorHAnsi" w:hAnsiTheme="minorHAnsi"/>
        <w:sz w:val="20"/>
      </w:rPr>
      <w:tblPr/>
      <w:tcPr>
        <w:tcBorders>
          <w:top w:val="nil"/>
          <w:left w:val="nil"/>
          <w:bottom w:val="nil"/>
          <w:right w:val="nil"/>
          <w:insideH w:val="nil"/>
          <w:insideV w:val="nil"/>
        </w:tcBorders>
        <w:shd w:val="clear" w:color="auto" w:fill="FFFFFF" w:themeFill="background1"/>
      </w:tcPr>
    </w:tblStylePr>
    <w:tblStylePr w:type="band1Horz">
      <w:rPr>
        <w:rFonts w:asciiTheme="minorHAnsi" w:hAnsiTheme="minorHAnsi"/>
        <w:sz w:val="20"/>
      </w:rPr>
      <w:tblPr/>
      <w:tcPr>
        <w:shd w:val="clear" w:color="auto" w:fill="DBF2F2" w:themeFill="accent4" w:themeFillTint="33"/>
      </w:tcPr>
    </w:tblStylePr>
    <w:tblStylePr w:type="band2Horz">
      <w:rPr>
        <w:rFonts w:asciiTheme="minorHAnsi" w:hAnsiTheme="minorHAnsi"/>
        <w:sz w:val="20"/>
      </w:rPr>
      <w:tblPr/>
      <w:tcPr>
        <w:shd w:val="clear" w:color="auto" w:fill="FFFFFF" w:themeFill="background1"/>
      </w:tcPr>
    </w:tblStylePr>
  </w:style>
  <w:style w:type="character" w:customStyle="1" w:styleId="TableHeadCharStyle">
    <w:name w:val="Table – Head Char Style"/>
    <w:uiPriority w:val="99"/>
    <w:rsid w:val="00B453F0"/>
    <w:rPr>
      <w:sz w:val="18"/>
      <w:szCs w:val="18"/>
    </w:rPr>
  </w:style>
  <w:style w:type="paragraph" w:customStyle="1" w:styleId="Tabletitleupdate">
    <w:name w:val="Table title update"/>
    <w:basedOn w:val="Caption"/>
    <w:link w:val="TabletitleupdateChar"/>
    <w:qFormat/>
    <w:rsid w:val="00B453F0"/>
    <w:pPr>
      <w:tabs>
        <w:tab w:val="clear" w:pos="1134"/>
      </w:tabs>
      <w:spacing w:before="0" w:after="200"/>
      <w:ind w:left="0" w:firstLine="0"/>
    </w:pPr>
    <w:rPr>
      <w:b w:val="0"/>
      <w:bCs w:val="0"/>
      <w:sz w:val="20"/>
      <w:szCs w:val="20"/>
      <w:lang w:val="en-US"/>
    </w:rPr>
  </w:style>
  <w:style w:type="paragraph" w:customStyle="1" w:styleId="Noteupdate">
    <w:name w:val="Note update"/>
    <w:basedOn w:val="Footertable"/>
    <w:link w:val="NoteupdateChar"/>
    <w:qFormat/>
    <w:rsid w:val="00B453F0"/>
    <w:rPr>
      <w:rFonts w:ascii="Arial" w:hAnsi="Arial" w:cs="Arial"/>
    </w:rPr>
  </w:style>
  <w:style w:type="character" w:customStyle="1" w:styleId="TabletitleupdateChar">
    <w:name w:val="Table title update Char"/>
    <w:basedOn w:val="CaptionChar"/>
    <w:link w:val="Tabletitleupdate"/>
    <w:rsid w:val="00B453F0"/>
    <w:rPr>
      <w:rFonts w:ascii="Arial" w:eastAsia="Times New Roman" w:hAnsi="Arial" w:cs="Arial"/>
      <w:b w:val="0"/>
      <w:bCs w:val="0"/>
      <w:color w:val="007A7D" w:themeColor="text2"/>
      <w:sz w:val="20"/>
      <w:szCs w:val="20"/>
      <w:lang w:val="en-US" w:eastAsia="en-AU"/>
    </w:rPr>
  </w:style>
  <w:style w:type="paragraph" w:customStyle="1" w:styleId="zz">
    <w:name w:val="zz"/>
    <w:basedOn w:val="BodyText"/>
    <w:link w:val="zzChar"/>
    <w:rsid w:val="00482887"/>
    <w:pPr>
      <w:tabs>
        <w:tab w:val="left" w:pos="284"/>
      </w:tabs>
      <w:spacing w:before="120" w:after="0" w:line="230" w:lineRule="exact"/>
      <w:jc w:val="center"/>
    </w:pPr>
    <w:rPr>
      <w:rFonts w:cs="Arial"/>
      <w:b/>
      <w:bCs/>
      <w:szCs w:val="20"/>
      <w:lang w:val="en-GB" w:eastAsia="en-GB"/>
    </w:rPr>
  </w:style>
  <w:style w:type="character" w:customStyle="1" w:styleId="FootertableChar">
    <w:name w:val="Footer (table) Char"/>
    <w:basedOn w:val="DefaultParagraphFont"/>
    <w:link w:val="Footertable"/>
    <w:uiPriority w:val="99"/>
    <w:rsid w:val="00B453F0"/>
    <w:rPr>
      <w:rFonts w:ascii="ArialMT" w:eastAsiaTheme="minorEastAsia" w:hAnsi="ArialMT" w:cs="ArialMT"/>
      <w:color w:val="000000"/>
      <w:spacing w:val="1"/>
      <w:sz w:val="16"/>
      <w:szCs w:val="16"/>
      <w:lang w:val="en-GB"/>
    </w:rPr>
  </w:style>
  <w:style w:type="character" w:customStyle="1" w:styleId="NoteupdateChar">
    <w:name w:val="Note update Char"/>
    <w:basedOn w:val="FootertableChar"/>
    <w:link w:val="Noteupdate"/>
    <w:rsid w:val="00B453F0"/>
    <w:rPr>
      <w:rFonts w:ascii="Arial" w:eastAsiaTheme="minorEastAsia" w:hAnsi="Arial" w:cs="Arial"/>
      <w:color w:val="000000"/>
      <w:spacing w:val="1"/>
      <w:sz w:val="16"/>
      <w:szCs w:val="16"/>
      <w:lang w:val="en-GB"/>
    </w:rPr>
  </w:style>
  <w:style w:type="paragraph" w:customStyle="1" w:styleId="Tabletextupdate">
    <w:name w:val="Table text update"/>
    <w:basedOn w:val="BodyText"/>
    <w:link w:val="TabletextupdateChar"/>
    <w:qFormat/>
    <w:rsid w:val="00B453F0"/>
    <w:pPr>
      <w:framePr w:wrap="around" w:hAnchor="text"/>
      <w:tabs>
        <w:tab w:val="left" w:pos="284"/>
      </w:tabs>
      <w:spacing w:before="120" w:after="0" w:line="230" w:lineRule="exact"/>
    </w:pPr>
    <w:rPr>
      <w:rFonts w:ascii="Calibri" w:hAnsi="Calibri" w:cs="Calibri"/>
      <w:color w:val="000000"/>
      <w:lang w:val="en-GB" w:eastAsia="en-GB"/>
    </w:rPr>
  </w:style>
  <w:style w:type="character" w:customStyle="1" w:styleId="zzChar">
    <w:name w:val="zz Char"/>
    <w:basedOn w:val="BodyTextChar"/>
    <w:link w:val="zz"/>
    <w:rsid w:val="00482887"/>
    <w:rPr>
      <w:rFonts w:ascii="Arial" w:hAnsi="Arial" w:cs="Arial"/>
      <w:b/>
      <w:bCs/>
      <w:sz w:val="20"/>
      <w:szCs w:val="20"/>
      <w:lang w:val="en-GB" w:eastAsia="en-GB"/>
    </w:rPr>
  </w:style>
  <w:style w:type="paragraph" w:customStyle="1" w:styleId="Z">
    <w:name w:val="Z"/>
    <w:basedOn w:val="Tabletext"/>
    <w:link w:val="ZChar"/>
    <w:rsid w:val="00482887"/>
    <w:rPr>
      <w:rFonts w:ascii="Arial" w:hAnsi="Arial" w:cs="Arial"/>
      <w:sz w:val="18"/>
      <w:szCs w:val="20"/>
    </w:rPr>
  </w:style>
  <w:style w:type="character" w:customStyle="1" w:styleId="TabletextupdateChar">
    <w:name w:val="Table text update Char"/>
    <w:basedOn w:val="BodyTextChar"/>
    <w:link w:val="Tabletextupdate"/>
    <w:rsid w:val="00B453F0"/>
    <w:rPr>
      <w:rFonts w:ascii="Calibri" w:hAnsi="Calibri" w:cs="Calibri"/>
      <w:color w:val="000000"/>
      <w:sz w:val="20"/>
      <w:lang w:val="en-GB" w:eastAsia="en-GB"/>
    </w:rPr>
  </w:style>
  <w:style w:type="character" w:customStyle="1" w:styleId="TabletextChar">
    <w:name w:val="Table text Char"/>
    <w:basedOn w:val="DefaultParagraphFont"/>
    <w:link w:val="Tabletext"/>
    <w:rsid w:val="00B453F0"/>
    <w:rPr>
      <w:rFonts w:ascii="Aptos Display" w:eastAsia="Yu Gothic" w:hAnsi="Aptos Display" w:cs="Gotham-Light"/>
      <w:color w:val="000A23"/>
      <w:spacing w:val="-2"/>
      <w:sz w:val="20"/>
      <w:lang w:val="en-GB"/>
    </w:rPr>
  </w:style>
  <w:style w:type="character" w:customStyle="1" w:styleId="ZChar">
    <w:name w:val="Z Char"/>
    <w:basedOn w:val="DefaultParagraphFont"/>
    <w:link w:val="Z"/>
    <w:rsid w:val="00482887"/>
    <w:rPr>
      <w:rFonts w:ascii="Arial" w:eastAsia="Yu Gothic" w:hAnsi="Arial" w:cs="Arial"/>
      <w:color w:val="000A23"/>
      <w:spacing w:val="-2"/>
      <w:szCs w:val="20"/>
      <w:lang w:val="en-GB"/>
    </w:rPr>
  </w:style>
  <w:style w:type="character" w:customStyle="1" w:styleId="cf01">
    <w:name w:val="cf01"/>
    <w:basedOn w:val="DefaultParagraphFont"/>
    <w:rsid w:val="00482887"/>
    <w:rPr>
      <w:rFonts w:ascii="Segoe UI" w:hAnsi="Segoe UI" w:cs="Segoe UI" w:hint="default"/>
    </w:rPr>
  </w:style>
  <w:style w:type="character" w:styleId="Mention">
    <w:name w:val="Mention"/>
    <w:basedOn w:val="DefaultParagraphFont"/>
    <w:uiPriority w:val="99"/>
    <w:unhideWhenUsed/>
    <w:rsid w:val="00482887"/>
    <w:rPr>
      <w:color w:val="2B579A"/>
      <w:shd w:val="clear" w:color="auto" w:fill="E1DFDD"/>
    </w:rPr>
  </w:style>
  <w:style w:type="character" w:customStyle="1" w:styleId="A4">
    <w:name w:val="A4"/>
    <w:basedOn w:val="DefaultParagraphFont"/>
    <w:uiPriority w:val="99"/>
    <w:rsid w:val="00B453F0"/>
    <w:rPr>
      <w:rFonts w:ascii="Lato" w:hAnsi="Lato" w:hint="default"/>
      <w:color w:val="000000"/>
    </w:rPr>
  </w:style>
  <w:style w:type="paragraph" w:customStyle="1" w:styleId="BasicParagraph">
    <w:name w:val="[Basic Paragraph]"/>
    <w:basedOn w:val="NoParagraphStyle"/>
    <w:uiPriority w:val="99"/>
    <w:rsid w:val="00B453F0"/>
    <w:pPr>
      <w:widowControl/>
    </w:pPr>
    <w:rPr>
      <w:rFonts w:ascii="MinionPro-Regular" w:hAnsi="MinionPro-Regular"/>
      <w:b w:val="0"/>
      <w:bCs w:val="0"/>
      <w:caps w:val="0"/>
      <w:color w:val="000000"/>
      <w:sz w:val="24"/>
      <w:szCs w:val="24"/>
      <w:lang w:val="en-US"/>
    </w:rPr>
  </w:style>
  <w:style w:type="character" w:customStyle="1" w:styleId="Tableandchartnumber">
    <w:name w:val="Table and chart number"/>
    <w:uiPriority w:val="99"/>
    <w:rsid w:val="00B453F0"/>
    <w:rPr>
      <w:rFonts w:ascii="Quicksand SemiBold" w:hAnsi="Quicksand SemiBold" w:cs="Quicksand SemiBold"/>
      <w:b/>
      <w:bCs/>
      <w:sz w:val="18"/>
      <w:szCs w:val="18"/>
    </w:rPr>
  </w:style>
  <w:style w:type="character" w:customStyle="1" w:styleId="Tableandchartdescription">
    <w:name w:val="Table and chart description"/>
    <w:basedOn w:val="Tableandchartnumber"/>
    <w:uiPriority w:val="99"/>
    <w:rsid w:val="00B453F0"/>
    <w:rPr>
      <w:rFonts w:ascii="Quicksand" w:hAnsi="Quicksand" w:cs="Quicksand"/>
      <w:b/>
      <w:bCs/>
      <w:sz w:val="18"/>
      <w:szCs w:val="18"/>
    </w:rPr>
  </w:style>
  <w:style w:type="character" w:customStyle="1" w:styleId="normaltextrun">
    <w:name w:val="normaltextrun"/>
    <w:basedOn w:val="DefaultParagraphFont"/>
    <w:rsid w:val="00B453F0"/>
  </w:style>
  <w:style w:type="character" w:customStyle="1" w:styleId="eop">
    <w:name w:val="eop"/>
    <w:basedOn w:val="DefaultParagraphFont"/>
    <w:rsid w:val="00B453F0"/>
  </w:style>
  <w:style w:type="paragraph" w:customStyle="1" w:styleId="paragraph">
    <w:name w:val="paragraph"/>
    <w:basedOn w:val="Normal"/>
    <w:rsid w:val="00B453F0"/>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msonormal0">
    <w:name w:val="msonormal"/>
    <w:basedOn w:val="Normal"/>
    <w:rsid w:val="00B453F0"/>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xl65">
    <w:name w:val="xl65"/>
    <w:basedOn w:val="Normal"/>
    <w:rsid w:val="00B453F0"/>
    <w:pPr>
      <w:pBdr>
        <w:left w:val="single" w:sz="12" w:space="0" w:color="FFFFFF"/>
        <w:right w:val="single" w:sz="12" w:space="0" w:color="FFFFFF"/>
      </w:pBdr>
      <w:shd w:val="clear" w:color="000000" w:fill="1F698E"/>
      <w:spacing w:before="100" w:beforeAutospacing="1" w:after="100" w:afterAutospacing="1"/>
      <w:jc w:val="center"/>
      <w:textAlignment w:val="center"/>
    </w:pPr>
    <w:rPr>
      <w:rFonts w:ascii="Calibri" w:eastAsia="Times New Roman" w:hAnsi="Calibri" w:cs="Calibri"/>
      <w:b/>
      <w:bCs/>
      <w:color w:val="FFFFFF"/>
      <w:sz w:val="24"/>
      <w:szCs w:val="24"/>
      <w:lang w:eastAsia="en-AU"/>
    </w:rPr>
  </w:style>
  <w:style w:type="table" w:customStyle="1" w:styleId="SRC">
    <w:name w:val="SRC"/>
    <w:basedOn w:val="TableNormal"/>
    <w:uiPriority w:val="99"/>
    <w:rsid w:val="00B453F0"/>
    <w:rPr>
      <w:rFonts w:ascii="Arial" w:hAnsi="Arial"/>
      <w:szCs w:val="22"/>
    </w:rPr>
    <w:tblPr>
      <w:tblStyleRowBandSize w:val="1"/>
      <w:tblStyleColBandSize w:val="1"/>
      <w:tblBorders>
        <w:bottom w:val="single" w:sz="4" w:space="0" w:color="4FBFBE" w:themeColor="accent4"/>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themeColor="background1"/>
        <w:sz w:val="18"/>
      </w:rPr>
      <w:tblPr/>
      <w:tcPr>
        <w:shd w:val="clear" w:color="auto" w:fill="DE2060" w:themeFill="accent1"/>
      </w:tcPr>
    </w:tblStylePr>
    <w:tblStylePr w:type="lastRow">
      <w:pPr>
        <w:wordWrap/>
        <w:spacing w:beforeLines="0" w:before="60" w:beforeAutospacing="0" w:afterLines="0" w:after="60" w:afterAutospacing="0" w:line="240" w:lineRule="auto"/>
        <w:contextualSpacing w:val="0"/>
      </w:pPr>
    </w:tblStylePr>
    <w:tblStylePr w:type="firstCol">
      <w:pPr>
        <w:wordWrap/>
        <w:spacing w:beforeLines="0" w:before="60" w:beforeAutospacing="0" w:afterLines="0" w:after="60" w:afterAutospacing="0" w:line="240" w:lineRule="auto"/>
        <w:contextualSpacing w:val="0"/>
        <w:jc w:val="left"/>
      </w:pPr>
      <w:tblPr/>
      <w:tcPr>
        <w:vAlign w:val="center"/>
      </w:tcPr>
    </w:tblStylePr>
    <w:tblStylePr w:type="band1Vert">
      <w:pPr>
        <w:wordWrap/>
        <w:spacing w:beforeLines="0" w:before="60" w:beforeAutospacing="0" w:afterLines="0" w:after="60" w:afterAutospacing="0" w:line="240" w:lineRule="auto"/>
        <w:ind w:rightChars="0" w:right="113"/>
        <w:contextualSpacing w:val="0"/>
        <w:jc w:val="right"/>
        <w:outlineLvl w:val="9"/>
      </w:pPr>
      <w:tblPr/>
      <w:tcPr>
        <w:vAlign w:val="center"/>
      </w:tcPr>
    </w:tblStylePr>
    <w:tblStylePr w:type="band2Vert">
      <w:pPr>
        <w:wordWrap/>
        <w:spacing w:beforeLines="0" w:before="60" w:beforeAutospacing="0" w:afterLines="0" w:after="60" w:afterAutospacing="0" w:line="240" w:lineRule="auto"/>
        <w:ind w:rightChars="0" w:right="113"/>
        <w:contextualSpacing w:val="0"/>
        <w:jc w:val="right"/>
      </w:p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right"/>
      </w:pPr>
      <w:rPr>
        <w:rFonts w:ascii="Arial" w:hAnsi="Arial"/>
        <w:sz w:val="18"/>
      </w:rPr>
      <w:tblPr/>
      <w:tcPr>
        <w:shd w:val="clear" w:color="auto" w:fill="DBF2F2" w:themeFill="accent4" w:themeFillTint="33"/>
      </w:tcPr>
    </w:tblStylePr>
    <w:tblStylePr w:type="band2Horz">
      <w:pPr>
        <w:wordWrap/>
        <w:spacing w:beforeLines="0" w:before="60" w:beforeAutospacing="0" w:afterLines="0" w:after="60" w:afterAutospacing="0"/>
        <w:contextualSpacing w:val="0"/>
        <w:jc w:val="right"/>
      </w:pPr>
      <w:tblPr/>
      <w:tcPr>
        <w:vAlign w:val="center"/>
      </w:tcPr>
    </w:tblStylePr>
  </w:style>
  <w:style w:type="paragraph" w:customStyle="1" w:styleId="1ResponseFrame">
    <w:name w:val="1. Response Frame"/>
    <w:basedOn w:val="Normal"/>
    <w:qFormat/>
    <w:rsid w:val="00B453F0"/>
    <w:pPr>
      <w:ind w:left="1701" w:hanging="567"/>
    </w:pPr>
    <w:rPr>
      <w:rFonts w:cs="Arial"/>
      <w:szCs w:val="20"/>
    </w:rPr>
  </w:style>
  <w:style w:type="paragraph" w:customStyle="1" w:styleId="QNameText">
    <w:name w:val="Q Name &amp; Text"/>
    <w:basedOn w:val="Normal"/>
    <w:next w:val="Normal"/>
    <w:qFormat/>
    <w:rsid w:val="00B453F0"/>
    <w:pPr>
      <w:spacing w:after="120"/>
      <w:ind w:left="1134" w:hanging="1134"/>
    </w:pPr>
    <w:rPr>
      <w:szCs w:val="22"/>
    </w:rPr>
  </w:style>
  <w:style w:type="character" w:customStyle="1" w:styleId="ui-provider">
    <w:name w:val="ui-provider"/>
    <w:basedOn w:val="DefaultParagraphFont"/>
    <w:rsid w:val="00B453F0"/>
  </w:style>
  <w:style w:type="paragraph" w:customStyle="1" w:styleId="Mainbodytext">
    <w:name w:val="Main body text"/>
    <w:basedOn w:val="NoParagraphStyle"/>
    <w:uiPriority w:val="99"/>
    <w:rsid w:val="00B453F0"/>
    <w:pPr>
      <w:widowControl/>
      <w:suppressAutoHyphens/>
      <w:spacing w:after="113" w:line="240" w:lineRule="atLeast"/>
    </w:pPr>
    <w:rPr>
      <w:rFonts w:ascii="Public Sans Medium" w:hAnsi="Public Sans Medium" w:cs="Public Sans Medium"/>
      <w:b w:val="0"/>
      <w:bCs w:val="0"/>
      <w:caps w:val="0"/>
      <w:color w:val="000000"/>
      <w:sz w:val="18"/>
      <w:szCs w:val="18"/>
      <w:lang w:val="en-US"/>
    </w:rPr>
  </w:style>
  <w:style w:type="paragraph" w:customStyle="1" w:styleId="pf0">
    <w:name w:val="pf0"/>
    <w:basedOn w:val="Normal"/>
    <w:rsid w:val="00482887"/>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Appendixaccessible">
    <w:name w:val="Appendix (accessible)"/>
    <w:basedOn w:val="Normal"/>
    <w:uiPriority w:val="4"/>
    <w:qFormat/>
    <w:rsid w:val="00482887"/>
    <w:pPr>
      <w:pageBreakBefore/>
      <w:spacing w:after="240"/>
      <w:outlineLvl w:val="0"/>
    </w:pPr>
    <w:rPr>
      <w:color w:val="C2185B"/>
      <w:sz w:val="40"/>
    </w:rPr>
  </w:style>
  <w:style w:type="paragraph" w:customStyle="1" w:styleId="Appendix1accessible">
    <w:name w:val="Appendix 1 (accessible)"/>
    <w:basedOn w:val="Appendix1"/>
    <w:uiPriority w:val="4"/>
    <w:qFormat/>
    <w:rsid w:val="00482887"/>
    <w:pPr>
      <w:numPr>
        <w:numId w:val="0"/>
      </w:numPr>
      <w:ind w:left="1134" w:hanging="1134"/>
    </w:pPr>
    <w:rPr>
      <w:color w:val="C2185B"/>
    </w:rPr>
  </w:style>
  <w:style w:type="paragraph" w:customStyle="1" w:styleId="Appendix2accessible">
    <w:name w:val="Appendix 2 (accessible)"/>
    <w:basedOn w:val="Appendix2"/>
    <w:uiPriority w:val="4"/>
    <w:qFormat/>
    <w:rsid w:val="00482887"/>
    <w:pPr>
      <w:spacing w:after="160"/>
    </w:pPr>
    <w:rPr>
      <w:color w:val="C2185B"/>
    </w:rPr>
  </w:style>
  <w:style w:type="character" w:customStyle="1" w:styleId="Appendix3accessibleChar">
    <w:name w:val="Appendix 3 (accessible) Char"/>
    <w:basedOn w:val="Heading3Char"/>
    <w:link w:val="Appendix3accessible"/>
    <w:uiPriority w:val="4"/>
    <w:rsid w:val="002A4C57"/>
    <w:rPr>
      <w:rFonts w:ascii="Arial" w:eastAsiaTheme="majorEastAsia" w:hAnsi="Arial" w:cs="Arial"/>
      <w:color w:val="C2185B"/>
      <w:sz w:val="28"/>
      <w:szCs w:val="28"/>
    </w:rPr>
  </w:style>
  <w:style w:type="paragraph" w:customStyle="1" w:styleId="Appendix3accessiblenonumbering">
    <w:name w:val="Appendix 3 (accessible + no numbering)"/>
    <w:basedOn w:val="Appendix3accessible"/>
    <w:uiPriority w:val="4"/>
    <w:rsid w:val="00482887"/>
    <w:pPr>
      <w:numPr>
        <w:ilvl w:val="0"/>
        <w:numId w:val="0"/>
      </w:numPr>
    </w:pPr>
    <w:rPr>
      <w:rFonts w:eastAsiaTheme="minorHAnsi" w:cstheme="minorBidi"/>
      <w:szCs w:val="18"/>
    </w:rPr>
  </w:style>
  <w:style w:type="paragraph" w:customStyle="1" w:styleId="Appendixheading2">
    <w:name w:val="Appendix heading 2"/>
    <w:basedOn w:val="Heading2"/>
    <w:next w:val="Body"/>
    <w:link w:val="Appendixheading2Char"/>
    <w:uiPriority w:val="4"/>
    <w:qFormat/>
    <w:rsid w:val="00482887"/>
    <w:pPr>
      <w:numPr>
        <w:numId w:val="8"/>
      </w:numPr>
    </w:pPr>
    <w:rPr>
      <w:color w:val="000000"/>
    </w:rPr>
  </w:style>
  <w:style w:type="character" w:customStyle="1" w:styleId="Appendixheading2Char">
    <w:name w:val="Appendix heading 2 Char"/>
    <w:basedOn w:val="Heading2Char"/>
    <w:link w:val="Appendixheading2"/>
    <w:uiPriority w:val="4"/>
    <w:rsid w:val="00482887"/>
    <w:rPr>
      <w:rFonts w:ascii="Arial" w:eastAsiaTheme="majorEastAsia" w:hAnsi="Arial" w:cs="Arial"/>
      <w:color w:val="000000"/>
      <w:sz w:val="32"/>
      <w:szCs w:val="32"/>
    </w:rPr>
  </w:style>
  <w:style w:type="paragraph" w:customStyle="1" w:styleId="Appendixheading3">
    <w:name w:val="Appendix heading 3"/>
    <w:basedOn w:val="Heading3"/>
    <w:next w:val="Body"/>
    <w:link w:val="Appendixheading3Char"/>
    <w:uiPriority w:val="4"/>
    <w:qFormat/>
    <w:rsid w:val="00482887"/>
    <w:pPr>
      <w:numPr>
        <w:ilvl w:val="0"/>
        <w:numId w:val="9"/>
      </w:numPr>
    </w:pPr>
    <w:rPr>
      <w:color w:val="000000"/>
    </w:rPr>
  </w:style>
  <w:style w:type="character" w:customStyle="1" w:styleId="Appendixheading3Char">
    <w:name w:val="Appendix heading 3 Char"/>
    <w:basedOn w:val="Appendix3accessibleChar"/>
    <w:link w:val="Appendixheading3"/>
    <w:uiPriority w:val="4"/>
    <w:rsid w:val="00482887"/>
    <w:rPr>
      <w:rFonts w:ascii="Arial" w:eastAsiaTheme="majorEastAsia" w:hAnsi="Arial" w:cs="Arial"/>
      <w:color w:val="000000"/>
      <w:sz w:val="28"/>
      <w:szCs w:val="28"/>
    </w:rPr>
  </w:style>
  <w:style w:type="character" w:customStyle="1" w:styleId="BalloonTextChar2">
    <w:name w:val="Balloon Text Char2"/>
    <w:basedOn w:val="DefaultParagraphFont"/>
    <w:link w:val="BalloonText"/>
    <w:uiPriority w:val="99"/>
    <w:semiHidden/>
    <w:rsid w:val="00482887"/>
    <w:rPr>
      <w:rFonts w:ascii="Segoe UI" w:hAnsi="Segoe UI" w:cs="Segoe UI"/>
    </w:rPr>
  </w:style>
  <w:style w:type="paragraph" w:customStyle="1" w:styleId="SubHeading2accessible">
    <w:name w:val="Sub Heading 2 (accessible)"/>
    <w:basedOn w:val="SubHeading20"/>
    <w:uiPriority w:val="4"/>
    <w:qFormat/>
    <w:rsid w:val="00482887"/>
    <w:pPr>
      <w:spacing w:before="240" w:after="160"/>
    </w:pPr>
    <w:rPr>
      <w:color w:val="3A3A3A"/>
      <w:sz w:val="28"/>
    </w:rPr>
  </w:style>
  <w:style w:type="paragraph" w:customStyle="1" w:styleId="Calloutboxheadingaccessible">
    <w:name w:val="Callout box heading (accessible)"/>
    <w:basedOn w:val="SubHeading2accessible"/>
    <w:autoRedefine/>
    <w:uiPriority w:val="4"/>
    <w:qFormat/>
    <w:rsid w:val="00482887"/>
    <w:rPr>
      <w:color w:val="CE600F"/>
    </w:rPr>
  </w:style>
  <w:style w:type="paragraph" w:customStyle="1" w:styleId="Captionaccessible">
    <w:name w:val="Caption (accessible)"/>
    <w:basedOn w:val="Normal"/>
    <w:uiPriority w:val="4"/>
    <w:qFormat/>
    <w:rsid w:val="0046281E"/>
    <w:pPr>
      <w:keepNext/>
      <w:spacing w:after="60" w:line="300" w:lineRule="auto"/>
      <w:ind w:left="1077" w:hanging="1077"/>
    </w:pPr>
    <w:rPr>
      <w:rFonts w:ascii="Arial Bold" w:eastAsia="Aptos" w:hAnsi="Arial Bold" w:cs="Times New Roman"/>
      <w:b/>
      <w:bCs/>
      <w:color w:val="007F7D"/>
      <w:szCs w:val="20"/>
    </w:rPr>
  </w:style>
  <w:style w:type="character" w:customStyle="1" w:styleId="EndnoteTextChar1">
    <w:name w:val="Endnote Text Char1"/>
    <w:basedOn w:val="DefaultParagraphFont"/>
    <w:link w:val="EndnoteText"/>
    <w:uiPriority w:val="99"/>
    <w:semiHidden/>
    <w:rsid w:val="00482887"/>
    <w:rPr>
      <w:rFonts w:ascii="Arial" w:hAnsi="Arial"/>
      <w:sz w:val="20"/>
      <w:szCs w:val="20"/>
    </w:rPr>
  </w:style>
  <w:style w:type="paragraph" w:customStyle="1" w:styleId="EndnoteText1">
    <w:name w:val="Endnote Text1"/>
    <w:basedOn w:val="Normal"/>
    <w:next w:val="EndnoteText"/>
    <w:link w:val="EndnoteTextChar"/>
    <w:uiPriority w:val="99"/>
    <w:semiHidden/>
    <w:unhideWhenUsed/>
    <w:rsid w:val="00482887"/>
    <w:pPr>
      <w:widowControl w:val="0"/>
      <w:suppressAutoHyphens/>
      <w:autoSpaceDE w:val="0"/>
      <w:autoSpaceDN w:val="0"/>
      <w:adjustRightInd w:val="0"/>
      <w:spacing w:before="142" w:line="290" w:lineRule="atLeast"/>
      <w:textAlignment w:val="center"/>
    </w:pPr>
    <w:rPr>
      <w:rFonts w:eastAsia="Yu Gothic" w:cs="Arial"/>
      <w:szCs w:val="20"/>
      <w:lang w:val="en-GB"/>
    </w:rPr>
  </w:style>
  <w:style w:type="character" w:customStyle="1" w:styleId="FollowedHyperlink1">
    <w:name w:val="FollowedHyperlink1"/>
    <w:basedOn w:val="DefaultParagraphFont"/>
    <w:uiPriority w:val="99"/>
    <w:semiHidden/>
    <w:unhideWhenUsed/>
    <w:rsid w:val="00482887"/>
    <w:rPr>
      <w:color w:val="4B7CCA"/>
      <w:u w:val="single"/>
    </w:rPr>
  </w:style>
  <w:style w:type="paragraph" w:customStyle="1" w:styleId="Heading1accessible">
    <w:name w:val="Heading 1 (accessible)"/>
    <w:basedOn w:val="Heading1"/>
    <w:uiPriority w:val="4"/>
    <w:qFormat/>
    <w:rsid w:val="00482887"/>
    <w:pPr>
      <w:numPr>
        <w:numId w:val="0"/>
      </w:numPr>
    </w:pPr>
    <w:rPr>
      <w:color w:val="C2185B"/>
    </w:rPr>
  </w:style>
  <w:style w:type="paragraph" w:customStyle="1" w:styleId="Heading1numaccessible">
    <w:name w:val="Heading 1 (num. + accessible)"/>
    <w:basedOn w:val="Heading1"/>
    <w:uiPriority w:val="4"/>
    <w:qFormat/>
    <w:rsid w:val="00482887"/>
    <w:rPr>
      <w:color w:val="C2185B"/>
    </w:rPr>
  </w:style>
  <w:style w:type="paragraph" w:customStyle="1" w:styleId="Heading3accessibleoption2">
    <w:name w:val="Heading 3 (accessible option 2)"/>
    <w:basedOn w:val="Normal"/>
    <w:autoRedefine/>
    <w:uiPriority w:val="4"/>
    <w:qFormat/>
    <w:rsid w:val="00482887"/>
    <w:pPr>
      <w:keepNext/>
      <w:spacing w:before="240" w:after="160"/>
      <w:outlineLvl w:val="2"/>
    </w:pPr>
    <w:rPr>
      <w:rFonts w:eastAsia="Aptos" w:cs="Arial"/>
      <w:color w:val="C2185B"/>
      <w:sz w:val="28"/>
      <w:szCs w:val="21"/>
    </w:rPr>
  </w:style>
  <w:style w:type="paragraph" w:customStyle="1" w:styleId="Heading3accessibleoption3">
    <w:name w:val="Heading 3 (accessible option 3)"/>
    <w:basedOn w:val="Heading3accessibleoption2"/>
    <w:uiPriority w:val="4"/>
    <w:qFormat/>
    <w:rsid w:val="00482887"/>
    <w:rPr>
      <w:color w:val="3A3A3A"/>
    </w:rPr>
  </w:style>
  <w:style w:type="paragraph" w:customStyle="1" w:styleId="Heading3numaccessible">
    <w:name w:val="Heading 3 (num. + accessible)"/>
    <w:basedOn w:val="Heading3"/>
    <w:uiPriority w:val="4"/>
    <w:qFormat/>
    <w:rsid w:val="00482887"/>
    <w:pPr>
      <w:ind w:left="993" w:hanging="993"/>
    </w:pPr>
    <w:rPr>
      <w:color w:val="3A3A3A"/>
    </w:rPr>
  </w:style>
  <w:style w:type="paragraph" w:customStyle="1" w:styleId="Heading4accessible">
    <w:name w:val="Heading 4 (accessible)"/>
    <w:basedOn w:val="Heading4"/>
    <w:uiPriority w:val="4"/>
    <w:qFormat/>
    <w:rsid w:val="00482887"/>
    <w:pPr>
      <w:spacing w:before="200"/>
    </w:pPr>
    <w:rPr>
      <w:color w:val="3A3A3A"/>
    </w:rPr>
  </w:style>
  <w:style w:type="paragraph" w:customStyle="1" w:styleId="Heading4accessibleoption2">
    <w:name w:val="Heading 4 (accessible option 2)"/>
    <w:basedOn w:val="Heading4accessible"/>
    <w:uiPriority w:val="4"/>
    <w:qFormat/>
    <w:rsid w:val="00482887"/>
    <w:pPr>
      <w:spacing w:after="160"/>
    </w:pPr>
    <w:rPr>
      <w:color w:val="C2185B"/>
    </w:rPr>
  </w:style>
  <w:style w:type="paragraph" w:customStyle="1" w:styleId="MainbodytextA4H">
    <w:name w:val="Main body text (A4 H)"/>
    <w:basedOn w:val="NoParagraphStyle"/>
    <w:uiPriority w:val="99"/>
    <w:rsid w:val="00482887"/>
    <w:pPr>
      <w:widowControl/>
      <w:suppressAutoHyphens/>
      <w:spacing w:line="240" w:lineRule="atLeast"/>
    </w:pPr>
    <w:rPr>
      <w:rFonts w:ascii="Public Sans Medium" w:eastAsia="Aptos" w:hAnsi="Public Sans Medium" w:cs="Public Sans Medium"/>
      <w:b w:val="0"/>
      <w:bCs w:val="0"/>
      <w:caps w:val="0"/>
      <w:color w:val="000000"/>
      <w:sz w:val="18"/>
      <w:szCs w:val="18"/>
      <w:lang w:val="en-US"/>
    </w:rPr>
  </w:style>
  <w:style w:type="paragraph" w:customStyle="1" w:styleId="MajorHeadingaccessible">
    <w:name w:val="Major Heading (accessible)"/>
    <w:basedOn w:val="MajorHeading"/>
    <w:uiPriority w:val="4"/>
    <w:qFormat/>
    <w:rsid w:val="00482887"/>
    <w:pPr>
      <w:spacing w:before="320"/>
    </w:pPr>
    <w:rPr>
      <w:color w:val="C2185B"/>
    </w:rPr>
  </w:style>
  <w:style w:type="paragraph" w:customStyle="1" w:styleId="SubHeading1accessible">
    <w:name w:val="Sub Heading 1 (accessible)"/>
    <w:basedOn w:val="SubHeading1"/>
    <w:uiPriority w:val="4"/>
    <w:qFormat/>
    <w:rsid w:val="00482887"/>
    <w:pPr>
      <w:spacing w:before="240" w:after="160"/>
    </w:pPr>
    <w:rPr>
      <w:color w:val="3A3A3A"/>
    </w:rPr>
  </w:style>
  <w:style w:type="table" w:customStyle="1" w:styleId="TableGrid10">
    <w:name w:val="Table Grid10"/>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82887"/>
    <w:pPr>
      <w:spacing w:before="0" w:after="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accessible">
    <w:name w:val="TOC (accessible)"/>
    <w:basedOn w:val="MajorHeadingaccessible"/>
    <w:uiPriority w:val="4"/>
    <w:qFormat/>
    <w:rsid w:val="00D67264"/>
    <w:pPr>
      <w:outlineLvl w:val="9"/>
    </w:pPr>
  </w:style>
  <w:style w:type="paragraph" w:customStyle="1" w:styleId="TOC41">
    <w:name w:val="TOC 41"/>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480"/>
      <w:textAlignment w:val="center"/>
    </w:pPr>
    <w:rPr>
      <w:rFonts w:eastAsia="Yu Gothic" w:cs="Arial"/>
      <w:szCs w:val="20"/>
      <w:lang w:val="en-GB"/>
    </w:rPr>
  </w:style>
  <w:style w:type="paragraph" w:customStyle="1" w:styleId="TOC51">
    <w:name w:val="TOC 51"/>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720"/>
      <w:textAlignment w:val="center"/>
    </w:pPr>
    <w:rPr>
      <w:rFonts w:eastAsia="Yu Gothic" w:cs="Arial"/>
      <w:szCs w:val="20"/>
      <w:lang w:val="en-GB"/>
    </w:rPr>
  </w:style>
  <w:style w:type="paragraph" w:customStyle="1" w:styleId="TOC61">
    <w:name w:val="TOC 61"/>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960"/>
      <w:textAlignment w:val="center"/>
    </w:pPr>
    <w:rPr>
      <w:rFonts w:eastAsia="Yu Gothic" w:cs="Arial"/>
      <w:szCs w:val="20"/>
      <w:lang w:val="en-GB"/>
    </w:rPr>
  </w:style>
  <w:style w:type="paragraph" w:customStyle="1" w:styleId="TOC71">
    <w:name w:val="TOC 71"/>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1200"/>
      <w:textAlignment w:val="center"/>
    </w:pPr>
    <w:rPr>
      <w:rFonts w:eastAsia="Yu Gothic" w:cs="Arial"/>
      <w:szCs w:val="20"/>
      <w:lang w:val="en-GB"/>
    </w:rPr>
  </w:style>
  <w:style w:type="paragraph" w:customStyle="1" w:styleId="TOC81">
    <w:name w:val="TOC 81"/>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1440"/>
      <w:textAlignment w:val="center"/>
    </w:pPr>
    <w:rPr>
      <w:rFonts w:eastAsia="Yu Gothic" w:cs="Arial"/>
      <w:szCs w:val="20"/>
      <w:lang w:val="en-GB"/>
    </w:rPr>
  </w:style>
  <w:style w:type="paragraph" w:customStyle="1" w:styleId="TOC91">
    <w:name w:val="TOC 91"/>
    <w:basedOn w:val="Normal"/>
    <w:next w:val="Normal"/>
    <w:autoRedefine/>
    <w:uiPriority w:val="39"/>
    <w:unhideWhenUsed/>
    <w:rsid w:val="00482887"/>
    <w:pPr>
      <w:widowControl w:val="0"/>
      <w:pBdr>
        <w:between w:val="double" w:sz="6" w:space="0" w:color="auto"/>
      </w:pBdr>
      <w:suppressAutoHyphens/>
      <w:autoSpaceDE w:val="0"/>
      <w:autoSpaceDN w:val="0"/>
      <w:adjustRightInd w:val="0"/>
      <w:spacing w:before="142" w:line="290" w:lineRule="atLeast"/>
      <w:ind w:left="1680"/>
      <w:textAlignment w:val="center"/>
    </w:pPr>
    <w:rPr>
      <w:rFonts w:eastAsia="Yu Gothic" w:cs="Arial"/>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168165">
      <w:marLeft w:val="0"/>
      <w:marRight w:val="0"/>
      <w:marTop w:val="0"/>
      <w:marBottom w:val="0"/>
      <w:divBdr>
        <w:top w:val="none" w:sz="0" w:space="0" w:color="auto"/>
        <w:left w:val="none" w:sz="0" w:space="0" w:color="auto"/>
        <w:bottom w:val="none" w:sz="0" w:space="0" w:color="auto"/>
        <w:right w:val="none" w:sz="0" w:space="0" w:color="auto"/>
      </w:divBdr>
    </w:div>
    <w:div w:id="111745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footer" Target="footer2.xml"/><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header" Target="header2.xml"/><Relationship Id="rId68" Type="http://schemas.openxmlformats.org/officeDocument/2006/relationships/image" Target="media/image48.png"/><Relationship Id="rId84" Type="http://schemas.openxmlformats.org/officeDocument/2006/relationships/header" Target="header7.xml"/><Relationship Id="rId89" Type="http://schemas.openxmlformats.org/officeDocument/2006/relationships/image" Target="media/image62.png"/><Relationship Id="rId16" Type="http://schemas.openxmlformats.org/officeDocument/2006/relationships/image" Target="media/image6.svg"/><Relationship Id="rId11" Type="http://schemas.openxmlformats.org/officeDocument/2006/relationships/image" Target="media/image1.png"/><Relationship Id="rId32" Type="http://schemas.openxmlformats.org/officeDocument/2006/relationships/hyperlink" Target="https://www.qilt.edu.au/docs/default-source/default-document-library/production-of-scores-in-the-ses.pdf" TargetMode="External"/><Relationship Id="rId37" Type="http://schemas.openxmlformats.org/officeDocument/2006/relationships/image" Target="media/image19.png"/><Relationship Id="rId53" Type="http://schemas.openxmlformats.org/officeDocument/2006/relationships/header" Target="header1.xml"/><Relationship Id="rId58" Type="http://schemas.openxmlformats.org/officeDocument/2006/relationships/image" Target="media/image39.png"/><Relationship Id="rId74" Type="http://schemas.openxmlformats.org/officeDocument/2006/relationships/image" Target="media/image52.png"/><Relationship Id="rId79" Type="http://schemas.openxmlformats.org/officeDocument/2006/relationships/image" Target="media/image55.png"/><Relationship Id="rId5" Type="http://schemas.openxmlformats.org/officeDocument/2006/relationships/numbering" Target="numbering.xml"/><Relationship Id="rId90" Type="http://schemas.openxmlformats.org/officeDocument/2006/relationships/image" Target="media/image63.png"/><Relationship Id="rId95" Type="http://schemas.openxmlformats.org/officeDocument/2006/relationships/image" Target="media/image66.svg"/><Relationship Id="rId22" Type="http://schemas.openxmlformats.org/officeDocument/2006/relationships/footer" Target="footer3.xml"/><Relationship Id="rId27" Type="http://schemas.openxmlformats.org/officeDocument/2006/relationships/hyperlink" Target="https://www.qilt.edu.au/resources" TargetMode="External"/><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4.png"/><Relationship Id="rId69" Type="http://schemas.openxmlformats.org/officeDocument/2006/relationships/image" Target="media/image49.png"/><Relationship Id="rId80" Type="http://schemas.openxmlformats.org/officeDocument/2006/relationships/header" Target="header5.xml"/><Relationship Id="rId85" Type="http://schemas.openxmlformats.org/officeDocument/2006/relationships/image" Target="media/image58.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0.png"/><Relationship Id="rId67" Type="http://schemas.openxmlformats.org/officeDocument/2006/relationships/image" Target="media/image47.png"/><Relationship Id="rId20" Type="http://schemas.openxmlformats.org/officeDocument/2006/relationships/footer" Target="footer1.xml"/><Relationship Id="rId41" Type="http://schemas.openxmlformats.org/officeDocument/2006/relationships/image" Target="media/image23.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0.png"/><Relationship Id="rId75" Type="http://schemas.openxmlformats.org/officeDocument/2006/relationships/chart" Target="charts/chart1.xml"/><Relationship Id="rId83" Type="http://schemas.openxmlformats.org/officeDocument/2006/relationships/image" Target="media/image57.png"/><Relationship Id="rId88" Type="http://schemas.openxmlformats.org/officeDocument/2006/relationships/image" Target="media/image61.png"/><Relationship Id="rId91" Type="http://schemas.openxmlformats.org/officeDocument/2006/relationships/image" Target="media/image64.png"/><Relationship Id="rId96"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s://www.qilt.edu.au/surveys/Data-Visualisation/ses" TargetMode="External"/><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8.png"/><Relationship Id="rId10" Type="http://schemas.openxmlformats.org/officeDocument/2006/relationships/endnotes" Target="endnotes.xml"/><Relationship Id="rId31" Type="http://schemas.openxmlformats.org/officeDocument/2006/relationships/footer" Target="footer4.xml"/><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1.png"/><Relationship Id="rId65" Type="http://schemas.openxmlformats.org/officeDocument/2006/relationships/image" Target="media/image45.png"/><Relationship Id="rId73" Type="http://schemas.openxmlformats.org/officeDocument/2006/relationships/header" Target="header4.xml"/><Relationship Id="rId78" Type="http://schemas.openxmlformats.org/officeDocument/2006/relationships/image" Target="media/image54.png"/><Relationship Id="rId81" Type="http://schemas.openxmlformats.org/officeDocument/2006/relationships/header" Target="header6.xml"/><Relationship Id="rId86" Type="http://schemas.openxmlformats.org/officeDocument/2006/relationships/image" Target="media/image59.png"/><Relationship Id="rId94" Type="http://schemas.openxmlformats.org/officeDocument/2006/relationships/image" Target="media/image65.png"/><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svg"/><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6.png"/><Relationship Id="rId76" Type="http://schemas.openxmlformats.org/officeDocument/2006/relationships/chart" Target="charts/chart2.xml"/><Relationship Id="rId97"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image" Target="media/image51.png"/><Relationship Id="rId92" Type="http://schemas.openxmlformats.org/officeDocument/2006/relationships/footer" Target="footer5.xml"/><Relationship Id="rId2" Type="http://schemas.openxmlformats.org/officeDocument/2006/relationships/customXml" Target="../customXml/item2.xml"/><Relationship Id="rId29" Type="http://schemas.openxmlformats.org/officeDocument/2006/relationships/hyperlink" Target="https://www.qilt.edu.au/docs/default-source/default-document-library/2025-ses-methodological-report.pdf" TargetMode="External"/><Relationship Id="rId24" Type="http://schemas.openxmlformats.org/officeDocument/2006/relationships/image" Target="media/image12.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6.png"/><Relationship Id="rId87" Type="http://schemas.openxmlformats.org/officeDocument/2006/relationships/image" Target="media/image60.png"/><Relationship Id="rId61" Type="http://schemas.openxmlformats.org/officeDocument/2006/relationships/image" Target="media/image42.png"/><Relationship Id="rId82" Type="http://schemas.openxmlformats.org/officeDocument/2006/relationships/image" Target="media/image56.png"/><Relationship Id="rId19" Type="http://schemas.openxmlformats.org/officeDocument/2006/relationships/hyperlink" Target="mailto:qilt@srcentre.com.au" TargetMode="External"/><Relationship Id="rId14" Type="http://schemas.openxmlformats.org/officeDocument/2006/relationships/image" Target="media/image4.svg"/><Relationship Id="rId30" Type="http://schemas.openxmlformats.org/officeDocument/2006/relationships/hyperlink" Target="https://www.qilt.edu.au/surveys/student-experience-survey-(ses)" TargetMode="External"/><Relationship Id="rId35" Type="http://schemas.openxmlformats.org/officeDocument/2006/relationships/image" Target="media/image17.png"/><Relationship Id="rId56" Type="http://schemas.openxmlformats.org/officeDocument/2006/relationships/image" Target="media/image37.png"/><Relationship Id="rId77" Type="http://schemas.openxmlformats.org/officeDocument/2006/relationships/image" Target="media/image53.pn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header" Target="header3.xml"/><Relationship Id="rId93" Type="http://schemas.openxmlformats.org/officeDocument/2006/relationships/footer" Target="footer6.xml"/><Relationship Id="rId98"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footer4.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footer6.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www.tcsisupport.gov.au/element/329" TargetMode="External"/><Relationship Id="rId1" Type="http://schemas.openxmlformats.org/officeDocument/2006/relationships/hyperlink" Target="https://www.qilt.edu.au/docs/default-source/default-document-library/construction-of-confidence-intervals-in-qilt-surveys.pdf?sfvrsn=8d01d58b_1"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rcentre.sharepoint.com/sites/QILT/Workbench/SES/2025/11.%20Reporting/National%20Report/2025%20SES%20National%20Report%20figures%20(25120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rcentre.sharepoint.com/sites/QILT/Workbench/SES/2025/11.%20Reporting/National%20Report/2025%20SES%20National%20Report%20figures%20(251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AU" sz="1150"/>
              <a:t>Undergraduate</a:t>
            </a:r>
          </a:p>
        </c:rich>
      </c:tx>
      <c:layout>
        <c:manualLayout>
          <c:xMode val="edge"/>
          <c:yMode val="edge"/>
          <c:x val="0.44904890410057263"/>
          <c:y val="2.0419641422373216E-3"/>
        </c:manualLayout>
      </c:layout>
      <c:overlay val="0"/>
      <c:spPr>
        <a:noFill/>
        <a:ln>
          <a:noFill/>
        </a:ln>
        <a:effectLst/>
      </c:spPr>
      <c:txPr>
        <a:bodyPr rot="0" spcFirstLastPara="1" vertOverflow="ellipsis" vert="horz" wrap="square" anchor="ctr" anchorCtr="1"/>
        <a:lstStyle/>
        <a:p>
          <a:pPr>
            <a:defRPr sz="11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
          <c:y val="0.14373829006380082"/>
          <c:w val="1"/>
          <c:h val="0.71037408085841525"/>
        </c:manualLayout>
      </c:layout>
      <c:barChart>
        <c:barDir val="col"/>
        <c:grouping val="clustered"/>
        <c:varyColors val="0"/>
        <c:ser>
          <c:idx val="1"/>
          <c:order val="0"/>
          <c:tx>
            <c:strRef>
              <c:f>FOCUS_ALL_1Y_HEPTYPE!$B$8</c:f>
              <c:strCache>
                <c:ptCount val="1"/>
                <c:pt idx="0">
                  <c:v>Universities</c:v>
                </c:pt>
              </c:strCache>
            </c:strRef>
          </c:tx>
          <c:spPr>
            <a:solidFill>
              <a:schemeClr val="accent3"/>
            </a:solidFill>
            <a:ln>
              <a:noFill/>
            </a:ln>
            <a:effectLst/>
          </c:spPr>
          <c:invertIfNegative val="0"/>
          <c:dLbls>
            <c:dLbl>
              <c:idx val="0"/>
              <c:layout>
                <c:manualLayout>
                  <c:x val="-4.4259918704791005E-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2B-47DC-A5BA-B8E893737539}"/>
                </c:ext>
              </c:extLst>
            </c:dLbl>
            <c:dLbl>
              <c:idx val="1"/>
              <c:layout>
                <c:manualLayout>
                  <c:x val="-2.0114941039465679E-3"/>
                  <c:y val="3.92003136025088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52B-47DC-A5BA-B8E893737539}"/>
                </c:ext>
              </c:extLst>
            </c:dLbl>
            <c:dLbl>
              <c:idx val="2"/>
              <c:layout>
                <c:manualLayout>
                  <c:x val="-1.3458332188829674E-3"/>
                  <c:y val="3.92003136025088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2B-47DC-A5BA-B8E893737539}"/>
                </c:ext>
              </c:extLst>
            </c:dLbl>
            <c:dLbl>
              <c:idx val="3"/>
              <c:layout>
                <c:manualLayout>
                  <c:x val="-1.331114463716454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2B-47DC-A5BA-B8E893737539}"/>
                </c:ext>
              </c:extLst>
            </c:dLbl>
            <c:dLbl>
              <c:idx val="4"/>
              <c:layout>
                <c:manualLayout>
                  <c:x val="-6.9509839539655383E-4"/>
                  <c:y val="-1.796660284942061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2B-47DC-A5BA-B8E893737539}"/>
                </c:ext>
              </c:extLst>
            </c:dLbl>
            <c:dLbl>
              <c:idx val="5"/>
              <c:layout>
                <c:manualLayout>
                  <c:x val="6.2129731315333978E-4"/>
                  <c:y val="-3.593320569884122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2B-47DC-A5BA-B8E893737539}"/>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FOCUS_ALL_1Y_HEPTYPE!$C$3:$H$3</c:f>
              <c:strCache>
                <c:ptCount val="6"/>
                <c:pt idx="0">
                  <c:v>Skills Development</c:v>
                </c:pt>
                <c:pt idx="1">
                  <c:v>Peer Engagement</c:v>
                </c:pt>
                <c:pt idx="2">
                  <c:v>Teaching Quality 
and Engagement</c:v>
                </c:pt>
                <c:pt idx="3">
                  <c:v>Student Support 
and Services</c:v>
                </c:pt>
                <c:pt idx="4">
                  <c:v>Learning Resources</c:v>
                </c:pt>
                <c:pt idx="5">
                  <c:v>Overall Educational Experience</c:v>
                </c:pt>
              </c:strCache>
            </c:strRef>
          </c:cat>
          <c:val>
            <c:numRef>
              <c:f>FOCUS_ALL_1Y_HEPTYPE!$C$8:$H$8</c:f>
              <c:numCache>
                <c:formatCode>0.0%</c:formatCode>
                <c:ptCount val="6"/>
                <c:pt idx="0">
                  <c:v>0.80900000000000005</c:v>
                </c:pt>
                <c:pt idx="1">
                  <c:v>0.59899999999999998</c:v>
                </c:pt>
                <c:pt idx="2">
                  <c:v>0.8</c:v>
                </c:pt>
                <c:pt idx="3">
                  <c:v>0.70400000000000007</c:v>
                </c:pt>
                <c:pt idx="4">
                  <c:v>0.83900000000000008</c:v>
                </c:pt>
                <c:pt idx="5">
                  <c:v>0.76200000000000001</c:v>
                </c:pt>
              </c:numCache>
            </c:numRef>
          </c:val>
          <c:extLst>
            <c:ext xmlns:c16="http://schemas.microsoft.com/office/drawing/2014/chart" uri="{C3380CC4-5D6E-409C-BE32-E72D297353CC}">
              <c16:uniqueId val="{00000000-029A-4B80-A0AC-F8F04BA298B5}"/>
            </c:ext>
          </c:extLst>
        </c:ser>
        <c:ser>
          <c:idx val="0"/>
          <c:order val="1"/>
          <c:tx>
            <c:strRef>
              <c:f>FOCUS_ALL_1Y_HEPTYPE!$B$7</c:f>
              <c:strCache>
                <c:ptCount val="1"/>
                <c:pt idx="0">
                  <c:v>NUHEIs</c:v>
                </c:pt>
              </c:strCache>
            </c:strRef>
          </c:tx>
          <c:spPr>
            <a:solidFill>
              <a:schemeClr val="accent1"/>
            </a:solidFill>
            <a:ln>
              <a:noFill/>
            </a:ln>
            <a:effectLst/>
          </c:spPr>
          <c:invertIfNegative val="0"/>
          <c:dLbls>
            <c:dLbl>
              <c:idx val="0"/>
              <c:layout>
                <c:manualLayout>
                  <c:x val="1.9966716955746697E-3"/>
                  <c:y val="-1.796660284942061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2B-47DC-A5BA-B8E893737539}"/>
                </c:ext>
              </c:extLst>
            </c:dLbl>
            <c:dLbl>
              <c:idx val="1"/>
              <c:layout>
                <c:manualLayout>
                  <c:x val="1.9966716955746337E-3"/>
                  <c:y val="-4.90065652808690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52B-47DC-A5BA-B8E893737539}"/>
                </c:ext>
              </c:extLst>
            </c:dLbl>
            <c:dLbl>
              <c:idx val="2"/>
              <c:layout>
                <c:manualLayout>
                  <c:x val="1.3606556272547812E-3"/>
                  <c:y val="7.84006272050174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2B-47DC-A5BA-B8E893737539}"/>
                </c:ext>
              </c:extLst>
            </c:dLbl>
            <c:dLbl>
              <c:idx val="4"/>
              <c:layout>
                <c:manualLayout>
                  <c:x val="4.425991870469447E-5"/>
                  <c:y val="-9.8062516783602432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2B-47DC-A5BA-B8E893737539}"/>
                </c:ext>
              </c:extLst>
            </c:dLbl>
            <c:dLbl>
              <c:idx val="5"/>
              <c:layout>
                <c:manualLayout>
                  <c:x val="-6.2129731315343627E-4"/>
                  <c:y val="3.92003136025088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2B-47DC-A5BA-B8E893737539}"/>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FOCUS_ALL_1Y_HEPTYPE!$C$3:$H$3</c:f>
              <c:strCache>
                <c:ptCount val="6"/>
                <c:pt idx="0">
                  <c:v>Skills Development</c:v>
                </c:pt>
                <c:pt idx="1">
                  <c:v>Peer Engagement</c:v>
                </c:pt>
                <c:pt idx="2">
                  <c:v>Teaching Quality 
and Engagement</c:v>
                </c:pt>
                <c:pt idx="3">
                  <c:v>Student Support 
and Services</c:v>
                </c:pt>
                <c:pt idx="4">
                  <c:v>Learning Resources</c:v>
                </c:pt>
                <c:pt idx="5">
                  <c:v>Overall Educational Experience</c:v>
                </c:pt>
              </c:strCache>
            </c:strRef>
          </c:cat>
          <c:val>
            <c:numRef>
              <c:f>FOCUS_ALL_1Y_HEPTYPE!$C$7:$H$7</c:f>
              <c:numCache>
                <c:formatCode>0.0%</c:formatCode>
                <c:ptCount val="6"/>
                <c:pt idx="0">
                  <c:v>0.85599999999999998</c:v>
                </c:pt>
                <c:pt idx="1">
                  <c:v>0.73799999999999999</c:v>
                </c:pt>
                <c:pt idx="2">
                  <c:v>0.85199999999999998</c:v>
                </c:pt>
                <c:pt idx="3">
                  <c:v>0.78</c:v>
                </c:pt>
                <c:pt idx="4">
                  <c:v>0.78</c:v>
                </c:pt>
                <c:pt idx="5">
                  <c:v>0.79500000000000004</c:v>
                </c:pt>
              </c:numCache>
            </c:numRef>
          </c:val>
          <c:extLst>
            <c:ext xmlns:c16="http://schemas.microsoft.com/office/drawing/2014/chart" uri="{C3380CC4-5D6E-409C-BE32-E72D297353CC}">
              <c16:uniqueId val="{00000001-029A-4B80-A0AC-F8F04BA298B5}"/>
            </c:ext>
          </c:extLst>
        </c:ser>
        <c:dLbls>
          <c:showLegendKey val="0"/>
          <c:showVal val="0"/>
          <c:showCatName val="0"/>
          <c:showSerName val="0"/>
          <c:showPercent val="0"/>
          <c:showBubbleSize val="0"/>
        </c:dLbls>
        <c:gapWidth val="80"/>
        <c:overlap val="-15"/>
        <c:axId val="1417834320"/>
        <c:axId val="1417832880"/>
      </c:barChart>
      <c:catAx>
        <c:axId val="141783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17832880"/>
        <c:crosses val="autoZero"/>
        <c:auto val="1"/>
        <c:lblAlgn val="ctr"/>
        <c:lblOffset val="100"/>
        <c:noMultiLvlLbl val="0"/>
      </c:catAx>
      <c:valAx>
        <c:axId val="1417832880"/>
        <c:scaling>
          <c:orientation val="minMax"/>
          <c:min val="0.2"/>
        </c:scaling>
        <c:delete val="1"/>
        <c:axPos val="l"/>
        <c:numFmt formatCode="0.0%" sourceLinked="1"/>
        <c:majorTickMark val="none"/>
        <c:minorTickMark val="none"/>
        <c:tickLblPos val="nextTo"/>
        <c:crossAx val="14178343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AU" sz="1150"/>
              <a:t>Postgraduate coursework</a:t>
            </a:r>
          </a:p>
        </c:rich>
      </c:tx>
      <c:layout>
        <c:manualLayout>
          <c:xMode val="edge"/>
          <c:yMode val="edge"/>
          <c:x val="0.41950877709430012"/>
          <c:y val="3.1643993784128688E-2"/>
        </c:manualLayout>
      </c:layout>
      <c:overlay val="0"/>
      <c:spPr>
        <a:noFill/>
        <a:ln>
          <a:noFill/>
        </a:ln>
        <a:effectLst/>
      </c:spPr>
      <c:txPr>
        <a:bodyPr rot="0" spcFirstLastPara="1" vertOverflow="ellipsis" vert="horz" wrap="square" anchor="ctr" anchorCtr="1"/>
        <a:lstStyle/>
        <a:p>
          <a:pPr>
            <a:defRPr sz="11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
          <c:y val="0.16288574235634651"/>
          <c:w val="1"/>
          <c:h val="0.69122676644471259"/>
        </c:manualLayout>
      </c:layout>
      <c:barChart>
        <c:barDir val="col"/>
        <c:grouping val="clustered"/>
        <c:varyColors val="0"/>
        <c:ser>
          <c:idx val="1"/>
          <c:order val="0"/>
          <c:tx>
            <c:strRef>
              <c:f>FOCUS_ALL_1Y_HEPTYPE!$B$31</c:f>
              <c:strCache>
                <c:ptCount val="1"/>
                <c:pt idx="0">
                  <c:v>Universities</c:v>
                </c:pt>
              </c:strCache>
            </c:strRef>
          </c:tx>
          <c:spPr>
            <a:solidFill>
              <a:schemeClr val="accent3"/>
            </a:solidFill>
            <a:ln>
              <a:noFill/>
            </a:ln>
            <a:effectLst/>
          </c:spPr>
          <c:invertIfNegative val="0"/>
          <c:dLbls>
            <c:dLbl>
              <c:idx val="0"/>
              <c:layout>
                <c:manualLayout>
                  <c:x val="-2.9437510332928914E-5"/>
                  <c:y val="1.1380880121396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4EB-4DD8-8847-64BFBBF5C202}"/>
                </c:ext>
              </c:extLst>
            </c:dLbl>
            <c:dLbl>
              <c:idx val="1"/>
              <c:layout>
                <c:manualLayout>
                  <c:x val="-2.0114941039465198E-3"/>
                  <c:y val="2.44955660432685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4EB-4DD8-8847-64BFBBF5C202}"/>
                </c:ext>
              </c:extLst>
            </c:dLbl>
            <c:dLbl>
              <c:idx val="2"/>
              <c:layout>
                <c:manualLayout>
                  <c:x val="6.2129731315338802E-4"/>
                  <c:y val="-1.738725488196964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EB-4DD8-8847-64BFBBF5C202}"/>
                </c:ext>
              </c:extLst>
            </c:dLbl>
            <c:dLbl>
              <c:idx val="3"/>
              <c:layout>
                <c:manualLayout>
                  <c:x val="6.2129731315333978E-4"/>
                  <c:y val="3.91998136044830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EB-4DD8-8847-64BFBBF5C202}"/>
                </c:ext>
              </c:extLst>
            </c:dLbl>
            <c:dLbl>
              <c:idx val="4"/>
              <c:layout>
                <c:manualLayout>
                  <c:x val="-1.345833218882919E-3"/>
                  <c:y val="1.1507234774712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EB-4DD8-8847-64BFBBF5C202}"/>
                </c:ext>
              </c:extLst>
            </c:dLbl>
            <c:dLbl>
              <c:idx val="5"/>
              <c:layout>
                <c:manualLayout>
                  <c:x val="1.2721357898451992E-3"/>
                  <c:y val="3.91998136044830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4EB-4DD8-8847-64BFBBF5C202}"/>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FOCUS_ALL_1Y_HEPTYPE!$C$26:$H$26</c:f>
              <c:strCache>
                <c:ptCount val="6"/>
                <c:pt idx="0">
                  <c:v>Skills Development</c:v>
                </c:pt>
                <c:pt idx="1">
                  <c:v>Peer Engagement</c:v>
                </c:pt>
                <c:pt idx="2">
                  <c:v>Teaching Quality 
and Engagement</c:v>
                </c:pt>
                <c:pt idx="3">
                  <c:v>Student Support 
and Services</c:v>
                </c:pt>
                <c:pt idx="4">
                  <c:v>Learning Resources</c:v>
                </c:pt>
                <c:pt idx="5">
                  <c:v>Overall Educational Experience</c:v>
                </c:pt>
              </c:strCache>
            </c:strRef>
          </c:cat>
          <c:val>
            <c:numRef>
              <c:f>FOCUS_ALL_1Y_HEPTYPE!$C$31:$H$31</c:f>
              <c:numCache>
                <c:formatCode>0.0%</c:formatCode>
                <c:ptCount val="6"/>
                <c:pt idx="0">
                  <c:v>0.83700000000000008</c:v>
                </c:pt>
                <c:pt idx="1">
                  <c:v>0.60799999999999998</c:v>
                </c:pt>
                <c:pt idx="2">
                  <c:v>0.83499999999999996</c:v>
                </c:pt>
                <c:pt idx="3">
                  <c:v>0.76800000000000002</c:v>
                </c:pt>
                <c:pt idx="4">
                  <c:v>0.86299999999999999</c:v>
                </c:pt>
                <c:pt idx="5">
                  <c:v>0.77099999999999991</c:v>
                </c:pt>
              </c:numCache>
            </c:numRef>
          </c:val>
          <c:extLst>
            <c:ext xmlns:c16="http://schemas.microsoft.com/office/drawing/2014/chart" uri="{C3380CC4-5D6E-409C-BE32-E72D297353CC}">
              <c16:uniqueId val="{00000000-AC2B-4EE9-B212-786FB69D3482}"/>
            </c:ext>
          </c:extLst>
        </c:ser>
        <c:ser>
          <c:idx val="0"/>
          <c:order val="1"/>
          <c:tx>
            <c:strRef>
              <c:f>FOCUS_ALL_1Y_HEPTYPE!$B$30</c:f>
              <c:strCache>
                <c:ptCount val="1"/>
                <c:pt idx="0">
                  <c:v>NUHEIs</c:v>
                </c:pt>
              </c:strCache>
            </c:strRef>
          </c:tx>
          <c:spPr>
            <a:solidFill>
              <a:schemeClr val="accent1"/>
            </a:solidFill>
            <a:ln>
              <a:noFill/>
            </a:ln>
            <a:effectLst/>
          </c:spPr>
          <c:invertIfNegative val="0"/>
          <c:dLbls>
            <c:dLbl>
              <c:idx val="0"/>
              <c:layout>
                <c:manualLayout>
                  <c:x val="-1.9082555113705095E-3"/>
                  <c:y val="1.1380880121396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4EB-4DD8-8847-64BFBBF5C202}"/>
                </c:ext>
              </c:extLst>
            </c:dLbl>
            <c:dLbl>
              <c:idx val="1"/>
              <c:layout>
                <c:manualLayout>
                  <c:x val="6.8037964023008937E-4"/>
                  <c:y val="7.8399083885584836E-3"/>
                </c:manualLayout>
              </c:layout>
              <c:showLegendKey val="0"/>
              <c:showVal val="1"/>
              <c:showCatName val="0"/>
              <c:showSerName val="0"/>
              <c:showPercent val="0"/>
              <c:showBubbleSize val="0"/>
              <c:extLst>
                <c:ext xmlns:c15="http://schemas.microsoft.com/office/drawing/2012/chart" uri="{CE6537A1-D6FC-4f65-9D91-7224C49458BB}">
                  <c15:layout>
                    <c:manualLayout>
                      <c:w val="6.8080467743533837E-2"/>
                      <c:h val="6.8357221609702312E-2"/>
                    </c:manualLayout>
                  </c15:layout>
                </c:ext>
                <c:ext xmlns:c16="http://schemas.microsoft.com/office/drawing/2014/chart" uri="{C3380CC4-5D6E-409C-BE32-E72D297353CC}">
                  <c16:uniqueId val="{00000008-04EB-4DD8-8847-64BFBBF5C202}"/>
                </c:ext>
              </c:extLst>
            </c:dLbl>
            <c:dLbl>
              <c:idx val="2"/>
              <c:layout>
                <c:manualLayout>
                  <c:x val="7.2453590572948273E-4"/>
                  <c:y val="3.91998136044828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EB-4DD8-8847-64BFBBF5C202}"/>
                </c:ext>
              </c:extLst>
            </c:dLbl>
            <c:dLbl>
              <c:idx val="3"/>
              <c:layout>
                <c:manualLayout>
                  <c:x val="4.4259918704791005E-5"/>
                  <c:y val="1.1270058427825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EB-4DD8-8847-64BFBBF5C202}"/>
                </c:ext>
              </c:extLst>
            </c:dLbl>
            <c:dLbl>
              <c:idx val="4"/>
              <c:layout>
                <c:manualLayout>
                  <c:x val="-6.3611972152539486E-4"/>
                  <c:y val="3.92003136025088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EB-4DD8-8847-64BFBBF5C202}"/>
                </c:ext>
              </c:extLst>
            </c:dLbl>
            <c:dLbl>
              <c:idx val="5"/>
              <c:layout>
                <c:manualLayout>
                  <c:x val="-3.2540887302536098E-3"/>
                  <c:y val="7.71360806758032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4EB-4DD8-8847-64BFBBF5C202}"/>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FOCUS_ALL_1Y_HEPTYPE!$C$26:$H$26</c:f>
              <c:strCache>
                <c:ptCount val="6"/>
                <c:pt idx="0">
                  <c:v>Skills Development</c:v>
                </c:pt>
                <c:pt idx="1">
                  <c:v>Peer Engagement</c:v>
                </c:pt>
                <c:pt idx="2">
                  <c:v>Teaching Quality 
and Engagement</c:v>
                </c:pt>
                <c:pt idx="3">
                  <c:v>Student Support 
and Services</c:v>
                </c:pt>
                <c:pt idx="4">
                  <c:v>Learning Resources</c:v>
                </c:pt>
                <c:pt idx="5">
                  <c:v>Overall Educational Experience</c:v>
                </c:pt>
              </c:strCache>
            </c:strRef>
          </c:cat>
          <c:val>
            <c:numRef>
              <c:f>FOCUS_ALL_1Y_HEPTYPE!$C$30:$H$30</c:f>
              <c:numCache>
                <c:formatCode>0.0%</c:formatCode>
                <c:ptCount val="6"/>
                <c:pt idx="0">
                  <c:v>0.8640000000000001</c:v>
                </c:pt>
                <c:pt idx="1">
                  <c:v>0.68500000000000005</c:v>
                </c:pt>
                <c:pt idx="2">
                  <c:v>0.85099999999999998</c:v>
                </c:pt>
                <c:pt idx="3">
                  <c:v>0.81900000000000006</c:v>
                </c:pt>
                <c:pt idx="4">
                  <c:v>0.81099999999999994</c:v>
                </c:pt>
                <c:pt idx="5">
                  <c:v>0.82</c:v>
                </c:pt>
              </c:numCache>
            </c:numRef>
          </c:val>
          <c:extLst>
            <c:ext xmlns:c16="http://schemas.microsoft.com/office/drawing/2014/chart" uri="{C3380CC4-5D6E-409C-BE32-E72D297353CC}">
              <c16:uniqueId val="{00000001-AC2B-4EE9-B212-786FB69D3482}"/>
            </c:ext>
          </c:extLst>
        </c:ser>
        <c:dLbls>
          <c:showLegendKey val="0"/>
          <c:showVal val="0"/>
          <c:showCatName val="0"/>
          <c:showSerName val="0"/>
          <c:showPercent val="0"/>
          <c:showBubbleSize val="0"/>
        </c:dLbls>
        <c:gapWidth val="80"/>
        <c:overlap val="-15"/>
        <c:axId val="1417834320"/>
        <c:axId val="1417832880"/>
      </c:barChart>
      <c:catAx>
        <c:axId val="141783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17832880"/>
        <c:crosses val="autoZero"/>
        <c:auto val="1"/>
        <c:lblAlgn val="ctr"/>
        <c:lblOffset val="100"/>
        <c:noMultiLvlLbl val="0"/>
      </c:catAx>
      <c:valAx>
        <c:axId val="1417832880"/>
        <c:scaling>
          <c:orientation val="minMax"/>
          <c:min val="0.2"/>
        </c:scaling>
        <c:delete val="1"/>
        <c:axPos val="l"/>
        <c:numFmt formatCode="0.0%" sourceLinked="1"/>
        <c:majorTickMark val="none"/>
        <c:minorTickMark val="none"/>
        <c:tickLblPos val="nextTo"/>
        <c:crossAx val="14178343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QILT">
  <a:themeElements>
    <a:clrScheme name="SES">
      <a:dk1>
        <a:srgbClr val="000000"/>
      </a:dk1>
      <a:lt1>
        <a:sysClr val="window" lastClr="FFFFFF"/>
      </a:lt1>
      <a:dk2>
        <a:srgbClr val="007A7D"/>
      </a:dk2>
      <a:lt2>
        <a:srgbClr val="E6ECEE"/>
      </a:lt2>
      <a:accent1>
        <a:srgbClr val="DE2060"/>
      </a:accent1>
      <a:accent2>
        <a:srgbClr val="F3772C"/>
      </a:accent2>
      <a:accent3>
        <a:srgbClr val="B7D432"/>
      </a:accent3>
      <a:accent4>
        <a:srgbClr val="4FBFBE"/>
      </a:accent4>
      <a:accent5>
        <a:srgbClr val="FCB942"/>
      </a:accent5>
      <a:accent6>
        <a:srgbClr val="C3AA95"/>
      </a:accent6>
      <a:hlink>
        <a:srgbClr val="1C365F"/>
      </a:hlink>
      <a:folHlink>
        <a:srgbClr val="4B7CC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QILT theme">
    <a:dk1>
      <a:srgbClr val="3A3A3A"/>
    </a:dk1>
    <a:lt1>
      <a:sysClr val="window" lastClr="FFFFFF"/>
    </a:lt1>
    <a:dk2>
      <a:srgbClr val="057070"/>
    </a:dk2>
    <a:lt2>
      <a:srgbClr val="007A7D"/>
    </a:lt2>
    <a:accent1>
      <a:srgbClr val="4FBFBE"/>
    </a:accent1>
    <a:accent2>
      <a:srgbClr val="B7D432"/>
    </a:accent2>
    <a:accent3>
      <a:srgbClr val="F3772C"/>
    </a:accent3>
    <a:accent4>
      <a:srgbClr val="EE3B6F"/>
    </a:accent4>
    <a:accent5>
      <a:srgbClr val="FCB942"/>
    </a:accent5>
    <a:accent6>
      <a:srgbClr val="C3AA95"/>
    </a:accent6>
    <a:hlink>
      <a:srgbClr val="0563C1"/>
    </a:hlink>
    <a:folHlink>
      <a:srgbClr val="954F72"/>
    </a:folHlink>
  </a:clrScheme>
  <a:fontScheme name="Custom 1">
    <a:majorFont>
      <a:latin typeface="Public Sans"/>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QILT theme">
    <a:dk1>
      <a:srgbClr val="3A3A3A"/>
    </a:dk1>
    <a:lt1>
      <a:sysClr val="window" lastClr="FFFFFF"/>
    </a:lt1>
    <a:dk2>
      <a:srgbClr val="057070"/>
    </a:dk2>
    <a:lt2>
      <a:srgbClr val="007A7D"/>
    </a:lt2>
    <a:accent1>
      <a:srgbClr val="4FBFBE"/>
    </a:accent1>
    <a:accent2>
      <a:srgbClr val="B7D432"/>
    </a:accent2>
    <a:accent3>
      <a:srgbClr val="F3772C"/>
    </a:accent3>
    <a:accent4>
      <a:srgbClr val="EE3B6F"/>
    </a:accent4>
    <a:accent5>
      <a:srgbClr val="FCB942"/>
    </a:accent5>
    <a:accent6>
      <a:srgbClr val="C3AA95"/>
    </a:accent6>
    <a:hlink>
      <a:srgbClr val="0563C1"/>
    </a:hlink>
    <a:folHlink>
      <a:srgbClr val="954F72"/>
    </a:folHlink>
  </a:clrScheme>
  <a:fontScheme name="Custom 1">
    <a:majorFont>
      <a:latin typeface="Public Sans"/>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98A18D3684994C9C52717DA600DB9E" ma:contentTypeVersion="20" ma:contentTypeDescription="Create a new document." ma:contentTypeScope="" ma:versionID="bb6e8cf81ba922e863fe1d116891fa63">
  <xsd:schema xmlns:xsd="http://www.w3.org/2001/XMLSchema" xmlns:xs="http://www.w3.org/2001/XMLSchema" xmlns:p="http://schemas.microsoft.com/office/2006/metadata/properties" xmlns:ns1="http://schemas.microsoft.com/sharepoint/v3" xmlns:ns2="ae4e7071-5663-40f4-b82b-2f0fff1265cc" xmlns:ns3="1d7fd805-69e4-4ade-a468-cc546b9d58af" targetNamespace="http://schemas.microsoft.com/office/2006/metadata/properties" ma:root="true" ma:fieldsID="c0078e2d2f75fa7cb1cb871e4499068b" ns1:_="" ns2:_="" ns3:_="">
    <xsd:import namespace="http://schemas.microsoft.com/sharepoint/v3"/>
    <xsd:import namespace="ae4e7071-5663-40f4-b82b-2f0fff1265cc"/>
    <xsd:import namespace="1d7fd805-69e4-4ade-a468-cc546b9d58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e7071-5663-40f4-b82b-2f0fff126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be075d-681b-45a2-8aaf-45aedbdf89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Notes" ma:index="27" nillable="true" ma:displayName="Notes" ma:description="Comprehensive version"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7fd805-69e4-4ade-a468-cc546b9d58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f07664-34f3-4f09-9e94-c8b34590142c}" ma:internalName="TaxCatchAll" ma:showField="CatchAllData" ma:web="1d7fd805-69e4-4ade-a468-cc546b9d5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e4e7071-5663-40f4-b82b-2f0fff1265cc">
      <Terms xmlns="http://schemas.microsoft.com/office/infopath/2007/PartnerControls"/>
    </lcf76f155ced4ddcb4097134ff3c332f>
    <TaxCatchAll xmlns="1d7fd805-69e4-4ade-a468-cc546b9d58af" xsi:nil="true"/>
    <Notes xmlns="ae4e7071-5663-40f4-b82b-2f0fff1265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A16E2B-E189-4249-ADF6-291BADB85185}">
  <ds:schemaRefs>
    <ds:schemaRef ds:uri="http://schemas.openxmlformats.org/officeDocument/2006/bibliography"/>
  </ds:schemaRefs>
</ds:datastoreItem>
</file>

<file path=customXml/itemProps2.xml><?xml version="1.0" encoding="utf-8"?>
<ds:datastoreItem xmlns:ds="http://schemas.openxmlformats.org/officeDocument/2006/customXml" ds:itemID="{4B94CB4B-8AAE-4B93-864B-08534D996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4e7071-5663-40f4-b82b-2f0fff1265cc"/>
    <ds:schemaRef ds:uri="1d7fd805-69e4-4ade-a468-cc546b9d5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D5EBD-7E86-44B8-BC01-55F77E4327E4}">
  <ds:schemaRefs>
    <ds:schemaRef ds:uri="http://schemas.microsoft.com/office/2006/metadata/properties"/>
    <ds:schemaRef ds:uri="http://schemas.microsoft.com/office/infopath/2007/PartnerControls"/>
    <ds:schemaRef ds:uri="http://schemas.microsoft.com/sharepoint/v3"/>
    <ds:schemaRef ds:uri="ae4e7071-5663-40f4-b82b-2f0fff1265cc"/>
    <ds:schemaRef ds:uri="1d7fd805-69e4-4ade-a468-cc546b9d58af"/>
  </ds:schemaRefs>
</ds:datastoreItem>
</file>

<file path=customXml/itemProps4.xml><?xml version="1.0" encoding="utf-8"?>
<ds:datastoreItem xmlns:ds="http://schemas.openxmlformats.org/officeDocument/2006/customXml" ds:itemID="{6339B6D6-8B2B-448D-8749-230D669FEB6C}">
  <ds:schemaRefs>
    <ds:schemaRef ds:uri="http://schemas.microsoft.com/sharepoint/v3/contenttype/forms"/>
  </ds:schemaRefs>
</ds:datastoreItem>
</file>

<file path=docMetadata/LabelInfo.xml><?xml version="1.0" encoding="utf-8"?>
<clbl:labelList xmlns:clbl="http://schemas.microsoft.com/office/2020/mipLabelMetadata">
  <clbl:label id="{530eb4d8-2b68-4bf4-88c4-05d960b8514d}" enabled="0" method="" siteId="{530eb4d8-2b68-4bf4-88c4-05d960b8514d}" removed="1"/>
</clbl:labelList>
</file>

<file path=docProps/app.xml><?xml version="1.0" encoding="utf-8"?>
<Properties xmlns="http://schemas.openxmlformats.org/officeDocument/2006/extended-properties" xmlns:vt="http://schemas.openxmlformats.org/officeDocument/2006/docPropsVTypes">
  <Template>Normal</Template>
  <TotalTime>294</TotalTime>
  <Pages>75</Pages>
  <Words>12987</Words>
  <Characters>78442</Characters>
  <Application>Microsoft Office Word</Application>
  <DocSecurity>0</DocSecurity>
  <Lines>1705</Lines>
  <Paragraphs>1142</Paragraphs>
  <ScaleCrop>false</ScaleCrop>
  <HeadingPairs>
    <vt:vector size="2" baseType="variant">
      <vt:variant>
        <vt:lpstr>Title</vt:lpstr>
      </vt:variant>
      <vt:variant>
        <vt:i4>1</vt:i4>
      </vt:variant>
    </vt:vector>
  </HeadingPairs>
  <TitlesOfParts>
    <vt:vector size="1" baseType="lpstr">
      <vt:lpstr>2025 SES National Report</vt:lpstr>
    </vt:vector>
  </TitlesOfParts>
  <Manager/>
  <Company>The Social Reserarch Centre Pty Ltd</Company>
  <LinksUpToDate>false</LinksUpToDate>
  <CharactersWithSpaces>90287</CharactersWithSpaces>
  <SharedDoc>false</SharedDoc>
  <HyperlinkBase/>
  <HLinks>
    <vt:vector size="552" baseType="variant">
      <vt:variant>
        <vt:i4>6619208</vt:i4>
      </vt:variant>
      <vt:variant>
        <vt:i4>825</vt:i4>
      </vt:variant>
      <vt:variant>
        <vt:i4>0</vt:i4>
      </vt:variant>
      <vt:variant>
        <vt:i4>5</vt:i4>
      </vt:variant>
      <vt:variant>
        <vt:lpwstr/>
      </vt:variant>
      <vt:variant>
        <vt:lpwstr>_Demographic_and_equity</vt:lpwstr>
      </vt:variant>
      <vt:variant>
        <vt:i4>4456562</vt:i4>
      </vt:variant>
      <vt:variant>
        <vt:i4>759</vt:i4>
      </vt:variant>
      <vt:variant>
        <vt:i4>0</vt:i4>
      </vt:variant>
      <vt:variant>
        <vt:i4>5</vt:i4>
      </vt:variant>
      <vt:variant>
        <vt:lpwstr/>
      </vt:variant>
      <vt:variant>
        <vt:lpwstr>_Freedom_of_expression</vt:lpwstr>
      </vt:variant>
      <vt:variant>
        <vt:i4>2424847</vt:i4>
      </vt:variant>
      <vt:variant>
        <vt:i4>522</vt:i4>
      </vt:variant>
      <vt:variant>
        <vt:i4>0</vt:i4>
      </vt:variant>
      <vt:variant>
        <vt:i4>5</vt:i4>
      </vt:variant>
      <vt:variant>
        <vt:lpwstr>https://www.qilt.edu.au/docs/default-source/default-document-library/production-of-scores-in-the-ses.pdf?sfvrsn=f960428e_1</vt:lpwstr>
      </vt:variant>
      <vt:variant>
        <vt:lpwstr/>
      </vt:variant>
      <vt:variant>
        <vt:i4>3866679</vt:i4>
      </vt:variant>
      <vt:variant>
        <vt:i4>516</vt:i4>
      </vt:variant>
      <vt:variant>
        <vt:i4>0</vt:i4>
      </vt:variant>
      <vt:variant>
        <vt:i4>5</vt:i4>
      </vt:variant>
      <vt:variant>
        <vt:lpwstr>https://www.qilt.edu.au/surveys/student-experience-survey-(ses)</vt:lpwstr>
      </vt:variant>
      <vt:variant>
        <vt:lpwstr/>
      </vt:variant>
      <vt:variant>
        <vt:i4>3407981</vt:i4>
      </vt:variant>
      <vt:variant>
        <vt:i4>513</vt:i4>
      </vt:variant>
      <vt:variant>
        <vt:i4>0</vt:i4>
      </vt:variant>
      <vt:variant>
        <vt:i4>5</vt:i4>
      </vt:variant>
      <vt:variant>
        <vt:lpwstr>https://www.qilt.edu.au/docs/default-source/default-document-library/2025-ses-methodological-report.pdf</vt:lpwstr>
      </vt:variant>
      <vt:variant>
        <vt:lpwstr/>
      </vt:variant>
      <vt:variant>
        <vt:i4>1441883</vt:i4>
      </vt:variant>
      <vt:variant>
        <vt:i4>510</vt:i4>
      </vt:variant>
      <vt:variant>
        <vt:i4>0</vt:i4>
      </vt:variant>
      <vt:variant>
        <vt:i4>5</vt:i4>
      </vt:variant>
      <vt:variant>
        <vt:lpwstr>https://www.qilt.edu.au/resources</vt:lpwstr>
      </vt:variant>
      <vt:variant>
        <vt:lpwstr/>
      </vt:variant>
      <vt:variant>
        <vt:i4>1966141</vt:i4>
      </vt:variant>
      <vt:variant>
        <vt:i4>503</vt:i4>
      </vt:variant>
      <vt:variant>
        <vt:i4>0</vt:i4>
      </vt:variant>
      <vt:variant>
        <vt:i4>5</vt:i4>
      </vt:variant>
      <vt:variant>
        <vt:lpwstr/>
      </vt:variant>
      <vt:variant>
        <vt:lpwstr>_Toc224128922</vt:lpwstr>
      </vt:variant>
      <vt:variant>
        <vt:i4>1966141</vt:i4>
      </vt:variant>
      <vt:variant>
        <vt:i4>497</vt:i4>
      </vt:variant>
      <vt:variant>
        <vt:i4>0</vt:i4>
      </vt:variant>
      <vt:variant>
        <vt:i4>5</vt:i4>
      </vt:variant>
      <vt:variant>
        <vt:lpwstr/>
      </vt:variant>
      <vt:variant>
        <vt:lpwstr>_Toc224128921</vt:lpwstr>
      </vt:variant>
      <vt:variant>
        <vt:i4>1966141</vt:i4>
      </vt:variant>
      <vt:variant>
        <vt:i4>491</vt:i4>
      </vt:variant>
      <vt:variant>
        <vt:i4>0</vt:i4>
      </vt:variant>
      <vt:variant>
        <vt:i4>5</vt:i4>
      </vt:variant>
      <vt:variant>
        <vt:lpwstr/>
      </vt:variant>
      <vt:variant>
        <vt:lpwstr>_Toc224128920</vt:lpwstr>
      </vt:variant>
      <vt:variant>
        <vt:i4>1900605</vt:i4>
      </vt:variant>
      <vt:variant>
        <vt:i4>485</vt:i4>
      </vt:variant>
      <vt:variant>
        <vt:i4>0</vt:i4>
      </vt:variant>
      <vt:variant>
        <vt:i4>5</vt:i4>
      </vt:variant>
      <vt:variant>
        <vt:lpwstr/>
      </vt:variant>
      <vt:variant>
        <vt:lpwstr>_Toc224128919</vt:lpwstr>
      </vt:variant>
      <vt:variant>
        <vt:i4>1900605</vt:i4>
      </vt:variant>
      <vt:variant>
        <vt:i4>479</vt:i4>
      </vt:variant>
      <vt:variant>
        <vt:i4>0</vt:i4>
      </vt:variant>
      <vt:variant>
        <vt:i4>5</vt:i4>
      </vt:variant>
      <vt:variant>
        <vt:lpwstr/>
      </vt:variant>
      <vt:variant>
        <vt:lpwstr>_Toc224128918</vt:lpwstr>
      </vt:variant>
      <vt:variant>
        <vt:i4>1900605</vt:i4>
      </vt:variant>
      <vt:variant>
        <vt:i4>473</vt:i4>
      </vt:variant>
      <vt:variant>
        <vt:i4>0</vt:i4>
      </vt:variant>
      <vt:variant>
        <vt:i4>5</vt:i4>
      </vt:variant>
      <vt:variant>
        <vt:lpwstr/>
      </vt:variant>
      <vt:variant>
        <vt:lpwstr>_Toc224128917</vt:lpwstr>
      </vt:variant>
      <vt:variant>
        <vt:i4>1900605</vt:i4>
      </vt:variant>
      <vt:variant>
        <vt:i4>467</vt:i4>
      </vt:variant>
      <vt:variant>
        <vt:i4>0</vt:i4>
      </vt:variant>
      <vt:variant>
        <vt:i4>5</vt:i4>
      </vt:variant>
      <vt:variant>
        <vt:lpwstr/>
      </vt:variant>
      <vt:variant>
        <vt:lpwstr>_Toc224128916</vt:lpwstr>
      </vt:variant>
      <vt:variant>
        <vt:i4>1900605</vt:i4>
      </vt:variant>
      <vt:variant>
        <vt:i4>461</vt:i4>
      </vt:variant>
      <vt:variant>
        <vt:i4>0</vt:i4>
      </vt:variant>
      <vt:variant>
        <vt:i4>5</vt:i4>
      </vt:variant>
      <vt:variant>
        <vt:lpwstr/>
      </vt:variant>
      <vt:variant>
        <vt:lpwstr>_Toc224128915</vt:lpwstr>
      </vt:variant>
      <vt:variant>
        <vt:i4>1900605</vt:i4>
      </vt:variant>
      <vt:variant>
        <vt:i4>455</vt:i4>
      </vt:variant>
      <vt:variant>
        <vt:i4>0</vt:i4>
      </vt:variant>
      <vt:variant>
        <vt:i4>5</vt:i4>
      </vt:variant>
      <vt:variant>
        <vt:lpwstr/>
      </vt:variant>
      <vt:variant>
        <vt:lpwstr>_Toc224128914</vt:lpwstr>
      </vt:variant>
      <vt:variant>
        <vt:i4>1900605</vt:i4>
      </vt:variant>
      <vt:variant>
        <vt:i4>449</vt:i4>
      </vt:variant>
      <vt:variant>
        <vt:i4>0</vt:i4>
      </vt:variant>
      <vt:variant>
        <vt:i4>5</vt:i4>
      </vt:variant>
      <vt:variant>
        <vt:lpwstr/>
      </vt:variant>
      <vt:variant>
        <vt:lpwstr>_Toc224128913</vt:lpwstr>
      </vt:variant>
      <vt:variant>
        <vt:i4>1900605</vt:i4>
      </vt:variant>
      <vt:variant>
        <vt:i4>443</vt:i4>
      </vt:variant>
      <vt:variant>
        <vt:i4>0</vt:i4>
      </vt:variant>
      <vt:variant>
        <vt:i4>5</vt:i4>
      </vt:variant>
      <vt:variant>
        <vt:lpwstr/>
      </vt:variant>
      <vt:variant>
        <vt:lpwstr>_Toc224128912</vt:lpwstr>
      </vt:variant>
      <vt:variant>
        <vt:i4>1900605</vt:i4>
      </vt:variant>
      <vt:variant>
        <vt:i4>437</vt:i4>
      </vt:variant>
      <vt:variant>
        <vt:i4>0</vt:i4>
      </vt:variant>
      <vt:variant>
        <vt:i4>5</vt:i4>
      </vt:variant>
      <vt:variant>
        <vt:lpwstr/>
      </vt:variant>
      <vt:variant>
        <vt:lpwstr>_Toc224128911</vt:lpwstr>
      </vt:variant>
      <vt:variant>
        <vt:i4>1900605</vt:i4>
      </vt:variant>
      <vt:variant>
        <vt:i4>431</vt:i4>
      </vt:variant>
      <vt:variant>
        <vt:i4>0</vt:i4>
      </vt:variant>
      <vt:variant>
        <vt:i4>5</vt:i4>
      </vt:variant>
      <vt:variant>
        <vt:lpwstr/>
      </vt:variant>
      <vt:variant>
        <vt:lpwstr>_Toc224128910</vt:lpwstr>
      </vt:variant>
      <vt:variant>
        <vt:i4>1835069</vt:i4>
      </vt:variant>
      <vt:variant>
        <vt:i4>425</vt:i4>
      </vt:variant>
      <vt:variant>
        <vt:i4>0</vt:i4>
      </vt:variant>
      <vt:variant>
        <vt:i4>5</vt:i4>
      </vt:variant>
      <vt:variant>
        <vt:lpwstr/>
      </vt:variant>
      <vt:variant>
        <vt:lpwstr>_Toc224128909</vt:lpwstr>
      </vt:variant>
      <vt:variant>
        <vt:i4>1835069</vt:i4>
      </vt:variant>
      <vt:variant>
        <vt:i4>419</vt:i4>
      </vt:variant>
      <vt:variant>
        <vt:i4>0</vt:i4>
      </vt:variant>
      <vt:variant>
        <vt:i4>5</vt:i4>
      </vt:variant>
      <vt:variant>
        <vt:lpwstr/>
      </vt:variant>
      <vt:variant>
        <vt:lpwstr>_Toc224128908</vt:lpwstr>
      </vt:variant>
      <vt:variant>
        <vt:i4>1835069</vt:i4>
      </vt:variant>
      <vt:variant>
        <vt:i4>413</vt:i4>
      </vt:variant>
      <vt:variant>
        <vt:i4>0</vt:i4>
      </vt:variant>
      <vt:variant>
        <vt:i4>5</vt:i4>
      </vt:variant>
      <vt:variant>
        <vt:lpwstr/>
      </vt:variant>
      <vt:variant>
        <vt:lpwstr>_Toc224128907</vt:lpwstr>
      </vt:variant>
      <vt:variant>
        <vt:i4>1835069</vt:i4>
      </vt:variant>
      <vt:variant>
        <vt:i4>407</vt:i4>
      </vt:variant>
      <vt:variant>
        <vt:i4>0</vt:i4>
      </vt:variant>
      <vt:variant>
        <vt:i4>5</vt:i4>
      </vt:variant>
      <vt:variant>
        <vt:lpwstr/>
      </vt:variant>
      <vt:variant>
        <vt:lpwstr>_Toc224128906</vt:lpwstr>
      </vt:variant>
      <vt:variant>
        <vt:i4>1835069</vt:i4>
      </vt:variant>
      <vt:variant>
        <vt:i4>401</vt:i4>
      </vt:variant>
      <vt:variant>
        <vt:i4>0</vt:i4>
      </vt:variant>
      <vt:variant>
        <vt:i4>5</vt:i4>
      </vt:variant>
      <vt:variant>
        <vt:lpwstr/>
      </vt:variant>
      <vt:variant>
        <vt:lpwstr>_Toc224128905</vt:lpwstr>
      </vt:variant>
      <vt:variant>
        <vt:i4>1835069</vt:i4>
      </vt:variant>
      <vt:variant>
        <vt:i4>395</vt:i4>
      </vt:variant>
      <vt:variant>
        <vt:i4>0</vt:i4>
      </vt:variant>
      <vt:variant>
        <vt:i4>5</vt:i4>
      </vt:variant>
      <vt:variant>
        <vt:lpwstr/>
      </vt:variant>
      <vt:variant>
        <vt:lpwstr>_Toc224128904</vt:lpwstr>
      </vt:variant>
      <vt:variant>
        <vt:i4>1835069</vt:i4>
      </vt:variant>
      <vt:variant>
        <vt:i4>389</vt:i4>
      </vt:variant>
      <vt:variant>
        <vt:i4>0</vt:i4>
      </vt:variant>
      <vt:variant>
        <vt:i4>5</vt:i4>
      </vt:variant>
      <vt:variant>
        <vt:lpwstr/>
      </vt:variant>
      <vt:variant>
        <vt:lpwstr>_Toc224128903</vt:lpwstr>
      </vt:variant>
      <vt:variant>
        <vt:i4>1835069</vt:i4>
      </vt:variant>
      <vt:variant>
        <vt:i4>383</vt:i4>
      </vt:variant>
      <vt:variant>
        <vt:i4>0</vt:i4>
      </vt:variant>
      <vt:variant>
        <vt:i4>5</vt:i4>
      </vt:variant>
      <vt:variant>
        <vt:lpwstr/>
      </vt:variant>
      <vt:variant>
        <vt:lpwstr>_Toc224128902</vt:lpwstr>
      </vt:variant>
      <vt:variant>
        <vt:i4>1835069</vt:i4>
      </vt:variant>
      <vt:variant>
        <vt:i4>377</vt:i4>
      </vt:variant>
      <vt:variant>
        <vt:i4>0</vt:i4>
      </vt:variant>
      <vt:variant>
        <vt:i4>5</vt:i4>
      </vt:variant>
      <vt:variant>
        <vt:lpwstr/>
      </vt:variant>
      <vt:variant>
        <vt:lpwstr>_Toc224128901</vt:lpwstr>
      </vt:variant>
      <vt:variant>
        <vt:i4>1835069</vt:i4>
      </vt:variant>
      <vt:variant>
        <vt:i4>371</vt:i4>
      </vt:variant>
      <vt:variant>
        <vt:i4>0</vt:i4>
      </vt:variant>
      <vt:variant>
        <vt:i4>5</vt:i4>
      </vt:variant>
      <vt:variant>
        <vt:lpwstr/>
      </vt:variant>
      <vt:variant>
        <vt:lpwstr>_Toc224128900</vt:lpwstr>
      </vt:variant>
      <vt:variant>
        <vt:i4>1376316</vt:i4>
      </vt:variant>
      <vt:variant>
        <vt:i4>365</vt:i4>
      </vt:variant>
      <vt:variant>
        <vt:i4>0</vt:i4>
      </vt:variant>
      <vt:variant>
        <vt:i4>5</vt:i4>
      </vt:variant>
      <vt:variant>
        <vt:lpwstr/>
      </vt:variant>
      <vt:variant>
        <vt:lpwstr>_Toc224128899</vt:lpwstr>
      </vt:variant>
      <vt:variant>
        <vt:i4>1376316</vt:i4>
      </vt:variant>
      <vt:variant>
        <vt:i4>359</vt:i4>
      </vt:variant>
      <vt:variant>
        <vt:i4>0</vt:i4>
      </vt:variant>
      <vt:variant>
        <vt:i4>5</vt:i4>
      </vt:variant>
      <vt:variant>
        <vt:lpwstr/>
      </vt:variant>
      <vt:variant>
        <vt:lpwstr>_Toc224128898</vt:lpwstr>
      </vt:variant>
      <vt:variant>
        <vt:i4>1376316</vt:i4>
      </vt:variant>
      <vt:variant>
        <vt:i4>353</vt:i4>
      </vt:variant>
      <vt:variant>
        <vt:i4>0</vt:i4>
      </vt:variant>
      <vt:variant>
        <vt:i4>5</vt:i4>
      </vt:variant>
      <vt:variant>
        <vt:lpwstr/>
      </vt:variant>
      <vt:variant>
        <vt:lpwstr>_Toc224128897</vt:lpwstr>
      </vt:variant>
      <vt:variant>
        <vt:i4>1376316</vt:i4>
      </vt:variant>
      <vt:variant>
        <vt:i4>347</vt:i4>
      </vt:variant>
      <vt:variant>
        <vt:i4>0</vt:i4>
      </vt:variant>
      <vt:variant>
        <vt:i4>5</vt:i4>
      </vt:variant>
      <vt:variant>
        <vt:lpwstr/>
      </vt:variant>
      <vt:variant>
        <vt:lpwstr>_Toc224128896</vt:lpwstr>
      </vt:variant>
      <vt:variant>
        <vt:i4>1376316</vt:i4>
      </vt:variant>
      <vt:variant>
        <vt:i4>341</vt:i4>
      </vt:variant>
      <vt:variant>
        <vt:i4>0</vt:i4>
      </vt:variant>
      <vt:variant>
        <vt:i4>5</vt:i4>
      </vt:variant>
      <vt:variant>
        <vt:lpwstr/>
      </vt:variant>
      <vt:variant>
        <vt:lpwstr>_Toc224128895</vt:lpwstr>
      </vt:variant>
      <vt:variant>
        <vt:i4>1376316</vt:i4>
      </vt:variant>
      <vt:variant>
        <vt:i4>335</vt:i4>
      </vt:variant>
      <vt:variant>
        <vt:i4>0</vt:i4>
      </vt:variant>
      <vt:variant>
        <vt:i4>5</vt:i4>
      </vt:variant>
      <vt:variant>
        <vt:lpwstr/>
      </vt:variant>
      <vt:variant>
        <vt:lpwstr>_Toc224128894</vt:lpwstr>
      </vt:variant>
      <vt:variant>
        <vt:i4>1376316</vt:i4>
      </vt:variant>
      <vt:variant>
        <vt:i4>329</vt:i4>
      </vt:variant>
      <vt:variant>
        <vt:i4>0</vt:i4>
      </vt:variant>
      <vt:variant>
        <vt:i4>5</vt:i4>
      </vt:variant>
      <vt:variant>
        <vt:lpwstr/>
      </vt:variant>
      <vt:variant>
        <vt:lpwstr>_Toc224128893</vt:lpwstr>
      </vt:variant>
      <vt:variant>
        <vt:i4>1376316</vt:i4>
      </vt:variant>
      <vt:variant>
        <vt:i4>323</vt:i4>
      </vt:variant>
      <vt:variant>
        <vt:i4>0</vt:i4>
      </vt:variant>
      <vt:variant>
        <vt:i4>5</vt:i4>
      </vt:variant>
      <vt:variant>
        <vt:lpwstr/>
      </vt:variant>
      <vt:variant>
        <vt:lpwstr>_Toc224128892</vt:lpwstr>
      </vt:variant>
      <vt:variant>
        <vt:i4>1376316</vt:i4>
      </vt:variant>
      <vt:variant>
        <vt:i4>317</vt:i4>
      </vt:variant>
      <vt:variant>
        <vt:i4>0</vt:i4>
      </vt:variant>
      <vt:variant>
        <vt:i4>5</vt:i4>
      </vt:variant>
      <vt:variant>
        <vt:lpwstr/>
      </vt:variant>
      <vt:variant>
        <vt:lpwstr>_Toc224128891</vt:lpwstr>
      </vt:variant>
      <vt:variant>
        <vt:i4>1376316</vt:i4>
      </vt:variant>
      <vt:variant>
        <vt:i4>311</vt:i4>
      </vt:variant>
      <vt:variant>
        <vt:i4>0</vt:i4>
      </vt:variant>
      <vt:variant>
        <vt:i4>5</vt:i4>
      </vt:variant>
      <vt:variant>
        <vt:lpwstr/>
      </vt:variant>
      <vt:variant>
        <vt:lpwstr>_Toc224128890</vt:lpwstr>
      </vt:variant>
      <vt:variant>
        <vt:i4>1310780</vt:i4>
      </vt:variant>
      <vt:variant>
        <vt:i4>305</vt:i4>
      </vt:variant>
      <vt:variant>
        <vt:i4>0</vt:i4>
      </vt:variant>
      <vt:variant>
        <vt:i4>5</vt:i4>
      </vt:variant>
      <vt:variant>
        <vt:lpwstr/>
      </vt:variant>
      <vt:variant>
        <vt:lpwstr>_Toc224128889</vt:lpwstr>
      </vt:variant>
      <vt:variant>
        <vt:i4>1310780</vt:i4>
      </vt:variant>
      <vt:variant>
        <vt:i4>299</vt:i4>
      </vt:variant>
      <vt:variant>
        <vt:i4>0</vt:i4>
      </vt:variant>
      <vt:variant>
        <vt:i4>5</vt:i4>
      </vt:variant>
      <vt:variant>
        <vt:lpwstr/>
      </vt:variant>
      <vt:variant>
        <vt:lpwstr>_Toc224128888</vt:lpwstr>
      </vt:variant>
      <vt:variant>
        <vt:i4>1310780</vt:i4>
      </vt:variant>
      <vt:variant>
        <vt:i4>293</vt:i4>
      </vt:variant>
      <vt:variant>
        <vt:i4>0</vt:i4>
      </vt:variant>
      <vt:variant>
        <vt:i4>5</vt:i4>
      </vt:variant>
      <vt:variant>
        <vt:lpwstr/>
      </vt:variant>
      <vt:variant>
        <vt:lpwstr>_Toc224128887</vt:lpwstr>
      </vt:variant>
      <vt:variant>
        <vt:i4>1310780</vt:i4>
      </vt:variant>
      <vt:variant>
        <vt:i4>287</vt:i4>
      </vt:variant>
      <vt:variant>
        <vt:i4>0</vt:i4>
      </vt:variant>
      <vt:variant>
        <vt:i4>5</vt:i4>
      </vt:variant>
      <vt:variant>
        <vt:lpwstr/>
      </vt:variant>
      <vt:variant>
        <vt:lpwstr>_Toc224128886</vt:lpwstr>
      </vt:variant>
      <vt:variant>
        <vt:i4>1310780</vt:i4>
      </vt:variant>
      <vt:variant>
        <vt:i4>281</vt:i4>
      </vt:variant>
      <vt:variant>
        <vt:i4>0</vt:i4>
      </vt:variant>
      <vt:variant>
        <vt:i4>5</vt:i4>
      </vt:variant>
      <vt:variant>
        <vt:lpwstr/>
      </vt:variant>
      <vt:variant>
        <vt:lpwstr>_Toc224128885</vt:lpwstr>
      </vt:variant>
      <vt:variant>
        <vt:i4>1310780</vt:i4>
      </vt:variant>
      <vt:variant>
        <vt:i4>275</vt:i4>
      </vt:variant>
      <vt:variant>
        <vt:i4>0</vt:i4>
      </vt:variant>
      <vt:variant>
        <vt:i4>5</vt:i4>
      </vt:variant>
      <vt:variant>
        <vt:lpwstr/>
      </vt:variant>
      <vt:variant>
        <vt:lpwstr>_Toc224128884</vt:lpwstr>
      </vt:variant>
      <vt:variant>
        <vt:i4>1310780</vt:i4>
      </vt:variant>
      <vt:variant>
        <vt:i4>269</vt:i4>
      </vt:variant>
      <vt:variant>
        <vt:i4>0</vt:i4>
      </vt:variant>
      <vt:variant>
        <vt:i4>5</vt:i4>
      </vt:variant>
      <vt:variant>
        <vt:lpwstr/>
      </vt:variant>
      <vt:variant>
        <vt:lpwstr>_Toc224128883</vt:lpwstr>
      </vt:variant>
      <vt:variant>
        <vt:i4>1310780</vt:i4>
      </vt:variant>
      <vt:variant>
        <vt:i4>263</vt:i4>
      </vt:variant>
      <vt:variant>
        <vt:i4>0</vt:i4>
      </vt:variant>
      <vt:variant>
        <vt:i4>5</vt:i4>
      </vt:variant>
      <vt:variant>
        <vt:lpwstr/>
      </vt:variant>
      <vt:variant>
        <vt:lpwstr>_Toc224128882</vt:lpwstr>
      </vt:variant>
      <vt:variant>
        <vt:i4>1310780</vt:i4>
      </vt:variant>
      <vt:variant>
        <vt:i4>257</vt:i4>
      </vt:variant>
      <vt:variant>
        <vt:i4>0</vt:i4>
      </vt:variant>
      <vt:variant>
        <vt:i4>5</vt:i4>
      </vt:variant>
      <vt:variant>
        <vt:lpwstr/>
      </vt:variant>
      <vt:variant>
        <vt:lpwstr>_Toc224128881</vt:lpwstr>
      </vt:variant>
      <vt:variant>
        <vt:i4>1310780</vt:i4>
      </vt:variant>
      <vt:variant>
        <vt:i4>251</vt:i4>
      </vt:variant>
      <vt:variant>
        <vt:i4>0</vt:i4>
      </vt:variant>
      <vt:variant>
        <vt:i4>5</vt:i4>
      </vt:variant>
      <vt:variant>
        <vt:lpwstr/>
      </vt:variant>
      <vt:variant>
        <vt:lpwstr>_Toc224128880</vt:lpwstr>
      </vt:variant>
      <vt:variant>
        <vt:i4>1769532</vt:i4>
      </vt:variant>
      <vt:variant>
        <vt:i4>245</vt:i4>
      </vt:variant>
      <vt:variant>
        <vt:i4>0</vt:i4>
      </vt:variant>
      <vt:variant>
        <vt:i4>5</vt:i4>
      </vt:variant>
      <vt:variant>
        <vt:lpwstr/>
      </vt:variant>
      <vt:variant>
        <vt:lpwstr>_Toc224128879</vt:lpwstr>
      </vt:variant>
      <vt:variant>
        <vt:i4>1769532</vt:i4>
      </vt:variant>
      <vt:variant>
        <vt:i4>239</vt:i4>
      </vt:variant>
      <vt:variant>
        <vt:i4>0</vt:i4>
      </vt:variant>
      <vt:variant>
        <vt:i4>5</vt:i4>
      </vt:variant>
      <vt:variant>
        <vt:lpwstr/>
      </vt:variant>
      <vt:variant>
        <vt:lpwstr>_Toc224128878</vt:lpwstr>
      </vt:variant>
      <vt:variant>
        <vt:i4>1769532</vt:i4>
      </vt:variant>
      <vt:variant>
        <vt:i4>233</vt:i4>
      </vt:variant>
      <vt:variant>
        <vt:i4>0</vt:i4>
      </vt:variant>
      <vt:variant>
        <vt:i4>5</vt:i4>
      </vt:variant>
      <vt:variant>
        <vt:lpwstr/>
      </vt:variant>
      <vt:variant>
        <vt:lpwstr>_Toc224128877</vt:lpwstr>
      </vt:variant>
      <vt:variant>
        <vt:i4>1769532</vt:i4>
      </vt:variant>
      <vt:variant>
        <vt:i4>227</vt:i4>
      </vt:variant>
      <vt:variant>
        <vt:i4>0</vt:i4>
      </vt:variant>
      <vt:variant>
        <vt:i4>5</vt:i4>
      </vt:variant>
      <vt:variant>
        <vt:lpwstr/>
      </vt:variant>
      <vt:variant>
        <vt:lpwstr>_Toc224128876</vt:lpwstr>
      </vt:variant>
      <vt:variant>
        <vt:i4>1769532</vt:i4>
      </vt:variant>
      <vt:variant>
        <vt:i4>221</vt:i4>
      </vt:variant>
      <vt:variant>
        <vt:i4>0</vt:i4>
      </vt:variant>
      <vt:variant>
        <vt:i4>5</vt:i4>
      </vt:variant>
      <vt:variant>
        <vt:lpwstr/>
      </vt:variant>
      <vt:variant>
        <vt:lpwstr>_Toc224128875</vt:lpwstr>
      </vt:variant>
      <vt:variant>
        <vt:i4>1769532</vt:i4>
      </vt:variant>
      <vt:variant>
        <vt:i4>215</vt:i4>
      </vt:variant>
      <vt:variant>
        <vt:i4>0</vt:i4>
      </vt:variant>
      <vt:variant>
        <vt:i4>5</vt:i4>
      </vt:variant>
      <vt:variant>
        <vt:lpwstr/>
      </vt:variant>
      <vt:variant>
        <vt:lpwstr>_Toc224128874</vt:lpwstr>
      </vt:variant>
      <vt:variant>
        <vt:i4>1769532</vt:i4>
      </vt:variant>
      <vt:variant>
        <vt:i4>209</vt:i4>
      </vt:variant>
      <vt:variant>
        <vt:i4>0</vt:i4>
      </vt:variant>
      <vt:variant>
        <vt:i4>5</vt:i4>
      </vt:variant>
      <vt:variant>
        <vt:lpwstr/>
      </vt:variant>
      <vt:variant>
        <vt:lpwstr>_Toc224128873</vt:lpwstr>
      </vt:variant>
      <vt:variant>
        <vt:i4>1835062</vt:i4>
      </vt:variant>
      <vt:variant>
        <vt:i4>200</vt:i4>
      </vt:variant>
      <vt:variant>
        <vt:i4>0</vt:i4>
      </vt:variant>
      <vt:variant>
        <vt:i4>5</vt:i4>
      </vt:variant>
      <vt:variant>
        <vt:lpwstr/>
      </vt:variant>
      <vt:variant>
        <vt:lpwstr>_Toc224121295</vt:lpwstr>
      </vt:variant>
      <vt:variant>
        <vt:i4>1835062</vt:i4>
      </vt:variant>
      <vt:variant>
        <vt:i4>194</vt:i4>
      </vt:variant>
      <vt:variant>
        <vt:i4>0</vt:i4>
      </vt:variant>
      <vt:variant>
        <vt:i4>5</vt:i4>
      </vt:variant>
      <vt:variant>
        <vt:lpwstr/>
      </vt:variant>
      <vt:variant>
        <vt:lpwstr>_Toc224121294</vt:lpwstr>
      </vt:variant>
      <vt:variant>
        <vt:i4>1835062</vt:i4>
      </vt:variant>
      <vt:variant>
        <vt:i4>188</vt:i4>
      </vt:variant>
      <vt:variant>
        <vt:i4>0</vt:i4>
      </vt:variant>
      <vt:variant>
        <vt:i4>5</vt:i4>
      </vt:variant>
      <vt:variant>
        <vt:lpwstr/>
      </vt:variant>
      <vt:variant>
        <vt:lpwstr>_Toc224121293</vt:lpwstr>
      </vt:variant>
      <vt:variant>
        <vt:i4>1835062</vt:i4>
      </vt:variant>
      <vt:variant>
        <vt:i4>182</vt:i4>
      </vt:variant>
      <vt:variant>
        <vt:i4>0</vt:i4>
      </vt:variant>
      <vt:variant>
        <vt:i4>5</vt:i4>
      </vt:variant>
      <vt:variant>
        <vt:lpwstr/>
      </vt:variant>
      <vt:variant>
        <vt:lpwstr>_Toc224121292</vt:lpwstr>
      </vt:variant>
      <vt:variant>
        <vt:i4>1835062</vt:i4>
      </vt:variant>
      <vt:variant>
        <vt:i4>176</vt:i4>
      </vt:variant>
      <vt:variant>
        <vt:i4>0</vt:i4>
      </vt:variant>
      <vt:variant>
        <vt:i4>5</vt:i4>
      </vt:variant>
      <vt:variant>
        <vt:lpwstr/>
      </vt:variant>
      <vt:variant>
        <vt:lpwstr>_Toc224121291</vt:lpwstr>
      </vt:variant>
      <vt:variant>
        <vt:i4>1245234</vt:i4>
      </vt:variant>
      <vt:variant>
        <vt:i4>167</vt:i4>
      </vt:variant>
      <vt:variant>
        <vt:i4>0</vt:i4>
      </vt:variant>
      <vt:variant>
        <vt:i4>5</vt:i4>
      </vt:variant>
      <vt:variant>
        <vt:lpwstr/>
      </vt:variant>
      <vt:variant>
        <vt:lpwstr>_Toc224070363</vt:lpwstr>
      </vt:variant>
      <vt:variant>
        <vt:i4>1245234</vt:i4>
      </vt:variant>
      <vt:variant>
        <vt:i4>161</vt:i4>
      </vt:variant>
      <vt:variant>
        <vt:i4>0</vt:i4>
      </vt:variant>
      <vt:variant>
        <vt:i4>5</vt:i4>
      </vt:variant>
      <vt:variant>
        <vt:lpwstr/>
      </vt:variant>
      <vt:variant>
        <vt:lpwstr>_Toc224070362</vt:lpwstr>
      </vt:variant>
      <vt:variant>
        <vt:i4>1245234</vt:i4>
      </vt:variant>
      <vt:variant>
        <vt:i4>155</vt:i4>
      </vt:variant>
      <vt:variant>
        <vt:i4>0</vt:i4>
      </vt:variant>
      <vt:variant>
        <vt:i4>5</vt:i4>
      </vt:variant>
      <vt:variant>
        <vt:lpwstr/>
      </vt:variant>
      <vt:variant>
        <vt:lpwstr>_Toc224070361</vt:lpwstr>
      </vt:variant>
      <vt:variant>
        <vt:i4>1245234</vt:i4>
      </vt:variant>
      <vt:variant>
        <vt:i4>149</vt:i4>
      </vt:variant>
      <vt:variant>
        <vt:i4>0</vt:i4>
      </vt:variant>
      <vt:variant>
        <vt:i4>5</vt:i4>
      </vt:variant>
      <vt:variant>
        <vt:lpwstr/>
      </vt:variant>
      <vt:variant>
        <vt:lpwstr>_Toc224070360</vt:lpwstr>
      </vt:variant>
      <vt:variant>
        <vt:i4>1048626</vt:i4>
      </vt:variant>
      <vt:variant>
        <vt:i4>143</vt:i4>
      </vt:variant>
      <vt:variant>
        <vt:i4>0</vt:i4>
      </vt:variant>
      <vt:variant>
        <vt:i4>5</vt:i4>
      </vt:variant>
      <vt:variant>
        <vt:lpwstr/>
      </vt:variant>
      <vt:variant>
        <vt:lpwstr>_Toc224070359</vt:lpwstr>
      </vt:variant>
      <vt:variant>
        <vt:i4>1048626</vt:i4>
      </vt:variant>
      <vt:variant>
        <vt:i4>137</vt:i4>
      </vt:variant>
      <vt:variant>
        <vt:i4>0</vt:i4>
      </vt:variant>
      <vt:variant>
        <vt:i4>5</vt:i4>
      </vt:variant>
      <vt:variant>
        <vt:lpwstr/>
      </vt:variant>
      <vt:variant>
        <vt:lpwstr>_Toc224070358</vt:lpwstr>
      </vt:variant>
      <vt:variant>
        <vt:i4>1048626</vt:i4>
      </vt:variant>
      <vt:variant>
        <vt:i4>131</vt:i4>
      </vt:variant>
      <vt:variant>
        <vt:i4>0</vt:i4>
      </vt:variant>
      <vt:variant>
        <vt:i4>5</vt:i4>
      </vt:variant>
      <vt:variant>
        <vt:lpwstr/>
      </vt:variant>
      <vt:variant>
        <vt:lpwstr>_Toc224070357</vt:lpwstr>
      </vt:variant>
      <vt:variant>
        <vt:i4>1048626</vt:i4>
      </vt:variant>
      <vt:variant>
        <vt:i4>125</vt:i4>
      </vt:variant>
      <vt:variant>
        <vt:i4>0</vt:i4>
      </vt:variant>
      <vt:variant>
        <vt:i4>5</vt:i4>
      </vt:variant>
      <vt:variant>
        <vt:lpwstr/>
      </vt:variant>
      <vt:variant>
        <vt:lpwstr>_Toc224070356</vt:lpwstr>
      </vt:variant>
      <vt:variant>
        <vt:i4>1048626</vt:i4>
      </vt:variant>
      <vt:variant>
        <vt:i4>119</vt:i4>
      </vt:variant>
      <vt:variant>
        <vt:i4>0</vt:i4>
      </vt:variant>
      <vt:variant>
        <vt:i4>5</vt:i4>
      </vt:variant>
      <vt:variant>
        <vt:lpwstr/>
      </vt:variant>
      <vt:variant>
        <vt:lpwstr>_Toc224070355</vt:lpwstr>
      </vt:variant>
      <vt:variant>
        <vt:i4>1048626</vt:i4>
      </vt:variant>
      <vt:variant>
        <vt:i4>113</vt:i4>
      </vt:variant>
      <vt:variant>
        <vt:i4>0</vt:i4>
      </vt:variant>
      <vt:variant>
        <vt:i4>5</vt:i4>
      </vt:variant>
      <vt:variant>
        <vt:lpwstr/>
      </vt:variant>
      <vt:variant>
        <vt:lpwstr>_Toc224070353</vt:lpwstr>
      </vt:variant>
      <vt:variant>
        <vt:i4>1048626</vt:i4>
      </vt:variant>
      <vt:variant>
        <vt:i4>107</vt:i4>
      </vt:variant>
      <vt:variant>
        <vt:i4>0</vt:i4>
      </vt:variant>
      <vt:variant>
        <vt:i4>5</vt:i4>
      </vt:variant>
      <vt:variant>
        <vt:lpwstr/>
      </vt:variant>
      <vt:variant>
        <vt:lpwstr>_Toc224070352</vt:lpwstr>
      </vt:variant>
      <vt:variant>
        <vt:i4>1048626</vt:i4>
      </vt:variant>
      <vt:variant>
        <vt:i4>101</vt:i4>
      </vt:variant>
      <vt:variant>
        <vt:i4>0</vt:i4>
      </vt:variant>
      <vt:variant>
        <vt:i4>5</vt:i4>
      </vt:variant>
      <vt:variant>
        <vt:lpwstr/>
      </vt:variant>
      <vt:variant>
        <vt:lpwstr>_Toc224070351</vt:lpwstr>
      </vt:variant>
      <vt:variant>
        <vt:i4>1048626</vt:i4>
      </vt:variant>
      <vt:variant>
        <vt:i4>95</vt:i4>
      </vt:variant>
      <vt:variant>
        <vt:i4>0</vt:i4>
      </vt:variant>
      <vt:variant>
        <vt:i4>5</vt:i4>
      </vt:variant>
      <vt:variant>
        <vt:lpwstr/>
      </vt:variant>
      <vt:variant>
        <vt:lpwstr>_Toc224070350</vt:lpwstr>
      </vt:variant>
      <vt:variant>
        <vt:i4>1114162</vt:i4>
      </vt:variant>
      <vt:variant>
        <vt:i4>89</vt:i4>
      </vt:variant>
      <vt:variant>
        <vt:i4>0</vt:i4>
      </vt:variant>
      <vt:variant>
        <vt:i4>5</vt:i4>
      </vt:variant>
      <vt:variant>
        <vt:lpwstr/>
      </vt:variant>
      <vt:variant>
        <vt:lpwstr>_Toc224070349</vt:lpwstr>
      </vt:variant>
      <vt:variant>
        <vt:i4>1114162</vt:i4>
      </vt:variant>
      <vt:variant>
        <vt:i4>83</vt:i4>
      </vt:variant>
      <vt:variant>
        <vt:i4>0</vt:i4>
      </vt:variant>
      <vt:variant>
        <vt:i4>5</vt:i4>
      </vt:variant>
      <vt:variant>
        <vt:lpwstr/>
      </vt:variant>
      <vt:variant>
        <vt:lpwstr>_Toc224070348</vt:lpwstr>
      </vt:variant>
      <vt:variant>
        <vt:i4>1114162</vt:i4>
      </vt:variant>
      <vt:variant>
        <vt:i4>77</vt:i4>
      </vt:variant>
      <vt:variant>
        <vt:i4>0</vt:i4>
      </vt:variant>
      <vt:variant>
        <vt:i4>5</vt:i4>
      </vt:variant>
      <vt:variant>
        <vt:lpwstr/>
      </vt:variant>
      <vt:variant>
        <vt:lpwstr>_Toc224070347</vt:lpwstr>
      </vt:variant>
      <vt:variant>
        <vt:i4>1114162</vt:i4>
      </vt:variant>
      <vt:variant>
        <vt:i4>71</vt:i4>
      </vt:variant>
      <vt:variant>
        <vt:i4>0</vt:i4>
      </vt:variant>
      <vt:variant>
        <vt:i4>5</vt:i4>
      </vt:variant>
      <vt:variant>
        <vt:lpwstr/>
      </vt:variant>
      <vt:variant>
        <vt:lpwstr>_Toc224070346</vt:lpwstr>
      </vt:variant>
      <vt:variant>
        <vt:i4>1114162</vt:i4>
      </vt:variant>
      <vt:variant>
        <vt:i4>65</vt:i4>
      </vt:variant>
      <vt:variant>
        <vt:i4>0</vt:i4>
      </vt:variant>
      <vt:variant>
        <vt:i4>5</vt:i4>
      </vt:variant>
      <vt:variant>
        <vt:lpwstr/>
      </vt:variant>
      <vt:variant>
        <vt:lpwstr>_Toc224070345</vt:lpwstr>
      </vt:variant>
      <vt:variant>
        <vt:i4>1114162</vt:i4>
      </vt:variant>
      <vt:variant>
        <vt:i4>59</vt:i4>
      </vt:variant>
      <vt:variant>
        <vt:i4>0</vt:i4>
      </vt:variant>
      <vt:variant>
        <vt:i4>5</vt:i4>
      </vt:variant>
      <vt:variant>
        <vt:lpwstr/>
      </vt:variant>
      <vt:variant>
        <vt:lpwstr>_Toc224070344</vt:lpwstr>
      </vt:variant>
      <vt:variant>
        <vt:i4>1114162</vt:i4>
      </vt:variant>
      <vt:variant>
        <vt:i4>53</vt:i4>
      </vt:variant>
      <vt:variant>
        <vt:i4>0</vt:i4>
      </vt:variant>
      <vt:variant>
        <vt:i4>5</vt:i4>
      </vt:variant>
      <vt:variant>
        <vt:lpwstr/>
      </vt:variant>
      <vt:variant>
        <vt:lpwstr>_Toc224070343</vt:lpwstr>
      </vt:variant>
      <vt:variant>
        <vt:i4>1114162</vt:i4>
      </vt:variant>
      <vt:variant>
        <vt:i4>47</vt:i4>
      </vt:variant>
      <vt:variant>
        <vt:i4>0</vt:i4>
      </vt:variant>
      <vt:variant>
        <vt:i4>5</vt:i4>
      </vt:variant>
      <vt:variant>
        <vt:lpwstr/>
      </vt:variant>
      <vt:variant>
        <vt:lpwstr>_Toc224070342</vt:lpwstr>
      </vt:variant>
      <vt:variant>
        <vt:i4>1114162</vt:i4>
      </vt:variant>
      <vt:variant>
        <vt:i4>41</vt:i4>
      </vt:variant>
      <vt:variant>
        <vt:i4>0</vt:i4>
      </vt:variant>
      <vt:variant>
        <vt:i4>5</vt:i4>
      </vt:variant>
      <vt:variant>
        <vt:lpwstr/>
      </vt:variant>
      <vt:variant>
        <vt:lpwstr>_Toc224070341</vt:lpwstr>
      </vt:variant>
      <vt:variant>
        <vt:i4>1114162</vt:i4>
      </vt:variant>
      <vt:variant>
        <vt:i4>35</vt:i4>
      </vt:variant>
      <vt:variant>
        <vt:i4>0</vt:i4>
      </vt:variant>
      <vt:variant>
        <vt:i4>5</vt:i4>
      </vt:variant>
      <vt:variant>
        <vt:lpwstr/>
      </vt:variant>
      <vt:variant>
        <vt:lpwstr>_Toc224070340</vt:lpwstr>
      </vt:variant>
      <vt:variant>
        <vt:i4>1441842</vt:i4>
      </vt:variant>
      <vt:variant>
        <vt:i4>29</vt:i4>
      </vt:variant>
      <vt:variant>
        <vt:i4>0</vt:i4>
      </vt:variant>
      <vt:variant>
        <vt:i4>5</vt:i4>
      </vt:variant>
      <vt:variant>
        <vt:lpwstr/>
      </vt:variant>
      <vt:variant>
        <vt:lpwstr>_Toc224070339</vt:lpwstr>
      </vt:variant>
      <vt:variant>
        <vt:i4>1441842</vt:i4>
      </vt:variant>
      <vt:variant>
        <vt:i4>23</vt:i4>
      </vt:variant>
      <vt:variant>
        <vt:i4>0</vt:i4>
      </vt:variant>
      <vt:variant>
        <vt:i4>5</vt:i4>
      </vt:variant>
      <vt:variant>
        <vt:lpwstr/>
      </vt:variant>
      <vt:variant>
        <vt:lpwstr>_Toc224070338</vt:lpwstr>
      </vt:variant>
      <vt:variant>
        <vt:i4>1441842</vt:i4>
      </vt:variant>
      <vt:variant>
        <vt:i4>17</vt:i4>
      </vt:variant>
      <vt:variant>
        <vt:i4>0</vt:i4>
      </vt:variant>
      <vt:variant>
        <vt:i4>5</vt:i4>
      </vt:variant>
      <vt:variant>
        <vt:lpwstr/>
      </vt:variant>
      <vt:variant>
        <vt:lpwstr>_Toc224070337</vt:lpwstr>
      </vt:variant>
      <vt:variant>
        <vt:i4>1441842</vt:i4>
      </vt:variant>
      <vt:variant>
        <vt:i4>11</vt:i4>
      </vt:variant>
      <vt:variant>
        <vt:i4>0</vt:i4>
      </vt:variant>
      <vt:variant>
        <vt:i4>5</vt:i4>
      </vt:variant>
      <vt:variant>
        <vt:lpwstr/>
      </vt:variant>
      <vt:variant>
        <vt:lpwstr>_Toc224070336</vt:lpwstr>
      </vt:variant>
      <vt:variant>
        <vt:i4>1441842</vt:i4>
      </vt:variant>
      <vt:variant>
        <vt:i4>5</vt:i4>
      </vt:variant>
      <vt:variant>
        <vt:i4>0</vt:i4>
      </vt:variant>
      <vt:variant>
        <vt:i4>5</vt:i4>
      </vt:variant>
      <vt:variant>
        <vt:lpwstr/>
      </vt:variant>
      <vt:variant>
        <vt:lpwstr>_Toc224070335</vt:lpwstr>
      </vt:variant>
      <vt:variant>
        <vt:i4>5636148</vt:i4>
      </vt:variant>
      <vt:variant>
        <vt:i4>0</vt:i4>
      </vt:variant>
      <vt:variant>
        <vt:i4>0</vt:i4>
      </vt:variant>
      <vt:variant>
        <vt:i4>5</vt:i4>
      </vt:variant>
      <vt:variant>
        <vt:lpwstr>mailto:qilt@srcentre.com.au</vt:lpwstr>
      </vt:variant>
      <vt:variant>
        <vt:lpwstr/>
      </vt:variant>
      <vt:variant>
        <vt:i4>3407986</vt:i4>
      </vt:variant>
      <vt:variant>
        <vt:i4>9</vt:i4>
      </vt:variant>
      <vt:variant>
        <vt:i4>0</vt:i4>
      </vt:variant>
      <vt:variant>
        <vt:i4>5</vt:i4>
      </vt:variant>
      <vt:variant>
        <vt:lpwstr>https://www.tcsisupport.gov.au/element/329</vt:lpwstr>
      </vt:variant>
      <vt:variant>
        <vt:lpwstr/>
      </vt:variant>
      <vt:variant>
        <vt:i4>589943</vt:i4>
      </vt:variant>
      <vt:variant>
        <vt:i4>6</vt:i4>
      </vt:variant>
      <vt:variant>
        <vt:i4>0</vt:i4>
      </vt:variant>
      <vt:variant>
        <vt:i4>5</vt:i4>
      </vt:variant>
      <vt:variant>
        <vt:lpwstr>https://www.qilt.edu.au/docs/default-source/default-document-library/construction-of-confidence-intervals-in-qilt-surveys.pdf?sfvrsn=8d01d58b_1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SES National Report</dc:title>
  <dc:subject/>
  <dc:creator>team@srcentre.com.au</dc:creator>
  <cp:keywords/>
  <dc:description/>
  <cp:lastModifiedBy>Julian van der Zee</cp:lastModifiedBy>
  <cp:revision>91</cp:revision>
  <cp:lastPrinted>2026-02-09T19:43:00Z</cp:lastPrinted>
  <dcterms:created xsi:type="dcterms:W3CDTF">2026-09-07T00:58:00Z</dcterms:created>
  <dcterms:modified xsi:type="dcterms:W3CDTF">2026-09-08T03:12:00Z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0x010100BB98A18D3684994C9C52717DA600DB9E</vt:lpwstr>
  </property>
  <property fmtid="{D5CDD505-2E9C-101B-9397-08002B2CF9AE}" pid="4" name="docLang">
    <vt:lpwstr>en</vt:lpwstr>
  </property>
  <property fmtid="{D5CDD505-2E9C-101B-9397-08002B2CF9AE}" pid="5" name="MSIP_Label_79d889eb-932f-4752-8739-64d25806ef64_Enabled">
    <vt:lpwstr>true</vt:lpwstr>
  </property>
  <property fmtid="{D5CDD505-2E9C-101B-9397-08002B2CF9AE}" pid="6" name="MSIP_Label_79d889eb-932f-4752-8739-64d25806ef64_SetDate">
    <vt:lpwstr>2026-02-09T04:56:06Z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1c7950ea-8c9b-4026-973c-8437eb8a00af</vt:lpwstr>
  </property>
  <property fmtid="{D5CDD505-2E9C-101B-9397-08002B2CF9AE}" pid="11" name="MSIP_Label_79d889eb-932f-4752-8739-64d25806ef64_ContentBits">
    <vt:lpwstr>0</vt:lpwstr>
  </property>
  <property fmtid="{D5CDD505-2E9C-101B-9397-08002B2CF9AE}" pid="12" name="MSIP_Label_79d889eb-932f-4752-8739-64d25806ef64_Tag">
    <vt:lpwstr>10, 0, 1, 1</vt:lpwstr>
  </property>
</Properties>
</file>