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9029"/>
        <w:gridCol w:w="2878"/>
      </w:tblGrid>
      <w:tr w:rsidR="003F1FCA" w:rsidRPr="005A3AFE" w14:paraId="7A7108A6" w14:textId="77777777" w:rsidTr="00E37470">
        <w:trPr>
          <w:cnfStyle w:val="100000000000" w:firstRow="1" w:lastRow="0" w:firstColumn="0" w:lastColumn="0" w:oddVBand="0" w:evenVBand="0" w:oddHBand="0" w:evenHBand="0" w:firstRowFirstColumn="0" w:firstRowLastColumn="0" w:lastRowFirstColumn="0" w:lastRowLastColumn="0"/>
          <w:trHeight w:hRule="exact" w:val="1505"/>
          <w:tblHeader/>
        </w:trPr>
        <w:tc>
          <w:tcPr>
            <w:tcW w:w="9029" w:type="dxa"/>
          </w:tcPr>
          <w:p w14:paraId="04B97AC8" w14:textId="77777777" w:rsidR="003F1FCA" w:rsidRPr="005A3AFE" w:rsidRDefault="003F1FCA" w:rsidP="00E37470">
            <w:pPr>
              <w:pStyle w:val="Body"/>
              <w:tabs>
                <w:tab w:val="right" w:pos="11085"/>
              </w:tabs>
              <w:spacing w:before="0" w:after="0" w:line="240" w:lineRule="auto"/>
              <w:ind w:left="397" w:right="397"/>
              <w:rPr>
                <w:color w:val="B7D432" w:themeColor="accent1"/>
              </w:rPr>
            </w:pPr>
            <w:bookmarkStart w:id="0" w:name="_Hlk119606448"/>
            <w:r w:rsidRPr="005A3AFE">
              <w:rPr>
                <w:noProof/>
                <w:color w:val="B7D432" w:themeColor="accent1"/>
              </w:rPr>
              <w:drawing>
                <wp:anchor distT="0" distB="0" distL="114300" distR="114300" simplePos="0" relativeHeight="251656192" behindDoc="0" locked="0" layoutInCell="1" allowOverlap="1" wp14:anchorId="5DFC1FB8" wp14:editId="70459CE8">
                  <wp:simplePos x="0" y="0"/>
                  <wp:positionH relativeFrom="column">
                    <wp:posOffset>249115</wp:posOffset>
                  </wp:positionH>
                  <wp:positionV relativeFrom="paragraph">
                    <wp:posOffset>57150</wp:posOffset>
                  </wp:positionV>
                  <wp:extent cx="1685925" cy="664152"/>
                  <wp:effectExtent l="0" t="0" r="0" b="3175"/>
                  <wp:wrapNone/>
                  <wp:docPr id="1074525487" name="Picture 1" descr="QIL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25487" name="Picture 1" descr="QILT logo"/>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1685925" cy="664152"/>
                          </a:xfrm>
                          <a:prstGeom prst="rect">
                            <a:avLst/>
                          </a:prstGeom>
                        </pic:spPr>
                      </pic:pic>
                    </a:graphicData>
                  </a:graphic>
                </wp:anchor>
              </w:drawing>
            </w:r>
          </w:p>
        </w:tc>
        <w:tc>
          <w:tcPr>
            <w:tcW w:w="2878" w:type="dxa"/>
          </w:tcPr>
          <w:p w14:paraId="5AA80267" w14:textId="77777777" w:rsidR="003F1FCA" w:rsidRPr="005A3AFE" w:rsidRDefault="003F1FCA" w:rsidP="00E37470">
            <w:pPr>
              <w:pStyle w:val="Body"/>
              <w:tabs>
                <w:tab w:val="right" w:pos="11085"/>
              </w:tabs>
              <w:spacing w:before="0" w:after="0" w:line="240" w:lineRule="auto"/>
              <w:ind w:right="397"/>
              <w:jc w:val="right"/>
              <w:rPr>
                <w:noProof/>
                <w:color w:val="B7D432" w:themeColor="accent1"/>
              </w:rPr>
            </w:pPr>
            <w:r w:rsidRPr="005A3AFE">
              <w:rPr>
                <w:noProof/>
                <w:color w:val="B7D432" w:themeColor="accent1"/>
              </w:rPr>
              <w:drawing>
                <wp:anchor distT="0" distB="0" distL="114300" distR="114300" simplePos="0" relativeHeight="251648000" behindDoc="0" locked="0" layoutInCell="1" allowOverlap="1" wp14:anchorId="0898B408" wp14:editId="62F5D3C7">
                  <wp:simplePos x="0" y="0"/>
                  <wp:positionH relativeFrom="column">
                    <wp:posOffset>103505</wp:posOffset>
                  </wp:positionH>
                  <wp:positionV relativeFrom="paragraph">
                    <wp:posOffset>85725</wp:posOffset>
                  </wp:positionV>
                  <wp:extent cx="1457325" cy="485775"/>
                  <wp:effectExtent l="0" t="0" r="9525" b="9525"/>
                  <wp:wrapNone/>
                  <wp:docPr id="2083311158" name="Picture 1" descr="S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1158" name="Picture 1" descr="SRC logo"/>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bwMode="auto">
                          <a:xfrm>
                            <a:off x="0" y="0"/>
                            <a:ext cx="1457325" cy="485775"/>
                          </a:xfrm>
                          <a:prstGeom prst="rect">
                            <a:avLst/>
                          </a:prstGeom>
                        </pic:spPr>
                      </pic:pic>
                    </a:graphicData>
                  </a:graphic>
                </wp:anchor>
              </w:drawing>
            </w:r>
          </w:p>
        </w:tc>
      </w:tr>
    </w:tbl>
    <w:p w14:paraId="5D65C356" w14:textId="19496B65" w:rsidR="003F1FCA" w:rsidRPr="005A3AFE" w:rsidRDefault="00244416" w:rsidP="00840187">
      <w:pPr>
        <w:pStyle w:val="Title"/>
        <w:spacing w:before="360" w:after="120"/>
        <w:ind w:right="397"/>
        <w:rPr>
          <w:color w:val="4C4C4C"/>
          <w:sz w:val="72"/>
          <w:szCs w:val="72"/>
        </w:rPr>
      </w:pPr>
      <w:r w:rsidRPr="005A3AFE">
        <w:rPr>
          <w:color w:val="4C4C4C"/>
          <w:sz w:val="72"/>
          <w:szCs w:val="72"/>
        </w:rPr>
        <w:t>202</w:t>
      </w:r>
      <w:r w:rsidR="00B33DE7" w:rsidRPr="005A3AFE">
        <w:rPr>
          <w:color w:val="4C4C4C"/>
          <w:sz w:val="72"/>
          <w:szCs w:val="72"/>
        </w:rPr>
        <w:t xml:space="preserve">6 </w:t>
      </w:r>
      <w:r w:rsidRPr="005A3AFE">
        <w:rPr>
          <w:color w:val="4C4C4C"/>
          <w:sz w:val="72"/>
          <w:szCs w:val="72"/>
        </w:rPr>
        <w:t>Graduate Outcomes Survey - Longitudinal (GOS-L)</w:t>
      </w:r>
    </w:p>
    <w:p w14:paraId="24039DF9" w14:textId="77777777" w:rsidR="003F1FCA" w:rsidRPr="005A3AFE" w:rsidRDefault="003F1FCA" w:rsidP="00911273">
      <w:pPr>
        <w:pStyle w:val="Body"/>
        <w:spacing w:before="0" w:after="360" w:line="240" w:lineRule="auto"/>
        <w:ind w:left="397"/>
        <w:rPr>
          <w:b/>
          <w:bCs/>
          <w:color w:val="B7D432" w:themeColor="accent1"/>
        </w:rPr>
      </w:pPr>
      <w:r w:rsidRPr="005A3AFE">
        <w:rPr>
          <w:bCs/>
          <w:noProof/>
          <w:color w:val="B7D432" w:themeColor="accent1"/>
        </w:rPr>
        <mc:AlternateContent>
          <mc:Choice Requires="wps">
            <w:drawing>
              <wp:inline distT="0" distB="0" distL="0" distR="0" wp14:anchorId="4AF82209" wp14:editId="4085C697">
                <wp:extent cx="540000" cy="0"/>
                <wp:effectExtent l="0" t="0" r="0" b="0"/>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4000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8D5EC8F"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4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" strokecolor="#8aa122 [2404]" strokeweight="1.5pt">
                <v:stroke joinstyle="miter"/>
                <w10:anchorlock/>
              </v:line>
            </w:pict>
          </mc:Fallback>
        </mc:AlternateContent>
      </w:r>
    </w:p>
    <w:p w14:paraId="7D0F8AA6" w14:textId="77777777" w:rsidR="00244416" w:rsidRPr="005A3AFE" w:rsidRDefault="00244416" w:rsidP="00911273">
      <w:pPr>
        <w:pStyle w:val="Body"/>
        <w:spacing w:before="80" w:line="240" w:lineRule="auto"/>
        <w:ind w:left="397"/>
        <w:rPr>
          <w:bCs/>
          <w:color w:val="4C4C4C"/>
          <w:sz w:val="40"/>
          <w:szCs w:val="40"/>
        </w:rPr>
      </w:pPr>
      <w:r w:rsidRPr="005A3AFE">
        <w:rPr>
          <w:bCs/>
          <w:color w:val="4C4C4C"/>
          <w:sz w:val="40"/>
          <w:szCs w:val="40"/>
        </w:rPr>
        <w:t>National Report</w:t>
      </w:r>
    </w:p>
    <w:p w14:paraId="162141C0" w14:textId="63D8C296" w:rsidR="0052557D" w:rsidRPr="000B5318" w:rsidRDefault="007F6B22" w:rsidP="000B5318">
      <w:pPr>
        <w:pStyle w:val="Body"/>
        <w:spacing w:before="80" w:line="240" w:lineRule="auto"/>
        <w:ind w:left="397"/>
        <w:rPr>
          <w:color w:val="4C4C4C"/>
          <w:sz w:val="28"/>
          <w:szCs w:val="28"/>
        </w:rPr>
      </w:pPr>
      <w:r>
        <w:rPr>
          <w:bCs/>
          <w:color w:val="4C4C4C"/>
          <w:sz w:val="28"/>
          <w:szCs w:val="28"/>
        </w:rPr>
        <w:t>October</w:t>
      </w:r>
      <w:r w:rsidR="00365C59" w:rsidRPr="005A3AFE">
        <w:rPr>
          <w:bCs/>
          <w:color w:val="4C4C4C"/>
          <w:sz w:val="28"/>
          <w:szCs w:val="28"/>
        </w:rPr>
        <w:t xml:space="preserve"> </w:t>
      </w:r>
      <w:r w:rsidR="00244416" w:rsidRPr="005A3AFE">
        <w:rPr>
          <w:bCs/>
          <w:color w:val="4C4C4C"/>
          <w:sz w:val="28"/>
          <w:szCs w:val="28"/>
        </w:rPr>
        <w:t>202</w:t>
      </w:r>
      <w:r w:rsidR="00C40BE0" w:rsidRPr="005A3AFE">
        <w:rPr>
          <w:bCs/>
          <w:color w:val="4C4C4C"/>
          <w:sz w:val="28"/>
          <w:szCs w:val="28"/>
        </w:rPr>
        <w:t>6</w:t>
      </w:r>
    </w:p>
    <w:p w14:paraId="1297E2C7" w14:textId="55308938" w:rsidR="00C96E9B" w:rsidRDefault="001971B4" w:rsidP="003F1FCA">
      <w:pPr>
        <w:pStyle w:val="Body"/>
        <w:spacing w:before="480" w:after="0" w:line="240" w:lineRule="auto"/>
        <w:jc w:val="center"/>
      </w:pPr>
      <w:r w:rsidRPr="005A3AFE">
        <w:rPr>
          <w:noProof/>
        </w:rPr>
        <w:drawing>
          <wp:inline distT="0" distB="0" distL="0" distR="0" wp14:anchorId="78E8C39F" wp14:editId="420D140B">
            <wp:extent cx="7581600" cy="5881689"/>
            <wp:effectExtent l="0" t="0" r="635" b="0"/>
            <wp:docPr id="18392521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5213" name="Picture 3">
                      <a:extLst>
                        <a:ext uri="{C183D7F6-B498-43B3-948B-1728B52AA6E4}">
                          <adec:decorative xmlns:adec="http://schemas.microsoft.com/office/drawing/2017/decorative" val="1"/>
                        </a:ext>
                      </a:extLst>
                    </pic:cNvPr>
                    <pic:cNvPicPr>
                      <a:picLocks noChangeAspect="1" noChangeArrowheads="1"/>
                    </pic:cNvPicPr>
                  </pic:nvPicPr>
                  <pic:blipFill>
                    <a:blip r:embed="rId15">
                      <a:extLst>
                        <a:ext uri="{96DAC541-7B7A-43D3-8B79-37D633B846F1}">
                          <asvg:svgBlip xmlns:asvg="http://schemas.microsoft.com/office/drawing/2016/SVG/main" r:embed="rId16"/>
                        </a:ext>
                      </a:extLst>
                    </a:blip>
                    <a:stretch>
                      <a:fillRect/>
                    </a:stretch>
                  </pic:blipFill>
                  <pic:spPr bwMode="auto">
                    <a:xfrm>
                      <a:off x="0" y="0"/>
                      <a:ext cx="7581600" cy="5881689"/>
                    </a:xfrm>
                    <a:prstGeom prst="rect">
                      <a:avLst/>
                    </a:prstGeom>
                  </pic:spPr>
                </pic:pic>
              </a:graphicData>
            </a:graphic>
          </wp:inline>
        </w:drawing>
      </w:r>
    </w:p>
    <w:p w14:paraId="390F131A" w14:textId="02973693" w:rsidR="00C96E9B" w:rsidRDefault="000B5318" w:rsidP="000B5318">
      <w:pPr>
        <w:pStyle w:val="Body"/>
        <w:spacing w:before="480" w:after="0" w:line="240" w:lineRule="auto"/>
        <w:ind w:right="424"/>
        <w:jc w:val="right"/>
      </w:pPr>
      <w:r w:rsidRPr="005A3AFE">
        <w:rPr>
          <w:noProof/>
        </w:rPr>
        <w:drawing>
          <wp:inline distT="0" distB="0" distL="0" distR="0" wp14:anchorId="4C913977" wp14:editId="3CDF8122">
            <wp:extent cx="1499641" cy="428468"/>
            <wp:effectExtent l="0" t="0" r="0" b="3810"/>
            <wp:docPr id="558804008" name="Picture 5" descr="GOS-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04008" name="Picture 5" descr="GOS-L logo"/>
                    <pic:cNvPicPr>
                      <a:picLocks noChangeAspect="1" noChangeArrowheads="1"/>
                    </pic:cNvPicPr>
                  </pic:nvPicPr>
                  <pic:blipFill>
                    <a:blip r:embed="rId17">
                      <a:extLst>
                        <a:ext uri="{96DAC541-7B7A-43D3-8B79-37D633B846F1}">
                          <asvg:svgBlip xmlns:asvg="http://schemas.microsoft.com/office/drawing/2016/SVG/main" r:embed="rId18"/>
                        </a:ext>
                      </a:extLst>
                    </a:blip>
                    <a:stretch>
                      <a:fillRect/>
                    </a:stretch>
                  </pic:blipFill>
                  <pic:spPr bwMode="auto">
                    <a:xfrm>
                      <a:off x="0" y="0"/>
                      <a:ext cx="1499641" cy="428468"/>
                    </a:xfrm>
                    <a:prstGeom prst="rect">
                      <a:avLst/>
                    </a:prstGeom>
                  </pic:spPr>
                </pic:pic>
              </a:graphicData>
            </a:graphic>
          </wp:inline>
        </w:drawing>
      </w:r>
    </w:p>
    <w:p w14:paraId="256C0F1A" w14:textId="77777777" w:rsidR="000B5318" w:rsidRPr="005A3AFE" w:rsidRDefault="000B5318" w:rsidP="000B5318">
      <w:pPr>
        <w:pStyle w:val="Body"/>
        <w:spacing w:before="600" w:after="0" w:line="240" w:lineRule="auto"/>
        <w:ind w:right="397"/>
        <w:jc w:val="center"/>
        <w:sectPr w:rsidR="000B5318" w:rsidRPr="005A3AFE" w:rsidSect="00A11753">
          <w:footerReference w:type="default" r:id="rId19"/>
          <w:pgSz w:w="11906" w:h="16838" w:code="9"/>
          <w:pgMar w:top="0" w:right="0" w:bottom="0" w:left="0" w:header="397" w:footer="0" w:gutter="0"/>
          <w:pgNumType w:fmt="lowerRoman" w:start="1"/>
          <w:cols w:space="708"/>
          <w:docGrid w:linePitch="360"/>
        </w:sectPr>
      </w:pPr>
    </w:p>
    <w:p w14:paraId="1AE52503" w14:textId="58B4795C" w:rsidR="00A01394" w:rsidRPr="005A3AFE" w:rsidRDefault="00A01394" w:rsidP="008F7BDA">
      <w:pPr>
        <w:pStyle w:val="TOCHeading"/>
        <w:numPr>
          <w:ilvl w:val="0"/>
          <w:numId w:val="0"/>
        </w:numPr>
        <w:ind w:right="-1"/>
        <w:jc w:val="both"/>
      </w:pPr>
      <w:bookmarkStart w:id="1" w:name="_Toc343436256"/>
      <w:bookmarkStart w:id="2" w:name="_Toc515594294"/>
      <w:bookmarkStart w:id="3" w:name="_Toc75794924"/>
      <w:bookmarkStart w:id="4" w:name="_Toc79687688"/>
      <w:bookmarkStart w:id="5" w:name="_Toc192179843"/>
      <w:r w:rsidRPr="005A3AFE">
        <w:lastRenderedPageBreak/>
        <w:t>Acknowledgements</w:t>
      </w:r>
      <w:bookmarkEnd w:id="1"/>
      <w:bookmarkEnd w:id="2"/>
      <w:bookmarkEnd w:id="3"/>
      <w:bookmarkEnd w:id="4"/>
      <w:bookmarkEnd w:id="5"/>
    </w:p>
    <w:p w14:paraId="63C9B0BD" w14:textId="694D6514" w:rsidR="00A01394" w:rsidRPr="005A3AFE" w:rsidRDefault="00A01394" w:rsidP="008F7BDA">
      <w:pPr>
        <w:pStyle w:val="Body"/>
        <w:ind w:right="-1"/>
        <w:jc w:val="both"/>
      </w:pPr>
      <w:bookmarkStart w:id="6" w:name="_Hlk109847944"/>
      <w:r w:rsidRPr="005A3AFE">
        <w:t>The Quality Indicators for Learning and Teaching (QILT) survey program, including the 202</w:t>
      </w:r>
      <w:r w:rsidR="00F45F1F" w:rsidRPr="005A3AFE">
        <w:t>6</w:t>
      </w:r>
      <w:r w:rsidRPr="005A3AFE">
        <w:t xml:space="preserve"> Graduate Outcomes Survey - Longitudinal (GOS-L), is funded by the Australian Government Department of Education (Department</w:t>
      </w:r>
      <w:r w:rsidR="006B35D4" w:rsidRPr="005A3AFE">
        <w:t xml:space="preserve"> of Education</w:t>
      </w:r>
      <w:r w:rsidRPr="005A3AFE">
        <w:t>).</w:t>
      </w:r>
    </w:p>
    <w:p w14:paraId="4B8E3BE5" w14:textId="0695744A" w:rsidR="00A01394" w:rsidRPr="00F23487" w:rsidRDefault="00A01394" w:rsidP="008F7BDA">
      <w:pPr>
        <w:pStyle w:val="Body"/>
        <w:ind w:right="-1"/>
        <w:jc w:val="both"/>
        <w:rPr>
          <w:spacing w:val="-4"/>
        </w:rPr>
      </w:pPr>
      <w:r w:rsidRPr="00F23487">
        <w:rPr>
          <w:spacing w:val="-4"/>
        </w:rPr>
        <w:t>The Department</w:t>
      </w:r>
      <w:r w:rsidR="00DB6680" w:rsidRPr="00F23487">
        <w:rPr>
          <w:spacing w:val="-4"/>
        </w:rPr>
        <w:t xml:space="preserve"> of Education</w:t>
      </w:r>
      <w:r w:rsidRPr="00F23487">
        <w:rPr>
          <w:spacing w:val="-4"/>
        </w:rPr>
        <w:t xml:space="preserve"> and the Social Research Centre acknowledge the Traditional Custodians of the lands</w:t>
      </w:r>
      <w:r w:rsidR="00842175" w:rsidRPr="00F23487">
        <w:rPr>
          <w:spacing w:val="-4"/>
        </w:rPr>
        <w:t xml:space="preserve"> and</w:t>
      </w:r>
      <w:r w:rsidRPr="00F23487">
        <w:rPr>
          <w:spacing w:val="-4"/>
        </w:rPr>
        <w:t xml:space="preserve"> waters on which this research was conducted. We pay our respects to Elders past, present and emerging.</w:t>
      </w:r>
    </w:p>
    <w:bookmarkEnd w:id="6"/>
    <w:p w14:paraId="2A9C95FC" w14:textId="3EE87D7C" w:rsidR="00A01394" w:rsidRPr="005A3AFE" w:rsidRDefault="00A01394" w:rsidP="008F7BDA">
      <w:pPr>
        <w:pStyle w:val="Body"/>
        <w:ind w:right="-1"/>
        <w:jc w:val="both"/>
      </w:pPr>
      <w:r w:rsidRPr="005A3AFE">
        <w:t xml:space="preserve">The Social Research Centre would especially like to thank the higher education institutions that contributed to the Graduate Outcomes Survey (GOS) in </w:t>
      </w:r>
      <w:r w:rsidR="00C67B80" w:rsidRPr="005A3AFE">
        <w:t>2023</w:t>
      </w:r>
      <w:r w:rsidRPr="005A3AFE">
        <w:t xml:space="preserve"> and the GOS-L in 202</w:t>
      </w:r>
      <w:r w:rsidR="00F45F1F" w:rsidRPr="005A3AFE">
        <w:t>6</w:t>
      </w:r>
      <w:r w:rsidRPr="005A3AFE">
        <w:t xml:space="preserve">. Without the enthusiastic and committed assistance of the survey managers and institutional </w:t>
      </w:r>
      <w:r w:rsidR="0035060A" w:rsidRPr="005A3AFE">
        <w:t>planners</w:t>
      </w:r>
      <w:r w:rsidRPr="005A3AFE">
        <w:t>, the 202</w:t>
      </w:r>
      <w:r w:rsidR="00F45F1F" w:rsidRPr="005A3AFE">
        <w:t>6</w:t>
      </w:r>
      <w:r w:rsidRPr="005A3AFE">
        <w:t xml:space="preserve"> GOS-L would not have been such a success.</w:t>
      </w:r>
    </w:p>
    <w:p w14:paraId="5432BD90" w14:textId="1F7E2B16" w:rsidR="00A01394" w:rsidRPr="005A3AFE" w:rsidRDefault="00A01394" w:rsidP="008F7BDA">
      <w:pPr>
        <w:pStyle w:val="Body"/>
        <w:ind w:right="-1"/>
        <w:jc w:val="both"/>
      </w:pPr>
      <w:r w:rsidRPr="005A3AFE">
        <w:t>We are also very grateful to the graduates who took the time to provide valuable feedback about their employment and further study</w:t>
      </w:r>
      <w:r w:rsidR="009F24F0" w:rsidRPr="005A3AFE">
        <w:t xml:space="preserve"> outcomes</w:t>
      </w:r>
      <w:r w:rsidRPr="005A3AFE">
        <w:t xml:space="preserve">. </w:t>
      </w:r>
      <w:r w:rsidR="006C435A" w:rsidRPr="005A3AFE">
        <w:t>I</w:t>
      </w:r>
      <w:r w:rsidRPr="005A3AFE">
        <w:t xml:space="preserve">nstitutions </w:t>
      </w:r>
      <w:r w:rsidR="006C435A" w:rsidRPr="005A3AFE">
        <w:t xml:space="preserve">use GOS-L data </w:t>
      </w:r>
      <w:r w:rsidRPr="005A3AFE">
        <w:t xml:space="preserve">for continuous improvement, </w:t>
      </w:r>
      <w:r w:rsidR="00B75379" w:rsidRPr="005A3AFE">
        <w:t xml:space="preserve">including exploring ways </w:t>
      </w:r>
      <w:r w:rsidRPr="005A3AFE">
        <w:t>to monitor and improve the labour force outcomes of graduates.</w:t>
      </w:r>
    </w:p>
    <w:p w14:paraId="7DB34E1E" w14:textId="2CE037E0" w:rsidR="000F152C" w:rsidRPr="00F23487" w:rsidRDefault="00A01394" w:rsidP="008F7BDA">
      <w:pPr>
        <w:pStyle w:val="Body"/>
        <w:ind w:right="-1"/>
        <w:jc w:val="both"/>
        <w:rPr>
          <w:spacing w:val="-4"/>
        </w:rPr>
      </w:pPr>
      <w:r w:rsidRPr="00F23487">
        <w:rPr>
          <w:spacing w:val="-4"/>
        </w:rPr>
        <w:t>The 202</w:t>
      </w:r>
      <w:r w:rsidR="00F45F1F" w:rsidRPr="00F23487">
        <w:rPr>
          <w:spacing w:val="-4"/>
        </w:rPr>
        <w:t>6</w:t>
      </w:r>
      <w:r w:rsidRPr="00F23487">
        <w:rPr>
          <w:spacing w:val="-4"/>
        </w:rPr>
        <w:t xml:space="preserve"> GOS-L was led by Graham Challice and the project team consisted </w:t>
      </w:r>
      <w:r w:rsidR="00B66E42" w:rsidRPr="00F23487">
        <w:rPr>
          <w:spacing w:val="-4"/>
        </w:rPr>
        <w:t>of</w:t>
      </w:r>
      <w:r w:rsidRPr="00F23487">
        <w:rPr>
          <w:spacing w:val="-4"/>
        </w:rPr>
        <w:t xml:space="preserve"> </w:t>
      </w:r>
      <w:r w:rsidR="00B72F05" w:rsidRPr="00F23487">
        <w:rPr>
          <w:spacing w:val="-4"/>
        </w:rPr>
        <w:t>Michael Allan</w:t>
      </w:r>
      <w:r w:rsidRPr="00F23487">
        <w:rPr>
          <w:spacing w:val="-4"/>
        </w:rPr>
        <w:t xml:space="preserve">, Dr Gabriel Ong, </w:t>
      </w:r>
      <w:r w:rsidR="00B46044" w:rsidRPr="00F23487">
        <w:rPr>
          <w:spacing w:val="-4"/>
        </w:rPr>
        <w:t xml:space="preserve">Vicky Tong, </w:t>
      </w:r>
      <w:r w:rsidR="00592F59" w:rsidRPr="00F23487">
        <w:rPr>
          <w:spacing w:val="-4"/>
        </w:rPr>
        <w:t xml:space="preserve">Willem </w:t>
      </w:r>
      <w:r w:rsidR="004254B1" w:rsidRPr="00F23487">
        <w:rPr>
          <w:spacing w:val="-4"/>
        </w:rPr>
        <w:t>McKenzie</w:t>
      </w:r>
      <w:r w:rsidRPr="00F23487">
        <w:rPr>
          <w:spacing w:val="-4"/>
        </w:rPr>
        <w:t xml:space="preserve">, </w:t>
      </w:r>
      <w:r w:rsidR="00B46044" w:rsidRPr="00F23487">
        <w:rPr>
          <w:spacing w:val="-4"/>
        </w:rPr>
        <w:t xml:space="preserve">Cynthia Kim, </w:t>
      </w:r>
      <w:r w:rsidRPr="00F23487">
        <w:rPr>
          <w:spacing w:val="-4"/>
        </w:rPr>
        <w:t xml:space="preserve">Joe Feng, </w:t>
      </w:r>
      <w:r w:rsidR="004254B1" w:rsidRPr="00F23487">
        <w:rPr>
          <w:spacing w:val="-4"/>
        </w:rPr>
        <w:t xml:space="preserve">Erika Sitnai, </w:t>
      </w:r>
      <w:r w:rsidRPr="00F23487">
        <w:rPr>
          <w:spacing w:val="-4"/>
        </w:rPr>
        <w:t>Rawan Habibeh, Josh Bach and Serena Kim.</w:t>
      </w:r>
    </w:p>
    <w:p w14:paraId="66D22708" w14:textId="2C1C6AA1" w:rsidR="006A1804" w:rsidRPr="005A3AFE" w:rsidRDefault="00A01394" w:rsidP="0024373A">
      <w:pPr>
        <w:pStyle w:val="Bodycopy"/>
        <w:rPr>
          <w:rFonts w:ascii="Arial" w:hAnsi="Arial" w:cs="Arial"/>
        </w:rPr>
      </w:pPr>
      <w:r w:rsidRPr="005A3AFE">
        <w:t>For more information about the 202</w:t>
      </w:r>
      <w:r w:rsidR="005D060B" w:rsidRPr="005A3AFE">
        <w:t>6</w:t>
      </w:r>
      <w:r w:rsidRPr="005A3AFE">
        <w:t xml:space="preserve"> GOS-L, including how it was conducted, </w:t>
      </w:r>
      <w:r w:rsidRPr="005A3AFE">
        <w:rPr>
          <w:rFonts w:ascii="Arial" w:hAnsi="Arial" w:cs="Arial"/>
        </w:rPr>
        <w:t xml:space="preserve">visit the QILT website: </w:t>
      </w:r>
      <w:hyperlink r:id="rId20">
        <w:r w:rsidR="006A1804" w:rsidRPr="005A3AFE">
          <w:rPr>
            <w:rStyle w:val="Hyperlink"/>
            <w:rFonts w:ascii="Arial" w:hAnsi="Arial" w:cs="Arial"/>
            <w:lang w:val="en-AU"/>
          </w:rPr>
          <w:t>Graduate</w:t>
        </w:r>
        <w:r w:rsidR="00DF532B">
          <w:rPr>
            <w:rStyle w:val="Hyperlink"/>
            <w:rFonts w:ascii="Arial" w:hAnsi="Arial" w:cs="Arial"/>
            <w:lang w:val="en-AU"/>
          </w:rPr>
          <w:t xml:space="preserve"> </w:t>
        </w:r>
        <w:r w:rsidR="006A1804" w:rsidRPr="005A3AFE">
          <w:rPr>
            <w:rStyle w:val="Hyperlink"/>
            <w:rFonts w:ascii="Arial" w:hAnsi="Arial" w:cs="Arial"/>
            <w:lang w:val="en-AU"/>
          </w:rPr>
          <w:t>Outcomes Survey - Longitudinal</w:t>
        </w:r>
      </w:hyperlink>
      <w:r w:rsidR="00262E51" w:rsidRPr="005A3AFE">
        <w:rPr>
          <w:rFonts w:ascii="Arial" w:hAnsi="Arial" w:cs="Arial"/>
          <w:lang w:val="en-AU"/>
        </w:rPr>
        <w:t>.</w:t>
      </w:r>
    </w:p>
    <w:p w14:paraId="45525177" w14:textId="362AA08E" w:rsidR="00A01394" w:rsidRPr="004742FA" w:rsidRDefault="00A01394" w:rsidP="0024373A">
      <w:pPr>
        <w:pStyle w:val="Bodycopy"/>
        <w:rPr>
          <w:color w:val="000000" w:themeColor="text1"/>
          <w:u w:val="single"/>
        </w:rPr>
      </w:pPr>
      <w:r w:rsidRPr="005A3AFE">
        <w:rPr>
          <w:rFonts w:ascii="Arial" w:hAnsi="Arial"/>
        </w:rPr>
        <w:t xml:space="preserve">Email the QILT team at </w:t>
      </w:r>
      <w:hyperlink r:id="rId21" w:history="1">
        <w:r w:rsidRPr="005A3AFE">
          <w:rPr>
            <w:rStyle w:val="Hyperlink"/>
            <w:rFonts w:cs="Arial"/>
          </w:rPr>
          <w:t>qilt@srcentre.com.au</w:t>
        </w:r>
      </w:hyperlink>
    </w:p>
    <w:p w14:paraId="020C0AB1" w14:textId="1C5E2DDF" w:rsidR="00A01394" w:rsidRPr="005A3AFE" w:rsidRDefault="00A01394" w:rsidP="008F7BDA">
      <w:pPr>
        <w:pStyle w:val="SubHeading1"/>
        <w:ind w:right="-1"/>
        <w:jc w:val="both"/>
      </w:pPr>
      <w:r w:rsidRPr="005A3AFE">
        <w:t>Terminology</w:t>
      </w:r>
    </w:p>
    <w:p w14:paraId="2302CE37" w14:textId="77777777" w:rsidR="00A01394" w:rsidRPr="005A3AFE" w:rsidRDefault="00A01394" w:rsidP="008F7BDA">
      <w:pPr>
        <w:pStyle w:val="SubHeading20"/>
        <w:ind w:right="-1"/>
        <w:jc w:val="both"/>
        <w:rPr>
          <w:lang w:eastAsia="en-GB"/>
        </w:rPr>
      </w:pPr>
      <w:r w:rsidRPr="005A3AFE">
        <w:rPr>
          <w:lang w:eastAsia="en-GB"/>
        </w:rPr>
        <w:t>‘First Nations’</w:t>
      </w:r>
    </w:p>
    <w:p w14:paraId="3DADEA60" w14:textId="77777777" w:rsidR="00A01394" w:rsidRPr="005A3AFE" w:rsidRDefault="00A01394" w:rsidP="008F7BDA">
      <w:pPr>
        <w:pStyle w:val="Body"/>
        <w:ind w:right="-1"/>
        <w:jc w:val="both"/>
      </w:pPr>
      <w:r w:rsidRPr="005A3AFE">
        <w:t>In recognition of the national scope of this research, this report uses the term ‘First Nations’ to encompass both Aboriginal and Torres Strait Islander peoples.</w:t>
      </w:r>
    </w:p>
    <w:p w14:paraId="54053FE9" w14:textId="77777777" w:rsidR="00A01394" w:rsidRPr="005A3AFE" w:rsidRDefault="00A01394" w:rsidP="008F7BDA">
      <w:pPr>
        <w:pStyle w:val="Body"/>
        <w:ind w:right="-1"/>
        <w:jc w:val="both"/>
      </w:pPr>
      <w:r w:rsidRPr="005A3AFE">
        <w:t>We deeply respect the rich diversity of communities, identities and clans among First Nations peoples and acknowledge there may be preferences to be known by a specific group name or Country, or as Traditional Owners and Custodians.</w:t>
      </w:r>
    </w:p>
    <w:p w14:paraId="74365961" w14:textId="1D06F537" w:rsidR="005436B2" w:rsidRPr="00912E1F" w:rsidRDefault="00A01394" w:rsidP="008F7BDA">
      <w:pPr>
        <w:pStyle w:val="Body"/>
        <w:ind w:right="-1"/>
        <w:jc w:val="both"/>
        <w:rPr>
          <w:bCs/>
          <w:spacing w:val="-2"/>
        </w:rPr>
      </w:pPr>
      <w:r w:rsidRPr="00912E1F">
        <w:rPr>
          <w:spacing w:val="-2"/>
        </w:rPr>
        <w:t xml:space="preserve">The terminology used in this report reflects a considered and deliberate approach to be inclusive by using ‘non-Indigenous </w:t>
      </w:r>
      <w:r w:rsidR="00386264" w:rsidRPr="00912E1F">
        <w:rPr>
          <w:spacing w:val="-2"/>
        </w:rPr>
        <w:t>graduates</w:t>
      </w:r>
      <w:r w:rsidR="00377DD4" w:rsidRPr="00912E1F">
        <w:rPr>
          <w:spacing w:val="-2"/>
        </w:rPr>
        <w:t>’</w:t>
      </w:r>
      <w:r w:rsidRPr="00912E1F">
        <w:rPr>
          <w:spacing w:val="-2"/>
        </w:rPr>
        <w:t xml:space="preserve"> when referring to </w:t>
      </w:r>
      <w:r w:rsidR="00386264" w:rsidRPr="00912E1F">
        <w:rPr>
          <w:spacing w:val="-2"/>
        </w:rPr>
        <w:t xml:space="preserve">graduates </w:t>
      </w:r>
      <w:r w:rsidRPr="00912E1F">
        <w:rPr>
          <w:spacing w:val="-2"/>
        </w:rPr>
        <w:t>who do not identify as an Aboriginal and/or Torres Strait Islander person in Australia. This does not infer any disrespect to those who identify as an indigenous person from another country.</w:t>
      </w:r>
    </w:p>
    <w:p w14:paraId="6F2F83CE" w14:textId="5BEED38B" w:rsidR="00A01394" w:rsidRPr="005A3AFE" w:rsidRDefault="00A01394" w:rsidP="008F7BDA">
      <w:pPr>
        <w:pStyle w:val="SubHeading20"/>
        <w:ind w:right="-1"/>
        <w:jc w:val="both"/>
        <w:rPr>
          <w:lang w:eastAsia="en-GB"/>
        </w:rPr>
      </w:pPr>
      <w:r w:rsidRPr="005A3AFE">
        <w:rPr>
          <w:lang w:eastAsia="en-GB"/>
        </w:rPr>
        <w:t>‘Undergraduate’</w:t>
      </w:r>
    </w:p>
    <w:p w14:paraId="0CE0706C" w14:textId="77777777" w:rsidR="00A01394" w:rsidRDefault="00A01394" w:rsidP="008F7BDA">
      <w:pPr>
        <w:pStyle w:val="Body"/>
        <w:ind w:right="-1"/>
        <w:jc w:val="both"/>
        <w:rPr>
          <w:lang w:val="en-GB" w:eastAsia="en-GB"/>
        </w:rPr>
      </w:pPr>
      <w:r w:rsidRPr="005A3AFE">
        <w:rPr>
          <w:lang w:val="en-GB" w:eastAsia="en-GB"/>
        </w:rPr>
        <w:t xml:space="preserve">This report uses the shorthand ‘undergraduate’ to refer to a respondent to the GOS-L who had </w:t>
      </w:r>
      <w:r w:rsidRPr="005A3AFE">
        <w:rPr>
          <w:b/>
          <w:bCs/>
          <w:i/>
          <w:iCs/>
          <w:lang w:val="en-GB" w:eastAsia="en-GB"/>
        </w:rPr>
        <w:t>completed</w:t>
      </w:r>
      <w:r w:rsidRPr="005A3AFE">
        <w:rPr>
          <w:i/>
          <w:iCs/>
          <w:lang w:val="en-GB" w:eastAsia="en-GB"/>
        </w:rPr>
        <w:t xml:space="preserve"> </w:t>
      </w:r>
      <w:r w:rsidRPr="005A3AFE">
        <w:rPr>
          <w:lang w:val="en-GB" w:eastAsia="en-GB"/>
        </w:rPr>
        <w:t>an undergraduate qualification approximately 3 years earlier. This differs from the usual sense of ‘undergraduate’: a student who has not yet completed their first degree.</w:t>
      </w:r>
    </w:p>
    <w:p w14:paraId="7B5719D4" w14:textId="1EA0B2F0" w:rsidR="00244416" w:rsidRPr="005A3AFE" w:rsidRDefault="00244416" w:rsidP="00652321">
      <w:pPr>
        <w:pStyle w:val="MajorHeading"/>
      </w:pPr>
      <w:bookmarkStart w:id="7" w:name="_Toc115109848"/>
      <w:bookmarkStart w:id="8" w:name="_Toc243492320"/>
      <w:bookmarkStart w:id="9" w:name="_Toc244083889"/>
      <w:bookmarkStart w:id="10" w:name="_Hlk113616757"/>
      <w:r w:rsidRPr="005A3AFE">
        <w:lastRenderedPageBreak/>
        <w:t>Executive summary</w:t>
      </w:r>
      <w:bookmarkEnd w:id="7"/>
      <w:bookmarkEnd w:id="8"/>
      <w:bookmarkEnd w:id="9"/>
    </w:p>
    <w:p w14:paraId="3D77960C" w14:textId="6F24FABC" w:rsidR="00345F25" w:rsidRPr="005A3AFE" w:rsidRDefault="00345F25" w:rsidP="00EB2ECE">
      <w:pPr>
        <w:pStyle w:val="Body"/>
      </w:pPr>
      <w:r w:rsidRPr="005A3AFE">
        <w:t>The Graduate Outcomes Survey – Longitudinal (GOS-L) is a key component of the Quality Indicators for Learning and Teaching (QILT) survey suite</w:t>
      </w:r>
      <w:r w:rsidR="0099331F" w:rsidRPr="005A3AFE">
        <w:t xml:space="preserve">. </w:t>
      </w:r>
      <w:r w:rsidR="003D3119" w:rsidRPr="005A3AFE">
        <w:t>The GOS-L</w:t>
      </w:r>
      <w:r w:rsidR="0099331F" w:rsidRPr="005A3AFE">
        <w:t xml:space="preserve"> </w:t>
      </w:r>
      <w:r w:rsidRPr="005A3AFE">
        <w:t>captur</w:t>
      </w:r>
      <w:r w:rsidR="0099331F" w:rsidRPr="005A3AFE">
        <w:t>es</w:t>
      </w:r>
      <w:r w:rsidRPr="005A3AFE">
        <w:t xml:space="preserve"> medium-term labour market and further study outcomes for higher education graduates</w:t>
      </w:r>
      <w:r w:rsidR="0099331F" w:rsidRPr="005A3AFE">
        <w:t xml:space="preserve"> 3 years after finishing their degree</w:t>
      </w:r>
      <w:r w:rsidRPr="005A3AFE">
        <w:t xml:space="preserve">. </w:t>
      </w:r>
      <w:r w:rsidR="007A217B" w:rsidRPr="005A3AFE">
        <w:t>These same g</w:t>
      </w:r>
      <w:r w:rsidRPr="005A3AFE">
        <w:t xml:space="preserve">raduates </w:t>
      </w:r>
      <w:r w:rsidR="007A217B" w:rsidRPr="005A3AFE">
        <w:t>also</w:t>
      </w:r>
      <w:r w:rsidRPr="005A3AFE">
        <w:t xml:space="preserve"> took part in the Graduate Outcomes Survey (GOS) 4 to 6 months after course completion, allowing </w:t>
      </w:r>
      <w:r w:rsidR="0046182E" w:rsidRPr="005A3AFE">
        <w:t>investigation of graduate</w:t>
      </w:r>
      <w:r w:rsidRPr="005A3AFE">
        <w:t xml:space="preserve"> </w:t>
      </w:r>
      <w:r w:rsidR="00137208" w:rsidRPr="005A3AFE">
        <w:t>outcomes</w:t>
      </w:r>
      <w:r w:rsidR="0046182E" w:rsidRPr="005A3AFE">
        <w:t xml:space="preserve"> over time</w:t>
      </w:r>
      <w:r w:rsidRPr="005A3AFE">
        <w:t>. Th</w:t>
      </w:r>
      <w:r w:rsidR="004B62E4" w:rsidRPr="005A3AFE">
        <w:t>is</w:t>
      </w:r>
      <w:r w:rsidRPr="005A3AFE">
        <w:t xml:space="preserve"> 202</w:t>
      </w:r>
      <w:r w:rsidR="00842635" w:rsidRPr="005A3AFE">
        <w:t>6</w:t>
      </w:r>
      <w:r w:rsidRPr="005A3AFE">
        <w:t xml:space="preserve"> GOS-L National Report presents findings for graduates </w:t>
      </w:r>
      <w:r w:rsidR="002F788A" w:rsidRPr="005A3AFE">
        <w:t xml:space="preserve">who completed the GOS in </w:t>
      </w:r>
      <w:r w:rsidR="00C67B80" w:rsidRPr="005A3AFE">
        <w:t>202</w:t>
      </w:r>
      <w:r w:rsidR="001C172C" w:rsidRPr="005A3AFE">
        <w:t>3</w:t>
      </w:r>
      <w:r w:rsidRPr="005A3AFE">
        <w:t xml:space="preserve"> </w:t>
      </w:r>
      <w:r w:rsidR="004B62E4" w:rsidRPr="005A3AFE">
        <w:t xml:space="preserve">(‘short-term’) </w:t>
      </w:r>
      <w:r w:rsidRPr="005A3AFE">
        <w:t>and</w:t>
      </w:r>
      <w:r w:rsidR="002F788A" w:rsidRPr="005A3AFE">
        <w:t xml:space="preserve"> the GOS-L in 2026</w:t>
      </w:r>
      <w:r w:rsidR="004B62E4" w:rsidRPr="005A3AFE">
        <w:t xml:space="preserve"> (‘medium-term’)</w:t>
      </w:r>
      <w:r w:rsidRPr="005A3AFE">
        <w:t>.</w:t>
      </w:r>
    </w:p>
    <w:p w14:paraId="1A961C72" w14:textId="1B1CDF30" w:rsidR="00356611" w:rsidRPr="005A3AFE" w:rsidRDefault="00345F25" w:rsidP="00EB2ECE">
      <w:pPr>
        <w:pStyle w:val="Body"/>
      </w:pPr>
      <w:r w:rsidRPr="005A3AFE">
        <w:t>In 202</w:t>
      </w:r>
      <w:r w:rsidR="008F7BDA" w:rsidRPr="005A3AFE">
        <w:t>6</w:t>
      </w:r>
      <w:r w:rsidRPr="005A3AFE">
        <w:t>, more than 4</w:t>
      </w:r>
      <w:r w:rsidR="008F7BDA" w:rsidRPr="005A3AFE">
        <w:t>3</w:t>
      </w:r>
      <w:r w:rsidRPr="005A3AFE">
        <w:t>,000 graduates from 12</w:t>
      </w:r>
      <w:r w:rsidR="008F7BDA" w:rsidRPr="005A3AFE">
        <w:t>5</w:t>
      </w:r>
      <w:r w:rsidRPr="005A3AFE">
        <w:t xml:space="preserve"> higher education institutions – including 43 Australian universities – participated in the GOS-L.</w:t>
      </w:r>
      <w:bookmarkEnd w:id="10"/>
    </w:p>
    <w:p w14:paraId="3EE1F76D" w14:textId="64AB6445" w:rsidR="00910CC3" w:rsidRPr="005A3AFE" w:rsidRDefault="00910CC3" w:rsidP="00DF532B">
      <w:pPr>
        <w:pStyle w:val="SubHeading1"/>
      </w:pPr>
      <w:r w:rsidRPr="005A3AFE">
        <w:t>Full-time employment rate is above 90 per cent for all graduates 3 years after finishing their course</w:t>
      </w:r>
    </w:p>
    <w:p w14:paraId="6820C540" w14:textId="38873257" w:rsidR="001773B1" w:rsidRPr="005A3AFE" w:rsidRDefault="008A68A8" w:rsidP="00DF532B">
      <w:pPr>
        <w:pStyle w:val="Body"/>
        <w:spacing w:after="240"/>
      </w:pPr>
      <w:r>
        <w:t>U</w:t>
      </w:r>
      <w:r w:rsidR="00DA1923">
        <w:t>ndergraduates report</w:t>
      </w:r>
      <w:r w:rsidR="00381A25">
        <w:t xml:space="preserve"> much</w:t>
      </w:r>
      <w:r w:rsidR="00DA1923">
        <w:t xml:space="preserve"> lower full-time employment rates than postgraduate coursework and postgraduate research graduates</w:t>
      </w:r>
      <w:r>
        <w:t xml:space="preserve"> 4 to 6 months after completing their course</w:t>
      </w:r>
      <w:r w:rsidR="00DA1923">
        <w:t xml:space="preserve">. </w:t>
      </w:r>
      <w:r w:rsidR="004A3C1E">
        <w:t>Three years later</w:t>
      </w:r>
      <w:r w:rsidR="00381A25">
        <w:t>,</w:t>
      </w:r>
      <w:r w:rsidR="00DA1923">
        <w:t xml:space="preserve"> the </w:t>
      </w:r>
      <w:r w:rsidR="004A3C1E">
        <w:t>difference</w:t>
      </w:r>
      <w:r w:rsidR="00381A25">
        <w:t xml:space="preserve"> between study levels</w:t>
      </w:r>
      <w:r w:rsidR="00DA1923">
        <w:t xml:space="preserve"> narrowed and </w:t>
      </w:r>
      <w:r w:rsidR="009271E2" w:rsidRPr="005A3AFE">
        <w:t>the</w:t>
      </w:r>
      <w:r w:rsidR="006006C9" w:rsidRPr="005A3AFE">
        <w:t xml:space="preserve"> </w:t>
      </w:r>
      <w:r w:rsidR="009271E2" w:rsidRPr="005A3AFE">
        <w:t>full-time employment rate across all study levels</w:t>
      </w:r>
      <w:r w:rsidR="00381A25">
        <w:t xml:space="preserve"> was</w:t>
      </w:r>
      <w:r w:rsidR="009271E2" w:rsidRPr="005A3AFE">
        <w:t xml:space="preserve"> </w:t>
      </w:r>
      <w:r w:rsidR="004A3C1E">
        <w:t>at least</w:t>
      </w:r>
      <w:r w:rsidR="004A3C1E" w:rsidRPr="005A3AFE">
        <w:t xml:space="preserve"> </w:t>
      </w:r>
      <w:r w:rsidR="009271E2" w:rsidRPr="005A3AFE">
        <w:t>91.8 per cent</w:t>
      </w:r>
      <w:r w:rsidR="00381A25">
        <w:t xml:space="preserve">, </w:t>
      </w:r>
      <w:r w:rsidR="00381A25" w:rsidRPr="00020509">
        <w:t>broadly</w:t>
      </w:r>
      <w:r w:rsidR="001773B1" w:rsidRPr="00020509">
        <w:t xml:space="preserve"> </w:t>
      </w:r>
      <w:r w:rsidR="008F7BDA" w:rsidRPr="00020509">
        <w:t xml:space="preserve">consistent with results from </w:t>
      </w:r>
      <w:r w:rsidR="00DA1923" w:rsidRPr="00020509">
        <w:t>2025</w:t>
      </w:r>
      <w:r w:rsidR="00DA1923">
        <w:t xml:space="preserve"> </w:t>
      </w:r>
      <w:r w:rsidR="00DA1923" w:rsidRPr="00283FC4">
        <w:t>(</w:t>
      </w:r>
      <w:r w:rsidR="00DA1923" w:rsidRPr="00283FC4">
        <w:rPr>
          <w:b/>
          <w:bCs/>
        </w:rPr>
        <w:t>Figure i</w:t>
      </w:r>
      <w:r w:rsidR="00DA1923" w:rsidRPr="00283FC4">
        <w:t>)</w:t>
      </w:r>
      <w:r w:rsidR="009271E2" w:rsidRPr="005A3AFE">
        <w:t xml:space="preserve">. </w:t>
      </w:r>
      <w:r w:rsidR="006006C9" w:rsidRPr="005A3AFE">
        <w:t>Postgraduate coursework graduates and postgraduate research graduates continue to report slightly higher employment rates than undergraduates, possibly due to their older age profile and longer attachment to the workforce</w:t>
      </w:r>
      <w:r w:rsidR="006006C9" w:rsidRPr="00283FC4">
        <w:rPr>
          <w:b/>
          <w:bCs/>
        </w:rPr>
        <w:t>.</w:t>
      </w:r>
    </w:p>
    <w:p w14:paraId="563DB46F" w14:textId="77777777" w:rsidR="0004389D" w:rsidRDefault="00705310" w:rsidP="0004389D">
      <w:pPr>
        <w:pStyle w:val="Caption"/>
      </w:pPr>
      <w:r w:rsidRPr="005A3AFE">
        <w:t>Figure i</w:t>
      </w:r>
      <w:r w:rsidR="00DF1EF3">
        <w:tab/>
      </w:r>
      <w:r w:rsidR="00C25CBA">
        <w:t>Short- and m</w:t>
      </w:r>
      <w:r w:rsidRPr="005A3AFE">
        <w:t>edium-term full-time employment rate for 2023 domestic graduates</w:t>
      </w:r>
    </w:p>
    <w:p w14:paraId="78B82711" w14:textId="66E40FC4" w:rsidR="00C25CBA" w:rsidRDefault="00A571DC" w:rsidP="0004389D">
      <w:pPr>
        <w:pStyle w:val="Caption"/>
      </w:pPr>
      <w:r>
        <w:rPr>
          <w:noProof/>
        </w:rPr>
        <w:drawing>
          <wp:inline distT="0" distB="0" distL="0" distR="0" wp14:anchorId="7249DA8C" wp14:editId="460D30CE">
            <wp:extent cx="6657340" cy="2426335"/>
            <wp:effectExtent l="0" t="0" r="0" b="0"/>
            <wp:docPr id="1812130978" name="Picture 14" descr="Clustered column chart. Short- and medium-term full-time employment rate for 2023 domestic graduates. Legend: Short-term (2023); Medium-term (2026)*. Horizontal axis: study level. Vertical axis: full-time employment rate (%). Undergraduate: Short-term (2023), 80.2%; Medium-term (2026)*, 91.8%. Postgraduate coursework: Short-term (2023), 90.2%; Medium-term (2026)*, 95.1%. Postgraduate research: Short-term (2023), 86.2%; Medium-term (2026)*, 9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30978" name="Picture 14" descr="Clustered column chart. Short- and medium-term full-time employment rate for 2023 domestic graduates. Legend: Short-term (2023); Medium-term (2026)*. Horizontal axis: study level. Vertical axis: full-time employment rate (%). Undergraduate: Short-term (2023), 80.2%; Medium-term (2026)*, 91.8%. Postgraduate coursework: Short-term (2023), 90.2%; Medium-term (2026)*, 95.1%. Postgraduate research: Short-term (2023), 86.2%; Medium-term (2026)*, 92.1%.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57340" cy="2426335"/>
                    </a:xfrm>
                    <a:prstGeom prst="rect">
                      <a:avLst/>
                    </a:prstGeom>
                    <a:noFill/>
                  </pic:spPr>
                </pic:pic>
              </a:graphicData>
            </a:graphic>
          </wp:inline>
        </w:drawing>
      </w:r>
    </w:p>
    <w:p w14:paraId="6E895DF6" w14:textId="44EF2509" w:rsidR="00C25CBA" w:rsidRPr="00B65B5A" w:rsidRDefault="00C25CBA" w:rsidP="00DF532B">
      <w:pPr>
        <w:pStyle w:val="BaseFigureNotes"/>
        <w:spacing w:after="240"/>
      </w:pPr>
      <w:r w:rsidRPr="00B65B5A">
        <w:t>* Caution should be exercised when interpreting differences in full-time employment rates between 2026 medium-term results and the short-term results, as they partly reflect a change in methodology. Refer to the 2025</w:t>
      </w:r>
      <w:r w:rsidR="009C6358" w:rsidRPr="00B65B5A">
        <w:t xml:space="preserve"> GOS-L</w:t>
      </w:r>
      <w:r w:rsidRPr="00B65B5A">
        <w:t xml:space="preserve"> report for further information.</w:t>
      </w:r>
    </w:p>
    <w:p w14:paraId="14E67DA9" w14:textId="53A887BB" w:rsidR="009603CD" w:rsidRPr="005A3AFE" w:rsidRDefault="002565EC" w:rsidP="00DF532B">
      <w:pPr>
        <w:pStyle w:val="SubHeading1"/>
      </w:pPr>
      <w:r w:rsidRPr="005A3AFE">
        <w:t>Graduate’s m</w:t>
      </w:r>
      <w:r w:rsidR="00FB019C" w:rsidRPr="005A3AFE">
        <w:t xml:space="preserve">edian annual </w:t>
      </w:r>
      <w:r w:rsidR="008A68A8">
        <w:t xml:space="preserve">full-time </w:t>
      </w:r>
      <w:r w:rsidR="00FB019C" w:rsidRPr="005A3AFE">
        <w:t xml:space="preserve">salary increases significantly in the first 3 years following completion of </w:t>
      </w:r>
      <w:r w:rsidRPr="005A3AFE">
        <w:t>their</w:t>
      </w:r>
      <w:r w:rsidR="00FB019C" w:rsidRPr="005A3AFE">
        <w:t xml:space="preserve"> degree</w:t>
      </w:r>
    </w:p>
    <w:p w14:paraId="6AC2A623" w14:textId="505D42A2" w:rsidR="00A87FCB" w:rsidRPr="005A3AFE" w:rsidRDefault="004060D4" w:rsidP="00F23487">
      <w:pPr>
        <w:pStyle w:val="Body"/>
        <w:spacing w:after="240"/>
        <w:rPr>
          <w:rFonts w:cs="Times New Roman"/>
        </w:rPr>
      </w:pPr>
      <w:r w:rsidRPr="005A3AFE">
        <w:rPr>
          <w:rFonts w:eastAsiaTheme="minorHAnsi"/>
          <w:lang w:val="en-GB"/>
        </w:rPr>
        <w:t xml:space="preserve">The 3-year </w:t>
      </w:r>
      <w:r w:rsidR="00C60B61">
        <w:rPr>
          <w:rFonts w:eastAsiaTheme="minorHAnsi"/>
          <w:lang w:val="en-GB"/>
        </w:rPr>
        <w:t xml:space="preserve">(from short-term to medium-term) </w:t>
      </w:r>
      <w:r w:rsidR="00E261DE">
        <w:rPr>
          <w:rFonts w:eastAsiaTheme="minorHAnsi"/>
          <w:lang w:val="en-GB"/>
        </w:rPr>
        <w:t xml:space="preserve">annual full-time salary </w:t>
      </w:r>
      <w:r w:rsidRPr="005A3AFE">
        <w:rPr>
          <w:rFonts w:eastAsiaTheme="minorHAnsi"/>
          <w:lang w:val="en-GB"/>
        </w:rPr>
        <w:t xml:space="preserve">growth </w:t>
      </w:r>
      <w:r w:rsidR="00A339D0">
        <w:rPr>
          <w:rFonts w:eastAsiaTheme="minorHAnsi"/>
          <w:lang w:val="en-GB"/>
        </w:rPr>
        <w:t xml:space="preserve">for </w:t>
      </w:r>
      <w:r w:rsidR="00A339D0" w:rsidRPr="00A339D0">
        <w:rPr>
          <w:rFonts w:eastAsiaTheme="minorHAnsi"/>
          <w:lang w:val="en-GB"/>
        </w:rPr>
        <w:t>the 2023</w:t>
      </w:r>
      <w:r w:rsidR="00886C60" w:rsidRPr="00886C60">
        <w:rPr>
          <w:rFonts w:eastAsiaTheme="minorHAnsi"/>
        </w:rPr>
        <w:t>–</w:t>
      </w:r>
      <w:r w:rsidR="00A339D0" w:rsidRPr="00A339D0">
        <w:rPr>
          <w:rFonts w:eastAsiaTheme="minorHAnsi"/>
          <w:lang w:val="en-GB"/>
        </w:rPr>
        <w:t xml:space="preserve">2026 </w:t>
      </w:r>
      <w:r w:rsidR="00A339D0">
        <w:rPr>
          <w:rFonts w:eastAsiaTheme="minorHAnsi"/>
          <w:lang w:val="en-GB"/>
        </w:rPr>
        <w:t xml:space="preserve">cohort </w:t>
      </w:r>
      <w:r w:rsidR="00A339D0" w:rsidRPr="00A339D0">
        <w:rPr>
          <w:rFonts w:eastAsiaTheme="minorHAnsi"/>
          <w:lang w:val="en-GB"/>
        </w:rPr>
        <w:t xml:space="preserve">continued to be relatively high compared to </w:t>
      </w:r>
      <w:r w:rsidR="00A339D0">
        <w:rPr>
          <w:rFonts w:eastAsiaTheme="minorHAnsi"/>
          <w:lang w:val="en-GB"/>
        </w:rPr>
        <w:t xml:space="preserve">cohorts from </w:t>
      </w:r>
      <w:r w:rsidR="00A339D0" w:rsidRPr="00A339D0">
        <w:rPr>
          <w:rFonts w:eastAsiaTheme="minorHAnsi"/>
          <w:lang w:val="en-GB"/>
        </w:rPr>
        <w:t xml:space="preserve">the pre-pandemic years </w:t>
      </w:r>
      <w:r w:rsidR="00DF3B99">
        <w:rPr>
          <w:rFonts w:eastAsiaTheme="minorHAnsi"/>
          <w:lang w:val="en-GB"/>
        </w:rPr>
        <w:t xml:space="preserve">(prior to 2020). </w:t>
      </w:r>
      <w:r w:rsidR="005719F3" w:rsidRPr="00A339D0">
        <w:rPr>
          <w:rFonts w:eastAsiaTheme="minorHAnsi"/>
          <w:lang w:val="en-GB"/>
        </w:rPr>
        <w:t xml:space="preserve">Undergraduate and postgraduate coursework 3-year median salary growth </w:t>
      </w:r>
      <w:r w:rsidR="00A339D0">
        <w:rPr>
          <w:rFonts w:eastAsiaTheme="minorHAnsi"/>
          <w:lang w:val="en-GB"/>
        </w:rPr>
        <w:t>(31.0 per cent</w:t>
      </w:r>
      <w:r w:rsidR="00A339D0" w:rsidRPr="00A339D0">
        <w:rPr>
          <w:rFonts w:eastAsiaTheme="minorHAnsi"/>
          <w:lang w:val="en-GB"/>
        </w:rPr>
        <w:t xml:space="preserve"> and </w:t>
      </w:r>
      <w:r w:rsidR="00A339D0">
        <w:rPr>
          <w:rFonts w:eastAsiaTheme="minorHAnsi"/>
          <w:lang w:val="en-GB"/>
        </w:rPr>
        <w:t>22.4 per cent</w:t>
      </w:r>
      <w:r w:rsidR="00A339D0" w:rsidRPr="00A339D0">
        <w:rPr>
          <w:rFonts w:eastAsiaTheme="minorHAnsi"/>
          <w:lang w:val="en-GB"/>
        </w:rPr>
        <w:t xml:space="preserve"> respectively</w:t>
      </w:r>
      <w:r w:rsidR="00A339D0">
        <w:rPr>
          <w:rFonts w:eastAsiaTheme="minorHAnsi"/>
          <w:lang w:val="en-GB"/>
        </w:rPr>
        <w:t xml:space="preserve">) </w:t>
      </w:r>
      <w:r w:rsidR="005719F3" w:rsidRPr="00A339D0">
        <w:rPr>
          <w:rFonts w:eastAsiaTheme="minorHAnsi"/>
          <w:lang w:val="en-GB"/>
        </w:rPr>
        <w:t>decreased compared to the 2022</w:t>
      </w:r>
      <w:r w:rsidR="00886C60" w:rsidRPr="00886C60">
        <w:rPr>
          <w:rFonts w:eastAsiaTheme="minorHAnsi"/>
        </w:rPr>
        <w:t>–</w:t>
      </w:r>
      <w:r w:rsidR="005719F3" w:rsidRPr="00A339D0">
        <w:rPr>
          <w:rFonts w:eastAsiaTheme="minorHAnsi"/>
          <w:lang w:val="en-GB"/>
        </w:rPr>
        <w:t>2025 cohort (</w:t>
      </w:r>
      <w:r w:rsidR="00C67340" w:rsidRPr="00A339D0">
        <w:rPr>
          <w:rFonts w:eastAsiaTheme="minorHAnsi"/>
          <w:lang w:val="en-GB"/>
        </w:rPr>
        <w:t>31.9 per cent</w:t>
      </w:r>
      <w:r w:rsidR="005719F3" w:rsidRPr="00A339D0">
        <w:rPr>
          <w:rFonts w:eastAsiaTheme="minorHAnsi"/>
          <w:lang w:val="en-GB"/>
        </w:rPr>
        <w:t xml:space="preserve"> and </w:t>
      </w:r>
      <w:r w:rsidR="00A339D0">
        <w:rPr>
          <w:rFonts w:eastAsiaTheme="minorHAnsi"/>
          <w:lang w:val="en-GB"/>
        </w:rPr>
        <w:t>27.1 per cent</w:t>
      </w:r>
      <w:r w:rsidR="005719F3" w:rsidRPr="00A339D0">
        <w:rPr>
          <w:rFonts w:eastAsiaTheme="minorHAnsi"/>
          <w:lang w:val="en-GB"/>
        </w:rPr>
        <w:t xml:space="preserve"> respectively), </w:t>
      </w:r>
      <w:r w:rsidR="008C1945" w:rsidRPr="00E261DE">
        <w:rPr>
          <w:rFonts w:eastAsiaTheme="minorHAnsi"/>
          <w:lang w:val="en-GB"/>
        </w:rPr>
        <w:t>and</w:t>
      </w:r>
      <w:r w:rsidR="00A339D0">
        <w:rPr>
          <w:rFonts w:eastAsiaTheme="minorHAnsi"/>
          <w:lang w:val="en-GB"/>
        </w:rPr>
        <w:t xml:space="preserve"> </w:t>
      </w:r>
      <w:r w:rsidR="005719F3" w:rsidRPr="00A339D0">
        <w:rPr>
          <w:rFonts w:eastAsiaTheme="minorHAnsi"/>
          <w:lang w:val="en-GB"/>
        </w:rPr>
        <w:t>postgraduate research graduates</w:t>
      </w:r>
      <w:r w:rsidR="005719F3" w:rsidRPr="005A3AFE">
        <w:rPr>
          <w:rFonts w:eastAsiaTheme="minorHAnsi"/>
          <w:lang w:val="en-GB"/>
        </w:rPr>
        <w:t xml:space="preserve"> </w:t>
      </w:r>
      <w:r w:rsidR="005719F3">
        <w:rPr>
          <w:rFonts w:eastAsiaTheme="minorHAnsi"/>
          <w:lang w:val="en-GB"/>
        </w:rPr>
        <w:t>reported</w:t>
      </w:r>
      <w:r w:rsidR="002F107C" w:rsidRPr="005A3AFE">
        <w:rPr>
          <w:rFonts w:eastAsiaTheme="minorHAnsi"/>
          <w:lang w:val="en-GB"/>
        </w:rPr>
        <w:t xml:space="preserve"> an all-time high of 25</w:t>
      </w:r>
      <w:r w:rsidR="0061598B">
        <w:rPr>
          <w:rFonts w:eastAsiaTheme="minorHAnsi"/>
          <w:lang w:val="en-GB"/>
        </w:rPr>
        <w:t>.0</w:t>
      </w:r>
      <w:r w:rsidR="002F107C" w:rsidRPr="005A3AFE">
        <w:rPr>
          <w:rFonts w:eastAsiaTheme="minorHAnsi"/>
          <w:lang w:val="en-GB"/>
        </w:rPr>
        <w:t xml:space="preserve"> per cent</w:t>
      </w:r>
      <w:r w:rsidR="00A339D0">
        <w:rPr>
          <w:rFonts w:eastAsiaTheme="minorHAnsi"/>
          <w:lang w:val="en-GB"/>
        </w:rPr>
        <w:t>, an increase from 23.7 per cent reported by the 2022</w:t>
      </w:r>
      <w:r w:rsidR="00886C60" w:rsidRPr="00886C60">
        <w:rPr>
          <w:rFonts w:eastAsiaTheme="minorHAnsi"/>
        </w:rPr>
        <w:t>–</w:t>
      </w:r>
      <w:r w:rsidR="00A339D0">
        <w:rPr>
          <w:rFonts w:eastAsiaTheme="minorHAnsi"/>
          <w:lang w:val="en-GB"/>
        </w:rPr>
        <w:t>2025 cohort</w:t>
      </w:r>
      <w:r w:rsidR="002F107C" w:rsidRPr="005A3AFE">
        <w:rPr>
          <w:rFonts w:eastAsiaTheme="minorHAnsi"/>
          <w:lang w:val="en-GB"/>
        </w:rPr>
        <w:t xml:space="preserve">. </w:t>
      </w:r>
      <w:r w:rsidRPr="005A3AFE">
        <w:t>While undergraduate median salaries are lower in the short- and medium-term, they increased at a higher rate than both postgraduate coursework and postgraduate research median salaries</w:t>
      </w:r>
      <w:r w:rsidR="000A717F">
        <w:t xml:space="preserve"> </w:t>
      </w:r>
      <w:r w:rsidR="000A717F" w:rsidRPr="00283FC4">
        <w:rPr>
          <w:rFonts w:eastAsiaTheme="minorHAnsi"/>
          <w:lang w:val="en-GB"/>
        </w:rPr>
        <w:t>(</w:t>
      </w:r>
      <w:r w:rsidR="000A717F">
        <w:rPr>
          <w:rFonts w:eastAsiaTheme="minorHAnsi"/>
          <w:lang w:val="en-GB"/>
        </w:rPr>
        <w:t xml:space="preserve">see </w:t>
      </w:r>
      <w:r w:rsidR="000A717F" w:rsidRPr="005A3AFE">
        <w:rPr>
          <w:rFonts w:eastAsiaTheme="minorHAnsi"/>
          <w:b/>
          <w:bCs/>
          <w:lang w:val="en-GB"/>
        </w:rPr>
        <w:t>Figure ii</w:t>
      </w:r>
      <w:r w:rsidR="000A717F" w:rsidRPr="00283FC4">
        <w:rPr>
          <w:rFonts w:eastAsiaTheme="minorHAnsi"/>
          <w:lang w:val="en-GB"/>
        </w:rPr>
        <w:t>)</w:t>
      </w:r>
      <w:r w:rsidRPr="005A3AFE">
        <w:t xml:space="preserve">. </w:t>
      </w:r>
      <w:r w:rsidR="002F107C" w:rsidRPr="00912E1F">
        <w:rPr>
          <w:spacing w:val="-2"/>
        </w:rPr>
        <w:t xml:space="preserve">Despite the </w:t>
      </w:r>
      <w:r w:rsidR="005719F3" w:rsidRPr="00912E1F">
        <w:rPr>
          <w:spacing w:val="-2"/>
        </w:rPr>
        <w:t>higher growth reported by</w:t>
      </w:r>
      <w:r w:rsidR="002F107C" w:rsidRPr="00912E1F">
        <w:rPr>
          <w:spacing w:val="-2"/>
        </w:rPr>
        <w:t xml:space="preserve"> undergraduate</w:t>
      </w:r>
      <w:r w:rsidR="005719F3" w:rsidRPr="00912E1F">
        <w:rPr>
          <w:spacing w:val="-2"/>
        </w:rPr>
        <w:t>s</w:t>
      </w:r>
      <w:r w:rsidR="002F107C" w:rsidRPr="00912E1F">
        <w:rPr>
          <w:spacing w:val="-2"/>
        </w:rPr>
        <w:t xml:space="preserve">, </w:t>
      </w:r>
      <w:r w:rsidR="00DF3B99" w:rsidRPr="00912E1F">
        <w:rPr>
          <w:spacing w:val="-2"/>
        </w:rPr>
        <w:t xml:space="preserve">differences </w:t>
      </w:r>
      <w:r w:rsidR="005719F3" w:rsidRPr="00912E1F">
        <w:rPr>
          <w:spacing w:val="-2"/>
        </w:rPr>
        <w:t xml:space="preserve">in median salary levels </w:t>
      </w:r>
      <w:r w:rsidR="002F107C" w:rsidRPr="00912E1F">
        <w:rPr>
          <w:spacing w:val="-2"/>
        </w:rPr>
        <w:t>remained between undergraduate and postgraduate coursework</w:t>
      </w:r>
      <w:r w:rsidR="005719F3" w:rsidRPr="00912E1F">
        <w:rPr>
          <w:spacing w:val="-2"/>
        </w:rPr>
        <w:t xml:space="preserve"> graduates</w:t>
      </w:r>
      <w:r w:rsidR="002F107C" w:rsidRPr="00912E1F">
        <w:rPr>
          <w:spacing w:val="-2"/>
        </w:rPr>
        <w:t xml:space="preserve">, possibly reflecting the skills and knowledge acquired </w:t>
      </w:r>
      <w:r w:rsidR="00DF3B99" w:rsidRPr="00912E1F">
        <w:rPr>
          <w:spacing w:val="-2"/>
        </w:rPr>
        <w:t>through</w:t>
      </w:r>
      <w:r w:rsidR="005719F3" w:rsidRPr="00912E1F">
        <w:rPr>
          <w:spacing w:val="-2"/>
        </w:rPr>
        <w:t xml:space="preserve"> the</w:t>
      </w:r>
      <w:r w:rsidR="00DF3B99" w:rsidRPr="00912E1F">
        <w:rPr>
          <w:spacing w:val="-2"/>
        </w:rPr>
        <w:t xml:space="preserve"> </w:t>
      </w:r>
      <w:r w:rsidR="002F107C" w:rsidRPr="00912E1F">
        <w:rPr>
          <w:spacing w:val="-2"/>
        </w:rPr>
        <w:t>different study levels as well as prior labour market experience.</w:t>
      </w:r>
    </w:p>
    <w:p w14:paraId="47736CA7" w14:textId="2B3ABB6D" w:rsidR="001C172C" w:rsidRDefault="001C172C" w:rsidP="00B72FEF">
      <w:pPr>
        <w:pStyle w:val="Caption"/>
      </w:pPr>
      <w:r w:rsidRPr="005A3AFE">
        <w:lastRenderedPageBreak/>
        <w:t>Figure ii</w:t>
      </w:r>
      <w:r w:rsidR="00DF1EF3">
        <w:tab/>
      </w:r>
      <w:r w:rsidR="000F530B" w:rsidRPr="005A3AFE">
        <w:t>Short- and medium</w:t>
      </w:r>
      <w:r w:rsidRPr="005A3AFE">
        <w:t xml:space="preserve">-term </w:t>
      </w:r>
      <w:r w:rsidR="000F530B" w:rsidRPr="005A3AFE">
        <w:t>median salary</w:t>
      </w:r>
      <w:r w:rsidRPr="005A3AFE">
        <w:t xml:space="preserve"> for 2023 domestic graduates</w:t>
      </w:r>
    </w:p>
    <w:p w14:paraId="47251FF2" w14:textId="52BA8458" w:rsidR="00ED2F4E" w:rsidRPr="000B4B66" w:rsidRDefault="000B4B66" w:rsidP="000B4B66">
      <w:pPr>
        <w:pStyle w:val="Body"/>
      </w:pPr>
      <w:r>
        <w:rPr>
          <w:noProof/>
        </w:rPr>
        <w:drawing>
          <wp:inline distT="0" distB="0" distL="0" distR="0" wp14:anchorId="581314A9" wp14:editId="7A8A4C8E">
            <wp:extent cx="6657340" cy="3060700"/>
            <wp:effectExtent l="0" t="0" r="0" b="6350"/>
            <wp:docPr id="1786771775" name="Picture 15" descr="Composite clustered column chart with percentage-growth arrows. Short- and medium-term median salary for 2023 domestic graduates. Legend: Short-term (2023); Medium-term (2026). Percentage labels above the column pairs show three-year salary growth. Horizontal axis: study level. Vertical axis: median annual full-time salary ($). Undergraduate: Short-term (2023), $71,400; Medium-term (2026), $93,500; growth 31.0%. Postgraduate coursework: Short-term (2023), $98,000; Medium-term (2026), $120,000; growth 22.4%. Postgraduate research: Short-term (2023), $100,000; Medium-term (2026), $125,000; growth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71775" name="Picture 15" descr="Composite clustered column chart with percentage-growth arrows. Short- and medium-term median salary for 2023 domestic graduates. Legend: Short-term (2023); Medium-term (2026). Percentage labels above the column pairs show three-year salary growth. Horizontal axis: study level. Vertical axis: median annual full-time salary ($). Undergraduate: Short-term (2023), $71,400; Medium-term (2026), $93,500; growth 31.0%. Postgraduate coursework: Short-term (2023), $98,000; Medium-term (2026), $120,000; growth 22.4%. Postgraduate research: Short-term (2023), $100,000; Medium-term (2026), $125,000; growth 2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57340" cy="3060700"/>
                    </a:xfrm>
                    <a:prstGeom prst="rect">
                      <a:avLst/>
                    </a:prstGeom>
                    <a:noFill/>
                  </pic:spPr>
                </pic:pic>
              </a:graphicData>
            </a:graphic>
          </wp:inline>
        </w:drawing>
      </w:r>
      <w:r w:rsidR="00ED2F4E" w:rsidRPr="000B4B66">
        <w:rPr>
          <w:rStyle w:val="SubHeading1Char"/>
          <w:spacing w:val="-6"/>
        </w:rPr>
        <w:t>Graduate</w:t>
      </w:r>
      <w:r w:rsidR="00B25F11" w:rsidRPr="000B4B66">
        <w:rPr>
          <w:rStyle w:val="SubHeading1Char"/>
          <w:spacing w:val="-6"/>
        </w:rPr>
        <w:t>s</w:t>
      </w:r>
      <w:r w:rsidR="00ED2F4E" w:rsidRPr="000B4B66">
        <w:rPr>
          <w:rStyle w:val="SubHeading1Char"/>
          <w:spacing w:val="-6"/>
        </w:rPr>
        <w:t xml:space="preserve"> transition into their preferred employment arrangements </w:t>
      </w:r>
      <w:r w:rsidR="00B25F11" w:rsidRPr="000B4B66">
        <w:rPr>
          <w:rStyle w:val="SubHeading1Char"/>
          <w:spacing w:val="-6"/>
        </w:rPr>
        <w:t>over</w:t>
      </w:r>
      <w:r w:rsidR="00ED2F4E" w:rsidRPr="000B4B66">
        <w:rPr>
          <w:rStyle w:val="SubHeading1Char"/>
          <w:spacing w:val="-6"/>
        </w:rPr>
        <w:t xml:space="preserve"> time</w:t>
      </w:r>
    </w:p>
    <w:p w14:paraId="76C5DEEF" w14:textId="2C78B001" w:rsidR="004A3C1E" w:rsidRPr="005A3AFE" w:rsidRDefault="00D12965" w:rsidP="001E1B97">
      <w:pPr>
        <w:pStyle w:val="Body"/>
        <w:rPr>
          <w:noProof/>
        </w:rPr>
      </w:pPr>
      <w:r w:rsidRPr="005A3AFE">
        <w:rPr>
          <w:noProof/>
        </w:rPr>
        <w:t>Although 14.4 per cent of undergraduates indicated that they were working part-time and would prefer more hours</w:t>
      </w:r>
      <w:r w:rsidR="00ED2F4E" w:rsidRPr="005A3AFE">
        <w:rPr>
          <w:noProof/>
        </w:rPr>
        <w:t xml:space="preserve"> in the short-term</w:t>
      </w:r>
      <w:r w:rsidRPr="005A3AFE">
        <w:rPr>
          <w:noProof/>
        </w:rPr>
        <w:t xml:space="preserve">, </w:t>
      </w:r>
      <w:r w:rsidR="0085098B">
        <w:rPr>
          <w:noProof/>
        </w:rPr>
        <w:t>73</w:t>
      </w:r>
      <w:r w:rsidR="007639E1">
        <w:rPr>
          <w:noProof/>
        </w:rPr>
        <w:t>.</w:t>
      </w:r>
      <w:r w:rsidR="0085098B">
        <w:rPr>
          <w:noProof/>
        </w:rPr>
        <w:t>5</w:t>
      </w:r>
      <w:r w:rsidRPr="005A3AFE">
        <w:rPr>
          <w:noProof/>
        </w:rPr>
        <w:t xml:space="preserve"> per cent of </w:t>
      </w:r>
      <w:r w:rsidR="0085098B">
        <w:rPr>
          <w:noProof/>
        </w:rPr>
        <w:t>these</w:t>
      </w:r>
      <w:r w:rsidRPr="005A3AFE">
        <w:rPr>
          <w:noProof/>
        </w:rPr>
        <w:t xml:space="preserve"> undergraduates</w:t>
      </w:r>
      <w:r w:rsidR="0085098B">
        <w:rPr>
          <w:noProof/>
        </w:rPr>
        <w:t xml:space="preserve"> who were</w:t>
      </w:r>
      <w:r w:rsidRPr="005A3AFE">
        <w:rPr>
          <w:noProof/>
        </w:rPr>
        <w:t xml:space="preserve"> </w:t>
      </w:r>
      <w:r w:rsidR="0085098B">
        <w:rPr>
          <w:noProof/>
        </w:rPr>
        <w:t xml:space="preserve">available for work in the medium-term </w:t>
      </w:r>
      <w:r w:rsidRPr="005A3AFE">
        <w:rPr>
          <w:noProof/>
        </w:rPr>
        <w:t>were either employed full-time or satisfied with their working hours</w:t>
      </w:r>
      <w:r w:rsidR="00ED2F4E" w:rsidRPr="005A3AFE">
        <w:rPr>
          <w:noProof/>
        </w:rPr>
        <w:t xml:space="preserve">, with similar </w:t>
      </w:r>
      <w:r w:rsidR="00AF3480" w:rsidRPr="005A3AFE">
        <w:rPr>
          <w:noProof/>
        </w:rPr>
        <w:t>proportions</w:t>
      </w:r>
      <w:r w:rsidR="00ED2F4E" w:rsidRPr="005A3AFE">
        <w:rPr>
          <w:noProof/>
        </w:rPr>
        <w:t xml:space="preserve"> for postgraduate coursework and postgraduate research graduates</w:t>
      </w:r>
      <w:r w:rsidR="00516333" w:rsidRPr="005A3AFE">
        <w:rPr>
          <w:noProof/>
        </w:rPr>
        <w:t xml:space="preserve"> (</w:t>
      </w:r>
      <w:r w:rsidR="00516333" w:rsidRPr="005A3AFE">
        <w:rPr>
          <w:b/>
          <w:bCs/>
          <w:noProof/>
        </w:rPr>
        <w:t>Figure iii</w:t>
      </w:r>
      <w:r w:rsidR="00516333" w:rsidRPr="00283FC4">
        <w:rPr>
          <w:noProof/>
        </w:rPr>
        <w:t>)</w:t>
      </w:r>
      <w:r w:rsidR="00ED2F4E" w:rsidRPr="005A3AFE">
        <w:rPr>
          <w:noProof/>
        </w:rPr>
        <w:t>.</w:t>
      </w:r>
      <w:r w:rsidRPr="005A3AFE">
        <w:rPr>
          <w:noProof/>
        </w:rPr>
        <w:t xml:space="preserve"> </w:t>
      </w:r>
      <w:r w:rsidR="00ED2F4E" w:rsidRPr="00B72FEF">
        <w:rPr>
          <w:noProof/>
          <w:spacing w:val="-2"/>
        </w:rPr>
        <w:t>These findings indicate that although graduates may not initially secure their desired employment arrangements 4</w:t>
      </w:r>
      <w:r w:rsidR="00612E2F" w:rsidRPr="00B72FEF">
        <w:rPr>
          <w:noProof/>
          <w:spacing w:val="-2"/>
        </w:rPr>
        <w:t xml:space="preserve"> to </w:t>
      </w:r>
      <w:r w:rsidR="00ED2F4E" w:rsidRPr="00B72FEF">
        <w:rPr>
          <w:noProof/>
          <w:spacing w:val="-2"/>
        </w:rPr>
        <w:t xml:space="preserve">6 months after </w:t>
      </w:r>
      <w:r w:rsidR="00A339D0" w:rsidRPr="00B72FEF">
        <w:rPr>
          <w:noProof/>
          <w:spacing w:val="-2"/>
        </w:rPr>
        <w:t>course completion</w:t>
      </w:r>
      <w:r w:rsidR="00ED2F4E" w:rsidRPr="00B72FEF">
        <w:rPr>
          <w:noProof/>
          <w:spacing w:val="-2"/>
        </w:rPr>
        <w:t>, a substantial proportion do so over time.</w:t>
      </w:r>
    </w:p>
    <w:p w14:paraId="0D6E3F6C" w14:textId="5A5DFC50" w:rsidR="0085098B" w:rsidRDefault="00496AFC" w:rsidP="00D36197">
      <w:pPr>
        <w:pStyle w:val="Caption"/>
        <w:spacing w:before="240"/>
      </w:pPr>
      <w:r w:rsidRPr="005A3AFE">
        <w:t>Figure iii</w:t>
      </w:r>
      <w:r w:rsidR="00DF1EF3">
        <w:tab/>
      </w:r>
      <w:r w:rsidR="00516333" w:rsidRPr="005A3AFE">
        <w:t>Select m</w:t>
      </w:r>
      <w:r w:rsidRPr="005A3AFE">
        <w:t>edium-term</w:t>
      </w:r>
      <w:r w:rsidR="006373F9">
        <w:t xml:space="preserve"> (2026)</w:t>
      </w:r>
      <w:r w:rsidRPr="005A3AFE">
        <w:t xml:space="preserve"> labour force classification for </w:t>
      </w:r>
      <w:r w:rsidR="006708F2">
        <w:t xml:space="preserve">domestic </w:t>
      </w:r>
      <w:r w:rsidRPr="005A3AFE">
        <w:t>graduates</w:t>
      </w:r>
      <w:r w:rsidR="004B5347" w:rsidRPr="005A3AFE">
        <w:t xml:space="preserve"> who were underemployed</w:t>
      </w:r>
      <w:r w:rsidR="00AF3480" w:rsidRPr="005A3AFE">
        <w:t xml:space="preserve"> in 2023</w:t>
      </w:r>
    </w:p>
    <w:p w14:paraId="5371469E" w14:textId="54B252C6" w:rsidR="006373F9" w:rsidRPr="005A3AFE" w:rsidRDefault="00C820D1" w:rsidP="00912E1F">
      <w:pPr>
        <w:pStyle w:val="Body"/>
        <w:rPr>
          <w:noProof/>
        </w:rPr>
      </w:pPr>
      <w:r>
        <w:rPr>
          <w:noProof/>
        </w:rPr>
        <w:drawing>
          <wp:inline distT="0" distB="0" distL="0" distR="0" wp14:anchorId="51540005" wp14:editId="0B624641">
            <wp:extent cx="6657340" cy="2889885"/>
            <wp:effectExtent l="0" t="0" r="0" b="5715"/>
            <wp:docPr id="1368900707" name="Picture 14" descr="Stacked column chart. Select medium-term (2026) labour force classification for domestic graduates who were underemployed in 2023. Legend: Employed full-time; Employed part-time, prefer more hours; Employed part-time, satisfied with hours;. Employed full-time: Undergraduates: 59.3%; Postgraduate coursework: 58.2%; Postgraduate research: 53.6% Employed part-time, satisfied with hours: Undergraduates: 14.2%; Postgraduate coursework: 16.9%; Postgraduate research: 1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900707" name="Picture 14" descr="Stacked column chart. Select medium-term (2026) labour force classification for domestic graduates who were underemployed in 2023. Legend: Employed full-time; Employed part-time, prefer more hours; Employed part-time, satisfied with hours;. Employed full-time: Undergraduates: 59.3%; Postgraduate coursework: 58.2%; Postgraduate research: 53.6% Employed part-time, satisfied with hours: Undergraduates: 14.2%; Postgraduate coursework: 16.9%; Postgraduate research: 12.6%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57340" cy="2889885"/>
                    </a:xfrm>
                    <a:prstGeom prst="rect">
                      <a:avLst/>
                    </a:prstGeom>
                    <a:noFill/>
                  </pic:spPr>
                </pic:pic>
              </a:graphicData>
            </a:graphic>
          </wp:inline>
        </w:drawing>
      </w:r>
    </w:p>
    <w:p w14:paraId="21232522" w14:textId="5A1835DB" w:rsidR="00F76990" w:rsidRPr="005A3AFE" w:rsidRDefault="007E6266" w:rsidP="00004CF1">
      <w:pPr>
        <w:pStyle w:val="SubHeading1"/>
      </w:pPr>
      <w:r>
        <w:t>Perceived overqualification persists in the medium</w:t>
      </w:r>
      <w:r w:rsidR="00221CDE">
        <w:t xml:space="preserve"> </w:t>
      </w:r>
      <w:r>
        <w:t>term, but this does not indicate poor graduate</w:t>
      </w:r>
      <w:r w:rsidR="00D64C3B">
        <w:t xml:space="preserve"> </w:t>
      </w:r>
      <w:r>
        <w:t>outcomes</w:t>
      </w:r>
    </w:p>
    <w:p w14:paraId="0474A29F" w14:textId="14EAF9A7" w:rsidR="001455C2" w:rsidRPr="005A3AFE" w:rsidRDefault="00A339D0" w:rsidP="00906FAD">
      <w:pPr>
        <w:pStyle w:val="Body"/>
        <w:rPr>
          <w:lang w:val="en-GB"/>
        </w:rPr>
      </w:pPr>
      <w:r>
        <w:rPr>
          <w:lang w:val="en-GB"/>
        </w:rPr>
        <w:t>A</w:t>
      </w:r>
      <w:r w:rsidRPr="005A3AFE">
        <w:rPr>
          <w:lang w:val="en-GB"/>
        </w:rPr>
        <w:t>cross all study levels</w:t>
      </w:r>
      <w:r>
        <w:rPr>
          <w:lang w:val="en-GB"/>
        </w:rPr>
        <w:t>,</w:t>
      </w:r>
      <w:r w:rsidRPr="005A3AFE">
        <w:rPr>
          <w:lang w:val="en-GB"/>
        </w:rPr>
        <w:t xml:space="preserve"> </w:t>
      </w:r>
      <w:r w:rsidR="00496AFC" w:rsidRPr="005A3AFE">
        <w:rPr>
          <w:lang w:val="en-GB"/>
        </w:rPr>
        <w:t>a</w:t>
      </w:r>
      <w:r w:rsidR="008F6621" w:rsidRPr="005A3AFE">
        <w:rPr>
          <w:lang w:val="en-GB"/>
        </w:rPr>
        <w:t>round 28 per cent of graduates who completed the GOS in 2023 were working in jobs that they felt were not fully utilising their skills and education</w:t>
      </w:r>
      <w:r w:rsidR="00496AFC" w:rsidRPr="005A3AFE">
        <w:rPr>
          <w:lang w:val="en-GB"/>
        </w:rPr>
        <w:t xml:space="preserve"> 3 years </w:t>
      </w:r>
      <w:r>
        <w:rPr>
          <w:lang w:val="en-GB"/>
        </w:rPr>
        <w:t>after course completion</w:t>
      </w:r>
      <w:r w:rsidR="008F6621" w:rsidRPr="005A3AFE">
        <w:rPr>
          <w:lang w:val="en-GB"/>
        </w:rPr>
        <w:t>.</w:t>
      </w:r>
      <w:r w:rsidR="007E6266">
        <w:rPr>
          <w:lang w:val="en-GB"/>
        </w:rPr>
        <w:t xml:space="preserve"> </w:t>
      </w:r>
      <w:r w:rsidR="00645CAD">
        <w:rPr>
          <w:lang w:val="en-GB"/>
        </w:rPr>
        <w:t xml:space="preserve">The main reason cited in the medium term across all study levels was </w:t>
      </w:r>
      <w:r w:rsidR="00645CAD" w:rsidRPr="005A3AFE">
        <w:rPr>
          <w:rFonts w:eastAsia="Arial"/>
          <w:lang w:val="en-GB"/>
        </w:rPr>
        <w:t>'I'm satisfied with my current job'</w:t>
      </w:r>
      <w:r w:rsidR="00645CAD">
        <w:rPr>
          <w:rFonts w:eastAsia="Arial"/>
          <w:lang w:val="en-GB"/>
        </w:rPr>
        <w:t xml:space="preserve">, at 26.8 per cent for undergraduates, and 29.3 per cent and 31.9 per cent for </w:t>
      </w:r>
      <w:r w:rsidR="00645CAD" w:rsidRPr="005A3AFE">
        <w:rPr>
          <w:lang w:val="en-GB"/>
        </w:rPr>
        <w:t xml:space="preserve">postgraduate </w:t>
      </w:r>
      <w:r w:rsidR="00645CAD">
        <w:rPr>
          <w:lang w:val="en-GB"/>
        </w:rPr>
        <w:t xml:space="preserve">coursework </w:t>
      </w:r>
      <w:r w:rsidR="00645CAD">
        <w:rPr>
          <w:rFonts w:eastAsia="Arial"/>
          <w:lang w:val="en-GB"/>
        </w:rPr>
        <w:t xml:space="preserve">and </w:t>
      </w:r>
      <w:r w:rsidR="00645CAD" w:rsidRPr="005A3AFE">
        <w:rPr>
          <w:lang w:val="en-GB"/>
        </w:rPr>
        <w:t xml:space="preserve">postgraduate research </w:t>
      </w:r>
      <w:r w:rsidR="00645CAD">
        <w:rPr>
          <w:lang w:val="en-GB"/>
        </w:rPr>
        <w:t xml:space="preserve">graduates </w:t>
      </w:r>
      <w:r w:rsidR="00645CAD">
        <w:rPr>
          <w:rFonts w:eastAsia="Arial"/>
          <w:lang w:val="en-GB"/>
        </w:rPr>
        <w:t>respectively.</w:t>
      </w:r>
      <w:r w:rsidR="007E6266" w:rsidRPr="00817EA0">
        <w:rPr>
          <w:color w:val="F3772C" w:themeColor="accent3"/>
          <w:shd w:val="clear" w:color="auto" w:fill="F5F5F5"/>
        </w:rPr>
        <w:t xml:space="preserve"> </w:t>
      </w:r>
      <w:r w:rsidR="007E6266" w:rsidRPr="0036340F">
        <w:rPr>
          <w:shd w:val="clear" w:color="auto" w:fill="F5F5F5"/>
        </w:rPr>
        <w:t xml:space="preserve">This </w:t>
      </w:r>
      <w:r w:rsidR="007E6266" w:rsidRPr="0036340F">
        <w:rPr>
          <w:shd w:val="clear" w:color="auto" w:fill="F5F5F5"/>
        </w:rPr>
        <w:lastRenderedPageBreak/>
        <w:t xml:space="preserve">suggests that not fully utilising skills and knowledge acquired in a course does not necessarily indicate an unsuccessful outcome for graduates. </w:t>
      </w:r>
      <w:r w:rsidR="001455C2" w:rsidRPr="005A3AFE">
        <w:rPr>
          <w:lang w:val="en-GB"/>
        </w:rPr>
        <w:t>Among postgraduate research graduates</w:t>
      </w:r>
      <w:r w:rsidR="00645CAD">
        <w:rPr>
          <w:lang w:val="en-GB"/>
        </w:rPr>
        <w:t xml:space="preserve"> that felt they were underutilised</w:t>
      </w:r>
      <w:r w:rsidR="001455C2" w:rsidRPr="005A3AFE">
        <w:rPr>
          <w:lang w:val="en-GB"/>
        </w:rPr>
        <w:t xml:space="preserve">, </w:t>
      </w:r>
      <w:r w:rsidR="00645CAD">
        <w:rPr>
          <w:lang w:val="en-GB"/>
        </w:rPr>
        <w:t>25.1 per cent</w:t>
      </w:r>
      <w:r w:rsidR="001455C2" w:rsidRPr="005A3AFE">
        <w:rPr>
          <w:lang w:val="en-GB"/>
        </w:rPr>
        <w:t xml:space="preserve"> reported that this was primarily due to a lack of suitable jobs in their area of expertise. </w:t>
      </w:r>
      <w:r w:rsidR="00767A99">
        <w:rPr>
          <w:lang w:val="en-GB"/>
        </w:rPr>
        <w:t xml:space="preserve">This highlights that </w:t>
      </w:r>
      <w:r w:rsidR="001455C2" w:rsidRPr="005A3AFE">
        <w:rPr>
          <w:lang w:val="en-GB"/>
        </w:rPr>
        <w:t>aligning employment with the highly specialised skills and education of this cohort presents challenges, even in the medium-term.</w:t>
      </w:r>
    </w:p>
    <w:p w14:paraId="18BF9E44" w14:textId="0BAEDB45" w:rsidR="00D37F0C" w:rsidRPr="005A3AFE" w:rsidRDefault="00731E79" w:rsidP="00DF532B">
      <w:pPr>
        <w:pStyle w:val="SubHeading1"/>
        <w:rPr>
          <w:lang w:eastAsia="en-AU"/>
        </w:rPr>
      </w:pPr>
      <w:r>
        <w:rPr>
          <w:lang w:eastAsia="en-AU"/>
        </w:rPr>
        <w:t>D</w:t>
      </w:r>
      <w:r w:rsidRPr="00731E79">
        <w:rPr>
          <w:lang w:eastAsia="en-AU"/>
        </w:rPr>
        <w:t xml:space="preserve">ifferences between international and domestic </w:t>
      </w:r>
      <w:r>
        <w:rPr>
          <w:lang w:eastAsia="en-AU"/>
        </w:rPr>
        <w:t xml:space="preserve">graduate </w:t>
      </w:r>
      <w:r w:rsidRPr="00731E79">
        <w:rPr>
          <w:lang w:eastAsia="en-AU"/>
        </w:rPr>
        <w:t>employment outcomes were smallest at</w:t>
      </w:r>
      <w:r w:rsidR="00EC3C56">
        <w:rPr>
          <w:lang w:eastAsia="en-AU"/>
        </w:rPr>
        <w:t xml:space="preserve"> </w:t>
      </w:r>
      <w:r w:rsidRPr="00731E79">
        <w:rPr>
          <w:lang w:eastAsia="en-AU"/>
        </w:rPr>
        <w:t>the postgraduate research level</w:t>
      </w:r>
    </w:p>
    <w:p w14:paraId="761D64DF" w14:textId="5B37E350" w:rsidR="006E3E8E" w:rsidRPr="00004CF1" w:rsidRDefault="006E3E8E" w:rsidP="006E3E8E">
      <w:pPr>
        <w:pStyle w:val="Body"/>
        <w:rPr>
          <w:rFonts w:eastAsiaTheme="minorHAnsi"/>
          <w:spacing w:val="2"/>
        </w:rPr>
      </w:pPr>
      <w:r w:rsidRPr="005A3AFE">
        <w:rPr>
          <w:rFonts w:eastAsiaTheme="minorHAnsi"/>
        </w:rPr>
        <w:t>International graduates report</w:t>
      </w:r>
      <w:r w:rsidR="00D37F0C" w:rsidRPr="005A3AFE">
        <w:rPr>
          <w:rFonts w:eastAsiaTheme="minorHAnsi"/>
        </w:rPr>
        <w:t>ed much lower full-time employment rates than their domestic counterparts</w:t>
      </w:r>
      <w:r w:rsidR="00731E79">
        <w:rPr>
          <w:rFonts w:eastAsiaTheme="minorHAnsi"/>
        </w:rPr>
        <w:t xml:space="preserve"> in the short-term</w:t>
      </w:r>
      <w:r w:rsidR="00D37F0C" w:rsidRPr="005A3AFE">
        <w:rPr>
          <w:rFonts w:eastAsiaTheme="minorHAnsi"/>
        </w:rPr>
        <w:t xml:space="preserve">, </w:t>
      </w:r>
      <w:r w:rsidR="00731E79">
        <w:rPr>
          <w:rFonts w:eastAsiaTheme="minorHAnsi"/>
        </w:rPr>
        <w:t xml:space="preserve">but these </w:t>
      </w:r>
      <w:r w:rsidR="006B3125">
        <w:rPr>
          <w:rFonts w:eastAsiaTheme="minorHAnsi"/>
        </w:rPr>
        <w:t>differences</w:t>
      </w:r>
      <w:r w:rsidR="006B3125" w:rsidRPr="005A3AFE">
        <w:rPr>
          <w:rFonts w:eastAsiaTheme="minorHAnsi"/>
        </w:rPr>
        <w:t xml:space="preserve"> </w:t>
      </w:r>
      <w:r w:rsidR="00D37F0C" w:rsidRPr="005A3AFE">
        <w:rPr>
          <w:rFonts w:eastAsiaTheme="minorHAnsi"/>
        </w:rPr>
        <w:t xml:space="preserve">narrowed in the medium-term. </w:t>
      </w:r>
      <w:r w:rsidR="006B3125">
        <w:rPr>
          <w:rFonts w:eastAsiaTheme="minorHAnsi"/>
        </w:rPr>
        <w:t>W</w:t>
      </w:r>
      <w:r w:rsidR="006B3125" w:rsidRPr="005A3AFE">
        <w:rPr>
          <w:rFonts w:eastAsiaTheme="minorHAnsi"/>
        </w:rPr>
        <w:t>hen compared to their domestic counterparts</w:t>
      </w:r>
      <w:r w:rsidR="006B3125">
        <w:rPr>
          <w:rFonts w:eastAsiaTheme="minorHAnsi"/>
        </w:rPr>
        <w:t>,</w:t>
      </w:r>
      <w:r w:rsidR="006B3125" w:rsidRPr="005A3AFE">
        <w:rPr>
          <w:rFonts w:eastAsiaTheme="minorHAnsi"/>
        </w:rPr>
        <w:t xml:space="preserve"> </w:t>
      </w:r>
      <w:r w:rsidR="006B3125">
        <w:rPr>
          <w:rFonts w:eastAsiaTheme="minorHAnsi"/>
        </w:rPr>
        <w:t>f</w:t>
      </w:r>
      <w:r w:rsidR="00D37F0C" w:rsidRPr="005A3AFE">
        <w:rPr>
          <w:rFonts w:eastAsiaTheme="minorHAnsi"/>
        </w:rPr>
        <w:t xml:space="preserve">ull-time employment rates in the medium-term were 7.7 percentage points lower for international undergraduates, and 7.6 percentage points lower for postgraduate coursework graduates. </w:t>
      </w:r>
      <w:r w:rsidR="00D37F0C" w:rsidRPr="00004CF1">
        <w:rPr>
          <w:rFonts w:eastAsiaTheme="minorHAnsi"/>
          <w:spacing w:val="2"/>
        </w:rPr>
        <w:t xml:space="preserve">The </w:t>
      </w:r>
      <w:r w:rsidR="006B3125" w:rsidRPr="00004CF1">
        <w:rPr>
          <w:rFonts w:eastAsiaTheme="minorHAnsi"/>
          <w:spacing w:val="2"/>
        </w:rPr>
        <w:t xml:space="preserve">difference in the </w:t>
      </w:r>
      <w:r w:rsidR="00D37F0C" w:rsidRPr="00004CF1">
        <w:rPr>
          <w:rFonts w:eastAsiaTheme="minorHAnsi"/>
          <w:spacing w:val="2"/>
        </w:rPr>
        <w:t>medium-term full-time employment rate for postgraduate research graduates</w:t>
      </w:r>
      <w:r w:rsidR="006B3125" w:rsidRPr="00004CF1">
        <w:rPr>
          <w:rFonts w:eastAsiaTheme="minorHAnsi"/>
          <w:spacing w:val="2"/>
        </w:rPr>
        <w:t xml:space="preserve"> was </w:t>
      </w:r>
      <w:r w:rsidR="00D37F0C" w:rsidRPr="00004CF1">
        <w:rPr>
          <w:rFonts w:eastAsiaTheme="minorHAnsi"/>
          <w:spacing w:val="2"/>
        </w:rPr>
        <w:t>only 1.5 percentage points, suggesting</w:t>
      </w:r>
      <w:r w:rsidR="00767A99" w:rsidRPr="00004CF1">
        <w:rPr>
          <w:rFonts w:eastAsiaTheme="minorHAnsi"/>
          <w:spacing w:val="2"/>
        </w:rPr>
        <w:t xml:space="preserve"> that</w:t>
      </w:r>
      <w:r w:rsidR="00D37F0C" w:rsidRPr="00004CF1">
        <w:rPr>
          <w:rFonts w:eastAsiaTheme="minorHAnsi"/>
          <w:spacing w:val="2"/>
        </w:rPr>
        <w:t xml:space="preserve"> international graduates from this level of study</w:t>
      </w:r>
      <w:r w:rsidR="00731E79" w:rsidRPr="00004CF1">
        <w:rPr>
          <w:rFonts w:eastAsiaTheme="minorHAnsi"/>
          <w:spacing w:val="2"/>
        </w:rPr>
        <w:t xml:space="preserve"> have similar experiences</w:t>
      </w:r>
      <w:r w:rsidR="00767A99" w:rsidRPr="00004CF1">
        <w:rPr>
          <w:rFonts w:eastAsiaTheme="minorHAnsi"/>
          <w:spacing w:val="2"/>
        </w:rPr>
        <w:t xml:space="preserve"> in employment outcomes</w:t>
      </w:r>
      <w:r w:rsidR="00D23391" w:rsidRPr="00004CF1">
        <w:rPr>
          <w:rFonts w:eastAsiaTheme="minorHAnsi"/>
          <w:spacing w:val="2"/>
        </w:rPr>
        <w:t xml:space="preserve"> when compared</w:t>
      </w:r>
      <w:r w:rsidR="00767A99" w:rsidRPr="00004CF1">
        <w:rPr>
          <w:rFonts w:eastAsiaTheme="minorHAnsi"/>
          <w:spacing w:val="2"/>
        </w:rPr>
        <w:t xml:space="preserve"> </w:t>
      </w:r>
      <w:r w:rsidR="00731E79" w:rsidRPr="00004CF1">
        <w:rPr>
          <w:rFonts w:eastAsiaTheme="minorHAnsi"/>
          <w:spacing w:val="2"/>
        </w:rPr>
        <w:t>to their domestic counterparts</w:t>
      </w:r>
      <w:r w:rsidR="00D37F0C" w:rsidRPr="00004CF1">
        <w:rPr>
          <w:rFonts w:eastAsiaTheme="minorHAnsi"/>
          <w:spacing w:val="2"/>
        </w:rPr>
        <w:t>.</w:t>
      </w:r>
    </w:p>
    <w:p w14:paraId="6193E443" w14:textId="02010AFE" w:rsidR="0065609A" w:rsidRPr="005A3AFE" w:rsidRDefault="008E184C" w:rsidP="00AC0A20">
      <w:pPr>
        <w:pStyle w:val="SubHeading1"/>
      </w:pPr>
      <w:r w:rsidRPr="005A3AFE">
        <w:t xml:space="preserve">International graduates </w:t>
      </w:r>
      <w:r w:rsidR="00785DC0" w:rsidRPr="005A3AFE">
        <w:t xml:space="preserve">consistently </w:t>
      </w:r>
      <w:r w:rsidRPr="005A3AFE">
        <w:t>report</w:t>
      </w:r>
      <w:r w:rsidR="0065609A" w:rsidRPr="005A3AFE">
        <w:t xml:space="preserve"> lower </w:t>
      </w:r>
      <w:r w:rsidR="006B3125">
        <w:t xml:space="preserve">median </w:t>
      </w:r>
      <w:r w:rsidR="0065609A" w:rsidRPr="005A3AFE">
        <w:t xml:space="preserve">salaries than their </w:t>
      </w:r>
      <w:r w:rsidRPr="005A3AFE">
        <w:t xml:space="preserve">domestic </w:t>
      </w:r>
      <w:r w:rsidR="0065609A" w:rsidRPr="005A3AFE">
        <w:t>peers</w:t>
      </w:r>
      <w:r w:rsidRPr="005A3AFE">
        <w:t xml:space="preserve">, </w:t>
      </w:r>
      <w:r w:rsidR="00785DC0" w:rsidRPr="00AC0A20">
        <w:t>especially</w:t>
      </w:r>
      <w:r w:rsidR="00785DC0" w:rsidRPr="005A3AFE">
        <w:t xml:space="preserve"> at the postgraduate coursework level</w:t>
      </w:r>
    </w:p>
    <w:p w14:paraId="33A9DF86" w14:textId="41E43BC9" w:rsidR="00592E76" w:rsidRPr="005A3AFE" w:rsidRDefault="003A7CE1" w:rsidP="00092680">
      <w:pPr>
        <w:pStyle w:val="Body"/>
      </w:pPr>
      <w:r>
        <w:t>Differences</w:t>
      </w:r>
      <w:r w:rsidR="00AF3480" w:rsidRPr="005A3AFE">
        <w:t xml:space="preserve"> in median salary</w:t>
      </w:r>
      <w:r w:rsidR="006B3125" w:rsidRPr="00781554">
        <w:rPr>
          <w:rStyle w:val="FootnoteReference"/>
        </w:rPr>
        <w:footnoteReference w:id="2"/>
      </w:r>
      <w:r w:rsidR="00AF3480" w:rsidRPr="005A3AFE">
        <w:t xml:space="preserve"> </w:t>
      </w:r>
      <w:r w:rsidR="00592E76" w:rsidRPr="005A3AFE">
        <w:t xml:space="preserve">between international and domestic graduates </w:t>
      </w:r>
      <w:r w:rsidR="005C544B" w:rsidRPr="005A3AFE">
        <w:t xml:space="preserve">widen </w:t>
      </w:r>
      <w:r>
        <w:t>from</w:t>
      </w:r>
      <w:r w:rsidRPr="005A3AFE">
        <w:t xml:space="preserve"> </w:t>
      </w:r>
      <w:r w:rsidR="00592E76" w:rsidRPr="005A3AFE">
        <w:t>the short-</w:t>
      </w:r>
      <w:r>
        <w:t>term</w:t>
      </w:r>
      <w:r w:rsidR="00592E76" w:rsidRPr="005A3AFE">
        <w:t xml:space="preserve"> to </w:t>
      </w:r>
      <w:r>
        <w:t xml:space="preserve">the </w:t>
      </w:r>
      <w:r w:rsidR="00592E76" w:rsidRPr="005A3AFE">
        <w:t>medium-term</w:t>
      </w:r>
      <w:r w:rsidR="005C544B" w:rsidRPr="005A3AFE">
        <w:t xml:space="preserve">. </w:t>
      </w:r>
      <w:r>
        <w:t>C</w:t>
      </w:r>
      <w:r w:rsidRPr="005A3AFE">
        <w:t>ompared to their domestic counterparts</w:t>
      </w:r>
      <w:r>
        <w:t>,</w:t>
      </w:r>
      <w:r w:rsidRPr="005A3AFE">
        <w:t xml:space="preserve"> </w:t>
      </w:r>
      <w:r>
        <w:t>r</w:t>
      </w:r>
      <w:r w:rsidR="00592E76" w:rsidRPr="005A3AFE">
        <w:t xml:space="preserve">eported medium-term salaries were $8,500 less for international undergraduates, $34,000 less for international postgraduate coursework graduates and $13,000 less for international postgraduate research graduates </w:t>
      </w:r>
      <w:r w:rsidR="00516333" w:rsidRPr="00283FC4">
        <w:t>(</w:t>
      </w:r>
      <w:r w:rsidR="00516333" w:rsidRPr="005A3AFE">
        <w:rPr>
          <w:b/>
          <w:bCs/>
        </w:rPr>
        <w:t>Figure iv</w:t>
      </w:r>
      <w:r w:rsidR="00516333" w:rsidRPr="00283FC4">
        <w:t>)</w:t>
      </w:r>
      <w:r w:rsidR="00592E76" w:rsidRPr="005A3AFE">
        <w:t xml:space="preserve">. Notably, international postgraduate coursework graduate median </w:t>
      </w:r>
      <w:r w:rsidR="00585BCD" w:rsidRPr="005A3AFE">
        <w:t xml:space="preserve">salaries </w:t>
      </w:r>
      <w:r w:rsidR="00592E76" w:rsidRPr="005A3AFE">
        <w:t>are comparable to international undergraduate median salaries in the short- and medium-term</w:t>
      </w:r>
      <w:r w:rsidR="00AF3480" w:rsidRPr="005A3AFE">
        <w:t>. This suggests that</w:t>
      </w:r>
      <w:r w:rsidR="00AB6176">
        <w:t>,</w:t>
      </w:r>
      <w:r w:rsidR="00AF3480" w:rsidRPr="005A3AFE">
        <w:t xml:space="preserve"> </w:t>
      </w:r>
      <w:r w:rsidR="00AB6176">
        <w:t xml:space="preserve">unlike domestic graduates, </w:t>
      </w:r>
      <w:r w:rsidR="00592E76" w:rsidRPr="005A3AFE">
        <w:t xml:space="preserve">international graduates at this level </w:t>
      </w:r>
      <w:r w:rsidR="00F24871">
        <w:t xml:space="preserve">continue to </w:t>
      </w:r>
      <w:r w:rsidR="00592E76" w:rsidRPr="005A3AFE">
        <w:t>experience</w:t>
      </w:r>
      <w:r w:rsidR="007858CC" w:rsidRPr="005A3AFE">
        <w:t xml:space="preserve"> </w:t>
      </w:r>
      <w:r w:rsidR="00592E76" w:rsidRPr="005A3AFE">
        <w:t xml:space="preserve">difficulty </w:t>
      </w:r>
      <w:r w:rsidR="00F24871">
        <w:t xml:space="preserve">in </w:t>
      </w:r>
      <w:r w:rsidR="007858CC" w:rsidRPr="005A3AFE">
        <w:t xml:space="preserve">translating their higher </w:t>
      </w:r>
      <w:r w:rsidR="00AB6176">
        <w:t xml:space="preserve">qualification </w:t>
      </w:r>
      <w:r w:rsidR="007858CC" w:rsidRPr="005A3AFE">
        <w:t xml:space="preserve">into </w:t>
      </w:r>
      <w:r w:rsidR="00AB6176">
        <w:t xml:space="preserve">higher </w:t>
      </w:r>
      <w:r w:rsidR="00AF3480" w:rsidRPr="005A3AFE">
        <w:t>earnings</w:t>
      </w:r>
      <w:r w:rsidR="00785DC0" w:rsidRPr="005A3AFE">
        <w:t xml:space="preserve"> </w:t>
      </w:r>
      <w:r w:rsidR="00F24871">
        <w:t xml:space="preserve">3 years </w:t>
      </w:r>
      <w:r w:rsidR="00785DC0" w:rsidRPr="005A3AFE">
        <w:t xml:space="preserve">after </w:t>
      </w:r>
      <w:r w:rsidR="00F24871">
        <w:t>course completion</w:t>
      </w:r>
      <w:r w:rsidR="00AF3480" w:rsidRPr="005A3AFE">
        <w:t>.</w:t>
      </w:r>
    </w:p>
    <w:p w14:paraId="133015AB" w14:textId="77777777" w:rsidR="00AC0A20" w:rsidRPr="00AC0A20" w:rsidRDefault="00AC0A20" w:rsidP="00AC0A20">
      <w:pPr>
        <w:pStyle w:val="Body"/>
        <w:framePr w:wrap="notBeside" w:vAnchor="text" w:hAnchor="text" w:y="1"/>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spacing w:before="0" w:after="0"/>
        <w:ind w:left="417"/>
        <w:rPr>
          <w:color w:val="5D6C16"/>
          <w:sz w:val="8"/>
          <w:szCs w:val="8"/>
        </w:rPr>
      </w:pPr>
    </w:p>
    <w:p w14:paraId="25DBB033" w14:textId="4CA93A58" w:rsidR="00AC0A20" w:rsidRPr="002B54C5" w:rsidRDefault="00AC0A20" w:rsidP="00AC0A20">
      <w:pPr>
        <w:pStyle w:val="Body"/>
        <w:framePr w:wrap="notBeside" w:vAnchor="text" w:hAnchor="text" w:y="1"/>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spacing w:before="0"/>
        <w:ind w:left="417"/>
        <w:rPr>
          <w:color w:val="5D6C16"/>
          <w:sz w:val="24"/>
          <w:szCs w:val="24"/>
        </w:rPr>
      </w:pPr>
      <w:r w:rsidRPr="002B54C5">
        <w:rPr>
          <w:color w:val="5D6C16"/>
          <w:sz w:val="24"/>
          <w:szCs w:val="24"/>
        </w:rPr>
        <w:t>Demographic and equity groups</w:t>
      </w:r>
    </w:p>
    <w:p w14:paraId="1C486AEA" w14:textId="2C3A790F" w:rsidR="00AC0A20" w:rsidRDefault="00AC0A20" w:rsidP="00AC0A20">
      <w:pPr>
        <w:pStyle w:val="Body"/>
        <w:framePr w:wrap="notBeside" w:vAnchor="text" w:hAnchor="text" w:y="1"/>
        <w:numPr>
          <w:ilvl w:val="0"/>
          <w:numId w:val="54"/>
        </w:numPr>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pPr>
      <w:r>
        <w:rPr>
          <w:b/>
          <w:bCs/>
        </w:rPr>
        <w:t>Disability:</w:t>
      </w:r>
      <w:r>
        <w:t xml:space="preserve"> Domestic undergraduates with a disability in 2023 reported lower full-time and overall employment rates than domestic undergraduates without a disability, although the gap narrows in the medium-term.</w:t>
      </w:r>
    </w:p>
    <w:p w14:paraId="213A443D" w14:textId="75058313" w:rsidR="00AC0A20" w:rsidRDefault="00AC0A20" w:rsidP="00AC0A20">
      <w:pPr>
        <w:pStyle w:val="Body"/>
        <w:framePr w:wrap="notBeside" w:vAnchor="text" w:hAnchor="text" w:y="1"/>
        <w:numPr>
          <w:ilvl w:val="0"/>
          <w:numId w:val="54"/>
        </w:numPr>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pPr>
      <w:r>
        <w:rPr>
          <w:b/>
          <w:bCs/>
        </w:rPr>
        <w:t>Regional/remoteness:</w:t>
      </w:r>
      <w:r>
        <w:t xml:space="preserve"> Domestic undergraduates originally from regional and remote areas had much higher rates of full-time employment in the short-term and medium-term.</w:t>
      </w:r>
    </w:p>
    <w:p w14:paraId="53589899" w14:textId="2021E3F2" w:rsidR="00AC0A20" w:rsidRDefault="00AC0A20" w:rsidP="00AC0A20">
      <w:pPr>
        <w:pStyle w:val="Body"/>
        <w:framePr w:wrap="notBeside" w:vAnchor="text" w:hAnchor="text" w:y="1"/>
        <w:numPr>
          <w:ilvl w:val="0"/>
          <w:numId w:val="54"/>
        </w:numPr>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pPr>
      <w:r>
        <w:rPr>
          <w:b/>
          <w:bCs/>
        </w:rPr>
        <w:t xml:space="preserve">Socio-economic status (SES): </w:t>
      </w:r>
      <w:r>
        <w:t>In the short- and medium-term, domestic undergraduates from high and low</w:t>
      </w:r>
      <w:r w:rsidR="007E2B09">
        <w:noBreakHyphen/>
      </w:r>
      <w:r>
        <w:t>SES areas had broadly similar rates of full-time employment and median salary.</w:t>
      </w:r>
    </w:p>
    <w:p w14:paraId="5683B1DF" w14:textId="210D00D2" w:rsidR="009D5B86" w:rsidRDefault="00AC0A20" w:rsidP="00AC0A20">
      <w:pPr>
        <w:pStyle w:val="Body"/>
        <w:framePr w:wrap="notBeside" w:vAnchor="text" w:hAnchor="text" w:y="1"/>
        <w:numPr>
          <w:ilvl w:val="0"/>
          <w:numId w:val="54"/>
        </w:numPr>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pPr>
      <w:r>
        <w:rPr>
          <w:b/>
          <w:bCs/>
        </w:rPr>
        <w:t>Language background:</w:t>
      </w:r>
      <w:r>
        <w:t xml:space="preserve"> </w:t>
      </w:r>
      <w:r w:rsidRPr="00BF031D">
        <w:t xml:space="preserve">Domestic undergraduates from non-English speaking backgrounds reported the lowest </w:t>
      </w:r>
      <w:r>
        <w:t>full-time employment rate</w:t>
      </w:r>
      <w:r w:rsidRPr="00BF031D">
        <w:t xml:space="preserve"> of al</w:t>
      </w:r>
      <w:r>
        <w:t>l demographic sub-groups in the short- and medium-term. While median salary and rates of employment in managerial or professional roles for domestic undergraduates from non-English and English-speaking backgrounds were relatively comparable in the short-term, differences in these outcomes emerge in the medium-term.</w:t>
      </w:r>
    </w:p>
    <w:p w14:paraId="154BAC01" w14:textId="3850BBA0" w:rsidR="009D5B86" w:rsidRPr="005A3AFE" w:rsidRDefault="009D5B86" w:rsidP="009D5B86">
      <w:pPr>
        <w:pStyle w:val="Caption"/>
        <w:spacing w:before="240"/>
        <w:rPr>
          <w:color w:val="000000" w:themeColor="text1"/>
        </w:rPr>
      </w:pPr>
      <w:r w:rsidRPr="005A3AFE">
        <w:lastRenderedPageBreak/>
        <w:t>Figure iv</w:t>
      </w:r>
      <w:r>
        <w:tab/>
      </w:r>
      <w:r w:rsidRPr="005A3AFE">
        <w:t>Medium-term median salary by study level and citizenship status for 2023 graduates</w:t>
      </w:r>
    </w:p>
    <w:p w14:paraId="0B70C892" w14:textId="617B6EB8" w:rsidR="00DA5F00" w:rsidRPr="005A3AFE" w:rsidRDefault="007A68F3" w:rsidP="00912E1F">
      <w:pPr>
        <w:pStyle w:val="Body"/>
        <w:rPr>
          <w:lang w:eastAsia="en-AU"/>
        </w:rPr>
      </w:pPr>
      <w:r>
        <w:rPr>
          <w:noProof/>
          <w:lang w:eastAsia="en-AU"/>
        </w:rPr>
        <w:drawing>
          <wp:inline distT="0" distB="0" distL="0" distR="0" wp14:anchorId="236E601F" wp14:editId="79BF7288">
            <wp:extent cx="6657340" cy="2883535"/>
            <wp:effectExtent l="0" t="0" r="0" b="0"/>
            <wp:docPr id="1149199150" name="Picture 15" descr="Clustered column chart. Medium-term median salary by study level and citizenship status for 2023 graduates. Legend: Domestic; International. Horizontal axis: study level. Vertical axis: medium-term median annual full-time salary ($). Domestic: Undergraduate: $93,500; Postgraduate coursework: $120,000; Postgraduate research: $125,000 International: Undergraduate: $85,000; Postgraduate coursework: $86,000; Postgraduate research: $112,0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9150" name="Picture 15" descr="Clustered column chart. Medium-term median salary by study level and citizenship status for 2023 graduates. Legend: Domestic; International. Horizontal axis: study level. Vertical axis: medium-term median annual full-time salary ($). Domestic: Undergraduate: $93,500; Postgraduate coursework: $120,000; Postgraduate research: $125,000 International: Undergraduate: $85,000; Postgraduate coursework: $86,000; Postgraduate research: $112,000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57340" cy="2883535"/>
                    </a:xfrm>
                    <a:prstGeom prst="rect">
                      <a:avLst/>
                    </a:prstGeom>
                    <a:noFill/>
                  </pic:spPr>
                </pic:pic>
              </a:graphicData>
            </a:graphic>
          </wp:inline>
        </w:drawing>
      </w:r>
    </w:p>
    <w:sdt>
      <w:sdtPr>
        <w:rPr>
          <w:color w:val="auto"/>
          <w:sz w:val="20"/>
          <w:szCs w:val="18"/>
        </w:rPr>
        <w:id w:val="-1765373527"/>
        <w:docPartObj>
          <w:docPartGallery w:val="Table of Contents"/>
          <w:docPartUnique/>
        </w:docPartObj>
      </w:sdtPr>
      <w:sdtEndPr>
        <w:rPr>
          <w:b/>
          <w:bCs/>
          <w:szCs w:val="20"/>
        </w:rPr>
      </w:sdtEndPr>
      <w:sdtContent>
        <w:p w14:paraId="1AF0841B" w14:textId="4816FF89" w:rsidR="006A1804" w:rsidRPr="005A3AFE" w:rsidRDefault="006A1804" w:rsidP="00F57289">
          <w:pPr>
            <w:pStyle w:val="TOCHeading"/>
            <w:numPr>
              <w:ilvl w:val="0"/>
              <w:numId w:val="0"/>
            </w:numPr>
          </w:pPr>
          <w:r w:rsidRPr="005A3AFE">
            <w:t>Contents</w:t>
          </w:r>
        </w:p>
        <w:p w14:paraId="435DAD3F" w14:textId="5BA68ADA" w:rsidR="00E46702" w:rsidRDefault="006A1804" w:rsidP="008B7910">
          <w:pPr>
            <w:pStyle w:val="TOC1"/>
            <w:rPr>
              <w:rFonts w:asciiTheme="minorHAnsi" w:eastAsiaTheme="minorEastAsia" w:hAnsiTheme="minorHAnsi" w:cstheme="minorBidi"/>
              <w:kern w:val="2"/>
              <w:sz w:val="24"/>
              <w:szCs w:val="24"/>
              <w:lang w:eastAsia="en-AU"/>
              <w14:ligatures w14:val="standardContextual"/>
            </w:rPr>
          </w:pPr>
          <w:r w:rsidRPr="005A3AFE">
            <w:fldChar w:fldCharType="begin"/>
          </w:r>
          <w:r w:rsidRPr="005A3AFE">
            <w:instrText xml:space="preserve"> TOC \o "1-3" \h \z \u </w:instrText>
          </w:r>
          <w:r w:rsidRPr="005A3AFE">
            <w:fldChar w:fldCharType="separate"/>
          </w:r>
          <w:hyperlink w:anchor="_Toc243492320" w:history="1">
            <w:r w:rsidR="00E46702" w:rsidRPr="001175EB">
              <w:rPr>
                <w:rStyle w:val="Hyperlink"/>
              </w:rPr>
              <w:t>Executive summary</w:t>
            </w:r>
            <w:r w:rsidR="00E46702">
              <w:rPr>
                <w:webHidden/>
              </w:rPr>
              <w:tab/>
            </w:r>
            <w:r w:rsidR="00E46702">
              <w:rPr>
                <w:webHidden/>
              </w:rPr>
              <w:fldChar w:fldCharType="begin"/>
            </w:r>
            <w:r w:rsidR="00E46702">
              <w:rPr>
                <w:webHidden/>
              </w:rPr>
              <w:instrText xml:space="preserve"> PAGEREF _Toc243492320 \h </w:instrText>
            </w:r>
            <w:r w:rsidR="00E46702">
              <w:rPr>
                <w:webHidden/>
              </w:rPr>
            </w:r>
            <w:r w:rsidR="00E46702">
              <w:rPr>
                <w:webHidden/>
              </w:rPr>
              <w:fldChar w:fldCharType="separate"/>
            </w:r>
            <w:r w:rsidR="00436D45">
              <w:rPr>
                <w:webHidden/>
              </w:rPr>
              <w:t>ii</w:t>
            </w:r>
            <w:r w:rsidR="00E46702">
              <w:rPr>
                <w:webHidden/>
              </w:rPr>
              <w:fldChar w:fldCharType="end"/>
            </w:r>
          </w:hyperlink>
        </w:p>
        <w:p w14:paraId="7BCC139D" w14:textId="21C020E7" w:rsidR="00E46702" w:rsidRDefault="00E46702" w:rsidP="008B7910">
          <w:pPr>
            <w:pStyle w:val="TOC1"/>
            <w:rPr>
              <w:rFonts w:asciiTheme="minorHAnsi" w:eastAsiaTheme="minorEastAsia" w:hAnsiTheme="minorHAnsi" w:cstheme="minorBidi"/>
              <w:kern w:val="2"/>
              <w:sz w:val="24"/>
              <w:szCs w:val="24"/>
              <w:lang w:eastAsia="en-AU"/>
              <w14:ligatures w14:val="standardContextual"/>
            </w:rPr>
          </w:pPr>
          <w:hyperlink w:anchor="_Toc243492321" w:history="1">
            <w:r w:rsidRPr="001175EB">
              <w:rPr>
                <w:rStyle w:val="Hyperlink"/>
              </w:rPr>
              <w:t>1.</w:t>
            </w:r>
            <w:r>
              <w:rPr>
                <w:rFonts w:asciiTheme="minorHAnsi" w:eastAsiaTheme="minorEastAsia" w:hAnsiTheme="minorHAnsi" w:cstheme="minorBidi"/>
                <w:kern w:val="2"/>
                <w:sz w:val="24"/>
                <w:szCs w:val="24"/>
                <w:lang w:eastAsia="en-AU"/>
                <w14:ligatures w14:val="standardContextual"/>
              </w:rPr>
              <w:tab/>
            </w:r>
            <w:r w:rsidRPr="001175EB">
              <w:rPr>
                <w:rStyle w:val="Hyperlink"/>
              </w:rPr>
              <w:t>About the GOS-L</w:t>
            </w:r>
            <w:r>
              <w:rPr>
                <w:webHidden/>
              </w:rPr>
              <w:tab/>
            </w:r>
            <w:r>
              <w:rPr>
                <w:webHidden/>
              </w:rPr>
              <w:fldChar w:fldCharType="begin"/>
            </w:r>
            <w:r>
              <w:rPr>
                <w:webHidden/>
              </w:rPr>
              <w:instrText xml:space="preserve"> PAGEREF _Toc243492321 \h </w:instrText>
            </w:r>
            <w:r>
              <w:rPr>
                <w:webHidden/>
              </w:rPr>
            </w:r>
            <w:r>
              <w:rPr>
                <w:webHidden/>
              </w:rPr>
              <w:fldChar w:fldCharType="separate"/>
            </w:r>
            <w:r w:rsidR="00436D45">
              <w:rPr>
                <w:webHidden/>
              </w:rPr>
              <w:t>1</w:t>
            </w:r>
            <w:r>
              <w:rPr>
                <w:webHidden/>
              </w:rPr>
              <w:fldChar w:fldCharType="end"/>
            </w:r>
          </w:hyperlink>
        </w:p>
        <w:p w14:paraId="5F19640C" w14:textId="7FD2899C"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2" w:history="1">
            <w:r w:rsidRPr="001175EB">
              <w:rPr>
                <w:rStyle w:val="Hyperlink"/>
              </w:rPr>
              <w:t>1.1</w:t>
            </w:r>
            <w:r>
              <w:rPr>
                <w:rFonts w:asciiTheme="minorHAnsi" w:eastAsiaTheme="minorEastAsia" w:hAnsiTheme="minorHAnsi" w:cstheme="minorBidi"/>
                <w:kern w:val="2"/>
                <w:sz w:val="24"/>
                <w:szCs w:val="24"/>
                <w:lang w:eastAsia="en-AU"/>
                <w14:ligatures w14:val="standardContextual"/>
              </w:rPr>
              <w:tab/>
            </w:r>
            <w:r w:rsidRPr="001175EB">
              <w:rPr>
                <w:rStyle w:val="Hyperlink"/>
              </w:rPr>
              <w:t>Participation</w:t>
            </w:r>
            <w:r>
              <w:rPr>
                <w:webHidden/>
              </w:rPr>
              <w:tab/>
            </w:r>
            <w:r>
              <w:rPr>
                <w:webHidden/>
              </w:rPr>
              <w:fldChar w:fldCharType="begin"/>
            </w:r>
            <w:r>
              <w:rPr>
                <w:webHidden/>
              </w:rPr>
              <w:instrText xml:space="preserve"> PAGEREF _Toc243492322 \h </w:instrText>
            </w:r>
            <w:r>
              <w:rPr>
                <w:webHidden/>
              </w:rPr>
            </w:r>
            <w:r>
              <w:rPr>
                <w:webHidden/>
              </w:rPr>
              <w:fldChar w:fldCharType="separate"/>
            </w:r>
            <w:r w:rsidR="00436D45">
              <w:rPr>
                <w:webHidden/>
              </w:rPr>
              <w:t>1</w:t>
            </w:r>
            <w:r>
              <w:rPr>
                <w:webHidden/>
              </w:rPr>
              <w:fldChar w:fldCharType="end"/>
            </w:r>
          </w:hyperlink>
        </w:p>
        <w:p w14:paraId="6C1FFD7E" w14:textId="77BF45BD"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3" w:history="1">
            <w:r w:rsidRPr="001175EB">
              <w:rPr>
                <w:rStyle w:val="Hyperlink"/>
              </w:rPr>
              <w:t>1.2</w:t>
            </w:r>
            <w:r>
              <w:rPr>
                <w:rFonts w:asciiTheme="minorHAnsi" w:eastAsiaTheme="minorEastAsia" w:hAnsiTheme="minorHAnsi" w:cstheme="minorBidi"/>
                <w:kern w:val="2"/>
                <w:sz w:val="24"/>
                <w:szCs w:val="24"/>
                <w:lang w:eastAsia="en-AU"/>
                <w14:ligatures w14:val="standardContextual"/>
              </w:rPr>
              <w:tab/>
            </w:r>
            <w:r w:rsidRPr="001175EB">
              <w:rPr>
                <w:rStyle w:val="Hyperlink"/>
              </w:rPr>
              <w:t>Further detail</w:t>
            </w:r>
            <w:r>
              <w:rPr>
                <w:webHidden/>
              </w:rPr>
              <w:tab/>
            </w:r>
            <w:r>
              <w:rPr>
                <w:webHidden/>
              </w:rPr>
              <w:fldChar w:fldCharType="begin"/>
            </w:r>
            <w:r>
              <w:rPr>
                <w:webHidden/>
              </w:rPr>
              <w:instrText xml:space="preserve"> PAGEREF _Toc243492323 \h </w:instrText>
            </w:r>
            <w:r>
              <w:rPr>
                <w:webHidden/>
              </w:rPr>
            </w:r>
            <w:r>
              <w:rPr>
                <w:webHidden/>
              </w:rPr>
              <w:fldChar w:fldCharType="separate"/>
            </w:r>
            <w:r w:rsidR="00436D45">
              <w:rPr>
                <w:webHidden/>
              </w:rPr>
              <w:t>1</w:t>
            </w:r>
            <w:r>
              <w:rPr>
                <w:webHidden/>
              </w:rPr>
              <w:fldChar w:fldCharType="end"/>
            </w:r>
          </w:hyperlink>
        </w:p>
        <w:p w14:paraId="224CC283" w14:textId="2F713795"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4" w:history="1">
            <w:r w:rsidRPr="001175EB">
              <w:rPr>
                <w:rStyle w:val="Hyperlink"/>
                <w:lang w:val="en-GB"/>
              </w:rPr>
              <w:t>1.3</w:t>
            </w:r>
            <w:r>
              <w:rPr>
                <w:rFonts w:asciiTheme="minorHAnsi" w:eastAsiaTheme="minorEastAsia" w:hAnsiTheme="minorHAnsi" w:cstheme="minorBidi"/>
                <w:kern w:val="2"/>
                <w:sz w:val="24"/>
                <w:szCs w:val="24"/>
                <w:lang w:eastAsia="en-AU"/>
                <w14:ligatures w14:val="standardContextual"/>
              </w:rPr>
              <w:tab/>
            </w:r>
            <w:r w:rsidRPr="001175EB">
              <w:rPr>
                <w:rStyle w:val="Hyperlink"/>
                <w:lang w:val="en-GB"/>
              </w:rPr>
              <w:t>Labour force participation changes</w:t>
            </w:r>
            <w:r>
              <w:rPr>
                <w:webHidden/>
              </w:rPr>
              <w:tab/>
            </w:r>
            <w:r>
              <w:rPr>
                <w:webHidden/>
              </w:rPr>
              <w:fldChar w:fldCharType="begin"/>
            </w:r>
            <w:r>
              <w:rPr>
                <w:webHidden/>
              </w:rPr>
              <w:instrText xml:space="preserve"> PAGEREF _Toc243492324 \h </w:instrText>
            </w:r>
            <w:r>
              <w:rPr>
                <w:webHidden/>
              </w:rPr>
            </w:r>
            <w:r>
              <w:rPr>
                <w:webHidden/>
              </w:rPr>
              <w:fldChar w:fldCharType="separate"/>
            </w:r>
            <w:r w:rsidR="00436D45">
              <w:rPr>
                <w:webHidden/>
              </w:rPr>
              <w:t>1</w:t>
            </w:r>
            <w:r>
              <w:rPr>
                <w:webHidden/>
              </w:rPr>
              <w:fldChar w:fldCharType="end"/>
            </w:r>
          </w:hyperlink>
        </w:p>
        <w:p w14:paraId="75CED941" w14:textId="21B72B36" w:rsidR="00E46702" w:rsidRDefault="00E46702" w:rsidP="008B7910">
          <w:pPr>
            <w:pStyle w:val="TOC1"/>
            <w:rPr>
              <w:rFonts w:asciiTheme="minorHAnsi" w:eastAsiaTheme="minorEastAsia" w:hAnsiTheme="minorHAnsi" w:cstheme="minorBidi"/>
              <w:kern w:val="2"/>
              <w:sz w:val="24"/>
              <w:szCs w:val="24"/>
              <w:lang w:eastAsia="en-AU"/>
              <w14:ligatures w14:val="standardContextual"/>
            </w:rPr>
          </w:pPr>
          <w:hyperlink w:anchor="_Toc243492325" w:history="1">
            <w:r w:rsidRPr="001175EB">
              <w:rPr>
                <w:rStyle w:val="Hyperlink"/>
              </w:rPr>
              <w:t>2.</w:t>
            </w:r>
            <w:r>
              <w:rPr>
                <w:rFonts w:asciiTheme="minorHAnsi" w:eastAsiaTheme="minorEastAsia" w:hAnsiTheme="minorHAnsi" w:cstheme="minorBidi"/>
                <w:kern w:val="2"/>
                <w:sz w:val="24"/>
                <w:szCs w:val="24"/>
                <w:lang w:eastAsia="en-AU"/>
                <w14:ligatures w14:val="standardContextual"/>
              </w:rPr>
              <w:tab/>
            </w:r>
            <w:r w:rsidRPr="001175EB">
              <w:rPr>
                <w:rStyle w:val="Hyperlink"/>
              </w:rPr>
              <w:t>Domestic graduate results</w:t>
            </w:r>
            <w:r>
              <w:rPr>
                <w:webHidden/>
              </w:rPr>
              <w:tab/>
            </w:r>
            <w:r>
              <w:rPr>
                <w:webHidden/>
              </w:rPr>
              <w:fldChar w:fldCharType="begin"/>
            </w:r>
            <w:r>
              <w:rPr>
                <w:webHidden/>
              </w:rPr>
              <w:instrText xml:space="preserve"> PAGEREF _Toc243492325 \h </w:instrText>
            </w:r>
            <w:r>
              <w:rPr>
                <w:webHidden/>
              </w:rPr>
            </w:r>
            <w:r>
              <w:rPr>
                <w:webHidden/>
              </w:rPr>
              <w:fldChar w:fldCharType="separate"/>
            </w:r>
            <w:r w:rsidR="00436D45">
              <w:rPr>
                <w:webHidden/>
              </w:rPr>
              <w:t>2</w:t>
            </w:r>
            <w:r>
              <w:rPr>
                <w:webHidden/>
              </w:rPr>
              <w:fldChar w:fldCharType="end"/>
            </w:r>
          </w:hyperlink>
        </w:p>
        <w:p w14:paraId="1B717F43" w14:textId="122012FA"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6" w:history="1">
            <w:r w:rsidRPr="001175EB">
              <w:rPr>
                <w:rStyle w:val="Hyperlink"/>
              </w:rPr>
              <w:t>2.1</w:t>
            </w:r>
            <w:r>
              <w:rPr>
                <w:rFonts w:asciiTheme="minorHAnsi" w:eastAsiaTheme="minorEastAsia" w:hAnsiTheme="minorHAnsi" w:cstheme="minorBidi"/>
                <w:kern w:val="2"/>
                <w:sz w:val="24"/>
                <w:szCs w:val="24"/>
                <w:lang w:eastAsia="en-AU"/>
                <w14:ligatures w14:val="standardContextual"/>
              </w:rPr>
              <w:tab/>
            </w:r>
            <w:r w:rsidRPr="001175EB">
              <w:rPr>
                <w:rStyle w:val="Hyperlink"/>
              </w:rPr>
              <w:t>Labour force participation</w:t>
            </w:r>
            <w:r>
              <w:rPr>
                <w:webHidden/>
              </w:rPr>
              <w:tab/>
            </w:r>
            <w:r>
              <w:rPr>
                <w:webHidden/>
              </w:rPr>
              <w:fldChar w:fldCharType="begin"/>
            </w:r>
            <w:r>
              <w:rPr>
                <w:webHidden/>
              </w:rPr>
              <w:instrText xml:space="preserve"> PAGEREF _Toc243492326 \h </w:instrText>
            </w:r>
            <w:r>
              <w:rPr>
                <w:webHidden/>
              </w:rPr>
            </w:r>
            <w:r>
              <w:rPr>
                <w:webHidden/>
              </w:rPr>
              <w:fldChar w:fldCharType="separate"/>
            </w:r>
            <w:r w:rsidR="00436D45">
              <w:rPr>
                <w:webHidden/>
              </w:rPr>
              <w:t>2</w:t>
            </w:r>
            <w:r>
              <w:rPr>
                <w:webHidden/>
              </w:rPr>
              <w:fldChar w:fldCharType="end"/>
            </w:r>
          </w:hyperlink>
        </w:p>
        <w:p w14:paraId="6C2BEF80" w14:textId="71F03960"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7" w:history="1">
            <w:r w:rsidRPr="001175EB">
              <w:rPr>
                <w:rStyle w:val="Hyperlink"/>
              </w:rPr>
              <w:t>2.2</w:t>
            </w:r>
            <w:r>
              <w:rPr>
                <w:rFonts w:asciiTheme="minorHAnsi" w:eastAsiaTheme="minorEastAsia" w:hAnsiTheme="minorHAnsi" w:cstheme="minorBidi"/>
                <w:kern w:val="2"/>
                <w:sz w:val="24"/>
                <w:szCs w:val="24"/>
                <w:lang w:eastAsia="en-AU"/>
                <w14:ligatures w14:val="standardContextual"/>
              </w:rPr>
              <w:tab/>
            </w:r>
            <w:r w:rsidRPr="001175EB">
              <w:rPr>
                <w:rStyle w:val="Hyperlink"/>
              </w:rPr>
              <w:t>Full-time employment</w:t>
            </w:r>
            <w:r>
              <w:rPr>
                <w:webHidden/>
              </w:rPr>
              <w:tab/>
            </w:r>
            <w:r>
              <w:rPr>
                <w:webHidden/>
              </w:rPr>
              <w:fldChar w:fldCharType="begin"/>
            </w:r>
            <w:r>
              <w:rPr>
                <w:webHidden/>
              </w:rPr>
              <w:instrText xml:space="preserve"> PAGEREF _Toc243492327 \h </w:instrText>
            </w:r>
            <w:r>
              <w:rPr>
                <w:webHidden/>
              </w:rPr>
            </w:r>
            <w:r>
              <w:rPr>
                <w:webHidden/>
              </w:rPr>
              <w:fldChar w:fldCharType="separate"/>
            </w:r>
            <w:r w:rsidR="00436D45">
              <w:rPr>
                <w:webHidden/>
              </w:rPr>
              <w:t>5</w:t>
            </w:r>
            <w:r>
              <w:rPr>
                <w:webHidden/>
              </w:rPr>
              <w:fldChar w:fldCharType="end"/>
            </w:r>
          </w:hyperlink>
        </w:p>
        <w:p w14:paraId="6C8FEA3F" w14:textId="63692A73"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8" w:history="1">
            <w:r w:rsidRPr="001175EB">
              <w:rPr>
                <w:rStyle w:val="Hyperlink"/>
              </w:rPr>
              <w:t>2.3</w:t>
            </w:r>
            <w:r>
              <w:rPr>
                <w:rFonts w:asciiTheme="minorHAnsi" w:eastAsiaTheme="minorEastAsia" w:hAnsiTheme="minorHAnsi" w:cstheme="minorBidi"/>
                <w:kern w:val="2"/>
                <w:sz w:val="24"/>
                <w:szCs w:val="24"/>
                <w:lang w:eastAsia="en-AU"/>
                <w14:ligatures w14:val="standardContextual"/>
              </w:rPr>
              <w:tab/>
            </w:r>
            <w:r w:rsidRPr="001175EB">
              <w:rPr>
                <w:rStyle w:val="Hyperlink"/>
              </w:rPr>
              <w:t>Overall employment</w:t>
            </w:r>
            <w:r>
              <w:rPr>
                <w:webHidden/>
              </w:rPr>
              <w:tab/>
            </w:r>
            <w:r>
              <w:rPr>
                <w:webHidden/>
              </w:rPr>
              <w:fldChar w:fldCharType="begin"/>
            </w:r>
            <w:r>
              <w:rPr>
                <w:webHidden/>
              </w:rPr>
              <w:instrText xml:space="preserve"> PAGEREF _Toc243492328 \h </w:instrText>
            </w:r>
            <w:r>
              <w:rPr>
                <w:webHidden/>
              </w:rPr>
            </w:r>
            <w:r>
              <w:rPr>
                <w:webHidden/>
              </w:rPr>
              <w:fldChar w:fldCharType="separate"/>
            </w:r>
            <w:r w:rsidR="00436D45">
              <w:rPr>
                <w:webHidden/>
              </w:rPr>
              <w:t>8</w:t>
            </w:r>
            <w:r>
              <w:rPr>
                <w:webHidden/>
              </w:rPr>
              <w:fldChar w:fldCharType="end"/>
            </w:r>
          </w:hyperlink>
        </w:p>
        <w:p w14:paraId="681A70B0" w14:textId="16CEF470"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29" w:history="1">
            <w:r w:rsidRPr="001175EB">
              <w:rPr>
                <w:rStyle w:val="Hyperlink"/>
              </w:rPr>
              <w:t>2.4</w:t>
            </w:r>
            <w:r>
              <w:rPr>
                <w:rFonts w:asciiTheme="minorHAnsi" w:eastAsiaTheme="minorEastAsia" w:hAnsiTheme="minorHAnsi" w:cstheme="minorBidi"/>
                <w:kern w:val="2"/>
                <w:sz w:val="24"/>
                <w:szCs w:val="24"/>
                <w:lang w:eastAsia="en-AU"/>
                <w14:ligatures w14:val="standardContextual"/>
              </w:rPr>
              <w:tab/>
            </w:r>
            <w:r w:rsidRPr="001175EB">
              <w:rPr>
                <w:rStyle w:val="Hyperlink"/>
              </w:rPr>
              <w:t>Median annual full-time salary</w:t>
            </w:r>
            <w:r>
              <w:rPr>
                <w:webHidden/>
              </w:rPr>
              <w:tab/>
            </w:r>
            <w:r>
              <w:rPr>
                <w:webHidden/>
              </w:rPr>
              <w:fldChar w:fldCharType="begin"/>
            </w:r>
            <w:r>
              <w:rPr>
                <w:webHidden/>
              </w:rPr>
              <w:instrText xml:space="preserve"> PAGEREF _Toc243492329 \h </w:instrText>
            </w:r>
            <w:r>
              <w:rPr>
                <w:webHidden/>
              </w:rPr>
            </w:r>
            <w:r>
              <w:rPr>
                <w:webHidden/>
              </w:rPr>
              <w:fldChar w:fldCharType="separate"/>
            </w:r>
            <w:r w:rsidR="00436D45">
              <w:rPr>
                <w:webHidden/>
              </w:rPr>
              <w:t>9</w:t>
            </w:r>
            <w:r>
              <w:rPr>
                <w:webHidden/>
              </w:rPr>
              <w:fldChar w:fldCharType="end"/>
            </w:r>
          </w:hyperlink>
        </w:p>
        <w:p w14:paraId="59620F3D" w14:textId="1E7914EC"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0" w:history="1">
            <w:r w:rsidRPr="001175EB">
              <w:rPr>
                <w:rStyle w:val="Hyperlink"/>
              </w:rPr>
              <w:t>2.5</w:t>
            </w:r>
            <w:r>
              <w:rPr>
                <w:rFonts w:asciiTheme="minorHAnsi" w:eastAsiaTheme="minorEastAsia" w:hAnsiTheme="minorHAnsi" w:cstheme="minorBidi"/>
                <w:kern w:val="2"/>
                <w:sz w:val="24"/>
                <w:szCs w:val="24"/>
                <w:lang w:eastAsia="en-AU"/>
                <w14:ligatures w14:val="standardContextual"/>
              </w:rPr>
              <w:tab/>
            </w:r>
            <w:r w:rsidRPr="001175EB">
              <w:rPr>
                <w:rStyle w:val="Hyperlink"/>
              </w:rPr>
              <w:t>Underemployment</w:t>
            </w:r>
            <w:r>
              <w:rPr>
                <w:webHidden/>
              </w:rPr>
              <w:tab/>
            </w:r>
            <w:r>
              <w:rPr>
                <w:webHidden/>
              </w:rPr>
              <w:fldChar w:fldCharType="begin"/>
            </w:r>
            <w:r>
              <w:rPr>
                <w:webHidden/>
              </w:rPr>
              <w:instrText xml:space="preserve"> PAGEREF _Toc243492330 \h </w:instrText>
            </w:r>
            <w:r>
              <w:rPr>
                <w:webHidden/>
              </w:rPr>
            </w:r>
            <w:r>
              <w:rPr>
                <w:webHidden/>
              </w:rPr>
              <w:fldChar w:fldCharType="separate"/>
            </w:r>
            <w:r w:rsidR="00436D45">
              <w:rPr>
                <w:webHidden/>
              </w:rPr>
              <w:t>11</w:t>
            </w:r>
            <w:r>
              <w:rPr>
                <w:webHidden/>
              </w:rPr>
              <w:fldChar w:fldCharType="end"/>
            </w:r>
          </w:hyperlink>
        </w:p>
        <w:p w14:paraId="21EF884E" w14:textId="6C6FC8B2"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1" w:history="1">
            <w:r w:rsidRPr="001175EB">
              <w:rPr>
                <w:rStyle w:val="Hyperlink"/>
              </w:rPr>
              <w:t>2.5.1</w:t>
            </w:r>
            <w:r>
              <w:rPr>
                <w:rFonts w:asciiTheme="minorHAnsi" w:eastAsiaTheme="minorEastAsia" w:hAnsiTheme="minorHAnsi" w:cstheme="minorBidi"/>
                <w:kern w:val="2"/>
                <w:sz w:val="24"/>
                <w:szCs w:val="24"/>
                <w:lang w:eastAsia="en-AU"/>
                <w14:ligatures w14:val="standardContextual"/>
              </w:rPr>
              <w:tab/>
            </w:r>
            <w:r w:rsidRPr="001175EB">
              <w:rPr>
                <w:rStyle w:val="Hyperlink"/>
              </w:rPr>
              <w:t>Reasons for not working more hours</w:t>
            </w:r>
            <w:r>
              <w:rPr>
                <w:webHidden/>
              </w:rPr>
              <w:tab/>
            </w:r>
            <w:r>
              <w:rPr>
                <w:webHidden/>
              </w:rPr>
              <w:fldChar w:fldCharType="begin"/>
            </w:r>
            <w:r>
              <w:rPr>
                <w:webHidden/>
              </w:rPr>
              <w:instrText xml:space="preserve"> PAGEREF _Toc243492331 \h </w:instrText>
            </w:r>
            <w:r>
              <w:rPr>
                <w:webHidden/>
              </w:rPr>
            </w:r>
            <w:r>
              <w:rPr>
                <w:webHidden/>
              </w:rPr>
              <w:fldChar w:fldCharType="separate"/>
            </w:r>
            <w:r w:rsidR="00436D45">
              <w:rPr>
                <w:webHidden/>
              </w:rPr>
              <w:t>14</w:t>
            </w:r>
            <w:r>
              <w:rPr>
                <w:webHidden/>
              </w:rPr>
              <w:fldChar w:fldCharType="end"/>
            </w:r>
          </w:hyperlink>
        </w:p>
        <w:p w14:paraId="7D4CD673" w14:textId="34AECA77"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2" w:history="1">
            <w:r w:rsidRPr="001175EB">
              <w:rPr>
                <w:rStyle w:val="Hyperlink"/>
              </w:rPr>
              <w:t>2.6</w:t>
            </w:r>
            <w:r>
              <w:rPr>
                <w:rFonts w:asciiTheme="minorHAnsi" w:eastAsiaTheme="minorEastAsia" w:hAnsiTheme="minorHAnsi" w:cstheme="minorBidi"/>
                <w:kern w:val="2"/>
                <w:sz w:val="24"/>
                <w:szCs w:val="24"/>
                <w:lang w:eastAsia="en-AU"/>
                <w14:ligatures w14:val="standardContextual"/>
              </w:rPr>
              <w:tab/>
            </w:r>
            <w:r w:rsidRPr="001175EB">
              <w:rPr>
                <w:rStyle w:val="Hyperlink"/>
              </w:rPr>
              <w:t>Domestic graduate skills utilisation</w:t>
            </w:r>
            <w:r>
              <w:rPr>
                <w:webHidden/>
              </w:rPr>
              <w:tab/>
            </w:r>
            <w:r>
              <w:rPr>
                <w:webHidden/>
              </w:rPr>
              <w:fldChar w:fldCharType="begin"/>
            </w:r>
            <w:r>
              <w:rPr>
                <w:webHidden/>
              </w:rPr>
              <w:instrText xml:space="preserve"> PAGEREF _Toc243492332 \h </w:instrText>
            </w:r>
            <w:r>
              <w:rPr>
                <w:webHidden/>
              </w:rPr>
            </w:r>
            <w:r>
              <w:rPr>
                <w:webHidden/>
              </w:rPr>
              <w:fldChar w:fldCharType="separate"/>
            </w:r>
            <w:r w:rsidR="00436D45">
              <w:rPr>
                <w:webHidden/>
              </w:rPr>
              <w:t>16</w:t>
            </w:r>
            <w:r>
              <w:rPr>
                <w:webHidden/>
              </w:rPr>
              <w:fldChar w:fldCharType="end"/>
            </w:r>
          </w:hyperlink>
        </w:p>
        <w:p w14:paraId="07CBE9E0" w14:textId="1DB81A6E"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3" w:history="1">
            <w:r w:rsidRPr="001175EB">
              <w:rPr>
                <w:rStyle w:val="Hyperlink"/>
                <w:lang w:val="en-GB"/>
              </w:rPr>
              <w:t>2.6.1</w:t>
            </w:r>
            <w:r>
              <w:rPr>
                <w:rFonts w:asciiTheme="minorHAnsi" w:eastAsiaTheme="minorEastAsia" w:hAnsiTheme="minorHAnsi" w:cstheme="minorBidi"/>
                <w:kern w:val="2"/>
                <w:sz w:val="24"/>
                <w:szCs w:val="24"/>
                <w:lang w:eastAsia="en-AU"/>
                <w14:ligatures w14:val="standardContextual"/>
              </w:rPr>
              <w:tab/>
            </w:r>
            <w:r w:rsidRPr="001175EB">
              <w:rPr>
                <w:rStyle w:val="Hyperlink"/>
                <w:lang w:val="en-GB"/>
              </w:rPr>
              <w:t>Occupation type</w:t>
            </w:r>
            <w:r>
              <w:rPr>
                <w:webHidden/>
              </w:rPr>
              <w:tab/>
            </w:r>
            <w:r>
              <w:rPr>
                <w:webHidden/>
              </w:rPr>
              <w:fldChar w:fldCharType="begin"/>
            </w:r>
            <w:r>
              <w:rPr>
                <w:webHidden/>
              </w:rPr>
              <w:instrText xml:space="preserve"> PAGEREF _Toc243492333 \h </w:instrText>
            </w:r>
            <w:r>
              <w:rPr>
                <w:webHidden/>
              </w:rPr>
            </w:r>
            <w:r>
              <w:rPr>
                <w:webHidden/>
              </w:rPr>
              <w:fldChar w:fldCharType="separate"/>
            </w:r>
            <w:r w:rsidR="00436D45">
              <w:rPr>
                <w:webHidden/>
              </w:rPr>
              <w:t>16</w:t>
            </w:r>
            <w:r>
              <w:rPr>
                <w:webHidden/>
              </w:rPr>
              <w:fldChar w:fldCharType="end"/>
            </w:r>
          </w:hyperlink>
        </w:p>
        <w:p w14:paraId="34D7DFA9" w14:textId="1DCE6AFA"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4" w:history="1">
            <w:r w:rsidRPr="001175EB">
              <w:rPr>
                <w:rStyle w:val="Hyperlink"/>
                <w:lang w:val="en-GB"/>
              </w:rPr>
              <w:t>2.6.2</w:t>
            </w:r>
            <w:r>
              <w:rPr>
                <w:rFonts w:asciiTheme="minorHAnsi" w:eastAsiaTheme="minorEastAsia" w:hAnsiTheme="minorHAnsi" w:cstheme="minorBidi"/>
                <w:kern w:val="2"/>
                <w:sz w:val="24"/>
                <w:szCs w:val="24"/>
                <w:lang w:eastAsia="en-AU"/>
                <w14:ligatures w14:val="standardContextual"/>
              </w:rPr>
              <w:tab/>
            </w:r>
            <w:r w:rsidRPr="001175EB">
              <w:rPr>
                <w:rStyle w:val="Hyperlink"/>
                <w:lang w:val="en-GB"/>
              </w:rPr>
              <w:t>Underutilisation of skills and education</w:t>
            </w:r>
            <w:r>
              <w:rPr>
                <w:webHidden/>
              </w:rPr>
              <w:tab/>
            </w:r>
            <w:r>
              <w:rPr>
                <w:webHidden/>
              </w:rPr>
              <w:fldChar w:fldCharType="begin"/>
            </w:r>
            <w:r>
              <w:rPr>
                <w:webHidden/>
              </w:rPr>
              <w:instrText xml:space="preserve"> PAGEREF _Toc243492334 \h </w:instrText>
            </w:r>
            <w:r>
              <w:rPr>
                <w:webHidden/>
              </w:rPr>
            </w:r>
            <w:r>
              <w:rPr>
                <w:webHidden/>
              </w:rPr>
              <w:fldChar w:fldCharType="separate"/>
            </w:r>
            <w:r w:rsidR="00436D45">
              <w:rPr>
                <w:webHidden/>
              </w:rPr>
              <w:t>17</w:t>
            </w:r>
            <w:r>
              <w:rPr>
                <w:webHidden/>
              </w:rPr>
              <w:fldChar w:fldCharType="end"/>
            </w:r>
          </w:hyperlink>
        </w:p>
        <w:p w14:paraId="58AC3374" w14:textId="0EC4D7E4"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5" w:history="1">
            <w:r w:rsidRPr="001175EB">
              <w:rPr>
                <w:rStyle w:val="Hyperlink"/>
              </w:rPr>
              <w:t>2.7</w:t>
            </w:r>
            <w:r>
              <w:rPr>
                <w:rFonts w:asciiTheme="minorHAnsi" w:eastAsiaTheme="minorEastAsia" w:hAnsiTheme="minorHAnsi" w:cstheme="minorBidi"/>
                <w:kern w:val="2"/>
                <w:sz w:val="24"/>
                <w:szCs w:val="24"/>
                <w:lang w:eastAsia="en-AU"/>
                <w14:ligatures w14:val="standardContextual"/>
              </w:rPr>
              <w:tab/>
            </w:r>
            <w:r w:rsidRPr="001175EB">
              <w:rPr>
                <w:rStyle w:val="Hyperlink"/>
              </w:rPr>
              <w:t>Domestic graduates in further full-time study</w:t>
            </w:r>
            <w:r>
              <w:rPr>
                <w:webHidden/>
              </w:rPr>
              <w:tab/>
            </w:r>
            <w:r>
              <w:rPr>
                <w:webHidden/>
              </w:rPr>
              <w:fldChar w:fldCharType="begin"/>
            </w:r>
            <w:r>
              <w:rPr>
                <w:webHidden/>
              </w:rPr>
              <w:instrText xml:space="preserve"> PAGEREF _Toc243492335 \h </w:instrText>
            </w:r>
            <w:r>
              <w:rPr>
                <w:webHidden/>
              </w:rPr>
            </w:r>
            <w:r>
              <w:rPr>
                <w:webHidden/>
              </w:rPr>
              <w:fldChar w:fldCharType="separate"/>
            </w:r>
            <w:r w:rsidR="00436D45">
              <w:rPr>
                <w:webHidden/>
              </w:rPr>
              <w:t>21</w:t>
            </w:r>
            <w:r>
              <w:rPr>
                <w:webHidden/>
              </w:rPr>
              <w:fldChar w:fldCharType="end"/>
            </w:r>
          </w:hyperlink>
        </w:p>
        <w:p w14:paraId="613ED9E8" w14:textId="0F20633C"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6" w:history="1">
            <w:r w:rsidRPr="001175EB">
              <w:rPr>
                <w:rStyle w:val="Hyperlink"/>
              </w:rPr>
              <w:t>2.8</w:t>
            </w:r>
            <w:r>
              <w:rPr>
                <w:rFonts w:asciiTheme="minorHAnsi" w:eastAsiaTheme="minorEastAsia" w:hAnsiTheme="minorHAnsi" w:cstheme="minorBidi"/>
                <w:kern w:val="2"/>
                <w:sz w:val="24"/>
                <w:szCs w:val="24"/>
                <w:lang w:eastAsia="en-AU"/>
                <w14:ligatures w14:val="standardContextual"/>
              </w:rPr>
              <w:tab/>
            </w:r>
            <w:r w:rsidRPr="001175EB">
              <w:rPr>
                <w:rStyle w:val="Hyperlink"/>
              </w:rPr>
              <w:t>Demographic and equity groups</w:t>
            </w:r>
            <w:r>
              <w:rPr>
                <w:webHidden/>
              </w:rPr>
              <w:tab/>
            </w:r>
            <w:r>
              <w:rPr>
                <w:webHidden/>
              </w:rPr>
              <w:fldChar w:fldCharType="begin"/>
            </w:r>
            <w:r>
              <w:rPr>
                <w:webHidden/>
              </w:rPr>
              <w:instrText xml:space="preserve"> PAGEREF _Toc243492336 \h </w:instrText>
            </w:r>
            <w:r>
              <w:rPr>
                <w:webHidden/>
              </w:rPr>
            </w:r>
            <w:r>
              <w:rPr>
                <w:webHidden/>
              </w:rPr>
              <w:fldChar w:fldCharType="separate"/>
            </w:r>
            <w:r w:rsidR="00436D45">
              <w:rPr>
                <w:webHidden/>
              </w:rPr>
              <w:t>25</w:t>
            </w:r>
            <w:r>
              <w:rPr>
                <w:webHidden/>
              </w:rPr>
              <w:fldChar w:fldCharType="end"/>
            </w:r>
          </w:hyperlink>
        </w:p>
        <w:p w14:paraId="433A8148" w14:textId="5680BB6B"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7" w:history="1">
            <w:r w:rsidRPr="001175EB">
              <w:rPr>
                <w:rStyle w:val="Hyperlink"/>
              </w:rPr>
              <w:t>Disability</w:t>
            </w:r>
            <w:r>
              <w:rPr>
                <w:webHidden/>
              </w:rPr>
              <w:tab/>
            </w:r>
            <w:r>
              <w:rPr>
                <w:webHidden/>
              </w:rPr>
              <w:fldChar w:fldCharType="begin"/>
            </w:r>
            <w:r>
              <w:rPr>
                <w:webHidden/>
              </w:rPr>
              <w:instrText xml:space="preserve"> PAGEREF _Toc243492337 \h </w:instrText>
            </w:r>
            <w:r>
              <w:rPr>
                <w:webHidden/>
              </w:rPr>
            </w:r>
            <w:r>
              <w:rPr>
                <w:webHidden/>
              </w:rPr>
              <w:fldChar w:fldCharType="separate"/>
            </w:r>
            <w:r w:rsidR="00436D45">
              <w:rPr>
                <w:webHidden/>
              </w:rPr>
              <w:t>25</w:t>
            </w:r>
            <w:r>
              <w:rPr>
                <w:webHidden/>
              </w:rPr>
              <w:fldChar w:fldCharType="end"/>
            </w:r>
          </w:hyperlink>
        </w:p>
        <w:p w14:paraId="367E857E" w14:textId="6D9B78D6"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8" w:history="1">
            <w:r w:rsidRPr="001175EB">
              <w:rPr>
                <w:rStyle w:val="Hyperlink"/>
              </w:rPr>
              <w:t>Graduates from regional and remote areas</w:t>
            </w:r>
            <w:r>
              <w:rPr>
                <w:webHidden/>
              </w:rPr>
              <w:tab/>
            </w:r>
            <w:r>
              <w:rPr>
                <w:webHidden/>
              </w:rPr>
              <w:fldChar w:fldCharType="begin"/>
            </w:r>
            <w:r>
              <w:rPr>
                <w:webHidden/>
              </w:rPr>
              <w:instrText xml:space="preserve"> PAGEREF _Toc243492338 \h </w:instrText>
            </w:r>
            <w:r>
              <w:rPr>
                <w:webHidden/>
              </w:rPr>
            </w:r>
            <w:r>
              <w:rPr>
                <w:webHidden/>
              </w:rPr>
              <w:fldChar w:fldCharType="separate"/>
            </w:r>
            <w:r w:rsidR="00436D45">
              <w:rPr>
                <w:webHidden/>
              </w:rPr>
              <w:t>25</w:t>
            </w:r>
            <w:r>
              <w:rPr>
                <w:webHidden/>
              </w:rPr>
              <w:fldChar w:fldCharType="end"/>
            </w:r>
          </w:hyperlink>
        </w:p>
        <w:p w14:paraId="2ED4008D" w14:textId="63208749"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39" w:history="1">
            <w:r w:rsidRPr="001175EB">
              <w:rPr>
                <w:rStyle w:val="Hyperlink"/>
              </w:rPr>
              <w:t>Age</w:t>
            </w:r>
            <w:r w:rsidR="00BF13DA">
              <w:rPr>
                <w:rStyle w:val="Hyperlink"/>
              </w:rPr>
              <w:t>……</w:t>
            </w:r>
            <w:r>
              <w:rPr>
                <w:webHidden/>
              </w:rPr>
              <w:tab/>
            </w:r>
            <w:r>
              <w:rPr>
                <w:webHidden/>
              </w:rPr>
              <w:fldChar w:fldCharType="begin"/>
            </w:r>
            <w:r>
              <w:rPr>
                <w:webHidden/>
              </w:rPr>
              <w:instrText xml:space="preserve"> PAGEREF _Toc243492339 \h </w:instrText>
            </w:r>
            <w:r>
              <w:rPr>
                <w:webHidden/>
              </w:rPr>
            </w:r>
            <w:r>
              <w:rPr>
                <w:webHidden/>
              </w:rPr>
              <w:fldChar w:fldCharType="separate"/>
            </w:r>
            <w:r w:rsidR="00436D45">
              <w:rPr>
                <w:webHidden/>
              </w:rPr>
              <w:t>25</w:t>
            </w:r>
            <w:r>
              <w:rPr>
                <w:webHidden/>
              </w:rPr>
              <w:fldChar w:fldCharType="end"/>
            </w:r>
          </w:hyperlink>
        </w:p>
        <w:p w14:paraId="1625E988" w14:textId="469213A2"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0" w:history="1">
            <w:r w:rsidRPr="001175EB">
              <w:rPr>
                <w:rStyle w:val="Hyperlink"/>
              </w:rPr>
              <w:t>First Nations graduates</w:t>
            </w:r>
            <w:r>
              <w:rPr>
                <w:webHidden/>
              </w:rPr>
              <w:tab/>
            </w:r>
            <w:r>
              <w:rPr>
                <w:webHidden/>
              </w:rPr>
              <w:fldChar w:fldCharType="begin"/>
            </w:r>
            <w:r>
              <w:rPr>
                <w:webHidden/>
              </w:rPr>
              <w:instrText xml:space="preserve"> PAGEREF _Toc243492340 \h </w:instrText>
            </w:r>
            <w:r>
              <w:rPr>
                <w:webHidden/>
              </w:rPr>
            </w:r>
            <w:r>
              <w:rPr>
                <w:webHidden/>
              </w:rPr>
              <w:fldChar w:fldCharType="separate"/>
            </w:r>
            <w:r w:rsidR="00436D45">
              <w:rPr>
                <w:webHidden/>
              </w:rPr>
              <w:t>25</w:t>
            </w:r>
            <w:r>
              <w:rPr>
                <w:webHidden/>
              </w:rPr>
              <w:fldChar w:fldCharType="end"/>
            </w:r>
          </w:hyperlink>
        </w:p>
        <w:p w14:paraId="477CC4BF" w14:textId="05534C9B"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1" w:history="1">
            <w:r w:rsidRPr="001175EB">
              <w:rPr>
                <w:rStyle w:val="Hyperlink"/>
              </w:rPr>
              <w:t>Socio-economic status</w:t>
            </w:r>
            <w:r>
              <w:rPr>
                <w:webHidden/>
              </w:rPr>
              <w:tab/>
            </w:r>
            <w:r>
              <w:rPr>
                <w:webHidden/>
              </w:rPr>
              <w:fldChar w:fldCharType="begin"/>
            </w:r>
            <w:r>
              <w:rPr>
                <w:webHidden/>
              </w:rPr>
              <w:instrText xml:space="preserve"> PAGEREF _Toc243492341 \h </w:instrText>
            </w:r>
            <w:r>
              <w:rPr>
                <w:webHidden/>
              </w:rPr>
            </w:r>
            <w:r>
              <w:rPr>
                <w:webHidden/>
              </w:rPr>
              <w:fldChar w:fldCharType="separate"/>
            </w:r>
            <w:r w:rsidR="00436D45">
              <w:rPr>
                <w:webHidden/>
              </w:rPr>
              <w:t>26</w:t>
            </w:r>
            <w:r>
              <w:rPr>
                <w:webHidden/>
              </w:rPr>
              <w:fldChar w:fldCharType="end"/>
            </w:r>
          </w:hyperlink>
        </w:p>
        <w:p w14:paraId="1894B206" w14:textId="4F73AED0"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2" w:history="1">
            <w:r w:rsidRPr="001175EB">
              <w:rPr>
                <w:rStyle w:val="Hyperlink"/>
              </w:rPr>
              <w:t>Language background</w:t>
            </w:r>
            <w:r>
              <w:rPr>
                <w:webHidden/>
              </w:rPr>
              <w:tab/>
            </w:r>
            <w:r>
              <w:rPr>
                <w:webHidden/>
              </w:rPr>
              <w:fldChar w:fldCharType="begin"/>
            </w:r>
            <w:r>
              <w:rPr>
                <w:webHidden/>
              </w:rPr>
              <w:instrText xml:space="preserve"> PAGEREF _Toc243492342 \h </w:instrText>
            </w:r>
            <w:r>
              <w:rPr>
                <w:webHidden/>
              </w:rPr>
            </w:r>
            <w:r>
              <w:rPr>
                <w:webHidden/>
              </w:rPr>
              <w:fldChar w:fldCharType="separate"/>
            </w:r>
            <w:r w:rsidR="00436D45">
              <w:rPr>
                <w:webHidden/>
              </w:rPr>
              <w:t>26</w:t>
            </w:r>
            <w:r>
              <w:rPr>
                <w:webHidden/>
              </w:rPr>
              <w:fldChar w:fldCharType="end"/>
            </w:r>
          </w:hyperlink>
        </w:p>
        <w:p w14:paraId="1B7E5378" w14:textId="43E2DE32"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3" w:history="1">
            <w:r w:rsidRPr="001175EB">
              <w:rPr>
                <w:rStyle w:val="Hyperlink"/>
              </w:rPr>
              <w:t>Gender</w:t>
            </w:r>
            <w:r w:rsidR="00BF13DA">
              <w:rPr>
                <w:rStyle w:val="Hyperlink"/>
              </w:rPr>
              <w:t>.</w:t>
            </w:r>
            <w:r>
              <w:rPr>
                <w:webHidden/>
              </w:rPr>
              <w:tab/>
            </w:r>
            <w:r>
              <w:rPr>
                <w:webHidden/>
              </w:rPr>
              <w:fldChar w:fldCharType="begin"/>
            </w:r>
            <w:r>
              <w:rPr>
                <w:webHidden/>
              </w:rPr>
              <w:instrText xml:space="preserve"> PAGEREF _Toc243492343 \h </w:instrText>
            </w:r>
            <w:r>
              <w:rPr>
                <w:webHidden/>
              </w:rPr>
            </w:r>
            <w:r>
              <w:rPr>
                <w:webHidden/>
              </w:rPr>
              <w:fldChar w:fldCharType="separate"/>
            </w:r>
            <w:r w:rsidR="00436D45">
              <w:rPr>
                <w:webHidden/>
              </w:rPr>
              <w:t>26</w:t>
            </w:r>
            <w:r>
              <w:rPr>
                <w:webHidden/>
              </w:rPr>
              <w:fldChar w:fldCharType="end"/>
            </w:r>
          </w:hyperlink>
        </w:p>
        <w:p w14:paraId="5854DA6A" w14:textId="78B6E389"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4" w:history="1">
            <w:r w:rsidRPr="001175EB">
              <w:rPr>
                <w:rStyle w:val="Hyperlink"/>
              </w:rPr>
              <w:t>2.9</w:t>
            </w:r>
            <w:r>
              <w:rPr>
                <w:rFonts w:asciiTheme="minorHAnsi" w:eastAsiaTheme="minorEastAsia" w:hAnsiTheme="minorHAnsi" w:cstheme="minorBidi"/>
                <w:kern w:val="2"/>
                <w:sz w:val="24"/>
                <w:szCs w:val="24"/>
                <w:lang w:eastAsia="en-AU"/>
                <w14:ligatures w14:val="standardContextual"/>
              </w:rPr>
              <w:tab/>
            </w:r>
            <w:r w:rsidRPr="001175EB">
              <w:rPr>
                <w:rStyle w:val="Hyperlink"/>
              </w:rPr>
              <w:t>Study area</w:t>
            </w:r>
            <w:r>
              <w:rPr>
                <w:webHidden/>
              </w:rPr>
              <w:tab/>
            </w:r>
            <w:r>
              <w:rPr>
                <w:webHidden/>
              </w:rPr>
              <w:fldChar w:fldCharType="begin"/>
            </w:r>
            <w:r>
              <w:rPr>
                <w:webHidden/>
              </w:rPr>
              <w:instrText xml:space="preserve"> PAGEREF _Toc243492344 \h </w:instrText>
            </w:r>
            <w:r>
              <w:rPr>
                <w:webHidden/>
              </w:rPr>
            </w:r>
            <w:r>
              <w:rPr>
                <w:webHidden/>
              </w:rPr>
              <w:fldChar w:fldCharType="separate"/>
            </w:r>
            <w:r w:rsidR="00436D45">
              <w:rPr>
                <w:webHidden/>
              </w:rPr>
              <w:t>30</w:t>
            </w:r>
            <w:r>
              <w:rPr>
                <w:webHidden/>
              </w:rPr>
              <w:fldChar w:fldCharType="end"/>
            </w:r>
          </w:hyperlink>
        </w:p>
        <w:p w14:paraId="4A4BFAB6" w14:textId="50A9629A"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5" w:history="1">
            <w:r w:rsidRPr="001175EB">
              <w:rPr>
                <w:rStyle w:val="Hyperlink"/>
              </w:rPr>
              <w:t>2.10</w:t>
            </w:r>
            <w:r>
              <w:rPr>
                <w:rFonts w:asciiTheme="minorHAnsi" w:eastAsiaTheme="minorEastAsia" w:hAnsiTheme="minorHAnsi" w:cstheme="minorBidi"/>
                <w:kern w:val="2"/>
                <w:sz w:val="24"/>
                <w:szCs w:val="24"/>
                <w:lang w:eastAsia="en-AU"/>
                <w14:ligatures w14:val="standardContextual"/>
              </w:rPr>
              <w:tab/>
            </w:r>
            <w:r w:rsidRPr="001175EB">
              <w:rPr>
                <w:rStyle w:val="Hyperlink"/>
              </w:rPr>
              <w:t>Gender pay gap</w:t>
            </w:r>
            <w:r>
              <w:rPr>
                <w:webHidden/>
              </w:rPr>
              <w:tab/>
            </w:r>
            <w:r>
              <w:rPr>
                <w:webHidden/>
              </w:rPr>
              <w:fldChar w:fldCharType="begin"/>
            </w:r>
            <w:r>
              <w:rPr>
                <w:webHidden/>
              </w:rPr>
              <w:instrText xml:space="preserve"> PAGEREF _Toc243492345 \h </w:instrText>
            </w:r>
            <w:r>
              <w:rPr>
                <w:webHidden/>
              </w:rPr>
            </w:r>
            <w:r>
              <w:rPr>
                <w:webHidden/>
              </w:rPr>
              <w:fldChar w:fldCharType="separate"/>
            </w:r>
            <w:r w:rsidR="00436D45">
              <w:rPr>
                <w:webHidden/>
              </w:rPr>
              <w:t>35</w:t>
            </w:r>
            <w:r>
              <w:rPr>
                <w:webHidden/>
              </w:rPr>
              <w:fldChar w:fldCharType="end"/>
            </w:r>
          </w:hyperlink>
        </w:p>
        <w:p w14:paraId="5FDDE8AA" w14:textId="0DB75171"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6" w:history="1">
            <w:r w:rsidRPr="001175EB">
              <w:rPr>
                <w:rStyle w:val="Hyperlink"/>
              </w:rPr>
              <w:t>2.11</w:t>
            </w:r>
            <w:r>
              <w:rPr>
                <w:rFonts w:asciiTheme="minorHAnsi" w:eastAsiaTheme="minorEastAsia" w:hAnsiTheme="minorHAnsi" w:cstheme="minorBidi"/>
                <w:kern w:val="2"/>
                <w:sz w:val="24"/>
                <w:szCs w:val="24"/>
                <w:lang w:eastAsia="en-AU"/>
                <w14:ligatures w14:val="standardContextual"/>
              </w:rPr>
              <w:tab/>
            </w:r>
            <w:r w:rsidRPr="001175EB">
              <w:rPr>
                <w:rStyle w:val="Hyperlink"/>
              </w:rPr>
              <w:t>Institution</w:t>
            </w:r>
            <w:r>
              <w:rPr>
                <w:webHidden/>
              </w:rPr>
              <w:tab/>
            </w:r>
            <w:r>
              <w:rPr>
                <w:webHidden/>
              </w:rPr>
              <w:fldChar w:fldCharType="begin"/>
            </w:r>
            <w:r>
              <w:rPr>
                <w:webHidden/>
              </w:rPr>
              <w:instrText xml:space="preserve"> PAGEREF _Toc243492346 \h </w:instrText>
            </w:r>
            <w:r>
              <w:rPr>
                <w:webHidden/>
              </w:rPr>
            </w:r>
            <w:r>
              <w:rPr>
                <w:webHidden/>
              </w:rPr>
              <w:fldChar w:fldCharType="separate"/>
            </w:r>
            <w:r w:rsidR="00436D45">
              <w:rPr>
                <w:webHidden/>
              </w:rPr>
              <w:t>36</w:t>
            </w:r>
            <w:r>
              <w:rPr>
                <w:webHidden/>
              </w:rPr>
              <w:fldChar w:fldCharType="end"/>
            </w:r>
          </w:hyperlink>
        </w:p>
        <w:p w14:paraId="5F33A5B6" w14:textId="18E5AC35"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7" w:history="1">
            <w:r w:rsidRPr="001175EB">
              <w:rPr>
                <w:rStyle w:val="Hyperlink"/>
              </w:rPr>
              <w:t>2.11.1</w:t>
            </w:r>
            <w:r>
              <w:rPr>
                <w:rFonts w:asciiTheme="minorHAnsi" w:eastAsiaTheme="minorEastAsia" w:hAnsiTheme="minorHAnsi" w:cstheme="minorBidi"/>
                <w:kern w:val="2"/>
                <w:sz w:val="24"/>
                <w:szCs w:val="24"/>
                <w:lang w:eastAsia="en-AU"/>
                <w14:ligatures w14:val="standardContextual"/>
              </w:rPr>
              <w:tab/>
            </w:r>
            <w:r w:rsidRPr="001175EB">
              <w:rPr>
                <w:rStyle w:val="Hyperlink"/>
              </w:rPr>
              <w:t>Institution type</w:t>
            </w:r>
            <w:r>
              <w:rPr>
                <w:webHidden/>
              </w:rPr>
              <w:tab/>
            </w:r>
            <w:r>
              <w:rPr>
                <w:webHidden/>
              </w:rPr>
              <w:fldChar w:fldCharType="begin"/>
            </w:r>
            <w:r>
              <w:rPr>
                <w:webHidden/>
              </w:rPr>
              <w:instrText xml:space="preserve"> PAGEREF _Toc243492347 \h </w:instrText>
            </w:r>
            <w:r>
              <w:rPr>
                <w:webHidden/>
              </w:rPr>
            </w:r>
            <w:r>
              <w:rPr>
                <w:webHidden/>
              </w:rPr>
              <w:fldChar w:fldCharType="separate"/>
            </w:r>
            <w:r w:rsidR="00436D45">
              <w:rPr>
                <w:webHidden/>
              </w:rPr>
              <w:t>36</w:t>
            </w:r>
            <w:r>
              <w:rPr>
                <w:webHidden/>
              </w:rPr>
              <w:fldChar w:fldCharType="end"/>
            </w:r>
          </w:hyperlink>
        </w:p>
        <w:p w14:paraId="5B691CCB" w14:textId="13194389"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48" w:history="1">
            <w:r w:rsidRPr="001175EB">
              <w:rPr>
                <w:rStyle w:val="Hyperlink"/>
              </w:rPr>
              <w:t>2.11.2</w:t>
            </w:r>
            <w:r>
              <w:rPr>
                <w:rFonts w:asciiTheme="minorHAnsi" w:eastAsiaTheme="minorEastAsia" w:hAnsiTheme="minorHAnsi" w:cstheme="minorBidi"/>
                <w:kern w:val="2"/>
                <w:sz w:val="24"/>
                <w:szCs w:val="24"/>
                <w:lang w:eastAsia="en-AU"/>
                <w14:ligatures w14:val="standardContextual"/>
              </w:rPr>
              <w:tab/>
            </w:r>
            <w:r w:rsidRPr="001175EB">
              <w:rPr>
                <w:rStyle w:val="Hyperlink"/>
              </w:rPr>
              <w:t>Comparative university outcomes</w:t>
            </w:r>
            <w:r>
              <w:rPr>
                <w:webHidden/>
              </w:rPr>
              <w:tab/>
            </w:r>
            <w:r>
              <w:rPr>
                <w:webHidden/>
              </w:rPr>
              <w:fldChar w:fldCharType="begin"/>
            </w:r>
            <w:r>
              <w:rPr>
                <w:webHidden/>
              </w:rPr>
              <w:instrText xml:space="preserve"> PAGEREF _Toc243492348 \h </w:instrText>
            </w:r>
            <w:r>
              <w:rPr>
                <w:webHidden/>
              </w:rPr>
            </w:r>
            <w:r>
              <w:rPr>
                <w:webHidden/>
              </w:rPr>
              <w:fldChar w:fldCharType="separate"/>
            </w:r>
            <w:r w:rsidR="00436D45">
              <w:rPr>
                <w:webHidden/>
              </w:rPr>
              <w:t>38</w:t>
            </w:r>
            <w:r>
              <w:rPr>
                <w:webHidden/>
              </w:rPr>
              <w:fldChar w:fldCharType="end"/>
            </w:r>
          </w:hyperlink>
        </w:p>
        <w:p w14:paraId="6A82843D" w14:textId="74CEFA8D" w:rsidR="00E46702" w:rsidRDefault="00E46702" w:rsidP="008B7910">
          <w:pPr>
            <w:pStyle w:val="TOC1"/>
            <w:rPr>
              <w:rFonts w:asciiTheme="minorHAnsi" w:eastAsiaTheme="minorEastAsia" w:hAnsiTheme="minorHAnsi" w:cstheme="minorBidi"/>
              <w:kern w:val="2"/>
              <w:sz w:val="24"/>
              <w:szCs w:val="24"/>
              <w:lang w:eastAsia="en-AU"/>
              <w14:ligatures w14:val="standardContextual"/>
            </w:rPr>
          </w:pPr>
          <w:hyperlink w:anchor="_Toc243492349" w:history="1">
            <w:r w:rsidRPr="001175EB">
              <w:rPr>
                <w:rStyle w:val="Hyperlink"/>
              </w:rPr>
              <w:t>3.</w:t>
            </w:r>
            <w:r>
              <w:rPr>
                <w:rFonts w:asciiTheme="minorHAnsi" w:eastAsiaTheme="minorEastAsia" w:hAnsiTheme="minorHAnsi" w:cstheme="minorBidi"/>
                <w:kern w:val="2"/>
                <w:sz w:val="24"/>
                <w:szCs w:val="24"/>
                <w:lang w:eastAsia="en-AU"/>
                <w14:ligatures w14:val="standardContextual"/>
              </w:rPr>
              <w:tab/>
            </w:r>
            <w:r w:rsidRPr="001175EB">
              <w:rPr>
                <w:rStyle w:val="Hyperlink"/>
              </w:rPr>
              <w:t>International graduate results</w:t>
            </w:r>
            <w:r>
              <w:rPr>
                <w:webHidden/>
              </w:rPr>
              <w:tab/>
            </w:r>
            <w:r>
              <w:rPr>
                <w:webHidden/>
              </w:rPr>
              <w:fldChar w:fldCharType="begin"/>
            </w:r>
            <w:r>
              <w:rPr>
                <w:webHidden/>
              </w:rPr>
              <w:instrText xml:space="preserve"> PAGEREF _Toc243492349 \h </w:instrText>
            </w:r>
            <w:r>
              <w:rPr>
                <w:webHidden/>
              </w:rPr>
            </w:r>
            <w:r>
              <w:rPr>
                <w:webHidden/>
              </w:rPr>
              <w:fldChar w:fldCharType="separate"/>
            </w:r>
            <w:r w:rsidR="00436D45">
              <w:rPr>
                <w:webHidden/>
              </w:rPr>
              <w:t>41</w:t>
            </w:r>
            <w:r>
              <w:rPr>
                <w:webHidden/>
              </w:rPr>
              <w:fldChar w:fldCharType="end"/>
            </w:r>
          </w:hyperlink>
        </w:p>
        <w:p w14:paraId="2C1818F7" w14:textId="46047B27"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0" w:history="1">
            <w:r w:rsidRPr="001175EB">
              <w:rPr>
                <w:rStyle w:val="Hyperlink"/>
              </w:rPr>
              <w:t>3.1</w:t>
            </w:r>
            <w:r>
              <w:rPr>
                <w:rFonts w:asciiTheme="minorHAnsi" w:eastAsiaTheme="minorEastAsia" w:hAnsiTheme="minorHAnsi" w:cstheme="minorBidi"/>
                <w:kern w:val="2"/>
                <w:sz w:val="24"/>
                <w:szCs w:val="24"/>
                <w:lang w:eastAsia="en-AU"/>
                <w14:ligatures w14:val="standardContextual"/>
              </w:rPr>
              <w:tab/>
            </w:r>
            <w:r w:rsidRPr="001175EB">
              <w:rPr>
                <w:rStyle w:val="Hyperlink"/>
              </w:rPr>
              <w:t>International graduate profile (based on responses to the 2026 GOS-L)</w:t>
            </w:r>
            <w:r>
              <w:rPr>
                <w:webHidden/>
              </w:rPr>
              <w:tab/>
            </w:r>
            <w:r>
              <w:rPr>
                <w:webHidden/>
              </w:rPr>
              <w:fldChar w:fldCharType="begin"/>
            </w:r>
            <w:r>
              <w:rPr>
                <w:webHidden/>
              </w:rPr>
              <w:instrText xml:space="preserve"> PAGEREF _Toc243492350 \h </w:instrText>
            </w:r>
            <w:r>
              <w:rPr>
                <w:webHidden/>
              </w:rPr>
            </w:r>
            <w:r>
              <w:rPr>
                <w:webHidden/>
              </w:rPr>
              <w:fldChar w:fldCharType="separate"/>
            </w:r>
            <w:r w:rsidR="00436D45">
              <w:rPr>
                <w:webHidden/>
              </w:rPr>
              <w:t>41</w:t>
            </w:r>
            <w:r>
              <w:rPr>
                <w:webHidden/>
              </w:rPr>
              <w:fldChar w:fldCharType="end"/>
            </w:r>
          </w:hyperlink>
        </w:p>
        <w:p w14:paraId="3382786C" w14:textId="1FDCAFE3"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1" w:history="1">
            <w:r w:rsidRPr="001175EB">
              <w:rPr>
                <w:rStyle w:val="Hyperlink"/>
                <w:lang w:val="en-GB"/>
              </w:rPr>
              <w:t>3.2</w:t>
            </w:r>
            <w:r>
              <w:rPr>
                <w:rFonts w:asciiTheme="minorHAnsi" w:eastAsiaTheme="minorEastAsia" w:hAnsiTheme="minorHAnsi" w:cstheme="minorBidi"/>
                <w:kern w:val="2"/>
                <w:sz w:val="24"/>
                <w:szCs w:val="24"/>
                <w:lang w:eastAsia="en-AU"/>
                <w14:ligatures w14:val="standardContextual"/>
              </w:rPr>
              <w:tab/>
            </w:r>
            <w:r w:rsidRPr="001175EB">
              <w:rPr>
                <w:rStyle w:val="Hyperlink"/>
                <w:lang w:val="en-GB"/>
              </w:rPr>
              <w:t>Comparative outcomes: international and domestic graduates</w:t>
            </w:r>
            <w:r>
              <w:rPr>
                <w:webHidden/>
              </w:rPr>
              <w:tab/>
            </w:r>
            <w:r>
              <w:rPr>
                <w:webHidden/>
              </w:rPr>
              <w:fldChar w:fldCharType="begin"/>
            </w:r>
            <w:r>
              <w:rPr>
                <w:webHidden/>
              </w:rPr>
              <w:instrText xml:space="preserve"> PAGEREF _Toc243492351 \h </w:instrText>
            </w:r>
            <w:r>
              <w:rPr>
                <w:webHidden/>
              </w:rPr>
            </w:r>
            <w:r>
              <w:rPr>
                <w:webHidden/>
              </w:rPr>
              <w:fldChar w:fldCharType="separate"/>
            </w:r>
            <w:r w:rsidR="00436D45">
              <w:rPr>
                <w:webHidden/>
              </w:rPr>
              <w:t>44</w:t>
            </w:r>
            <w:r>
              <w:rPr>
                <w:webHidden/>
              </w:rPr>
              <w:fldChar w:fldCharType="end"/>
            </w:r>
          </w:hyperlink>
        </w:p>
        <w:p w14:paraId="2F52A605" w14:textId="0F48039A"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2" w:history="1">
            <w:r w:rsidRPr="001175EB">
              <w:rPr>
                <w:rStyle w:val="Hyperlink"/>
              </w:rPr>
              <w:t>3.2.1</w:t>
            </w:r>
            <w:r>
              <w:rPr>
                <w:rFonts w:asciiTheme="minorHAnsi" w:eastAsiaTheme="minorEastAsia" w:hAnsiTheme="minorHAnsi" w:cstheme="minorBidi"/>
                <w:kern w:val="2"/>
                <w:sz w:val="24"/>
                <w:szCs w:val="24"/>
                <w:lang w:eastAsia="en-AU"/>
                <w14:ligatures w14:val="standardContextual"/>
              </w:rPr>
              <w:tab/>
            </w:r>
            <w:r w:rsidRPr="001175EB">
              <w:rPr>
                <w:rStyle w:val="Hyperlink"/>
              </w:rPr>
              <w:t>Undergraduate comparisons</w:t>
            </w:r>
            <w:r>
              <w:rPr>
                <w:webHidden/>
              </w:rPr>
              <w:tab/>
            </w:r>
            <w:r>
              <w:rPr>
                <w:webHidden/>
              </w:rPr>
              <w:fldChar w:fldCharType="begin"/>
            </w:r>
            <w:r>
              <w:rPr>
                <w:webHidden/>
              </w:rPr>
              <w:instrText xml:space="preserve"> PAGEREF _Toc243492352 \h </w:instrText>
            </w:r>
            <w:r>
              <w:rPr>
                <w:webHidden/>
              </w:rPr>
            </w:r>
            <w:r>
              <w:rPr>
                <w:webHidden/>
              </w:rPr>
              <w:fldChar w:fldCharType="separate"/>
            </w:r>
            <w:r w:rsidR="00436D45">
              <w:rPr>
                <w:webHidden/>
              </w:rPr>
              <w:t>44</w:t>
            </w:r>
            <w:r>
              <w:rPr>
                <w:webHidden/>
              </w:rPr>
              <w:fldChar w:fldCharType="end"/>
            </w:r>
          </w:hyperlink>
        </w:p>
        <w:p w14:paraId="10B7DF0B" w14:textId="1B293BD7"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3" w:history="1">
            <w:r w:rsidRPr="001175EB">
              <w:rPr>
                <w:rStyle w:val="Hyperlink"/>
              </w:rPr>
              <w:t>3.2.2</w:t>
            </w:r>
            <w:r>
              <w:rPr>
                <w:rFonts w:asciiTheme="minorHAnsi" w:eastAsiaTheme="minorEastAsia" w:hAnsiTheme="minorHAnsi" w:cstheme="minorBidi"/>
                <w:kern w:val="2"/>
                <w:sz w:val="24"/>
                <w:szCs w:val="24"/>
                <w:lang w:eastAsia="en-AU"/>
                <w14:ligatures w14:val="standardContextual"/>
              </w:rPr>
              <w:tab/>
            </w:r>
            <w:r w:rsidRPr="001175EB">
              <w:rPr>
                <w:rStyle w:val="Hyperlink"/>
              </w:rPr>
              <w:t>Postgraduate coursework comparisons</w:t>
            </w:r>
            <w:r>
              <w:rPr>
                <w:webHidden/>
              </w:rPr>
              <w:tab/>
            </w:r>
            <w:r>
              <w:rPr>
                <w:webHidden/>
              </w:rPr>
              <w:fldChar w:fldCharType="begin"/>
            </w:r>
            <w:r>
              <w:rPr>
                <w:webHidden/>
              </w:rPr>
              <w:instrText xml:space="preserve"> PAGEREF _Toc243492353 \h </w:instrText>
            </w:r>
            <w:r>
              <w:rPr>
                <w:webHidden/>
              </w:rPr>
            </w:r>
            <w:r>
              <w:rPr>
                <w:webHidden/>
              </w:rPr>
              <w:fldChar w:fldCharType="separate"/>
            </w:r>
            <w:r w:rsidR="00436D45">
              <w:rPr>
                <w:webHidden/>
              </w:rPr>
              <w:t>45</w:t>
            </w:r>
            <w:r>
              <w:rPr>
                <w:webHidden/>
              </w:rPr>
              <w:fldChar w:fldCharType="end"/>
            </w:r>
          </w:hyperlink>
        </w:p>
        <w:p w14:paraId="78F45893" w14:textId="6E85221D"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4" w:history="1">
            <w:r w:rsidRPr="001175EB">
              <w:rPr>
                <w:rStyle w:val="Hyperlink"/>
              </w:rPr>
              <w:t>3.2.3</w:t>
            </w:r>
            <w:r>
              <w:rPr>
                <w:rFonts w:asciiTheme="minorHAnsi" w:eastAsiaTheme="minorEastAsia" w:hAnsiTheme="minorHAnsi" w:cstheme="minorBidi"/>
                <w:kern w:val="2"/>
                <w:sz w:val="24"/>
                <w:szCs w:val="24"/>
                <w:lang w:eastAsia="en-AU"/>
                <w14:ligatures w14:val="standardContextual"/>
              </w:rPr>
              <w:tab/>
            </w:r>
            <w:r w:rsidRPr="001175EB">
              <w:rPr>
                <w:rStyle w:val="Hyperlink"/>
              </w:rPr>
              <w:t>Postgraduate research comparisons</w:t>
            </w:r>
            <w:r>
              <w:rPr>
                <w:webHidden/>
              </w:rPr>
              <w:tab/>
            </w:r>
            <w:r>
              <w:rPr>
                <w:webHidden/>
              </w:rPr>
              <w:fldChar w:fldCharType="begin"/>
            </w:r>
            <w:r>
              <w:rPr>
                <w:webHidden/>
              </w:rPr>
              <w:instrText xml:space="preserve"> PAGEREF _Toc243492354 \h </w:instrText>
            </w:r>
            <w:r>
              <w:rPr>
                <w:webHidden/>
              </w:rPr>
            </w:r>
            <w:r>
              <w:rPr>
                <w:webHidden/>
              </w:rPr>
              <w:fldChar w:fldCharType="separate"/>
            </w:r>
            <w:r w:rsidR="00436D45">
              <w:rPr>
                <w:webHidden/>
              </w:rPr>
              <w:t>46</w:t>
            </w:r>
            <w:r>
              <w:rPr>
                <w:webHidden/>
              </w:rPr>
              <w:fldChar w:fldCharType="end"/>
            </w:r>
          </w:hyperlink>
        </w:p>
        <w:p w14:paraId="50F6E65A" w14:textId="464F9DA5" w:rsidR="00E46702" w:rsidRDefault="00E46702" w:rsidP="00B75157">
          <w:pPr>
            <w:pStyle w:val="TOC3"/>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5" w:history="1">
            <w:r w:rsidRPr="001175EB">
              <w:rPr>
                <w:rStyle w:val="Hyperlink"/>
              </w:rPr>
              <w:t>3.2.4</w:t>
            </w:r>
            <w:r>
              <w:rPr>
                <w:rFonts w:asciiTheme="minorHAnsi" w:eastAsiaTheme="minorEastAsia" w:hAnsiTheme="minorHAnsi" w:cstheme="minorBidi"/>
                <w:kern w:val="2"/>
                <w:sz w:val="24"/>
                <w:szCs w:val="24"/>
                <w:lang w:eastAsia="en-AU"/>
                <w14:ligatures w14:val="standardContextual"/>
              </w:rPr>
              <w:tab/>
            </w:r>
            <w:r w:rsidRPr="001175EB">
              <w:rPr>
                <w:rStyle w:val="Hyperlink"/>
              </w:rPr>
              <w:t>Study area</w:t>
            </w:r>
            <w:r>
              <w:rPr>
                <w:webHidden/>
              </w:rPr>
              <w:tab/>
            </w:r>
            <w:r>
              <w:rPr>
                <w:webHidden/>
              </w:rPr>
              <w:fldChar w:fldCharType="begin"/>
            </w:r>
            <w:r>
              <w:rPr>
                <w:webHidden/>
              </w:rPr>
              <w:instrText xml:space="preserve"> PAGEREF _Toc243492355 \h </w:instrText>
            </w:r>
            <w:r>
              <w:rPr>
                <w:webHidden/>
              </w:rPr>
            </w:r>
            <w:r>
              <w:rPr>
                <w:webHidden/>
              </w:rPr>
              <w:fldChar w:fldCharType="separate"/>
            </w:r>
            <w:r w:rsidR="00436D45">
              <w:rPr>
                <w:webHidden/>
              </w:rPr>
              <w:t>47</w:t>
            </w:r>
            <w:r>
              <w:rPr>
                <w:webHidden/>
              </w:rPr>
              <w:fldChar w:fldCharType="end"/>
            </w:r>
          </w:hyperlink>
        </w:p>
        <w:p w14:paraId="2AEFFAB7" w14:textId="3EC8F70C"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6" w:history="1">
            <w:r w:rsidRPr="001175EB">
              <w:rPr>
                <w:rStyle w:val="Hyperlink"/>
                <w:lang w:val="en-GB"/>
              </w:rPr>
              <w:t>3.3</w:t>
            </w:r>
            <w:r>
              <w:rPr>
                <w:rFonts w:asciiTheme="minorHAnsi" w:eastAsiaTheme="minorEastAsia" w:hAnsiTheme="minorHAnsi" w:cstheme="minorBidi"/>
                <w:kern w:val="2"/>
                <w:sz w:val="24"/>
                <w:szCs w:val="24"/>
                <w:lang w:eastAsia="en-AU"/>
                <w14:ligatures w14:val="standardContextual"/>
              </w:rPr>
              <w:tab/>
            </w:r>
            <w:r w:rsidRPr="001175EB">
              <w:rPr>
                <w:rStyle w:val="Hyperlink"/>
                <w:lang w:val="en-GB"/>
              </w:rPr>
              <w:t>Source country</w:t>
            </w:r>
            <w:r>
              <w:rPr>
                <w:webHidden/>
              </w:rPr>
              <w:tab/>
            </w:r>
            <w:r>
              <w:rPr>
                <w:webHidden/>
              </w:rPr>
              <w:fldChar w:fldCharType="begin"/>
            </w:r>
            <w:r>
              <w:rPr>
                <w:webHidden/>
              </w:rPr>
              <w:instrText xml:space="preserve"> PAGEREF _Toc243492356 \h </w:instrText>
            </w:r>
            <w:r>
              <w:rPr>
                <w:webHidden/>
              </w:rPr>
            </w:r>
            <w:r>
              <w:rPr>
                <w:webHidden/>
              </w:rPr>
              <w:fldChar w:fldCharType="separate"/>
            </w:r>
            <w:r w:rsidR="00436D45">
              <w:rPr>
                <w:webHidden/>
              </w:rPr>
              <w:t>50</w:t>
            </w:r>
            <w:r>
              <w:rPr>
                <w:webHidden/>
              </w:rPr>
              <w:fldChar w:fldCharType="end"/>
            </w:r>
          </w:hyperlink>
        </w:p>
        <w:p w14:paraId="53720729" w14:textId="78302F03" w:rsidR="00E46702" w:rsidRDefault="00E46702" w:rsidP="008B7910">
          <w:pPr>
            <w:pStyle w:val="TOC1"/>
            <w:rPr>
              <w:rFonts w:asciiTheme="minorHAnsi" w:eastAsiaTheme="minorEastAsia" w:hAnsiTheme="minorHAnsi" w:cstheme="minorBidi"/>
              <w:kern w:val="2"/>
              <w:sz w:val="24"/>
              <w:szCs w:val="24"/>
              <w:lang w:eastAsia="en-AU"/>
              <w14:ligatures w14:val="standardContextual"/>
            </w:rPr>
          </w:pPr>
          <w:hyperlink w:anchor="_Toc243492357" w:history="1">
            <w:r w:rsidRPr="001175EB">
              <w:rPr>
                <w:rStyle w:val="Hyperlink"/>
              </w:rPr>
              <w:t>Appendix 1</w:t>
            </w:r>
            <w:r>
              <w:rPr>
                <w:rFonts w:asciiTheme="minorHAnsi" w:eastAsiaTheme="minorEastAsia" w:hAnsiTheme="minorHAnsi" w:cstheme="minorBidi"/>
                <w:kern w:val="2"/>
                <w:sz w:val="24"/>
                <w:szCs w:val="24"/>
                <w:lang w:eastAsia="en-AU"/>
                <w14:ligatures w14:val="standardContextual"/>
              </w:rPr>
              <w:tab/>
            </w:r>
            <w:r w:rsidRPr="001175EB">
              <w:rPr>
                <w:rStyle w:val="Hyperlink"/>
              </w:rPr>
              <w:t>Labour market and graduate satisfaction definitions</w:t>
            </w:r>
            <w:r>
              <w:rPr>
                <w:webHidden/>
              </w:rPr>
              <w:tab/>
            </w:r>
            <w:r>
              <w:rPr>
                <w:webHidden/>
              </w:rPr>
              <w:fldChar w:fldCharType="begin"/>
            </w:r>
            <w:r>
              <w:rPr>
                <w:webHidden/>
              </w:rPr>
              <w:instrText xml:space="preserve"> PAGEREF _Toc243492357 \h </w:instrText>
            </w:r>
            <w:r>
              <w:rPr>
                <w:webHidden/>
              </w:rPr>
            </w:r>
            <w:r>
              <w:rPr>
                <w:webHidden/>
              </w:rPr>
              <w:fldChar w:fldCharType="separate"/>
            </w:r>
            <w:r w:rsidR="00436D45">
              <w:rPr>
                <w:webHidden/>
              </w:rPr>
              <w:t>53</w:t>
            </w:r>
            <w:r>
              <w:rPr>
                <w:webHidden/>
              </w:rPr>
              <w:fldChar w:fldCharType="end"/>
            </w:r>
          </w:hyperlink>
        </w:p>
        <w:p w14:paraId="58899113" w14:textId="23265393"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58" w:history="1">
            <w:r w:rsidRPr="001175EB">
              <w:rPr>
                <w:rStyle w:val="Hyperlink"/>
              </w:rPr>
              <w:t>A1.1</w:t>
            </w:r>
            <w:r>
              <w:rPr>
                <w:rFonts w:asciiTheme="minorHAnsi" w:eastAsiaTheme="minorEastAsia" w:hAnsiTheme="minorHAnsi" w:cstheme="minorBidi"/>
                <w:kern w:val="2"/>
                <w:sz w:val="24"/>
                <w:szCs w:val="24"/>
                <w:lang w:eastAsia="en-AU"/>
                <w14:ligatures w14:val="standardContextual"/>
              </w:rPr>
              <w:tab/>
            </w:r>
            <w:r w:rsidRPr="001175EB">
              <w:rPr>
                <w:rStyle w:val="Hyperlink"/>
              </w:rPr>
              <w:t>Examples of graduate labour market outcomes</w:t>
            </w:r>
            <w:r>
              <w:rPr>
                <w:webHidden/>
              </w:rPr>
              <w:tab/>
            </w:r>
            <w:r>
              <w:rPr>
                <w:webHidden/>
              </w:rPr>
              <w:fldChar w:fldCharType="begin"/>
            </w:r>
            <w:r>
              <w:rPr>
                <w:webHidden/>
              </w:rPr>
              <w:instrText xml:space="preserve"> PAGEREF _Toc243492358 \h </w:instrText>
            </w:r>
            <w:r>
              <w:rPr>
                <w:webHidden/>
              </w:rPr>
            </w:r>
            <w:r>
              <w:rPr>
                <w:webHidden/>
              </w:rPr>
              <w:fldChar w:fldCharType="separate"/>
            </w:r>
            <w:r w:rsidR="00436D45">
              <w:rPr>
                <w:webHidden/>
              </w:rPr>
              <w:t>54</w:t>
            </w:r>
            <w:r>
              <w:rPr>
                <w:webHidden/>
              </w:rPr>
              <w:fldChar w:fldCharType="end"/>
            </w:r>
          </w:hyperlink>
        </w:p>
        <w:p w14:paraId="308F764C" w14:textId="435F1EAD" w:rsidR="00E46702" w:rsidRDefault="00E46702" w:rsidP="008B7910">
          <w:pPr>
            <w:pStyle w:val="TOC1"/>
            <w:rPr>
              <w:rFonts w:asciiTheme="minorHAnsi" w:eastAsiaTheme="minorEastAsia" w:hAnsiTheme="minorHAnsi" w:cstheme="minorBidi"/>
              <w:kern w:val="2"/>
              <w:sz w:val="24"/>
              <w:szCs w:val="24"/>
              <w:lang w:eastAsia="en-AU"/>
              <w14:ligatures w14:val="standardContextual"/>
            </w:rPr>
          </w:pPr>
          <w:hyperlink w:anchor="_Toc243492359" w:history="1">
            <w:r w:rsidRPr="001175EB">
              <w:rPr>
                <w:rStyle w:val="Hyperlink"/>
              </w:rPr>
              <w:t>Appendix 2</w:t>
            </w:r>
            <w:r>
              <w:rPr>
                <w:rFonts w:asciiTheme="minorHAnsi" w:eastAsiaTheme="minorEastAsia" w:hAnsiTheme="minorHAnsi" w:cstheme="minorBidi"/>
                <w:kern w:val="2"/>
                <w:sz w:val="24"/>
                <w:szCs w:val="24"/>
                <w:lang w:eastAsia="en-AU"/>
                <w14:ligatures w14:val="standardContextual"/>
              </w:rPr>
              <w:tab/>
            </w:r>
            <w:r w:rsidRPr="001175EB">
              <w:rPr>
                <w:rStyle w:val="Hyperlink"/>
              </w:rPr>
              <w:t>Detailed tables</w:t>
            </w:r>
            <w:r>
              <w:rPr>
                <w:webHidden/>
              </w:rPr>
              <w:tab/>
            </w:r>
            <w:r>
              <w:rPr>
                <w:webHidden/>
              </w:rPr>
              <w:fldChar w:fldCharType="begin"/>
            </w:r>
            <w:r>
              <w:rPr>
                <w:webHidden/>
              </w:rPr>
              <w:instrText xml:space="preserve"> PAGEREF _Toc243492359 \h </w:instrText>
            </w:r>
            <w:r>
              <w:rPr>
                <w:webHidden/>
              </w:rPr>
            </w:r>
            <w:r>
              <w:rPr>
                <w:webHidden/>
              </w:rPr>
              <w:fldChar w:fldCharType="separate"/>
            </w:r>
            <w:r w:rsidR="00436D45">
              <w:rPr>
                <w:webHidden/>
              </w:rPr>
              <w:t>55</w:t>
            </w:r>
            <w:r>
              <w:rPr>
                <w:webHidden/>
              </w:rPr>
              <w:fldChar w:fldCharType="end"/>
            </w:r>
          </w:hyperlink>
        </w:p>
        <w:p w14:paraId="0ABA06C6" w14:textId="26CCBA9E"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60" w:history="1">
            <w:r w:rsidRPr="001175EB">
              <w:rPr>
                <w:rStyle w:val="Hyperlink"/>
              </w:rPr>
              <w:t>A2.1</w:t>
            </w:r>
            <w:r>
              <w:rPr>
                <w:rFonts w:asciiTheme="minorHAnsi" w:eastAsiaTheme="minorEastAsia" w:hAnsiTheme="minorHAnsi" w:cstheme="minorBidi"/>
                <w:kern w:val="2"/>
                <w:sz w:val="24"/>
                <w:szCs w:val="24"/>
                <w:lang w:eastAsia="en-AU"/>
                <w14:ligatures w14:val="standardContextual"/>
              </w:rPr>
              <w:tab/>
            </w:r>
            <w:r w:rsidRPr="001175EB">
              <w:rPr>
                <w:rStyle w:val="Hyperlink"/>
              </w:rPr>
              <w:t>Gender pay gap</w:t>
            </w:r>
            <w:r>
              <w:rPr>
                <w:webHidden/>
              </w:rPr>
              <w:tab/>
            </w:r>
            <w:r>
              <w:rPr>
                <w:webHidden/>
              </w:rPr>
              <w:fldChar w:fldCharType="begin"/>
            </w:r>
            <w:r>
              <w:rPr>
                <w:webHidden/>
              </w:rPr>
              <w:instrText xml:space="preserve"> PAGEREF _Toc243492360 \h </w:instrText>
            </w:r>
            <w:r>
              <w:rPr>
                <w:webHidden/>
              </w:rPr>
            </w:r>
            <w:r>
              <w:rPr>
                <w:webHidden/>
              </w:rPr>
              <w:fldChar w:fldCharType="separate"/>
            </w:r>
            <w:r w:rsidR="00436D45">
              <w:rPr>
                <w:webHidden/>
              </w:rPr>
              <w:t>55</w:t>
            </w:r>
            <w:r>
              <w:rPr>
                <w:webHidden/>
              </w:rPr>
              <w:fldChar w:fldCharType="end"/>
            </w:r>
          </w:hyperlink>
        </w:p>
        <w:p w14:paraId="1DA28025" w14:textId="64E74146" w:rsidR="00E46702" w:rsidRDefault="00E46702" w:rsidP="00B75157">
          <w:pPr>
            <w:pStyle w:val="TOC2"/>
            <w:tabs>
              <w:tab w:val="clear" w:pos="9638"/>
              <w:tab w:val="right" w:leader="dot" w:pos="10482"/>
            </w:tabs>
            <w:rPr>
              <w:rFonts w:asciiTheme="minorHAnsi" w:eastAsiaTheme="minorEastAsia" w:hAnsiTheme="minorHAnsi" w:cstheme="minorBidi"/>
              <w:kern w:val="2"/>
              <w:sz w:val="24"/>
              <w:szCs w:val="24"/>
              <w:lang w:eastAsia="en-AU"/>
              <w14:ligatures w14:val="standardContextual"/>
            </w:rPr>
          </w:pPr>
          <w:hyperlink w:anchor="_Toc243492361" w:history="1">
            <w:r w:rsidRPr="001175EB">
              <w:rPr>
                <w:rStyle w:val="Hyperlink"/>
              </w:rPr>
              <w:t>A2.2</w:t>
            </w:r>
            <w:r>
              <w:rPr>
                <w:rFonts w:asciiTheme="minorHAnsi" w:eastAsiaTheme="minorEastAsia" w:hAnsiTheme="minorHAnsi" w:cstheme="minorBidi"/>
                <w:kern w:val="2"/>
                <w:sz w:val="24"/>
                <w:szCs w:val="24"/>
                <w:lang w:eastAsia="en-AU"/>
                <w14:ligatures w14:val="standardContextual"/>
              </w:rPr>
              <w:tab/>
            </w:r>
            <w:r w:rsidRPr="001175EB">
              <w:rPr>
                <w:rStyle w:val="Hyperlink"/>
              </w:rPr>
              <w:t>Study area</w:t>
            </w:r>
            <w:r>
              <w:rPr>
                <w:webHidden/>
              </w:rPr>
              <w:tab/>
            </w:r>
            <w:r>
              <w:rPr>
                <w:webHidden/>
              </w:rPr>
              <w:fldChar w:fldCharType="begin"/>
            </w:r>
            <w:r>
              <w:rPr>
                <w:webHidden/>
              </w:rPr>
              <w:instrText xml:space="preserve"> PAGEREF _Toc243492361 \h </w:instrText>
            </w:r>
            <w:r>
              <w:rPr>
                <w:webHidden/>
              </w:rPr>
            </w:r>
            <w:r>
              <w:rPr>
                <w:webHidden/>
              </w:rPr>
              <w:fldChar w:fldCharType="separate"/>
            </w:r>
            <w:r w:rsidR="00436D45">
              <w:rPr>
                <w:webHidden/>
              </w:rPr>
              <w:t>57</w:t>
            </w:r>
            <w:r>
              <w:rPr>
                <w:webHidden/>
              </w:rPr>
              <w:fldChar w:fldCharType="end"/>
            </w:r>
          </w:hyperlink>
        </w:p>
        <w:p w14:paraId="1808BCBA" w14:textId="7E1AD757" w:rsidR="006A1804" w:rsidRPr="005A3AFE" w:rsidRDefault="006A1804" w:rsidP="00E46702">
          <w:pPr>
            <w:ind w:left="1134"/>
          </w:pPr>
          <w:r w:rsidRPr="005A3AFE">
            <w:rPr>
              <w:b/>
              <w:bCs/>
              <w:noProof/>
            </w:rPr>
            <w:fldChar w:fldCharType="end"/>
          </w:r>
        </w:p>
      </w:sdtContent>
    </w:sdt>
    <w:p w14:paraId="4EA8533A" w14:textId="77777777" w:rsidR="00436D45" w:rsidRPr="00B75157" w:rsidRDefault="00436D45" w:rsidP="00912E1F">
      <w:pPr>
        <w:spacing w:after="240"/>
        <w:rPr>
          <w:szCs w:val="20"/>
        </w:rPr>
      </w:pPr>
      <w:r>
        <w:rPr>
          <w:color w:val="5D6C16" w:themeColor="accent1" w:themeShade="80"/>
          <w:sz w:val="40"/>
          <w:szCs w:val="40"/>
        </w:rPr>
        <w:br w:type="page"/>
      </w:r>
    </w:p>
    <w:p w14:paraId="48C3D33C" w14:textId="4DFF1A7F" w:rsidR="006A1804" w:rsidRPr="00912E1F" w:rsidRDefault="006A1804" w:rsidP="00912E1F">
      <w:pPr>
        <w:spacing w:after="240"/>
        <w:rPr>
          <w:color w:val="5D6C16" w:themeColor="accent1" w:themeShade="80"/>
          <w:sz w:val="40"/>
          <w:szCs w:val="40"/>
        </w:rPr>
      </w:pPr>
      <w:r w:rsidRPr="005A3AFE">
        <w:rPr>
          <w:color w:val="5D6C16" w:themeColor="accent1" w:themeShade="80"/>
          <w:sz w:val="40"/>
          <w:szCs w:val="40"/>
        </w:rPr>
        <w:lastRenderedPageBreak/>
        <w:t>List of tables</w:t>
      </w:r>
    </w:p>
    <w:p w14:paraId="1C019A69" w14:textId="08F49C0B" w:rsidR="00E46702" w:rsidRDefault="006A1804">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r w:rsidRPr="005A3AFE">
        <w:fldChar w:fldCharType="begin"/>
      </w:r>
      <w:r w:rsidRPr="005A3AFE">
        <w:instrText xml:space="preserve"> TOC \h \z \c "Table" </w:instrText>
      </w:r>
      <w:r w:rsidRPr="005A3AFE">
        <w:fldChar w:fldCharType="separate"/>
      </w:r>
      <w:hyperlink w:anchor="_Toc243492093" w:history="1">
        <w:r w:rsidR="00E46702" w:rsidRPr="00AD358C">
          <w:rPr>
            <w:rStyle w:val="Hyperlink"/>
            <w:noProof/>
          </w:rPr>
          <w:t>Table 1</w:t>
        </w:r>
        <w:r w:rsidR="00E46702">
          <w:rPr>
            <w:rFonts w:asciiTheme="minorHAnsi" w:eastAsiaTheme="minorEastAsia" w:hAnsiTheme="minorHAnsi"/>
            <w:noProof/>
            <w:color w:val="auto"/>
            <w:kern w:val="2"/>
            <w:sz w:val="24"/>
            <w:szCs w:val="24"/>
            <w:lang w:eastAsia="en-AU"/>
            <w14:ligatures w14:val="standardContextual"/>
          </w:rPr>
          <w:tab/>
        </w:r>
        <w:r w:rsidR="00E46702" w:rsidRPr="00AD358C">
          <w:rPr>
            <w:rStyle w:val="Hyperlink"/>
            <w:noProof/>
          </w:rPr>
          <w:t>Main reason not working more hours, of graduates employed part-time who would prefer to work more hours (% of those employed)</w:t>
        </w:r>
        <w:r w:rsidR="00E46702">
          <w:rPr>
            <w:noProof/>
            <w:webHidden/>
          </w:rPr>
          <w:tab/>
        </w:r>
        <w:r w:rsidR="00E46702">
          <w:rPr>
            <w:noProof/>
            <w:webHidden/>
          </w:rPr>
          <w:fldChar w:fldCharType="begin"/>
        </w:r>
        <w:r w:rsidR="00E46702">
          <w:rPr>
            <w:noProof/>
            <w:webHidden/>
          </w:rPr>
          <w:instrText xml:space="preserve"> PAGEREF _Toc243492093 \h </w:instrText>
        </w:r>
        <w:r w:rsidR="00E46702">
          <w:rPr>
            <w:noProof/>
            <w:webHidden/>
          </w:rPr>
        </w:r>
        <w:r w:rsidR="00E46702">
          <w:rPr>
            <w:noProof/>
            <w:webHidden/>
          </w:rPr>
          <w:fldChar w:fldCharType="separate"/>
        </w:r>
        <w:r w:rsidR="00E46702">
          <w:rPr>
            <w:noProof/>
            <w:webHidden/>
          </w:rPr>
          <w:t>15</w:t>
        </w:r>
        <w:r w:rsidR="00E46702">
          <w:rPr>
            <w:noProof/>
            <w:webHidden/>
          </w:rPr>
          <w:fldChar w:fldCharType="end"/>
        </w:r>
      </w:hyperlink>
    </w:p>
    <w:p w14:paraId="048D64D9" w14:textId="14D9B837"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094" w:history="1">
        <w:r w:rsidRPr="00AD358C">
          <w:rPr>
            <w:rStyle w:val="Hyperlink"/>
            <w:noProof/>
          </w:rPr>
          <w:t xml:space="preserve">Table 2 </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Domestic graduates employed in managerial and professional occupations by employment type and study level (% of those employed)</w:t>
        </w:r>
        <w:r>
          <w:rPr>
            <w:noProof/>
            <w:webHidden/>
          </w:rPr>
          <w:tab/>
        </w:r>
        <w:r>
          <w:rPr>
            <w:noProof/>
            <w:webHidden/>
          </w:rPr>
          <w:fldChar w:fldCharType="begin"/>
        </w:r>
        <w:r>
          <w:rPr>
            <w:noProof/>
            <w:webHidden/>
          </w:rPr>
          <w:instrText xml:space="preserve"> PAGEREF _Toc243492094 \h </w:instrText>
        </w:r>
        <w:r>
          <w:rPr>
            <w:noProof/>
            <w:webHidden/>
          </w:rPr>
        </w:r>
        <w:r>
          <w:rPr>
            <w:noProof/>
            <w:webHidden/>
          </w:rPr>
          <w:fldChar w:fldCharType="separate"/>
        </w:r>
        <w:r>
          <w:rPr>
            <w:noProof/>
            <w:webHidden/>
          </w:rPr>
          <w:t>16</w:t>
        </w:r>
        <w:r>
          <w:rPr>
            <w:noProof/>
            <w:webHidden/>
          </w:rPr>
          <w:fldChar w:fldCharType="end"/>
        </w:r>
      </w:hyperlink>
    </w:p>
    <w:p w14:paraId="3F627CDF" w14:textId="752BF26D"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095" w:history="1">
        <w:r w:rsidRPr="00AD358C">
          <w:rPr>
            <w:rStyle w:val="Hyperlink"/>
            <w:noProof/>
          </w:rPr>
          <w:t xml:space="preserve">Table 3 </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Main reason for working in a job that does not fully utilise skills and education, domestic graduates employed full-time, all occupations (%)</w:t>
        </w:r>
        <w:r>
          <w:rPr>
            <w:noProof/>
            <w:webHidden/>
          </w:rPr>
          <w:tab/>
        </w:r>
        <w:r>
          <w:rPr>
            <w:noProof/>
            <w:webHidden/>
          </w:rPr>
          <w:fldChar w:fldCharType="begin"/>
        </w:r>
        <w:r>
          <w:rPr>
            <w:noProof/>
            <w:webHidden/>
          </w:rPr>
          <w:instrText xml:space="preserve"> PAGEREF _Toc243492095 \h </w:instrText>
        </w:r>
        <w:r>
          <w:rPr>
            <w:noProof/>
            <w:webHidden/>
          </w:rPr>
        </w:r>
        <w:r>
          <w:rPr>
            <w:noProof/>
            <w:webHidden/>
          </w:rPr>
          <w:fldChar w:fldCharType="separate"/>
        </w:r>
        <w:r>
          <w:rPr>
            <w:noProof/>
            <w:webHidden/>
          </w:rPr>
          <w:t>19</w:t>
        </w:r>
        <w:r>
          <w:rPr>
            <w:noProof/>
            <w:webHidden/>
          </w:rPr>
          <w:fldChar w:fldCharType="end"/>
        </w:r>
      </w:hyperlink>
    </w:p>
    <w:p w14:paraId="405D5F03" w14:textId="4D93F91E"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096" w:history="1">
        <w:r w:rsidRPr="00AD358C">
          <w:rPr>
            <w:rStyle w:val="Hyperlink"/>
            <w:noProof/>
          </w:rPr>
          <w:t>Table 4</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Domestic undergraduate employment outcomes by demographic sub-group</w:t>
        </w:r>
        <w:r>
          <w:rPr>
            <w:noProof/>
            <w:webHidden/>
          </w:rPr>
          <w:tab/>
        </w:r>
        <w:r>
          <w:rPr>
            <w:noProof/>
            <w:webHidden/>
          </w:rPr>
          <w:fldChar w:fldCharType="begin"/>
        </w:r>
        <w:r>
          <w:rPr>
            <w:noProof/>
            <w:webHidden/>
          </w:rPr>
          <w:instrText xml:space="preserve"> PAGEREF _Toc243492096 \h </w:instrText>
        </w:r>
        <w:r>
          <w:rPr>
            <w:noProof/>
            <w:webHidden/>
          </w:rPr>
        </w:r>
        <w:r>
          <w:rPr>
            <w:noProof/>
            <w:webHidden/>
          </w:rPr>
          <w:fldChar w:fldCharType="separate"/>
        </w:r>
        <w:r>
          <w:rPr>
            <w:noProof/>
            <w:webHidden/>
          </w:rPr>
          <w:t>27</w:t>
        </w:r>
        <w:r>
          <w:rPr>
            <w:noProof/>
            <w:webHidden/>
          </w:rPr>
          <w:fldChar w:fldCharType="end"/>
        </w:r>
      </w:hyperlink>
    </w:p>
    <w:p w14:paraId="5912D46C" w14:textId="72D739D6"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097" w:history="1">
        <w:r w:rsidRPr="00AD358C">
          <w:rPr>
            <w:rStyle w:val="Hyperlink"/>
            <w:noProof/>
          </w:rPr>
          <w:t>Table 5</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Domestic undergraduate labour market and further study outcomes by study area</w:t>
        </w:r>
        <w:r>
          <w:rPr>
            <w:noProof/>
            <w:webHidden/>
          </w:rPr>
          <w:tab/>
        </w:r>
        <w:r>
          <w:rPr>
            <w:noProof/>
            <w:webHidden/>
          </w:rPr>
          <w:fldChar w:fldCharType="begin"/>
        </w:r>
        <w:r>
          <w:rPr>
            <w:noProof/>
            <w:webHidden/>
          </w:rPr>
          <w:instrText xml:space="preserve"> PAGEREF _Toc243492097 \h </w:instrText>
        </w:r>
        <w:r>
          <w:rPr>
            <w:noProof/>
            <w:webHidden/>
          </w:rPr>
        </w:r>
        <w:r>
          <w:rPr>
            <w:noProof/>
            <w:webHidden/>
          </w:rPr>
          <w:fldChar w:fldCharType="separate"/>
        </w:r>
        <w:r>
          <w:rPr>
            <w:noProof/>
            <w:webHidden/>
          </w:rPr>
          <w:t>32</w:t>
        </w:r>
        <w:r>
          <w:rPr>
            <w:noProof/>
            <w:webHidden/>
          </w:rPr>
          <w:fldChar w:fldCharType="end"/>
        </w:r>
      </w:hyperlink>
    </w:p>
    <w:p w14:paraId="426C2760" w14:textId="42A85DC4"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098" w:history="1">
        <w:r w:rsidRPr="00AD358C">
          <w:rPr>
            <w:rStyle w:val="Hyperlink"/>
            <w:noProof/>
          </w:rPr>
          <w:t>Table 6</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Short- and medium-term domestic graduate employment and study outcomes by study level and institution type</w:t>
        </w:r>
        <w:r>
          <w:rPr>
            <w:noProof/>
            <w:webHidden/>
          </w:rPr>
          <w:tab/>
        </w:r>
        <w:r>
          <w:rPr>
            <w:noProof/>
            <w:webHidden/>
          </w:rPr>
          <w:fldChar w:fldCharType="begin"/>
        </w:r>
        <w:r>
          <w:rPr>
            <w:noProof/>
            <w:webHidden/>
          </w:rPr>
          <w:instrText xml:space="preserve"> PAGEREF _Toc243492098 \h </w:instrText>
        </w:r>
        <w:r>
          <w:rPr>
            <w:noProof/>
            <w:webHidden/>
          </w:rPr>
        </w:r>
        <w:r>
          <w:rPr>
            <w:noProof/>
            <w:webHidden/>
          </w:rPr>
          <w:fldChar w:fldCharType="separate"/>
        </w:r>
        <w:r>
          <w:rPr>
            <w:noProof/>
            <w:webHidden/>
          </w:rPr>
          <w:t>37</w:t>
        </w:r>
        <w:r>
          <w:rPr>
            <w:noProof/>
            <w:webHidden/>
          </w:rPr>
          <w:fldChar w:fldCharType="end"/>
        </w:r>
      </w:hyperlink>
    </w:p>
    <w:p w14:paraId="4A2F562E" w14:textId="44984774"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099" w:history="1">
        <w:r w:rsidRPr="00AD358C">
          <w:rPr>
            <w:rStyle w:val="Hyperlink"/>
            <w:noProof/>
          </w:rPr>
          <w:t>Table 7</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Undergraduate short- and medium-term outcomes comparison: international and domestic graduates</w:t>
        </w:r>
        <w:r>
          <w:rPr>
            <w:noProof/>
            <w:webHidden/>
          </w:rPr>
          <w:tab/>
        </w:r>
        <w:r>
          <w:rPr>
            <w:noProof/>
            <w:webHidden/>
          </w:rPr>
          <w:fldChar w:fldCharType="begin"/>
        </w:r>
        <w:r>
          <w:rPr>
            <w:noProof/>
            <w:webHidden/>
          </w:rPr>
          <w:instrText xml:space="preserve"> PAGEREF _Toc243492099 \h </w:instrText>
        </w:r>
        <w:r>
          <w:rPr>
            <w:noProof/>
            <w:webHidden/>
          </w:rPr>
        </w:r>
        <w:r>
          <w:rPr>
            <w:noProof/>
            <w:webHidden/>
          </w:rPr>
          <w:fldChar w:fldCharType="separate"/>
        </w:r>
        <w:r>
          <w:rPr>
            <w:noProof/>
            <w:webHidden/>
          </w:rPr>
          <w:t>44</w:t>
        </w:r>
        <w:r>
          <w:rPr>
            <w:noProof/>
            <w:webHidden/>
          </w:rPr>
          <w:fldChar w:fldCharType="end"/>
        </w:r>
      </w:hyperlink>
    </w:p>
    <w:p w14:paraId="150A076B" w14:textId="300D9DD6"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0" w:history="1">
        <w:r w:rsidRPr="00AD358C">
          <w:rPr>
            <w:rStyle w:val="Hyperlink"/>
            <w:noProof/>
          </w:rPr>
          <w:t>Table 8</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Postgraduate coursework short- and medium-term outcomes comparison: international and domestic graduates</w:t>
        </w:r>
        <w:r>
          <w:rPr>
            <w:noProof/>
            <w:webHidden/>
          </w:rPr>
          <w:tab/>
        </w:r>
        <w:r>
          <w:rPr>
            <w:noProof/>
            <w:webHidden/>
          </w:rPr>
          <w:fldChar w:fldCharType="begin"/>
        </w:r>
        <w:r>
          <w:rPr>
            <w:noProof/>
            <w:webHidden/>
          </w:rPr>
          <w:instrText xml:space="preserve"> PAGEREF _Toc243492100 \h </w:instrText>
        </w:r>
        <w:r>
          <w:rPr>
            <w:noProof/>
            <w:webHidden/>
          </w:rPr>
        </w:r>
        <w:r>
          <w:rPr>
            <w:noProof/>
            <w:webHidden/>
          </w:rPr>
          <w:fldChar w:fldCharType="separate"/>
        </w:r>
        <w:r>
          <w:rPr>
            <w:noProof/>
            <w:webHidden/>
          </w:rPr>
          <w:t>45</w:t>
        </w:r>
        <w:r>
          <w:rPr>
            <w:noProof/>
            <w:webHidden/>
          </w:rPr>
          <w:fldChar w:fldCharType="end"/>
        </w:r>
      </w:hyperlink>
    </w:p>
    <w:p w14:paraId="3CCB4C25" w14:textId="0C6092CD"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1" w:history="1">
        <w:r w:rsidRPr="00AD358C">
          <w:rPr>
            <w:rStyle w:val="Hyperlink"/>
            <w:noProof/>
          </w:rPr>
          <w:t>Table 9</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Postgraduate research short- and medium-term outcomes comparison: international and domestic graduates</w:t>
        </w:r>
        <w:r>
          <w:rPr>
            <w:noProof/>
            <w:webHidden/>
          </w:rPr>
          <w:tab/>
        </w:r>
        <w:r>
          <w:rPr>
            <w:noProof/>
            <w:webHidden/>
          </w:rPr>
          <w:fldChar w:fldCharType="begin"/>
        </w:r>
        <w:r>
          <w:rPr>
            <w:noProof/>
            <w:webHidden/>
          </w:rPr>
          <w:instrText xml:space="preserve"> PAGEREF _Toc243492101 \h </w:instrText>
        </w:r>
        <w:r>
          <w:rPr>
            <w:noProof/>
            <w:webHidden/>
          </w:rPr>
        </w:r>
        <w:r>
          <w:rPr>
            <w:noProof/>
            <w:webHidden/>
          </w:rPr>
          <w:fldChar w:fldCharType="separate"/>
        </w:r>
        <w:r>
          <w:rPr>
            <w:noProof/>
            <w:webHidden/>
          </w:rPr>
          <w:t>46</w:t>
        </w:r>
        <w:r>
          <w:rPr>
            <w:noProof/>
            <w:webHidden/>
          </w:rPr>
          <w:fldChar w:fldCharType="end"/>
        </w:r>
      </w:hyperlink>
    </w:p>
    <w:p w14:paraId="5E34EABA" w14:textId="5DB21A3B"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2" w:history="1">
        <w:r w:rsidRPr="00AD358C">
          <w:rPr>
            <w:rStyle w:val="Hyperlink"/>
            <w:noProof/>
          </w:rPr>
          <w:t>Table 10</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International undergraduate short- and medium-term outcomes by source country</w:t>
        </w:r>
        <w:r>
          <w:rPr>
            <w:noProof/>
            <w:webHidden/>
          </w:rPr>
          <w:tab/>
        </w:r>
        <w:r>
          <w:rPr>
            <w:noProof/>
            <w:webHidden/>
          </w:rPr>
          <w:fldChar w:fldCharType="begin"/>
        </w:r>
        <w:r>
          <w:rPr>
            <w:noProof/>
            <w:webHidden/>
          </w:rPr>
          <w:instrText xml:space="preserve"> PAGEREF _Toc243492102 \h </w:instrText>
        </w:r>
        <w:r>
          <w:rPr>
            <w:noProof/>
            <w:webHidden/>
          </w:rPr>
        </w:r>
        <w:r>
          <w:rPr>
            <w:noProof/>
            <w:webHidden/>
          </w:rPr>
          <w:fldChar w:fldCharType="separate"/>
        </w:r>
        <w:r>
          <w:rPr>
            <w:noProof/>
            <w:webHidden/>
          </w:rPr>
          <w:t>51</w:t>
        </w:r>
        <w:r>
          <w:rPr>
            <w:noProof/>
            <w:webHidden/>
          </w:rPr>
          <w:fldChar w:fldCharType="end"/>
        </w:r>
      </w:hyperlink>
    </w:p>
    <w:p w14:paraId="2F1DBFC2" w14:textId="6DD7081E"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3" w:history="1">
        <w:r w:rsidRPr="00AD358C">
          <w:rPr>
            <w:rStyle w:val="Hyperlink"/>
            <w:noProof/>
          </w:rPr>
          <w:t>Table 11</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International postgraduate coursework short- and medium-term outcomes by source country</w:t>
        </w:r>
        <w:r>
          <w:rPr>
            <w:noProof/>
            <w:webHidden/>
          </w:rPr>
          <w:tab/>
        </w:r>
        <w:r>
          <w:rPr>
            <w:noProof/>
            <w:webHidden/>
          </w:rPr>
          <w:fldChar w:fldCharType="begin"/>
        </w:r>
        <w:r>
          <w:rPr>
            <w:noProof/>
            <w:webHidden/>
          </w:rPr>
          <w:instrText xml:space="preserve"> PAGEREF _Toc243492103 \h </w:instrText>
        </w:r>
        <w:r>
          <w:rPr>
            <w:noProof/>
            <w:webHidden/>
          </w:rPr>
        </w:r>
        <w:r>
          <w:rPr>
            <w:noProof/>
            <w:webHidden/>
          </w:rPr>
          <w:fldChar w:fldCharType="separate"/>
        </w:r>
        <w:r>
          <w:rPr>
            <w:noProof/>
            <w:webHidden/>
          </w:rPr>
          <w:t>52</w:t>
        </w:r>
        <w:r>
          <w:rPr>
            <w:noProof/>
            <w:webHidden/>
          </w:rPr>
          <w:fldChar w:fldCharType="end"/>
        </w:r>
      </w:hyperlink>
    </w:p>
    <w:p w14:paraId="23523551" w14:textId="73BD6834"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4" w:history="1">
        <w:r w:rsidRPr="00AD358C">
          <w:rPr>
            <w:rStyle w:val="Hyperlink"/>
            <w:noProof/>
          </w:rPr>
          <w:t>Table 12</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Indicator definitions</w:t>
        </w:r>
        <w:r>
          <w:rPr>
            <w:noProof/>
            <w:webHidden/>
          </w:rPr>
          <w:tab/>
        </w:r>
        <w:r>
          <w:rPr>
            <w:noProof/>
            <w:webHidden/>
          </w:rPr>
          <w:fldChar w:fldCharType="begin"/>
        </w:r>
        <w:r>
          <w:rPr>
            <w:noProof/>
            <w:webHidden/>
          </w:rPr>
          <w:instrText xml:space="preserve"> PAGEREF _Toc243492104 \h </w:instrText>
        </w:r>
        <w:r>
          <w:rPr>
            <w:noProof/>
            <w:webHidden/>
          </w:rPr>
        </w:r>
        <w:r>
          <w:rPr>
            <w:noProof/>
            <w:webHidden/>
          </w:rPr>
          <w:fldChar w:fldCharType="separate"/>
        </w:r>
        <w:r>
          <w:rPr>
            <w:noProof/>
            <w:webHidden/>
          </w:rPr>
          <w:t>53</w:t>
        </w:r>
        <w:r>
          <w:rPr>
            <w:noProof/>
            <w:webHidden/>
          </w:rPr>
          <w:fldChar w:fldCharType="end"/>
        </w:r>
      </w:hyperlink>
    </w:p>
    <w:p w14:paraId="23D434FA" w14:textId="55EB49B4"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5" w:history="1">
        <w:r w:rsidRPr="00AD358C">
          <w:rPr>
            <w:rStyle w:val="Hyperlink"/>
            <w:noProof/>
          </w:rPr>
          <w:t>Table 13</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Undergraduate median annual full-time salary by gender and study area</w:t>
        </w:r>
        <w:r>
          <w:rPr>
            <w:noProof/>
            <w:webHidden/>
          </w:rPr>
          <w:tab/>
        </w:r>
        <w:r>
          <w:rPr>
            <w:noProof/>
            <w:webHidden/>
          </w:rPr>
          <w:fldChar w:fldCharType="begin"/>
        </w:r>
        <w:r>
          <w:rPr>
            <w:noProof/>
            <w:webHidden/>
          </w:rPr>
          <w:instrText xml:space="preserve"> PAGEREF _Toc243492105 \h </w:instrText>
        </w:r>
        <w:r>
          <w:rPr>
            <w:noProof/>
            <w:webHidden/>
          </w:rPr>
        </w:r>
        <w:r>
          <w:rPr>
            <w:noProof/>
            <w:webHidden/>
          </w:rPr>
          <w:fldChar w:fldCharType="separate"/>
        </w:r>
        <w:r>
          <w:rPr>
            <w:noProof/>
            <w:webHidden/>
          </w:rPr>
          <w:t>55</w:t>
        </w:r>
        <w:r>
          <w:rPr>
            <w:noProof/>
            <w:webHidden/>
          </w:rPr>
          <w:fldChar w:fldCharType="end"/>
        </w:r>
      </w:hyperlink>
    </w:p>
    <w:p w14:paraId="1F01186A" w14:textId="07AB1121"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6" w:history="1">
        <w:r w:rsidRPr="00AD358C">
          <w:rPr>
            <w:rStyle w:val="Hyperlink"/>
            <w:noProof/>
          </w:rPr>
          <w:t>Table 14</w:t>
        </w:r>
        <w:r>
          <w:rPr>
            <w:rFonts w:asciiTheme="minorHAnsi" w:eastAsiaTheme="minorEastAsia" w:hAnsiTheme="minorHAnsi"/>
            <w:noProof/>
            <w:color w:val="auto"/>
            <w:kern w:val="2"/>
            <w:sz w:val="24"/>
            <w:szCs w:val="24"/>
            <w:lang w:eastAsia="en-AU"/>
            <w14:ligatures w14:val="standardContextual"/>
          </w:rPr>
          <w:tab/>
        </w:r>
        <w:r w:rsidRPr="00AD358C">
          <w:rPr>
            <w:rStyle w:val="Hyperlink"/>
            <w:noProof/>
          </w:rPr>
          <w:t>Domestic postgraduate coursework labour market outcomes by study area</w:t>
        </w:r>
        <w:r>
          <w:rPr>
            <w:noProof/>
            <w:webHidden/>
          </w:rPr>
          <w:tab/>
        </w:r>
        <w:r>
          <w:rPr>
            <w:noProof/>
            <w:webHidden/>
          </w:rPr>
          <w:fldChar w:fldCharType="begin"/>
        </w:r>
        <w:r>
          <w:rPr>
            <w:noProof/>
            <w:webHidden/>
          </w:rPr>
          <w:instrText xml:space="preserve"> PAGEREF _Toc243492106 \h </w:instrText>
        </w:r>
        <w:r>
          <w:rPr>
            <w:noProof/>
            <w:webHidden/>
          </w:rPr>
        </w:r>
        <w:r>
          <w:rPr>
            <w:noProof/>
            <w:webHidden/>
          </w:rPr>
          <w:fldChar w:fldCharType="separate"/>
        </w:r>
        <w:r>
          <w:rPr>
            <w:noProof/>
            <w:webHidden/>
          </w:rPr>
          <w:t>57</w:t>
        </w:r>
        <w:r>
          <w:rPr>
            <w:noProof/>
            <w:webHidden/>
          </w:rPr>
          <w:fldChar w:fldCharType="end"/>
        </w:r>
      </w:hyperlink>
    </w:p>
    <w:p w14:paraId="1B3E5879" w14:textId="081259D3" w:rsidR="00113FE1" w:rsidRPr="005A3AFE" w:rsidRDefault="006A1804" w:rsidP="00113FE1">
      <w:pPr>
        <w:tabs>
          <w:tab w:val="left" w:pos="1080"/>
        </w:tabs>
      </w:pPr>
      <w:r w:rsidRPr="005A3AFE">
        <w:fldChar w:fldCharType="end"/>
      </w:r>
      <w:r w:rsidR="00113FE1" w:rsidRPr="005A3AFE">
        <w:br w:type="page"/>
      </w:r>
    </w:p>
    <w:p w14:paraId="5404C795" w14:textId="4FDE3905" w:rsidR="00BE7643" w:rsidRPr="005A3AFE" w:rsidRDefault="006A1804" w:rsidP="00912E1F">
      <w:pPr>
        <w:tabs>
          <w:tab w:val="left" w:pos="1080"/>
        </w:tabs>
        <w:spacing w:after="240"/>
        <w:rPr>
          <w:color w:val="5D6C16" w:themeColor="accent1" w:themeShade="80"/>
          <w:sz w:val="40"/>
          <w:szCs w:val="40"/>
        </w:rPr>
      </w:pPr>
      <w:r w:rsidRPr="005A3AFE">
        <w:rPr>
          <w:color w:val="5D6C16" w:themeColor="accent1" w:themeShade="80"/>
          <w:sz w:val="40"/>
          <w:szCs w:val="40"/>
        </w:rPr>
        <w:lastRenderedPageBreak/>
        <w:t>List of figures</w:t>
      </w:r>
    </w:p>
    <w:bookmarkStart w:id="11" w:name="_Toc192179845"/>
    <w:bookmarkEnd w:id="0"/>
    <w:p w14:paraId="60DC3B5B" w14:textId="3E109BCA" w:rsidR="00E46702" w:rsidRDefault="006A1804">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r w:rsidRPr="005A3AFE">
        <w:rPr>
          <w:rFonts w:eastAsia="Times New Roman" w:cs="Arial"/>
          <w:b/>
          <w:noProof/>
          <w:color w:val="auto"/>
          <w:szCs w:val="20"/>
        </w:rPr>
        <w:fldChar w:fldCharType="begin"/>
      </w:r>
      <w:r w:rsidRPr="005A3AFE">
        <w:rPr>
          <w:rFonts w:eastAsia="Times New Roman" w:cs="Arial"/>
          <w:b/>
          <w:noProof/>
          <w:color w:val="auto"/>
          <w:szCs w:val="20"/>
        </w:rPr>
        <w:instrText xml:space="preserve"> TOC \h \z \c "Figure" </w:instrText>
      </w:r>
      <w:r w:rsidRPr="005A3AFE">
        <w:rPr>
          <w:rFonts w:eastAsia="Times New Roman" w:cs="Arial"/>
          <w:b/>
          <w:noProof/>
          <w:color w:val="auto"/>
          <w:szCs w:val="20"/>
        </w:rPr>
        <w:fldChar w:fldCharType="separate"/>
      </w:r>
      <w:hyperlink w:anchor="_Toc243492107" w:history="1">
        <w:r w:rsidR="00E46702" w:rsidRPr="002A27DD">
          <w:rPr>
            <w:rStyle w:val="Hyperlink"/>
            <w:noProof/>
          </w:rPr>
          <w:t>Figure 1</w:t>
        </w:r>
        <w:r w:rsidR="00E46702">
          <w:rPr>
            <w:rFonts w:asciiTheme="minorHAnsi" w:eastAsiaTheme="minorEastAsia" w:hAnsiTheme="minorHAnsi"/>
            <w:noProof/>
            <w:color w:val="auto"/>
            <w:kern w:val="2"/>
            <w:sz w:val="24"/>
            <w:szCs w:val="24"/>
            <w:lang w:eastAsia="en-AU"/>
            <w14:ligatures w14:val="standardContextual"/>
          </w:rPr>
          <w:tab/>
        </w:r>
        <w:r w:rsidR="00E46702" w:rsidRPr="002A27DD">
          <w:rPr>
            <w:rStyle w:val="Hyperlink"/>
            <w:noProof/>
          </w:rPr>
          <w:t>Short- and medium-term labour force participation rate for 2017 to 2023 domestic graduates</w:t>
        </w:r>
        <w:r w:rsidR="00E46702">
          <w:rPr>
            <w:noProof/>
            <w:webHidden/>
          </w:rPr>
          <w:tab/>
        </w:r>
        <w:r w:rsidR="00E46702">
          <w:rPr>
            <w:noProof/>
            <w:webHidden/>
          </w:rPr>
          <w:fldChar w:fldCharType="begin"/>
        </w:r>
        <w:r w:rsidR="00E46702">
          <w:rPr>
            <w:noProof/>
            <w:webHidden/>
          </w:rPr>
          <w:instrText xml:space="preserve"> PAGEREF _Toc243492107 \h </w:instrText>
        </w:r>
        <w:r w:rsidR="00E46702">
          <w:rPr>
            <w:noProof/>
            <w:webHidden/>
          </w:rPr>
        </w:r>
        <w:r w:rsidR="00E46702">
          <w:rPr>
            <w:noProof/>
            <w:webHidden/>
          </w:rPr>
          <w:fldChar w:fldCharType="separate"/>
        </w:r>
        <w:r w:rsidR="008B7910">
          <w:rPr>
            <w:noProof/>
            <w:webHidden/>
          </w:rPr>
          <w:t>3</w:t>
        </w:r>
        <w:r w:rsidR="00E46702">
          <w:rPr>
            <w:noProof/>
            <w:webHidden/>
          </w:rPr>
          <w:fldChar w:fldCharType="end"/>
        </w:r>
      </w:hyperlink>
    </w:p>
    <w:p w14:paraId="7BDDE959" w14:textId="0298D4F8"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8" w:history="1">
        <w:r w:rsidRPr="002A27DD">
          <w:rPr>
            <w:rStyle w:val="Hyperlink"/>
            <w:noProof/>
          </w:rPr>
          <w:t>Figure 2</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Reasons graduates are not in the labour force by study level, medium-term 2026</w:t>
        </w:r>
        <w:r>
          <w:rPr>
            <w:noProof/>
            <w:webHidden/>
          </w:rPr>
          <w:tab/>
        </w:r>
        <w:r>
          <w:rPr>
            <w:noProof/>
            <w:webHidden/>
          </w:rPr>
          <w:fldChar w:fldCharType="begin"/>
        </w:r>
        <w:r>
          <w:rPr>
            <w:noProof/>
            <w:webHidden/>
          </w:rPr>
          <w:instrText xml:space="preserve"> PAGEREF _Toc243492108 \h </w:instrText>
        </w:r>
        <w:r>
          <w:rPr>
            <w:noProof/>
            <w:webHidden/>
          </w:rPr>
        </w:r>
        <w:r>
          <w:rPr>
            <w:noProof/>
            <w:webHidden/>
          </w:rPr>
          <w:fldChar w:fldCharType="separate"/>
        </w:r>
        <w:r w:rsidR="008B7910">
          <w:rPr>
            <w:noProof/>
            <w:webHidden/>
          </w:rPr>
          <w:t>4</w:t>
        </w:r>
        <w:r>
          <w:rPr>
            <w:noProof/>
            <w:webHidden/>
          </w:rPr>
          <w:fldChar w:fldCharType="end"/>
        </w:r>
      </w:hyperlink>
    </w:p>
    <w:p w14:paraId="0B4DECA1" w14:textId="6E59A6A8"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09" w:history="1">
        <w:r w:rsidRPr="002A27DD">
          <w:rPr>
            <w:rStyle w:val="Hyperlink"/>
            <w:noProof/>
          </w:rPr>
          <w:t>Figure 3</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Short- and medium-term full-time employment rate for 2017 to 2023 domestic graduates</w:t>
        </w:r>
        <w:r>
          <w:rPr>
            <w:noProof/>
            <w:webHidden/>
          </w:rPr>
          <w:tab/>
        </w:r>
        <w:r>
          <w:rPr>
            <w:noProof/>
            <w:webHidden/>
          </w:rPr>
          <w:fldChar w:fldCharType="begin"/>
        </w:r>
        <w:r>
          <w:rPr>
            <w:noProof/>
            <w:webHidden/>
          </w:rPr>
          <w:instrText xml:space="preserve"> PAGEREF _Toc243492109 \h </w:instrText>
        </w:r>
        <w:r>
          <w:rPr>
            <w:noProof/>
            <w:webHidden/>
          </w:rPr>
        </w:r>
        <w:r>
          <w:rPr>
            <w:noProof/>
            <w:webHidden/>
          </w:rPr>
          <w:fldChar w:fldCharType="separate"/>
        </w:r>
        <w:r w:rsidR="008B7910">
          <w:rPr>
            <w:noProof/>
            <w:webHidden/>
          </w:rPr>
          <w:t>6</w:t>
        </w:r>
        <w:r>
          <w:rPr>
            <w:noProof/>
            <w:webHidden/>
          </w:rPr>
          <w:fldChar w:fldCharType="end"/>
        </w:r>
      </w:hyperlink>
    </w:p>
    <w:p w14:paraId="477B822D" w14:textId="50F81A17"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0" w:history="1">
        <w:r w:rsidRPr="002A27DD">
          <w:rPr>
            <w:rStyle w:val="Hyperlink"/>
            <w:noProof/>
          </w:rPr>
          <w:t>Figure 4</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Full-time job experience by course level in the short- to medium-term, 2023 graduates</w:t>
        </w:r>
        <w:r>
          <w:rPr>
            <w:noProof/>
            <w:webHidden/>
          </w:rPr>
          <w:tab/>
        </w:r>
        <w:r>
          <w:rPr>
            <w:noProof/>
            <w:webHidden/>
          </w:rPr>
          <w:fldChar w:fldCharType="begin"/>
        </w:r>
        <w:r>
          <w:rPr>
            <w:noProof/>
            <w:webHidden/>
          </w:rPr>
          <w:instrText xml:space="preserve"> PAGEREF _Toc243492110 \h </w:instrText>
        </w:r>
        <w:r>
          <w:rPr>
            <w:noProof/>
            <w:webHidden/>
          </w:rPr>
        </w:r>
        <w:r>
          <w:rPr>
            <w:noProof/>
            <w:webHidden/>
          </w:rPr>
          <w:fldChar w:fldCharType="separate"/>
        </w:r>
        <w:r w:rsidR="008B7910">
          <w:rPr>
            <w:noProof/>
            <w:webHidden/>
          </w:rPr>
          <w:t>7</w:t>
        </w:r>
        <w:r>
          <w:rPr>
            <w:noProof/>
            <w:webHidden/>
          </w:rPr>
          <w:fldChar w:fldCharType="end"/>
        </w:r>
      </w:hyperlink>
    </w:p>
    <w:p w14:paraId="683DE032" w14:textId="02AD5D0A"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1" w:history="1">
        <w:r w:rsidRPr="002A27DD">
          <w:rPr>
            <w:rStyle w:val="Hyperlink"/>
            <w:noProof/>
          </w:rPr>
          <w:t>Figure 5</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Short- and medium-term overall employment rate for 2017 to 2023 domestic graduates</w:t>
        </w:r>
        <w:r>
          <w:rPr>
            <w:noProof/>
            <w:webHidden/>
          </w:rPr>
          <w:tab/>
        </w:r>
        <w:r>
          <w:rPr>
            <w:noProof/>
            <w:webHidden/>
          </w:rPr>
          <w:fldChar w:fldCharType="begin"/>
        </w:r>
        <w:r>
          <w:rPr>
            <w:noProof/>
            <w:webHidden/>
          </w:rPr>
          <w:instrText xml:space="preserve"> PAGEREF _Toc243492111 \h </w:instrText>
        </w:r>
        <w:r>
          <w:rPr>
            <w:noProof/>
            <w:webHidden/>
          </w:rPr>
        </w:r>
        <w:r>
          <w:rPr>
            <w:noProof/>
            <w:webHidden/>
          </w:rPr>
          <w:fldChar w:fldCharType="separate"/>
        </w:r>
        <w:r w:rsidR="008B7910">
          <w:rPr>
            <w:noProof/>
            <w:webHidden/>
          </w:rPr>
          <w:t>8</w:t>
        </w:r>
        <w:r>
          <w:rPr>
            <w:noProof/>
            <w:webHidden/>
          </w:rPr>
          <w:fldChar w:fldCharType="end"/>
        </w:r>
      </w:hyperlink>
    </w:p>
    <w:p w14:paraId="28CED4ED" w14:textId="07615B07"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2" w:history="1">
        <w:r w:rsidRPr="002A27DD">
          <w:rPr>
            <w:rStyle w:val="Hyperlink"/>
            <w:noProof/>
          </w:rPr>
          <w:t>Figure 6</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Share of graduates employed part-time by study level, 2023 graduates (% of those employed)</w:t>
        </w:r>
        <w:r>
          <w:rPr>
            <w:noProof/>
            <w:webHidden/>
          </w:rPr>
          <w:tab/>
        </w:r>
        <w:r>
          <w:rPr>
            <w:noProof/>
            <w:webHidden/>
          </w:rPr>
          <w:fldChar w:fldCharType="begin"/>
        </w:r>
        <w:r>
          <w:rPr>
            <w:noProof/>
            <w:webHidden/>
          </w:rPr>
          <w:instrText xml:space="preserve"> PAGEREF _Toc243492112 \h </w:instrText>
        </w:r>
        <w:r>
          <w:rPr>
            <w:noProof/>
            <w:webHidden/>
          </w:rPr>
        </w:r>
        <w:r>
          <w:rPr>
            <w:noProof/>
            <w:webHidden/>
          </w:rPr>
          <w:fldChar w:fldCharType="separate"/>
        </w:r>
        <w:r w:rsidR="008B7910">
          <w:rPr>
            <w:noProof/>
            <w:webHidden/>
          </w:rPr>
          <w:t>9</w:t>
        </w:r>
        <w:r>
          <w:rPr>
            <w:noProof/>
            <w:webHidden/>
          </w:rPr>
          <w:fldChar w:fldCharType="end"/>
        </w:r>
      </w:hyperlink>
    </w:p>
    <w:p w14:paraId="21CB5E1E" w14:textId="0BDAF118"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3" w:history="1">
        <w:r w:rsidRPr="002A27DD">
          <w:rPr>
            <w:rStyle w:val="Hyperlink"/>
            <w:noProof/>
          </w:rPr>
          <w:t>Figure 7</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Short- and medium-term median salary for 2017 to 2023 domestic graduates</w:t>
        </w:r>
        <w:r>
          <w:rPr>
            <w:noProof/>
            <w:webHidden/>
          </w:rPr>
          <w:tab/>
        </w:r>
        <w:r>
          <w:rPr>
            <w:noProof/>
            <w:webHidden/>
          </w:rPr>
          <w:fldChar w:fldCharType="begin"/>
        </w:r>
        <w:r>
          <w:rPr>
            <w:noProof/>
            <w:webHidden/>
          </w:rPr>
          <w:instrText xml:space="preserve"> PAGEREF _Toc243492113 \h </w:instrText>
        </w:r>
        <w:r>
          <w:rPr>
            <w:noProof/>
            <w:webHidden/>
          </w:rPr>
        </w:r>
        <w:r>
          <w:rPr>
            <w:noProof/>
            <w:webHidden/>
          </w:rPr>
          <w:fldChar w:fldCharType="separate"/>
        </w:r>
        <w:r w:rsidR="008B7910">
          <w:rPr>
            <w:noProof/>
            <w:webHidden/>
          </w:rPr>
          <w:t>10</w:t>
        </w:r>
        <w:r>
          <w:rPr>
            <w:noProof/>
            <w:webHidden/>
          </w:rPr>
          <w:fldChar w:fldCharType="end"/>
        </w:r>
      </w:hyperlink>
    </w:p>
    <w:p w14:paraId="11E66C75" w14:textId="1C642D1E"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4" w:history="1">
        <w:r w:rsidRPr="002A27DD">
          <w:rPr>
            <w:rStyle w:val="Hyperlink"/>
            <w:noProof/>
          </w:rPr>
          <w:t>Figure 8</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Short- and medium-term median salary for 2023 graduates in their first full-time job by study level</w:t>
        </w:r>
        <w:r>
          <w:rPr>
            <w:noProof/>
            <w:webHidden/>
          </w:rPr>
          <w:tab/>
        </w:r>
        <w:r>
          <w:rPr>
            <w:noProof/>
            <w:webHidden/>
          </w:rPr>
          <w:fldChar w:fldCharType="begin"/>
        </w:r>
        <w:r>
          <w:rPr>
            <w:noProof/>
            <w:webHidden/>
          </w:rPr>
          <w:instrText xml:space="preserve"> PAGEREF _Toc243492114 \h </w:instrText>
        </w:r>
        <w:r>
          <w:rPr>
            <w:noProof/>
            <w:webHidden/>
          </w:rPr>
        </w:r>
        <w:r>
          <w:rPr>
            <w:noProof/>
            <w:webHidden/>
          </w:rPr>
          <w:fldChar w:fldCharType="separate"/>
        </w:r>
        <w:r w:rsidR="008B7910">
          <w:rPr>
            <w:noProof/>
            <w:webHidden/>
          </w:rPr>
          <w:t>11</w:t>
        </w:r>
        <w:r>
          <w:rPr>
            <w:noProof/>
            <w:webHidden/>
          </w:rPr>
          <w:fldChar w:fldCharType="end"/>
        </w:r>
      </w:hyperlink>
    </w:p>
    <w:p w14:paraId="4FDB89E3" w14:textId="4FDD7C99"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5" w:history="1">
        <w:r w:rsidRPr="002A27DD">
          <w:rPr>
            <w:rStyle w:val="Hyperlink"/>
            <w:noProof/>
          </w:rPr>
          <w:t>Figure 9</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Short- and medium-term underemployment rate (% of those employed)</w:t>
        </w:r>
        <w:r>
          <w:rPr>
            <w:noProof/>
            <w:webHidden/>
          </w:rPr>
          <w:tab/>
        </w:r>
        <w:r>
          <w:rPr>
            <w:noProof/>
            <w:webHidden/>
          </w:rPr>
          <w:fldChar w:fldCharType="begin"/>
        </w:r>
        <w:r>
          <w:rPr>
            <w:noProof/>
            <w:webHidden/>
          </w:rPr>
          <w:instrText xml:space="preserve"> PAGEREF _Toc243492115 \h </w:instrText>
        </w:r>
        <w:r>
          <w:rPr>
            <w:noProof/>
            <w:webHidden/>
          </w:rPr>
        </w:r>
        <w:r>
          <w:rPr>
            <w:noProof/>
            <w:webHidden/>
          </w:rPr>
          <w:fldChar w:fldCharType="separate"/>
        </w:r>
        <w:r w:rsidR="008B7910">
          <w:rPr>
            <w:noProof/>
            <w:webHidden/>
          </w:rPr>
          <w:t>12</w:t>
        </w:r>
        <w:r>
          <w:rPr>
            <w:noProof/>
            <w:webHidden/>
          </w:rPr>
          <w:fldChar w:fldCharType="end"/>
        </w:r>
      </w:hyperlink>
    </w:p>
    <w:p w14:paraId="3445AAF3" w14:textId="07040649"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6" w:history="1">
        <w:r w:rsidRPr="002A27DD">
          <w:rPr>
            <w:rStyle w:val="Hyperlink"/>
            <w:noProof/>
          </w:rPr>
          <w:t>Figure 10</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Medium-term labour force classification for those underemployed in the short-term</w:t>
        </w:r>
        <w:r>
          <w:rPr>
            <w:noProof/>
            <w:webHidden/>
          </w:rPr>
          <w:tab/>
        </w:r>
        <w:r>
          <w:rPr>
            <w:noProof/>
            <w:webHidden/>
          </w:rPr>
          <w:fldChar w:fldCharType="begin"/>
        </w:r>
        <w:r>
          <w:rPr>
            <w:noProof/>
            <w:webHidden/>
          </w:rPr>
          <w:instrText xml:space="preserve"> PAGEREF _Toc243492116 \h </w:instrText>
        </w:r>
        <w:r>
          <w:rPr>
            <w:noProof/>
            <w:webHidden/>
          </w:rPr>
        </w:r>
        <w:r>
          <w:rPr>
            <w:noProof/>
            <w:webHidden/>
          </w:rPr>
          <w:fldChar w:fldCharType="separate"/>
        </w:r>
        <w:r w:rsidR="008B7910">
          <w:rPr>
            <w:noProof/>
            <w:webHidden/>
          </w:rPr>
          <w:t>13</w:t>
        </w:r>
        <w:r>
          <w:rPr>
            <w:noProof/>
            <w:webHidden/>
          </w:rPr>
          <w:fldChar w:fldCharType="end"/>
        </w:r>
      </w:hyperlink>
    </w:p>
    <w:p w14:paraId="6FBBEBD0" w14:textId="69EDF12B"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7" w:history="1">
        <w:r w:rsidRPr="002A27DD">
          <w:rPr>
            <w:rStyle w:val="Hyperlink"/>
            <w:noProof/>
          </w:rPr>
          <w:t>Figure 11</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Proportion of graduates who transitioned into a managerial and professional role in the medium-term by study level (% of those employed in other occupations in the short-term)</w:t>
        </w:r>
        <w:r>
          <w:rPr>
            <w:noProof/>
            <w:webHidden/>
          </w:rPr>
          <w:tab/>
        </w:r>
        <w:r>
          <w:rPr>
            <w:noProof/>
            <w:webHidden/>
          </w:rPr>
          <w:fldChar w:fldCharType="begin"/>
        </w:r>
        <w:r>
          <w:rPr>
            <w:noProof/>
            <w:webHidden/>
          </w:rPr>
          <w:instrText xml:space="preserve"> PAGEREF _Toc243492117 \h </w:instrText>
        </w:r>
        <w:r>
          <w:rPr>
            <w:noProof/>
            <w:webHidden/>
          </w:rPr>
        </w:r>
        <w:r>
          <w:rPr>
            <w:noProof/>
            <w:webHidden/>
          </w:rPr>
          <w:fldChar w:fldCharType="separate"/>
        </w:r>
        <w:r w:rsidR="008B7910">
          <w:rPr>
            <w:noProof/>
            <w:webHidden/>
          </w:rPr>
          <w:t>17</w:t>
        </w:r>
        <w:r>
          <w:rPr>
            <w:noProof/>
            <w:webHidden/>
          </w:rPr>
          <w:fldChar w:fldCharType="end"/>
        </w:r>
      </w:hyperlink>
    </w:p>
    <w:p w14:paraId="17528BF7" w14:textId="772C9411"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8" w:history="1">
        <w:r w:rsidRPr="002A27DD">
          <w:rPr>
            <w:rStyle w:val="Hyperlink"/>
            <w:noProof/>
          </w:rPr>
          <w:t xml:space="preserve">Figure 12 </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Perceived overqualification by employment type and study level, all occupations (% of those employed)</w:t>
        </w:r>
        <w:r>
          <w:rPr>
            <w:noProof/>
            <w:webHidden/>
          </w:rPr>
          <w:tab/>
        </w:r>
        <w:r>
          <w:rPr>
            <w:noProof/>
            <w:webHidden/>
          </w:rPr>
          <w:fldChar w:fldCharType="begin"/>
        </w:r>
        <w:r>
          <w:rPr>
            <w:noProof/>
            <w:webHidden/>
          </w:rPr>
          <w:instrText xml:space="preserve"> PAGEREF _Toc243492118 \h </w:instrText>
        </w:r>
        <w:r>
          <w:rPr>
            <w:noProof/>
            <w:webHidden/>
          </w:rPr>
        </w:r>
        <w:r>
          <w:rPr>
            <w:noProof/>
            <w:webHidden/>
          </w:rPr>
          <w:fldChar w:fldCharType="separate"/>
        </w:r>
        <w:r w:rsidR="008B7910">
          <w:rPr>
            <w:noProof/>
            <w:webHidden/>
          </w:rPr>
          <w:t>17</w:t>
        </w:r>
        <w:r>
          <w:rPr>
            <w:noProof/>
            <w:webHidden/>
          </w:rPr>
          <w:fldChar w:fldCharType="end"/>
        </w:r>
      </w:hyperlink>
    </w:p>
    <w:p w14:paraId="54D050E1" w14:textId="240CFF29"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19" w:history="1">
        <w:r w:rsidRPr="002A27DD">
          <w:rPr>
            <w:rStyle w:val="Hyperlink"/>
            <w:noProof/>
          </w:rPr>
          <w:t>Figure 13</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Proportion of domestic graduates engaged in further full-time study by study level</w:t>
        </w:r>
        <w:r>
          <w:rPr>
            <w:noProof/>
            <w:webHidden/>
          </w:rPr>
          <w:tab/>
        </w:r>
        <w:r>
          <w:rPr>
            <w:noProof/>
            <w:webHidden/>
          </w:rPr>
          <w:fldChar w:fldCharType="begin"/>
        </w:r>
        <w:r>
          <w:rPr>
            <w:noProof/>
            <w:webHidden/>
          </w:rPr>
          <w:instrText xml:space="preserve"> PAGEREF _Toc243492119 \h </w:instrText>
        </w:r>
        <w:r>
          <w:rPr>
            <w:noProof/>
            <w:webHidden/>
          </w:rPr>
        </w:r>
        <w:r>
          <w:rPr>
            <w:noProof/>
            <w:webHidden/>
          </w:rPr>
          <w:fldChar w:fldCharType="separate"/>
        </w:r>
        <w:r w:rsidR="008B7910">
          <w:rPr>
            <w:noProof/>
            <w:webHidden/>
          </w:rPr>
          <w:t>22</w:t>
        </w:r>
        <w:r>
          <w:rPr>
            <w:noProof/>
            <w:webHidden/>
          </w:rPr>
          <w:fldChar w:fldCharType="end"/>
        </w:r>
      </w:hyperlink>
    </w:p>
    <w:p w14:paraId="56BBB2E2" w14:textId="69D01FC0"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0" w:history="1">
        <w:r w:rsidRPr="002A27DD">
          <w:rPr>
            <w:rStyle w:val="Hyperlink"/>
            <w:noProof/>
          </w:rPr>
          <w:t>Figure 14</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Domestic undergraduates undertaking further full-time study by original broad field of education</w:t>
        </w:r>
        <w:r>
          <w:rPr>
            <w:rStyle w:val="Hyperlink"/>
            <w:noProof/>
          </w:rPr>
          <w:t> </w:t>
        </w:r>
        <w:r w:rsidRPr="002A27DD">
          <w:rPr>
            <w:rStyle w:val="Hyperlink"/>
            <w:noProof/>
          </w:rPr>
          <w:t>(%)</w:t>
        </w:r>
        <w:r>
          <w:rPr>
            <w:noProof/>
            <w:webHidden/>
          </w:rPr>
          <w:tab/>
        </w:r>
        <w:r>
          <w:rPr>
            <w:noProof/>
            <w:webHidden/>
          </w:rPr>
          <w:fldChar w:fldCharType="begin"/>
        </w:r>
        <w:r>
          <w:rPr>
            <w:noProof/>
            <w:webHidden/>
          </w:rPr>
          <w:instrText xml:space="preserve"> PAGEREF _Toc243492120 \h </w:instrText>
        </w:r>
        <w:r>
          <w:rPr>
            <w:noProof/>
            <w:webHidden/>
          </w:rPr>
        </w:r>
        <w:r>
          <w:rPr>
            <w:noProof/>
            <w:webHidden/>
          </w:rPr>
          <w:fldChar w:fldCharType="separate"/>
        </w:r>
        <w:r w:rsidR="008B7910">
          <w:rPr>
            <w:noProof/>
            <w:webHidden/>
          </w:rPr>
          <w:t>23</w:t>
        </w:r>
        <w:r>
          <w:rPr>
            <w:noProof/>
            <w:webHidden/>
          </w:rPr>
          <w:fldChar w:fldCharType="end"/>
        </w:r>
      </w:hyperlink>
    </w:p>
    <w:p w14:paraId="79CA7E8F" w14:textId="08B0ACC6"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1" w:history="1">
        <w:r w:rsidRPr="002A27DD">
          <w:rPr>
            <w:rStyle w:val="Hyperlink"/>
            <w:noProof/>
          </w:rPr>
          <w:t>Figure 15</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Broad field of education destinations of domestic undergraduates undertaking further full-time study (%)</w:t>
        </w:r>
        <w:r>
          <w:rPr>
            <w:noProof/>
            <w:webHidden/>
          </w:rPr>
          <w:tab/>
        </w:r>
        <w:r>
          <w:rPr>
            <w:noProof/>
            <w:webHidden/>
          </w:rPr>
          <w:fldChar w:fldCharType="begin"/>
        </w:r>
        <w:r>
          <w:rPr>
            <w:noProof/>
            <w:webHidden/>
          </w:rPr>
          <w:instrText xml:space="preserve"> PAGEREF _Toc243492121 \h </w:instrText>
        </w:r>
        <w:r>
          <w:rPr>
            <w:noProof/>
            <w:webHidden/>
          </w:rPr>
        </w:r>
        <w:r>
          <w:rPr>
            <w:noProof/>
            <w:webHidden/>
          </w:rPr>
          <w:fldChar w:fldCharType="separate"/>
        </w:r>
        <w:r w:rsidR="008B7910">
          <w:rPr>
            <w:noProof/>
            <w:webHidden/>
          </w:rPr>
          <w:t>24</w:t>
        </w:r>
        <w:r>
          <w:rPr>
            <w:noProof/>
            <w:webHidden/>
          </w:rPr>
          <w:fldChar w:fldCharType="end"/>
        </w:r>
      </w:hyperlink>
    </w:p>
    <w:p w14:paraId="68663AD1" w14:textId="597BF462"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2" w:history="1">
        <w:r w:rsidRPr="002A27DD">
          <w:rPr>
            <w:rStyle w:val="Hyperlink"/>
            <w:noProof/>
          </w:rPr>
          <w:t>Figure 16</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Domestic undergraduate full-time employment rate in the short- and medium-term, by study area</w:t>
        </w:r>
        <w:r>
          <w:rPr>
            <w:noProof/>
            <w:webHidden/>
          </w:rPr>
          <w:tab/>
        </w:r>
        <w:r>
          <w:rPr>
            <w:noProof/>
            <w:webHidden/>
          </w:rPr>
          <w:fldChar w:fldCharType="begin"/>
        </w:r>
        <w:r>
          <w:rPr>
            <w:noProof/>
            <w:webHidden/>
          </w:rPr>
          <w:instrText xml:space="preserve"> PAGEREF _Toc243492122 \h </w:instrText>
        </w:r>
        <w:r>
          <w:rPr>
            <w:noProof/>
            <w:webHidden/>
          </w:rPr>
        </w:r>
        <w:r>
          <w:rPr>
            <w:noProof/>
            <w:webHidden/>
          </w:rPr>
          <w:fldChar w:fldCharType="separate"/>
        </w:r>
        <w:r w:rsidR="008B7910">
          <w:rPr>
            <w:noProof/>
            <w:webHidden/>
          </w:rPr>
          <w:t>31</w:t>
        </w:r>
        <w:r>
          <w:rPr>
            <w:noProof/>
            <w:webHidden/>
          </w:rPr>
          <w:fldChar w:fldCharType="end"/>
        </w:r>
      </w:hyperlink>
    </w:p>
    <w:p w14:paraId="34EB6255" w14:textId="5D7D879E"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3" w:history="1">
        <w:r w:rsidRPr="002A27DD">
          <w:rPr>
            <w:rStyle w:val="Hyperlink"/>
            <w:noProof/>
          </w:rPr>
          <w:t>Figure 17</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Median annual full-time salary by gender and study level</w:t>
        </w:r>
        <w:r>
          <w:rPr>
            <w:noProof/>
            <w:webHidden/>
          </w:rPr>
          <w:tab/>
        </w:r>
        <w:r>
          <w:rPr>
            <w:noProof/>
            <w:webHidden/>
          </w:rPr>
          <w:fldChar w:fldCharType="begin"/>
        </w:r>
        <w:r>
          <w:rPr>
            <w:noProof/>
            <w:webHidden/>
          </w:rPr>
          <w:instrText xml:space="preserve"> PAGEREF _Toc243492123 \h </w:instrText>
        </w:r>
        <w:r>
          <w:rPr>
            <w:noProof/>
            <w:webHidden/>
          </w:rPr>
        </w:r>
        <w:r>
          <w:rPr>
            <w:noProof/>
            <w:webHidden/>
          </w:rPr>
          <w:fldChar w:fldCharType="separate"/>
        </w:r>
        <w:r w:rsidR="008B7910">
          <w:rPr>
            <w:noProof/>
            <w:webHidden/>
          </w:rPr>
          <w:t>35</w:t>
        </w:r>
        <w:r>
          <w:rPr>
            <w:noProof/>
            <w:webHidden/>
          </w:rPr>
          <w:fldChar w:fldCharType="end"/>
        </w:r>
      </w:hyperlink>
    </w:p>
    <w:p w14:paraId="45281AC4" w14:textId="30544332"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4" w:history="1">
        <w:r w:rsidRPr="002A27DD">
          <w:rPr>
            <w:rStyle w:val="Hyperlink"/>
            <w:noProof/>
          </w:rPr>
          <w:t>Figure 18</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Undergraduate gender pay gap, medium-term, and 3-year salary growth by gender</w:t>
        </w:r>
        <w:r>
          <w:rPr>
            <w:noProof/>
            <w:webHidden/>
          </w:rPr>
          <w:tab/>
        </w:r>
        <w:r>
          <w:rPr>
            <w:noProof/>
            <w:webHidden/>
          </w:rPr>
          <w:fldChar w:fldCharType="begin"/>
        </w:r>
        <w:r>
          <w:rPr>
            <w:noProof/>
            <w:webHidden/>
          </w:rPr>
          <w:instrText xml:space="preserve"> PAGEREF _Toc243492124 \h </w:instrText>
        </w:r>
        <w:r>
          <w:rPr>
            <w:noProof/>
            <w:webHidden/>
          </w:rPr>
        </w:r>
        <w:r>
          <w:rPr>
            <w:noProof/>
            <w:webHidden/>
          </w:rPr>
          <w:fldChar w:fldCharType="separate"/>
        </w:r>
        <w:r w:rsidR="008B7910">
          <w:rPr>
            <w:noProof/>
            <w:webHidden/>
          </w:rPr>
          <w:t>36</w:t>
        </w:r>
        <w:r>
          <w:rPr>
            <w:noProof/>
            <w:webHidden/>
          </w:rPr>
          <w:fldChar w:fldCharType="end"/>
        </w:r>
      </w:hyperlink>
    </w:p>
    <w:p w14:paraId="2E979A69" w14:textId="19DE9986"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5" w:history="1">
        <w:r w:rsidRPr="002A27DD">
          <w:rPr>
            <w:rStyle w:val="Hyperlink"/>
            <w:noProof/>
          </w:rPr>
          <w:t>Figure 19</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Domestic undergraduate short- and medium-term full-time employment rate by university (% with 90% confidence intervals)</w:t>
        </w:r>
        <w:r>
          <w:rPr>
            <w:noProof/>
            <w:webHidden/>
          </w:rPr>
          <w:tab/>
        </w:r>
        <w:r>
          <w:rPr>
            <w:noProof/>
            <w:webHidden/>
          </w:rPr>
          <w:fldChar w:fldCharType="begin"/>
        </w:r>
        <w:r>
          <w:rPr>
            <w:noProof/>
            <w:webHidden/>
          </w:rPr>
          <w:instrText xml:space="preserve"> PAGEREF _Toc243492125 \h </w:instrText>
        </w:r>
        <w:r>
          <w:rPr>
            <w:noProof/>
            <w:webHidden/>
          </w:rPr>
        </w:r>
        <w:r>
          <w:rPr>
            <w:noProof/>
            <w:webHidden/>
          </w:rPr>
          <w:fldChar w:fldCharType="separate"/>
        </w:r>
        <w:r w:rsidR="008B7910">
          <w:rPr>
            <w:noProof/>
            <w:webHidden/>
          </w:rPr>
          <w:t>39</w:t>
        </w:r>
        <w:r>
          <w:rPr>
            <w:noProof/>
            <w:webHidden/>
          </w:rPr>
          <w:fldChar w:fldCharType="end"/>
        </w:r>
      </w:hyperlink>
    </w:p>
    <w:p w14:paraId="090B7362" w14:textId="218357E9"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6" w:history="1">
        <w:r w:rsidRPr="002A27DD">
          <w:rPr>
            <w:rStyle w:val="Hyperlink"/>
            <w:noProof/>
          </w:rPr>
          <w:t>Figure 20</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Domestic postgraduate coursework short- and medium-term full-time employment rate by university (% with 90% confidence intervals)</w:t>
        </w:r>
        <w:r>
          <w:rPr>
            <w:noProof/>
            <w:webHidden/>
          </w:rPr>
          <w:tab/>
        </w:r>
        <w:r>
          <w:rPr>
            <w:noProof/>
            <w:webHidden/>
          </w:rPr>
          <w:fldChar w:fldCharType="begin"/>
        </w:r>
        <w:r>
          <w:rPr>
            <w:noProof/>
            <w:webHidden/>
          </w:rPr>
          <w:instrText xml:space="preserve"> PAGEREF _Toc243492126 \h </w:instrText>
        </w:r>
        <w:r>
          <w:rPr>
            <w:noProof/>
            <w:webHidden/>
          </w:rPr>
        </w:r>
        <w:r>
          <w:rPr>
            <w:noProof/>
            <w:webHidden/>
          </w:rPr>
          <w:fldChar w:fldCharType="separate"/>
        </w:r>
        <w:r w:rsidR="008B7910">
          <w:rPr>
            <w:noProof/>
            <w:webHidden/>
          </w:rPr>
          <w:t>40</w:t>
        </w:r>
        <w:r>
          <w:rPr>
            <w:noProof/>
            <w:webHidden/>
          </w:rPr>
          <w:fldChar w:fldCharType="end"/>
        </w:r>
      </w:hyperlink>
    </w:p>
    <w:p w14:paraId="175623C9" w14:textId="426D6F69" w:rsidR="00E46702" w:rsidRDefault="00E46702">
      <w:pPr>
        <w:pStyle w:val="TableofFigures"/>
        <w:tabs>
          <w:tab w:val="right" w:leader="dot" w:pos="10472"/>
        </w:tabs>
        <w:rPr>
          <w:rFonts w:asciiTheme="minorHAnsi" w:eastAsiaTheme="minorEastAsia" w:hAnsiTheme="minorHAnsi"/>
          <w:noProof/>
          <w:color w:val="auto"/>
          <w:kern w:val="2"/>
          <w:sz w:val="24"/>
          <w:szCs w:val="24"/>
          <w:lang w:eastAsia="en-AU"/>
          <w14:ligatures w14:val="standardContextual"/>
        </w:rPr>
      </w:pPr>
      <w:hyperlink w:anchor="_Toc243492127" w:history="1">
        <w:r w:rsidRPr="002A27DD">
          <w:rPr>
            <w:rStyle w:val="Hyperlink"/>
            <w:noProof/>
          </w:rPr>
          <w:t>Figure 21</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International graduate profile by study area and level (% based on responses to the 2026 GOS-L)</w:t>
        </w:r>
        <w:r>
          <w:rPr>
            <w:noProof/>
            <w:webHidden/>
          </w:rPr>
          <w:tab/>
        </w:r>
        <w:r>
          <w:rPr>
            <w:noProof/>
            <w:webHidden/>
          </w:rPr>
          <w:fldChar w:fldCharType="begin"/>
        </w:r>
        <w:r>
          <w:rPr>
            <w:noProof/>
            <w:webHidden/>
          </w:rPr>
          <w:instrText xml:space="preserve"> PAGEREF _Toc243492127 \h </w:instrText>
        </w:r>
        <w:r>
          <w:rPr>
            <w:noProof/>
            <w:webHidden/>
          </w:rPr>
        </w:r>
        <w:r>
          <w:rPr>
            <w:noProof/>
            <w:webHidden/>
          </w:rPr>
          <w:fldChar w:fldCharType="separate"/>
        </w:r>
        <w:r w:rsidR="008B7910">
          <w:rPr>
            <w:noProof/>
            <w:webHidden/>
          </w:rPr>
          <w:t>47</w:t>
        </w:r>
        <w:r>
          <w:rPr>
            <w:noProof/>
            <w:webHidden/>
          </w:rPr>
          <w:fldChar w:fldCharType="end"/>
        </w:r>
      </w:hyperlink>
    </w:p>
    <w:p w14:paraId="5EA79DCD" w14:textId="74EE3019" w:rsidR="00E46702" w:rsidRDefault="00E46702" w:rsidP="00937948">
      <w:pPr>
        <w:pStyle w:val="TableofFigures"/>
        <w:tabs>
          <w:tab w:val="right" w:leader="dot" w:pos="10472"/>
        </w:tabs>
        <w:spacing w:after="240"/>
        <w:rPr>
          <w:noProof/>
        </w:rPr>
      </w:pPr>
      <w:hyperlink w:anchor="_Toc243492128" w:history="1">
        <w:r w:rsidRPr="002A27DD">
          <w:rPr>
            <w:rStyle w:val="Hyperlink"/>
            <w:noProof/>
          </w:rPr>
          <w:t>Figure 22</w:t>
        </w:r>
        <w:r>
          <w:rPr>
            <w:rFonts w:asciiTheme="minorHAnsi" w:eastAsiaTheme="minorEastAsia" w:hAnsiTheme="minorHAnsi"/>
            <w:noProof/>
            <w:color w:val="auto"/>
            <w:kern w:val="2"/>
            <w:sz w:val="24"/>
            <w:szCs w:val="24"/>
            <w:lang w:eastAsia="en-AU"/>
            <w14:ligatures w14:val="standardContextual"/>
          </w:rPr>
          <w:tab/>
        </w:r>
        <w:r w:rsidRPr="002A27DD">
          <w:rPr>
            <w:rStyle w:val="Hyperlink"/>
            <w:noProof/>
          </w:rPr>
          <w:t>Undergraduate full-time employment rate by citizenship status and study area (%)</w:t>
        </w:r>
        <w:r>
          <w:rPr>
            <w:noProof/>
            <w:webHidden/>
          </w:rPr>
          <w:tab/>
        </w:r>
        <w:r>
          <w:rPr>
            <w:noProof/>
            <w:webHidden/>
          </w:rPr>
          <w:fldChar w:fldCharType="begin"/>
        </w:r>
        <w:r>
          <w:rPr>
            <w:noProof/>
            <w:webHidden/>
          </w:rPr>
          <w:instrText xml:space="preserve"> PAGEREF _Toc243492128 \h </w:instrText>
        </w:r>
        <w:r>
          <w:rPr>
            <w:noProof/>
            <w:webHidden/>
          </w:rPr>
        </w:r>
        <w:r>
          <w:rPr>
            <w:noProof/>
            <w:webHidden/>
          </w:rPr>
          <w:fldChar w:fldCharType="separate"/>
        </w:r>
        <w:r w:rsidR="008B7910">
          <w:rPr>
            <w:noProof/>
            <w:webHidden/>
          </w:rPr>
          <w:t>49</w:t>
        </w:r>
        <w:r>
          <w:rPr>
            <w:noProof/>
            <w:webHidden/>
          </w:rPr>
          <w:fldChar w:fldCharType="end"/>
        </w:r>
      </w:hyperlink>
    </w:p>
    <w:p w14:paraId="26140D8B" w14:textId="42828D76" w:rsidR="004B0E69" w:rsidRPr="004B0E69" w:rsidRDefault="00145B39" w:rsidP="004B0E69">
      <w:pPr>
        <w:tabs>
          <w:tab w:val="left" w:pos="1080"/>
        </w:tabs>
        <w:spacing w:before="480" w:after="240"/>
        <w:rPr>
          <w:noProof/>
          <w:color w:val="5D6C16" w:themeColor="accent1" w:themeShade="80"/>
          <w:sz w:val="40"/>
          <w:szCs w:val="40"/>
        </w:rPr>
      </w:pPr>
      <w:r w:rsidRPr="005A3AFE">
        <w:rPr>
          <w:noProof/>
          <w:color w:val="5D6C16" w:themeColor="accent1" w:themeShade="80"/>
          <w:sz w:val="40"/>
          <w:szCs w:val="40"/>
        </w:rPr>
        <w:t xml:space="preserve">List of </w:t>
      </w:r>
      <w:r>
        <w:rPr>
          <w:noProof/>
          <w:color w:val="5D6C16" w:themeColor="accent1" w:themeShade="80"/>
          <w:sz w:val="40"/>
          <w:szCs w:val="40"/>
        </w:rPr>
        <w:t>infographics</w:t>
      </w:r>
      <w:r w:rsidR="004B0E69" w:rsidRPr="004B0E69">
        <w:rPr>
          <w:rFonts w:eastAsia="Times New Roman" w:cs="Times New Roman"/>
          <w:b/>
          <w:bCs/>
          <w:szCs w:val="20"/>
        </w:rPr>
        <w:fldChar w:fldCharType="begin"/>
      </w:r>
      <w:r w:rsidR="004B0E69" w:rsidRPr="004B0E69">
        <w:rPr>
          <w:rFonts w:eastAsia="Times New Roman" w:cs="Times New Roman"/>
          <w:b/>
          <w:bCs/>
          <w:szCs w:val="20"/>
        </w:rPr>
        <w:instrText xml:space="preserve"> TOC \o "1-1" \h \z \t "Infographic title,1" </w:instrText>
      </w:r>
      <w:r w:rsidR="004B0E69" w:rsidRPr="004B0E69">
        <w:rPr>
          <w:rFonts w:eastAsia="Times New Roman" w:cs="Times New Roman"/>
          <w:b/>
          <w:bCs/>
          <w:szCs w:val="20"/>
        </w:rPr>
        <w:fldChar w:fldCharType="separate"/>
      </w:r>
    </w:p>
    <w:p w14:paraId="6A58513B" w14:textId="4665EDCB" w:rsidR="004B0E69" w:rsidRPr="004B0E69" w:rsidRDefault="004B0E69">
      <w:pPr>
        <w:pStyle w:val="TOC1"/>
        <w:rPr>
          <w:rFonts w:asciiTheme="minorHAnsi" w:eastAsiaTheme="minorEastAsia" w:hAnsiTheme="minorHAnsi" w:cstheme="minorBidi"/>
          <w:b w:val="0"/>
          <w:bCs/>
          <w:kern w:val="2"/>
          <w:sz w:val="24"/>
          <w:szCs w:val="24"/>
          <w:lang w:eastAsia="en-AU"/>
          <w14:ligatures w14:val="standardContextual"/>
        </w:rPr>
      </w:pPr>
      <w:hyperlink w:anchor="_Toc244083896" w:history="1">
        <w:r w:rsidRPr="004B0E69">
          <w:rPr>
            <w:rStyle w:val="Hyperlink"/>
            <w:b w:val="0"/>
            <w:bCs/>
          </w:rPr>
          <w:t>Infographic 1: Reasons associated with skill underutilisation in the short- to medium-term</w:t>
        </w:r>
        <w:r w:rsidRPr="004B0E69">
          <w:rPr>
            <w:b w:val="0"/>
            <w:bCs/>
            <w:webHidden/>
          </w:rPr>
          <w:tab/>
        </w:r>
        <w:r w:rsidRPr="004B0E69">
          <w:rPr>
            <w:b w:val="0"/>
            <w:bCs/>
            <w:webHidden/>
          </w:rPr>
          <w:fldChar w:fldCharType="begin"/>
        </w:r>
        <w:r w:rsidRPr="004B0E69">
          <w:rPr>
            <w:b w:val="0"/>
            <w:bCs/>
            <w:webHidden/>
          </w:rPr>
          <w:instrText xml:space="preserve"> PAGEREF _Toc244083896 \h </w:instrText>
        </w:r>
        <w:r w:rsidRPr="004B0E69">
          <w:rPr>
            <w:b w:val="0"/>
            <w:bCs/>
            <w:webHidden/>
          </w:rPr>
        </w:r>
        <w:r w:rsidRPr="004B0E69">
          <w:rPr>
            <w:b w:val="0"/>
            <w:bCs/>
            <w:webHidden/>
          </w:rPr>
          <w:fldChar w:fldCharType="separate"/>
        </w:r>
        <w:r w:rsidRPr="004B0E69">
          <w:rPr>
            <w:b w:val="0"/>
            <w:bCs/>
            <w:webHidden/>
          </w:rPr>
          <w:t>21</w:t>
        </w:r>
        <w:r w:rsidRPr="004B0E69">
          <w:rPr>
            <w:b w:val="0"/>
            <w:bCs/>
            <w:webHidden/>
          </w:rPr>
          <w:fldChar w:fldCharType="end"/>
        </w:r>
      </w:hyperlink>
    </w:p>
    <w:p w14:paraId="4D8E27A7" w14:textId="48E54E43" w:rsidR="004B0E69" w:rsidRPr="004B0E69" w:rsidRDefault="004B0E69">
      <w:pPr>
        <w:pStyle w:val="TOC1"/>
        <w:rPr>
          <w:rFonts w:asciiTheme="minorHAnsi" w:eastAsiaTheme="minorEastAsia" w:hAnsiTheme="minorHAnsi" w:cstheme="minorBidi"/>
          <w:b w:val="0"/>
          <w:bCs/>
          <w:kern w:val="2"/>
          <w:sz w:val="24"/>
          <w:szCs w:val="24"/>
          <w:lang w:eastAsia="en-AU"/>
          <w14:ligatures w14:val="standardContextual"/>
        </w:rPr>
      </w:pPr>
      <w:hyperlink w:anchor="_Toc244083898" w:history="1">
        <w:r w:rsidRPr="004B0E69">
          <w:rPr>
            <w:rStyle w:val="Hyperlink"/>
            <w:b w:val="0"/>
            <w:bCs/>
          </w:rPr>
          <w:t>Infographic 2: Domestic and international respondent profile comparison</w:t>
        </w:r>
        <w:r w:rsidRPr="004B0E69">
          <w:rPr>
            <w:b w:val="0"/>
            <w:bCs/>
            <w:webHidden/>
          </w:rPr>
          <w:tab/>
        </w:r>
        <w:r w:rsidRPr="004B0E69">
          <w:rPr>
            <w:b w:val="0"/>
            <w:bCs/>
            <w:webHidden/>
          </w:rPr>
          <w:fldChar w:fldCharType="begin"/>
        </w:r>
        <w:r w:rsidRPr="004B0E69">
          <w:rPr>
            <w:b w:val="0"/>
            <w:bCs/>
            <w:webHidden/>
          </w:rPr>
          <w:instrText xml:space="preserve"> PAGEREF _Toc244083898 \h </w:instrText>
        </w:r>
        <w:r w:rsidRPr="004B0E69">
          <w:rPr>
            <w:b w:val="0"/>
            <w:bCs/>
            <w:webHidden/>
          </w:rPr>
        </w:r>
        <w:r w:rsidRPr="004B0E69">
          <w:rPr>
            <w:b w:val="0"/>
            <w:bCs/>
            <w:webHidden/>
          </w:rPr>
          <w:fldChar w:fldCharType="separate"/>
        </w:r>
        <w:r w:rsidRPr="004B0E69">
          <w:rPr>
            <w:b w:val="0"/>
            <w:bCs/>
            <w:webHidden/>
          </w:rPr>
          <w:t>41</w:t>
        </w:r>
        <w:r w:rsidRPr="004B0E69">
          <w:rPr>
            <w:b w:val="0"/>
            <w:bCs/>
            <w:webHidden/>
          </w:rPr>
          <w:fldChar w:fldCharType="end"/>
        </w:r>
      </w:hyperlink>
    </w:p>
    <w:p w14:paraId="61940476" w14:textId="122A3962" w:rsidR="004B0E69" w:rsidRPr="004B0E69" w:rsidRDefault="004B0E69">
      <w:pPr>
        <w:pStyle w:val="TOC1"/>
        <w:rPr>
          <w:rFonts w:asciiTheme="minorHAnsi" w:eastAsiaTheme="minorEastAsia" w:hAnsiTheme="minorHAnsi" w:cstheme="minorBidi"/>
          <w:b w:val="0"/>
          <w:bCs/>
          <w:kern w:val="2"/>
          <w:sz w:val="24"/>
          <w:szCs w:val="24"/>
          <w:lang w:eastAsia="en-AU"/>
          <w14:ligatures w14:val="standardContextual"/>
        </w:rPr>
      </w:pPr>
      <w:hyperlink w:anchor="_Toc244083899" w:history="1">
        <w:r w:rsidRPr="004B0E69">
          <w:rPr>
            <w:rStyle w:val="Hyperlink"/>
            <w:b w:val="0"/>
            <w:bCs/>
          </w:rPr>
          <w:t>Infographic 3: Graduate age by study level and citizenship status</w:t>
        </w:r>
        <w:r w:rsidRPr="004B0E69">
          <w:rPr>
            <w:b w:val="0"/>
            <w:bCs/>
            <w:webHidden/>
          </w:rPr>
          <w:tab/>
        </w:r>
        <w:r w:rsidRPr="004B0E69">
          <w:rPr>
            <w:b w:val="0"/>
            <w:bCs/>
            <w:webHidden/>
          </w:rPr>
          <w:fldChar w:fldCharType="begin"/>
        </w:r>
        <w:r w:rsidRPr="004B0E69">
          <w:rPr>
            <w:b w:val="0"/>
            <w:bCs/>
            <w:webHidden/>
          </w:rPr>
          <w:instrText xml:space="preserve"> PAGEREF _Toc244083899 \h </w:instrText>
        </w:r>
        <w:r w:rsidRPr="004B0E69">
          <w:rPr>
            <w:b w:val="0"/>
            <w:bCs/>
            <w:webHidden/>
          </w:rPr>
        </w:r>
        <w:r w:rsidRPr="004B0E69">
          <w:rPr>
            <w:b w:val="0"/>
            <w:bCs/>
            <w:webHidden/>
          </w:rPr>
          <w:fldChar w:fldCharType="separate"/>
        </w:r>
        <w:r w:rsidRPr="004B0E69">
          <w:rPr>
            <w:b w:val="0"/>
            <w:bCs/>
            <w:webHidden/>
          </w:rPr>
          <w:t>42</w:t>
        </w:r>
        <w:r w:rsidRPr="004B0E69">
          <w:rPr>
            <w:b w:val="0"/>
            <w:bCs/>
            <w:webHidden/>
          </w:rPr>
          <w:fldChar w:fldCharType="end"/>
        </w:r>
      </w:hyperlink>
    </w:p>
    <w:p w14:paraId="067C180F" w14:textId="7DF8A604" w:rsidR="004B0E69" w:rsidRPr="004B0E69" w:rsidRDefault="004B0E69">
      <w:pPr>
        <w:pStyle w:val="TOC1"/>
        <w:rPr>
          <w:rFonts w:asciiTheme="minorHAnsi" w:eastAsiaTheme="minorEastAsia" w:hAnsiTheme="minorHAnsi" w:cstheme="minorBidi"/>
          <w:b w:val="0"/>
          <w:bCs/>
          <w:kern w:val="2"/>
          <w:sz w:val="24"/>
          <w:szCs w:val="24"/>
          <w:lang w:eastAsia="en-AU"/>
          <w14:ligatures w14:val="standardContextual"/>
        </w:rPr>
      </w:pPr>
      <w:hyperlink w:anchor="_Toc244083900" w:history="1">
        <w:r w:rsidRPr="004B0E69">
          <w:rPr>
            <w:rStyle w:val="Hyperlink"/>
            <w:b w:val="0"/>
            <w:bCs/>
          </w:rPr>
          <w:t>Infographic 4: Top 5 source countries by study level</w:t>
        </w:r>
        <w:r w:rsidRPr="004B0E69">
          <w:rPr>
            <w:b w:val="0"/>
            <w:bCs/>
            <w:webHidden/>
          </w:rPr>
          <w:tab/>
        </w:r>
        <w:r w:rsidRPr="004B0E69">
          <w:rPr>
            <w:b w:val="0"/>
            <w:bCs/>
            <w:webHidden/>
          </w:rPr>
          <w:fldChar w:fldCharType="begin"/>
        </w:r>
        <w:r w:rsidRPr="004B0E69">
          <w:rPr>
            <w:b w:val="0"/>
            <w:bCs/>
            <w:webHidden/>
          </w:rPr>
          <w:instrText xml:space="preserve"> PAGEREF _Toc244083900 \h </w:instrText>
        </w:r>
        <w:r w:rsidRPr="004B0E69">
          <w:rPr>
            <w:b w:val="0"/>
            <w:bCs/>
            <w:webHidden/>
          </w:rPr>
        </w:r>
        <w:r w:rsidRPr="004B0E69">
          <w:rPr>
            <w:b w:val="0"/>
            <w:bCs/>
            <w:webHidden/>
          </w:rPr>
          <w:fldChar w:fldCharType="separate"/>
        </w:r>
        <w:r w:rsidRPr="004B0E69">
          <w:rPr>
            <w:b w:val="0"/>
            <w:bCs/>
            <w:webHidden/>
          </w:rPr>
          <w:t>43</w:t>
        </w:r>
        <w:r w:rsidRPr="004B0E69">
          <w:rPr>
            <w:b w:val="0"/>
            <w:bCs/>
            <w:webHidden/>
          </w:rPr>
          <w:fldChar w:fldCharType="end"/>
        </w:r>
      </w:hyperlink>
    </w:p>
    <w:p w14:paraId="5234A41F" w14:textId="4CDAB979" w:rsidR="00436D45" w:rsidRPr="004B0E69" w:rsidRDefault="004B0E69" w:rsidP="004B0E69">
      <w:pPr>
        <w:pStyle w:val="Infographictitle"/>
        <w:rPr>
          <w:b w:val="0"/>
          <w:noProof/>
        </w:rPr>
        <w:sectPr w:rsidR="00436D45" w:rsidRPr="004B0E69" w:rsidSect="00436D45">
          <w:footerReference w:type="default" r:id="rId26"/>
          <w:pgSz w:w="11900" w:h="16840"/>
          <w:pgMar w:top="709" w:right="709" w:bottom="709" w:left="709" w:header="567" w:footer="567" w:gutter="0"/>
          <w:pgNumType w:fmt="lowerRoman" w:start="1"/>
          <w:cols w:space="708"/>
          <w:docGrid w:linePitch="360"/>
        </w:sectPr>
      </w:pPr>
      <w:r w:rsidRPr="004B0E69">
        <w:rPr>
          <w:rFonts w:eastAsia="Times New Roman" w:cs="Times New Roman"/>
          <w:b w:val="0"/>
          <w:szCs w:val="20"/>
        </w:rPr>
        <w:fldChar w:fldCharType="end"/>
      </w:r>
    </w:p>
    <w:p w14:paraId="2F995026" w14:textId="5F5D9BC2" w:rsidR="002E096E" w:rsidRPr="005A3AFE" w:rsidRDefault="006A1804" w:rsidP="002A1577">
      <w:pPr>
        <w:pStyle w:val="Heading1"/>
        <w:spacing w:after="220"/>
      </w:pPr>
      <w:r w:rsidRPr="005A3AFE">
        <w:rPr>
          <w:rFonts w:eastAsia="Times New Roman" w:cs="Arial"/>
          <w:b/>
          <w:noProof/>
          <w:color w:val="auto"/>
          <w:sz w:val="20"/>
          <w:szCs w:val="20"/>
        </w:rPr>
        <w:lastRenderedPageBreak/>
        <w:fldChar w:fldCharType="end"/>
      </w:r>
      <w:bookmarkStart w:id="12" w:name="_Toc243492321"/>
      <w:bookmarkStart w:id="13" w:name="_Toc244083894"/>
      <w:bookmarkStart w:id="14" w:name="_Toc75794926"/>
      <w:bookmarkStart w:id="15" w:name="_Toc79687690"/>
      <w:bookmarkEnd w:id="11"/>
      <w:r w:rsidR="002E096E" w:rsidRPr="005A3AFE">
        <w:t>About the GOS-L</w:t>
      </w:r>
      <w:bookmarkEnd w:id="12"/>
      <w:bookmarkEnd w:id="13"/>
    </w:p>
    <w:p w14:paraId="3408032B" w14:textId="2765696E" w:rsidR="005C640A" w:rsidRPr="005A3AFE" w:rsidRDefault="002E096E" w:rsidP="0024373A">
      <w:pPr>
        <w:pStyle w:val="Bodycopy"/>
        <w:rPr>
          <w:b/>
          <w:bCs/>
          <w:lang w:val="en-AU"/>
        </w:rPr>
      </w:pPr>
      <w:r w:rsidRPr="005A3AFE">
        <w:t xml:space="preserve">Graduates are invited to take the Graduate Outcomes Survey (GOS) 4 to 6 months after completing their studies. </w:t>
      </w:r>
      <w:r w:rsidR="006E21D2" w:rsidRPr="005A3AFE">
        <w:rPr>
          <w:lang w:val="en-AU"/>
        </w:rPr>
        <w:t xml:space="preserve">Graduates who responded to the GOS are invited to take the </w:t>
      </w:r>
      <w:r w:rsidRPr="005A3AFE">
        <w:t>Graduate Outcomes Survey - Longitudinal (</w:t>
      </w:r>
      <w:r w:rsidRPr="005A3AFE">
        <w:rPr>
          <w:lang w:val="en-AU"/>
        </w:rPr>
        <w:t>GOS-L) approximately 3 years later</w:t>
      </w:r>
      <w:r w:rsidR="003A710B" w:rsidRPr="005A3AFE">
        <w:rPr>
          <w:lang w:val="en-AU"/>
        </w:rPr>
        <w:t>.</w:t>
      </w:r>
    </w:p>
    <w:p w14:paraId="6FB4C8F7" w14:textId="1E50A7E0" w:rsidR="002E096E" w:rsidRDefault="006E21D2" w:rsidP="0024373A">
      <w:pPr>
        <w:pStyle w:val="Bodycopy"/>
      </w:pPr>
      <w:r w:rsidRPr="005A3AFE">
        <w:rPr>
          <w:lang w:val="en-AU"/>
        </w:rPr>
        <w:t>The two surveys complement and supplement one another, as the</w:t>
      </w:r>
      <w:r w:rsidR="002E096E" w:rsidRPr="005A3AFE">
        <w:t xml:space="preserve"> 202</w:t>
      </w:r>
      <w:r w:rsidR="00110525" w:rsidRPr="005A3AFE">
        <w:t>6</w:t>
      </w:r>
      <w:r w:rsidR="002E096E" w:rsidRPr="005A3AFE">
        <w:t xml:space="preserve"> GOS-L report analyses the short- and medium-term outcomes of graduates who responded to the 202</w:t>
      </w:r>
      <w:r w:rsidR="00110525" w:rsidRPr="005A3AFE">
        <w:t>3</w:t>
      </w:r>
      <w:r w:rsidR="002E096E" w:rsidRPr="005A3AFE">
        <w:t xml:space="preserve"> GOS (i.e</w:t>
      </w:r>
      <w:r w:rsidR="00CA778F" w:rsidRPr="005A3AFE">
        <w:t>.</w:t>
      </w:r>
      <w:r w:rsidR="002E096E" w:rsidRPr="005A3AFE">
        <w:t xml:space="preserve"> completed their course between March 202</w:t>
      </w:r>
      <w:r w:rsidR="00110525" w:rsidRPr="005A3AFE">
        <w:t>2</w:t>
      </w:r>
      <w:r w:rsidR="002E096E" w:rsidRPr="005A3AFE">
        <w:t xml:space="preserve"> and February 202</w:t>
      </w:r>
      <w:r w:rsidR="00110525" w:rsidRPr="005A3AFE">
        <w:t>3</w:t>
      </w:r>
      <w:r w:rsidR="002E096E" w:rsidRPr="005A3AFE">
        <w:t>) and the corresponding follow-up survey 3 years later.</w:t>
      </w:r>
    </w:p>
    <w:p w14:paraId="2E6E04A2" w14:textId="5493FE76" w:rsidR="005A2E5E" w:rsidRPr="005A3AFE" w:rsidRDefault="009D5B86" w:rsidP="0024373A">
      <w:pPr>
        <w:pStyle w:val="Bodycopy"/>
      </w:pPr>
      <w:r w:rsidRPr="009D5B86">
        <w:rPr>
          <w:noProof/>
        </w:rPr>
        <w:drawing>
          <wp:inline distT="0" distB="0" distL="0" distR="0" wp14:anchorId="4C95E901" wp14:editId="54E75F1C">
            <wp:extent cx="6490756" cy="990600"/>
            <wp:effectExtent l="0" t="0" r="5715" b="0"/>
            <wp:docPr id="1454869712" name="Picture 1" descr="Two-stage process diagram. Left: “Short-term labour market outcomes (4–6 months after course completion)”. A right-pointing green arrow labelled “Same graduate cohort” leads to the right: “Medium-term labour market outcomes (3 years after course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69712" name="Picture 1" descr="Two-stage process diagram. Left: “Short-term labour market outcomes (4–6 months after course completion)”. A right-pointing green arrow labelled “Same graduate cohort” leads to the right: “Medium-term labour market outcomes (3 years after course completion)”."/>
                    <pic:cNvPicPr/>
                  </pic:nvPicPr>
                  <pic:blipFill>
                    <a:blip r:embed="rId27"/>
                    <a:stretch>
                      <a:fillRect/>
                    </a:stretch>
                  </pic:blipFill>
                  <pic:spPr>
                    <a:xfrm>
                      <a:off x="0" y="0"/>
                      <a:ext cx="6493440" cy="991010"/>
                    </a:xfrm>
                    <a:prstGeom prst="rect">
                      <a:avLst/>
                    </a:prstGeom>
                  </pic:spPr>
                </pic:pic>
              </a:graphicData>
            </a:graphic>
          </wp:inline>
        </w:drawing>
      </w:r>
    </w:p>
    <w:p w14:paraId="058EA891" w14:textId="77777777" w:rsidR="002E096E" w:rsidRPr="005A3AFE" w:rsidRDefault="002E096E" w:rsidP="0024373A">
      <w:pPr>
        <w:pStyle w:val="Bodycopy"/>
      </w:pPr>
      <w:r w:rsidRPr="005A3AFE">
        <w:t>The GOS-L is an ongoing part of the Quality Indicators for Learning and Teaching (QILT) survey suite. GOS-L reports, including this report, provide robust, rich information to improve higher education. As well as examining general labour market outcomes (rates of full-time employment, overall employment, labour force participation and median annual full-time salaries), the reports focus on areas such as the gender pay gap, reasons for underemployment and how well qualifications prepared graduates for their current jobs.</w:t>
      </w:r>
    </w:p>
    <w:p w14:paraId="4CE56777" w14:textId="77777777" w:rsidR="002E096E" w:rsidRPr="00D72689" w:rsidRDefault="002E096E" w:rsidP="007F6B22">
      <w:pPr>
        <w:widowControl w:val="0"/>
        <w:suppressAutoHyphens/>
        <w:autoSpaceDE w:val="0"/>
        <w:autoSpaceDN w:val="0"/>
        <w:adjustRightInd w:val="0"/>
        <w:spacing w:before="120" w:line="290" w:lineRule="atLeast"/>
        <w:textAlignment w:val="center"/>
        <w:rPr>
          <w:rFonts w:cs="Arial"/>
          <w:spacing w:val="-4"/>
          <w:lang w:val="en-GB"/>
        </w:rPr>
      </w:pPr>
      <w:r w:rsidRPr="00D72689">
        <w:rPr>
          <w:rFonts w:cs="Arial"/>
          <w:spacing w:val="-4"/>
          <w:lang w:val="en-GB"/>
        </w:rPr>
        <w:t xml:space="preserve">Results for domestic graduates and international graduates, whether living in Australia or overseas, are presented separately in this report. This corresponds with presentation of short-term graduate outcomes published annually in the GOS National Report and GOS International Report (see </w:t>
      </w:r>
      <w:hyperlink r:id="rId28">
        <w:r w:rsidRPr="00D72689">
          <w:rPr>
            <w:rStyle w:val="Hyperlink"/>
            <w:rFonts w:cs="Arial"/>
            <w:spacing w:val="-4"/>
          </w:rPr>
          <w:t>Graduate Outcomes Survey</w:t>
        </w:r>
      </w:hyperlink>
      <w:r w:rsidRPr="00D72689">
        <w:rPr>
          <w:rStyle w:val="Hyperlink"/>
          <w:rFonts w:cs="Arial"/>
          <w:spacing w:val="-4"/>
          <w:lang w:val="en-GB"/>
        </w:rPr>
        <w:t>)</w:t>
      </w:r>
      <w:r w:rsidRPr="00D72689">
        <w:rPr>
          <w:rFonts w:cs="Arial"/>
          <w:spacing w:val="-4"/>
          <w:lang w:val="en-GB"/>
        </w:rPr>
        <w:t>.</w:t>
      </w:r>
    </w:p>
    <w:p w14:paraId="17BF2131" w14:textId="77777777" w:rsidR="002E096E" w:rsidRPr="005A3AFE" w:rsidRDefault="002E096E" w:rsidP="007F6B22">
      <w:pPr>
        <w:pStyle w:val="Heading2"/>
        <w:spacing w:before="200"/>
      </w:pPr>
      <w:bookmarkStart w:id="16" w:name="_Toc243492322"/>
      <w:r w:rsidRPr="005A3AFE">
        <w:t>Participation</w:t>
      </w:r>
      <w:bookmarkEnd w:id="16"/>
    </w:p>
    <w:p w14:paraId="1A6909ED" w14:textId="73B5EC5D" w:rsidR="002E096E" w:rsidRPr="005A3AFE" w:rsidRDefault="002E096E" w:rsidP="0024373A">
      <w:pPr>
        <w:pStyle w:val="Bodycopy"/>
      </w:pPr>
      <w:r w:rsidRPr="005A3AFE">
        <w:t>The 202</w:t>
      </w:r>
      <w:r w:rsidR="00A142C0" w:rsidRPr="005A3AFE">
        <w:t>6</w:t>
      </w:r>
      <w:r w:rsidRPr="005A3AFE">
        <w:t xml:space="preserve"> GOS-L was administered for all higher education institutions whose graduates participated in the 202</w:t>
      </w:r>
      <w:r w:rsidR="00A142C0" w:rsidRPr="005A3AFE">
        <w:t>3</w:t>
      </w:r>
      <w:r w:rsidRPr="005A3AFE">
        <w:t xml:space="preserve"> GOS and were eligible to participate in the GOS-L.</w:t>
      </w:r>
    </w:p>
    <w:p w14:paraId="5CFB7ADE" w14:textId="77777777" w:rsidR="007957E6" w:rsidRPr="00DF532B" w:rsidRDefault="002E096E" w:rsidP="0024373A">
      <w:pPr>
        <w:pStyle w:val="Bodycopy"/>
      </w:pPr>
      <w:r w:rsidRPr="00DF532B">
        <w:t>In total, 12</w:t>
      </w:r>
      <w:r w:rsidR="0078703B" w:rsidRPr="00DF532B">
        <w:t>5</w:t>
      </w:r>
      <w:r w:rsidRPr="00DF532B">
        <w:t xml:space="preserve"> institutions were included, with 43 universities and 8</w:t>
      </w:r>
      <w:r w:rsidR="0078703B" w:rsidRPr="00DF532B">
        <w:t>2</w:t>
      </w:r>
      <w:r w:rsidRPr="00DF532B">
        <w:t xml:space="preserve"> non-university higher education institutions (NUHEIs) across all study levels. The GOS-L achieved an overall 53.6 per cent response rate in 202</w:t>
      </w:r>
      <w:r w:rsidR="002656EF" w:rsidRPr="00DF532B">
        <w:t>6</w:t>
      </w:r>
      <w:r w:rsidRPr="00DF532B">
        <w:t xml:space="preserve"> (4</w:t>
      </w:r>
      <w:r w:rsidR="002656EF" w:rsidRPr="00DF532B">
        <w:t>3</w:t>
      </w:r>
      <w:r w:rsidRPr="00DF532B">
        <w:t>,</w:t>
      </w:r>
      <w:r w:rsidR="002656EF" w:rsidRPr="00DF532B">
        <w:t>665</w:t>
      </w:r>
      <w:r w:rsidRPr="00DF532B">
        <w:t xml:space="preserve"> completed surveys).</w:t>
      </w:r>
    </w:p>
    <w:p w14:paraId="147BB9BD" w14:textId="77777777" w:rsidR="0024373A" w:rsidRPr="0024373A" w:rsidRDefault="0024373A" w:rsidP="002B54C5">
      <w:pPr>
        <w:pStyle w:val="Calloutbox"/>
        <w:framePr w:wrap="auto" w:vAnchor="margin" w:yAlign="inline"/>
        <w:pBdr>
          <w:right w:val="double" w:sz="6" w:space="0" w:color="B7D432" w:themeColor="accent1"/>
        </w:pBdr>
        <w:spacing w:after="60"/>
        <w:ind w:left="3685" w:right="3742" w:firstLine="328"/>
        <w:rPr>
          <w:b/>
          <w:bCs/>
          <w:sz w:val="6"/>
          <w:szCs w:val="6"/>
        </w:rPr>
      </w:pPr>
    </w:p>
    <w:p w14:paraId="1792586D" w14:textId="4876E6A9" w:rsidR="007957E6" w:rsidRPr="0024373A" w:rsidRDefault="007957E6" w:rsidP="002B54C5">
      <w:pPr>
        <w:pStyle w:val="Calloutbox"/>
        <w:framePr w:wrap="auto" w:vAnchor="margin" w:yAlign="inline"/>
        <w:pBdr>
          <w:right w:val="double" w:sz="6" w:space="0" w:color="B7D432" w:themeColor="accent1"/>
        </w:pBdr>
        <w:spacing w:after="120"/>
        <w:ind w:left="3685" w:right="3742" w:firstLine="328"/>
        <w:rPr>
          <w:b/>
          <w:bCs/>
          <w:sz w:val="22"/>
          <w:szCs w:val="22"/>
        </w:rPr>
      </w:pPr>
      <w:r w:rsidRPr="0024373A">
        <w:rPr>
          <w:b/>
          <w:bCs/>
          <w:sz w:val="22"/>
          <w:szCs w:val="22"/>
        </w:rPr>
        <w:t>2026 participation</w:t>
      </w:r>
    </w:p>
    <w:p w14:paraId="64571E25" w14:textId="77777777" w:rsidR="007957E6" w:rsidRPr="00087C06" w:rsidRDefault="007957E6" w:rsidP="002B54C5">
      <w:pPr>
        <w:pStyle w:val="Calloutbox"/>
        <w:framePr w:wrap="auto" w:vAnchor="margin" w:yAlign="inline"/>
        <w:numPr>
          <w:ilvl w:val="0"/>
          <w:numId w:val="55"/>
        </w:numPr>
        <w:pBdr>
          <w:right w:val="double" w:sz="6" w:space="0" w:color="B7D432" w:themeColor="accent1"/>
        </w:pBdr>
        <w:spacing w:before="0" w:after="0"/>
        <w:ind w:left="4045" w:right="3742"/>
        <w:rPr>
          <w:sz w:val="21"/>
          <w:szCs w:val="21"/>
        </w:rPr>
      </w:pPr>
      <w:r w:rsidRPr="00087C06">
        <w:rPr>
          <w:sz w:val="21"/>
          <w:szCs w:val="21"/>
        </w:rPr>
        <w:t>125 institutions</w:t>
      </w:r>
    </w:p>
    <w:p w14:paraId="7D2C5564" w14:textId="77777777" w:rsidR="007957E6" w:rsidRPr="00087C06" w:rsidRDefault="007957E6" w:rsidP="002B54C5">
      <w:pPr>
        <w:pStyle w:val="Calloutbox"/>
        <w:framePr w:wrap="auto" w:vAnchor="margin" w:yAlign="inline"/>
        <w:numPr>
          <w:ilvl w:val="0"/>
          <w:numId w:val="55"/>
        </w:numPr>
        <w:pBdr>
          <w:right w:val="double" w:sz="6" w:space="0" w:color="B7D432" w:themeColor="accent1"/>
        </w:pBdr>
        <w:spacing w:before="0" w:after="0"/>
        <w:ind w:left="4045" w:right="3742"/>
        <w:rPr>
          <w:sz w:val="21"/>
          <w:szCs w:val="21"/>
        </w:rPr>
      </w:pPr>
      <w:r w:rsidRPr="00087C06">
        <w:rPr>
          <w:sz w:val="21"/>
          <w:szCs w:val="21"/>
        </w:rPr>
        <w:t>90,064 invitations sent</w:t>
      </w:r>
    </w:p>
    <w:p w14:paraId="28D4E95F" w14:textId="77777777" w:rsidR="007957E6" w:rsidRPr="00087C06" w:rsidRDefault="007957E6" w:rsidP="002B54C5">
      <w:pPr>
        <w:pStyle w:val="Calloutbox"/>
        <w:framePr w:wrap="auto" w:vAnchor="margin" w:yAlign="inline"/>
        <w:numPr>
          <w:ilvl w:val="0"/>
          <w:numId w:val="55"/>
        </w:numPr>
        <w:pBdr>
          <w:right w:val="double" w:sz="6" w:space="0" w:color="B7D432" w:themeColor="accent1"/>
        </w:pBdr>
        <w:spacing w:before="0" w:after="0"/>
        <w:ind w:left="4045" w:right="3742"/>
        <w:rPr>
          <w:sz w:val="21"/>
          <w:szCs w:val="21"/>
        </w:rPr>
      </w:pPr>
      <w:r w:rsidRPr="00087C06">
        <w:rPr>
          <w:sz w:val="21"/>
          <w:szCs w:val="21"/>
        </w:rPr>
        <w:t>43,665 completed surveys</w:t>
      </w:r>
    </w:p>
    <w:p w14:paraId="1C020C50" w14:textId="0C741F41" w:rsidR="007957E6" w:rsidRPr="00087C06" w:rsidRDefault="007957E6" w:rsidP="002B54C5">
      <w:pPr>
        <w:pStyle w:val="Calloutbox"/>
        <w:framePr w:wrap="auto" w:vAnchor="margin" w:yAlign="inline"/>
        <w:numPr>
          <w:ilvl w:val="0"/>
          <w:numId w:val="55"/>
        </w:numPr>
        <w:pBdr>
          <w:right w:val="double" w:sz="6" w:space="0" w:color="B7D432" w:themeColor="accent1"/>
        </w:pBdr>
        <w:spacing w:before="0" w:after="0"/>
        <w:ind w:left="4045" w:right="3742"/>
        <w:rPr>
          <w:sz w:val="21"/>
          <w:szCs w:val="21"/>
        </w:rPr>
      </w:pPr>
      <w:r w:rsidRPr="00087C06">
        <w:rPr>
          <w:sz w:val="21"/>
          <w:szCs w:val="21"/>
        </w:rPr>
        <w:t>53.6% response rate</w:t>
      </w:r>
    </w:p>
    <w:p w14:paraId="589B23C8" w14:textId="77777777" w:rsidR="002E096E" w:rsidRPr="005A3AFE" w:rsidRDefault="002E096E" w:rsidP="0024373A">
      <w:pPr>
        <w:pStyle w:val="Heading2"/>
        <w:spacing w:before="0"/>
      </w:pPr>
      <w:bookmarkStart w:id="17" w:name="_Toc243492323"/>
      <w:r w:rsidRPr="005A3AFE">
        <w:t>Further detail</w:t>
      </w:r>
      <w:bookmarkEnd w:id="17"/>
    </w:p>
    <w:p w14:paraId="52B882AD" w14:textId="77777777" w:rsidR="002E096E" w:rsidRPr="005C4845" w:rsidRDefault="002E096E" w:rsidP="0024373A">
      <w:pPr>
        <w:pStyle w:val="Bodycopy"/>
      </w:pPr>
      <w:r w:rsidRPr="005C4845">
        <w:t xml:space="preserve">This report is a selection of high-level results, but other information, such as data related to how well courses prepared graduates for work and further study, and more detailed labour force breakdowns, is available from </w:t>
      </w:r>
      <w:hyperlink r:id="rId29" w:history="1">
        <w:r w:rsidRPr="005C4845">
          <w:rPr>
            <w:rStyle w:val="Hyperlink"/>
          </w:rPr>
          <w:t xml:space="preserve">Graduate Outcomes Survey </w:t>
        </w:r>
        <w:r w:rsidRPr="005C4845">
          <w:rPr>
            <w:u w:val="single"/>
          </w:rPr>
          <w:t>-</w:t>
        </w:r>
        <w:r w:rsidRPr="005C4845">
          <w:rPr>
            <w:rStyle w:val="Hyperlink"/>
          </w:rPr>
          <w:t xml:space="preserve"> Longitudinal (qilt.edu.au)</w:t>
        </w:r>
      </w:hyperlink>
      <w:r w:rsidRPr="005C4845">
        <w:rPr>
          <w:rStyle w:val="Hyperlink"/>
        </w:rPr>
        <w:t>.</w:t>
      </w:r>
    </w:p>
    <w:p w14:paraId="1B450C59" w14:textId="72FE7AE8" w:rsidR="00CD3BD6" w:rsidRPr="005A3AFE" w:rsidRDefault="002E096E" w:rsidP="0024373A">
      <w:pPr>
        <w:widowControl w:val="0"/>
        <w:suppressAutoHyphens/>
        <w:autoSpaceDE w:val="0"/>
        <w:autoSpaceDN w:val="0"/>
        <w:adjustRightInd w:val="0"/>
        <w:spacing w:line="290" w:lineRule="atLeast"/>
        <w:textAlignment w:val="center"/>
        <w:rPr>
          <w:rFonts w:cs="Arial"/>
          <w:szCs w:val="20"/>
          <w:lang w:val="en-GB"/>
        </w:rPr>
      </w:pPr>
      <w:r w:rsidRPr="005A3AFE">
        <w:rPr>
          <w:rFonts w:cs="Arial"/>
          <w:szCs w:val="20"/>
          <w:lang w:val="en-GB"/>
        </w:rPr>
        <w:t xml:space="preserve">This report is supported by a </w:t>
      </w:r>
      <w:hyperlink r:id="rId30" w:history="1">
        <w:r w:rsidR="00365C59" w:rsidRPr="005A3AFE">
          <w:rPr>
            <w:rStyle w:val="Hyperlink"/>
            <w:rFonts w:cs="Arial"/>
            <w:szCs w:val="20"/>
            <w:lang w:val="en-GB"/>
          </w:rPr>
          <w:t>PowerBI workbook</w:t>
        </w:r>
      </w:hyperlink>
      <w:r w:rsidR="00365C59" w:rsidRPr="005A3AFE">
        <w:rPr>
          <w:rFonts w:cs="Arial"/>
          <w:szCs w:val="20"/>
          <w:lang w:val="en-GB"/>
        </w:rPr>
        <w:t xml:space="preserve"> </w:t>
      </w:r>
      <w:r w:rsidRPr="005A3AFE">
        <w:rPr>
          <w:rFonts w:cs="Arial"/>
          <w:szCs w:val="20"/>
          <w:lang w:val="en-GB"/>
        </w:rPr>
        <w:t>that allows readers to further explore data. Static Excel tables also provide supplementary data and detail.</w:t>
      </w:r>
    </w:p>
    <w:p w14:paraId="2862A3DD" w14:textId="375B0297" w:rsidR="00CD3BD6" w:rsidRPr="005A3AFE" w:rsidRDefault="00CD3BD6" w:rsidP="005C4845">
      <w:pPr>
        <w:pStyle w:val="Heading2"/>
        <w:spacing w:before="200"/>
        <w:rPr>
          <w:lang w:val="en-GB"/>
        </w:rPr>
      </w:pPr>
      <w:bookmarkStart w:id="18" w:name="_Toc243492324"/>
      <w:r w:rsidRPr="005A3AFE">
        <w:rPr>
          <w:lang w:val="en-GB"/>
        </w:rPr>
        <w:t>Labour force participation changes</w:t>
      </w:r>
      <w:bookmarkEnd w:id="18"/>
    </w:p>
    <w:p w14:paraId="63F4A089" w14:textId="18BEF2E6" w:rsidR="002E096E" w:rsidRPr="005C4845" w:rsidRDefault="00CD3BD6" w:rsidP="00DF532B">
      <w:pPr>
        <w:pStyle w:val="Body"/>
      </w:pPr>
      <w:r w:rsidRPr="005A3AFE">
        <w:rPr>
          <w:lang w:val="en-GB"/>
        </w:rPr>
        <w:t xml:space="preserve">In 2025, changes were made to the labour force module in the GOS-L to enable greater alignment with the ABS labour force framework. These changes have implications for the comparability of medium-term </w:t>
      </w:r>
      <w:r w:rsidR="00112C20" w:rsidRPr="005A3AFE">
        <w:rPr>
          <w:lang w:val="en-GB"/>
        </w:rPr>
        <w:t>labour force participation, full-time employment and overall employment</w:t>
      </w:r>
      <w:r w:rsidR="008F7BDA" w:rsidRPr="005A3AFE">
        <w:rPr>
          <w:lang w:val="en-GB"/>
        </w:rPr>
        <w:t xml:space="preserve"> with historical data prior to 2025</w:t>
      </w:r>
      <w:r w:rsidRPr="005A3AFE">
        <w:rPr>
          <w:lang w:val="en-GB"/>
        </w:rPr>
        <w:t xml:space="preserve">. </w:t>
      </w:r>
      <w:r w:rsidR="00112C20" w:rsidRPr="005A3AFE">
        <w:rPr>
          <w:lang w:val="en-GB"/>
        </w:rPr>
        <w:t>As a result, c</w:t>
      </w:r>
      <w:r w:rsidRPr="005A3AFE">
        <w:rPr>
          <w:lang w:val="en-GB"/>
        </w:rPr>
        <w:t>aution should be exercised when interpreting difference</w:t>
      </w:r>
      <w:r w:rsidR="008F7BDA" w:rsidRPr="005A3AFE">
        <w:rPr>
          <w:lang w:val="en-GB"/>
        </w:rPr>
        <w:t>s</w:t>
      </w:r>
      <w:r w:rsidRPr="005A3AFE">
        <w:rPr>
          <w:lang w:val="en-GB"/>
        </w:rPr>
        <w:t xml:space="preserve"> between medium-term and short-term </w:t>
      </w:r>
      <w:r w:rsidR="00112C20" w:rsidRPr="005A3AFE">
        <w:rPr>
          <w:lang w:val="en-GB"/>
        </w:rPr>
        <w:t>outcomes for these measures</w:t>
      </w:r>
      <w:r w:rsidRPr="005A3AFE">
        <w:rPr>
          <w:lang w:val="en-GB"/>
        </w:rPr>
        <w:t>.</w:t>
      </w:r>
      <w:r w:rsidR="008F7BDA" w:rsidRPr="005A3AFE">
        <w:rPr>
          <w:lang w:val="en-GB"/>
        </w:rPr>
        <w:t xml:space="preserve"> </w:t>
      </w:r>
      <w:r w:rsidR="008F7BDA" w:rsidRPr="005A3AFE">
        <w:t xml:space="preserve">See </w:t>
      </w:r>
      <w:r w:rsidR="008F7BDA" w:rsidRPr="005A3AFE">
        <w:rPr>
          <w:b/>
          <w:bCs/>
        </w:rPr>
        <w:t>Appendix 1</w:t>
      </w:r>
      <w:r w:rsidR="008F7BDA" w:rsidRPr="005A3AFE">
        <w:t xml:space="preserve"> </w:t>
      </w:r>
      <w:r w:rsidR="00024CCF">
        <w:t xml:space="preserve">in the 2025 GOS-L National Report </w:t>
      </w:r>
      <w:r w:rsidR="008F7BDA" w:rsidRPr="005A3AFE">
        <w:t>for further information.</w:t>
      </w:r>
      <w:r w:rsidR="002E096E" w:rsidRPr="005A3AFE">
        <w:br w:type="page"/>
      </w:r>
    </w:p>
    <w:p w14:paraId="4A2AD1E6" w14:textId="6ECCC4D3" w:rsidR="00244416" w:rsidRPr="005A3AFE" w:rsidRDefault="00244416" w:rsidP="00E365A4">
      <w:pPr>
        <w:pStyle w:val="Heading1"/>
      </w:pPr>
      <w:bookmarkStart w:id="19" w:name="_Toc192179848"/>
      <w:bookmarkStart w:id="20" w:name="_Toc243492325"/>
      <w:bookmarkStart w:id="21" w:name="_Toc244083895"/>
      <w:r w:rsidRPr="005A3AFE">
        <w:lastRenderedPageBreak/>
        <w:t>Domestic graduate results</w:t>
      </w:r>
      <w:bookmarkEnd w:id="19"/>
      <w:bookmarkEnd w:id="20"/>
      <w:bookmarkEnd w:id="21"/>
    </w:p>
    <w:p w14:paraId="2A0A5829" w14:textId="77777777" w:rsidR="001609C6" w:rsidRPr="005A3AFE" w:rsidRDefault="00B51933" w:rsidP="000F0DF3">
      <w:pPr>
        <w:pStyle w:val="Heading2"/>
      </w:pPr>
      <w:bookmarkStart w:id="22" w:name="_Toc243492326"/>
      <w:bookmarkEnd w:id="14"/>
      <w:bookmarkEnd w:id="15"/>
      <w:r w:rsidRPr="005A3AFE">
        <w:t>Labour force participation</w:t>
      </w:r>
      <w:bookmarkEnd w:id="22"/>
    </w:p>
    <w:p w14:paraId="38D038CD" w14:textId="2BD93FF4" w:rsidR="008876F8" w:rsidRDefault="00615620" w:rsidP="006754C0">
      <w:pPr>
        <w:pStyle w:val="Body"/>
      </w:pPr>
      <w:r>
        <w:t>Medium-term labour force participation for undergraduates and postgraduate coursework graduates decreased slightly from 2025 to 2026</w:t>
      </w:r>
      <w:r w:rsidR="009C6358">
        <w:t xml:space="preserve"> while remaining </w:t>
      </w:r>
      <w:r>
        <w:t>relatively stable for postgraduate research graduates</w:t>
      </w:r>
      <w:r w:rsidR="00E04C90">
        <w:t xml:space="preserve"> </w:t>
      </w:r>
      <w:r w:rsidR="00E04C90" w:rsidRPr="005A3AFE">
        <w:t>(</w:t>
      </w:r>
      <w:r w:rsidR="00E04C90" w:rsidRPr="005A3AFE">
        <w:rPr>
          <w:b/>
          <w:bCs/>
        </w:rPr>
        <w:fldChar w:fldCharType="begin"/>
      </w:r>
      <w:r w:rsidR="00E04C90" w:rsidRPr="005A3AFE">
        <w:rPr>
          <w:b/>
          <w:bCs/>
        </w:rPr>
        <w:instrText xml:space="preserve"> REF _Ref201324238 \h  \* MERGEFORMAT </w:instrText>
      </w:r>
      <w:r w:rsidR="00E04C90" w:rsidRPr="005A3AFE">
        <w:rPr>
          <w:b/>
          <w:bCs/>
        </w:rPr>
      </w:r>
      <w:r w:rsidR="00E04C90" w:rsidRPr="005A3AFE">
        <w:rPr>
          <w:b/>
          <w:bCs/>
        </w:rPr>
        <w:fldChar w:fldCharType="separate"/>
      </w:r>
      <w:r w:rsidR="00E04C90" w:rsidRPr="005A3AFE">
        <w:rPr>
          <w:b/>
          <w:bCs/>
        </w:rPr>
        <w:t xml:space="preserve">Figure </w:t>
      </w:r>
      <w:r w:rsidR="00E04C90" w:rsidRPr="005A3AFE">
        <w:rPr>
          <w:b/>
          <w:bCs/>
          <w:noProof/>
        </w:rPr>
        <w:t>1</w:t>
      </w:r>
      <w:r w:rsidR="00E04C90" w:rsidRPr="005A3AFE">
        <w:rPr>
          <w:b/>
          <w:bCs/>
        </w:rPr>
        <w:fldChar w:fldCharType="end"/>
      </w:r>
      <w:r w:rsidR="00E04C90" w:rsidRPr="006708F2">
        <w:t>)</w:t>
      </w:r>
      <w:r>
        <w:t>.</w:t>
      </w:r>
      <w:r w:rsidR="00E04C90" w:rsidRPr="00081ECD">
        <w:rPr>
          <w:rStyle w:val="FootnoteReference"/>
          <w:sz w:val="20"/>
        </w:rPr>
        <w:footnoteReference w:id="3"/>
      </w:r>
      <w:r w:rsidRPr="00081ECD">
        <w:t xml:space="preserve"> </w:t>
      </w:r>
      <w:r>
        <w:t xml:space="preserve">Additionally, </w:t>
      </w:r>
      <w:r w:rsidR="007A18CE">
        <w:t>differences in levels</w:t>
      </w:r>
      <w:r w:rsidR="007A18CE" w:rsidRPr="005A3AFE">
        <w:t xml:space="preserve"> </w:t>
      </w:r>
      <w:r w:rsidR="008876F8" w:rsidRPr="005A3AFE">
        <w:t xml:space="preserve">of labour force participation </w:t>
      </w:r>
      <w:r w:rsidR="007A18CE">
        <w:t>across study levels</w:t>
      </w:r>
      <w:r w:rsidR="008876F8" w:rsidRPr="005A3AFE">
        <w:t xml:space="preserve"> in 2026 remain consistent with previous years. </w:t>
      </w:r>
      <w:r w:rsidR="004F0287" w:rsidRPr="005A3AFE">
        <w:t>For example, the labour force participation rate of postgraduate</w:t>
      </w:r>
      <w:r w:rsidR="00FF0EEC">
        <w:t>s</w:t>
      </w:r>
      <w:r w:rsidR="004F0287" w:rsidRPr="005A3AFE">
        <w:t xml:space="preserve"> remains higher than </w:t>
      </w:r>
      <w:r w:rsidR="00371FC2" w:rsidRPr="005A3AFE">
        <w:t>undergraduate</w:t>
      </w:r>
      <w:r w:rsidR="00FF0EEC">
        <w:t>s</w:t>
      </w:r>
      <w:r w:rsidR="004F0287" w:rsidRPr="005A3AFE">
        <w:t>, in both the short-term and medium-term.</w:t>
      </w:r>
    </w:p>
    <w:p w14:paraId="6908B98B" w14:textId="77777777" w:rsidR="00DF1EF3" w:rsidRDefault="00E04C90" w:rsidP="006754C0">
      <w:pPr>
        <w:pStyle w:val="Body"/>
      </w:pPr>
      <w:r>
        <w:t>Note that</w:t>
      </w:r>
      <w:r w:rsidRPr="005A3AFE">
        <w:t xml:space="preserve"> </w:t>
      </w:r>
      <w:r>
        <w:t>w</w:t>
      </w:r>
      <w:r w:rsidRPr="005A3AFE">
        <w:t>hile there appears to be a decrease in the labour force participation rate across all study levels starting in 2025 and persisting in 2026, this decrease can be attributed to a change to the way the metric is calculated starting in 2025.</w:t>
      </w:r>
      <w:r w:rsidRPr="00E17B1D">
        <w:rPr>
          <w:rStyle w:val="FootnoteReference"/>
          <w:sz w:val="20"/>
        </w:rPr>
        <w:footnoteReference w:id="4"/>
      </w:r>
      <w:r w:rsidRPr="00E17B1D">
        <w:t xml:space="preserve"> </w:t>
      </w:r>
      <w:r w:rsidRPr="005A3AFE">
        <w:t>Caution should be exercised when interpreting differences between medium-term results from 2025 onwards with historical medium</w:t>
      </w:r>
      <w:r w:rsidR="00D23391">
        <w:t>-</w:t>
      </w:r>
      <w:r w:rsidRPr="005A3AFE">
        <w:t xml:space="preserve"> and short-term results.</w:t>
      </w:r>
    </w:p>
    <w:p w14:paraId="7592E2F2" w14:textId="02BEBBC0" w:rsidR="007C0E88" w:rsidRPr="00EB7186" w:rsidRDefault="007C0E88" w:rsidP="00241583">
      <w:pPr>
        <w:pStyle w:val="Caption"/>
      </w:pPr>
      <w:bookmarkStart w:id="23" w:name="_Ref201324238"/>
      <w:bookmarkStart w:id="24" w:name="_Toc243492107"/>
      <w:r w:rsidRPr="00EB7186">
        <w:lastRenderedPageBreak/>
        <w:t xml:space="preserve">Figure </w:t>
      </w:r>
      <w:bookmarkEnd w:id="23"/>
      <w:r w:rsidR="008E1916" w:rsidRPr="00EB7186">
        <w:fldChar w:fldCharType="begin"/>
      </w:r>
      <w:r w:rsidR="008E1916" w:rsidRPr="00EB7186">
        <w:instrText xml:space="preserve"> SEQ Figure \* ARABIC </w:instrText>
      </w:r>
      <w:r w:rsidR="008E1916" w:rsidRPr="00EB7186">
        <w:fldChar w:fldCharType="separate"/>
      </w:r>
      <w:r w:rsidR="008E1916" w:rsidRPr="00EB7186">
        <w:rPr>
          <w:noProof/>
        </w:rPr>
        <w:t>1</w:t>
      </w:r>
      <w:r w:rsidR="008E1916" w:rsidRPr="00EB7186">
        <w:rPr>
          <w:noProof/>
        </w:rPr>
        <w:fldChar w:fldCharType="end"/>
      </w:r>
      <w:r w:rsidR="00DF1EF3" w:rsidRPr="00EB7186">
        <w:tab/>
      </w:r>
      <w:r w:rsidR="008B7FB9" w:rsidRPr="00EB7186">
        <w:t>Short- and medium-term</w:t>
      </w:r>
      <w:r w:rsidRPr="00EB7186">
        <w:t xml:space="preserve"> </w:t>
      </w:r>
      <w:r w:rsidR="00FB2469" w:rsidRPr="00EB7186">
        <w:t xml:space="preserve">labour force participation </w:t>
      </w:r>
      <w:r w:rsidRPr="00EB7186">
        <w:t>rate for 201</w:t>
      </w:r>
      <w:r w:rsidR="009E4732" w:rsidRPr="00EB7186">
        <w:t>7</w:t>
      </w:r>
      <w:r w:rsidRPr="00EB7186">
        <w:t xml:space="preserve"> to 202</w:t>
      </w:r>
      <w:r w:rsidR="00D0733D" w:rsidRPr="00EB7186">
        <w:t>3</w:t>
      </w:r>
      <w:r w:rsidRPr="00EB7186">
        <w:t xml:space="preserve"> domestic graduates</w:t>
      </w:r>
      <w:bookmarkEnd w:id="24"/>
    </w:p>
    <w:p w14:paraId="04BAFAED" w14:textId="56786179" w:rsidR="00F21116" w:rsidRPr="005A3AFE" w:rsidRDefault="00330E8E" w:rsidP="009F212D">
      <w:pPr>
        <w:pStyle w:val="Body"/>
        <w:keepNext/>
      </w:pPr>
      <w:r w:rsidRPr="00330E8E">
        <w:rPr>
          <w:noProof/>
        </w:rPr>
        <w:drawing>
          <wp:inline distT="0" distB="0" distL="0" distR="0" wp14:anchorId="63404874" wp14:editId="4E986166">
            <wp:extent cx="6656070" cy="7658100"/>
            <wp:effectExtent l="0" t="0" r="0" b="0"/>
            <wp:docPr id="1713475721" name="Picture 1" descr="Composite chart. Short- and medium-term labour force participation rate for 2017 to 2023 domestic graduates. Three panels, top to bottom: Undergraduate; Postgraduate coursework; Postgraduate research. Legend in each panel: Short-term labour force participation; Medium-term labour force participation. Horizontal axis: short-term year followed by medium-term year. Vertical axis: labour force participation rate (%). Undergraduate: Short-term: Labour force participation: 2017 | 2020: 92.3%; 2018 | 2021: 91.7%; 2019 | 2022: 92.6%; 2020 | 2023: 92.2%; 2021 | 2024: 92.7%; 2022 | 2025*: 92.7%; 2023 | 2026*: 93.0% Medium-term: Labour force participation: 2017 | 2020: 92.3%; 2018 | 2021: 91.7%; 2019 | 2022: 92.2%; 2020 | 2023: 92.7%; 2021 | 2024: 92.7%; 2022 | 2025*: 90.4%; 2023 | 2026*: 89.9% | Postgraduate coursework: Short-term: Labour force participation: 2017 | 2020: 95.8%; 2018 | 2021: 96.2%; 2019 | 2022: 96.6%; 2020 | 2023: 96.1%; 2021 | 2024: 95.8%; 2022 | 2025*: 96.2%; 2023 | 2026*: 96.3% Medium-term: Labour force participation: 2017 | 2020: 94.5%; 2018 | 2021: 95.0%; 2019 | 2022: 95.3%; 2020 | 2023: 94.9%; 2021 | 2024: 94.5%; 2022 | 2025*: 93.9%; 2023 | 2026*: 93.1% | Postgraduate research: Short-term: Labour force participation: 2017 | 2020: 95.7%; 2018 | 2021: 94.6%; 2019 | 2022: 94.1%; 2020 | 2023: 95.7%; 2021 | 2024: 95.0%; 2022 | 2025*: 95.9%; 2023 | 2026*: 96.2% Medium-term: Labour force participation: 2017 | 2020: 93.6%; 2018 | 2021: 93.0%; 2019 | 2022: 92.8%; 2020 | 2023: 94.6%; 2021 | 2024: 93.9%; 2022 | 2025*: 91.7%; 2023 | 2026*: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75721" name="Picture 1" descr="Composite chart. Short- and medium-term labour force participation rate for 2017 to 2023 domestic graduates. Three panels, top to bottom: Undergraduate; Postgraduate coursework; Postgraduate research. Legend in each panel: Short-term labour force participation; Medium-term labour force participation. Horizontal axis: short-term year followed by medium-term year. Vertical axis: labour force participation rate (%). Undergraduate: Short-term: Labour force participation: 2017 | 2020: 92.3%; 2018 | 2021: 91.7%; 2019 | 2022: 92.6%; 2020 | 2023: 92.2%; 2021 | 2024: 92.7%; 2022 | 2025*: 92.7%; 2023 | 2026*: 93.0% Medium-term: Labour force participation: 2017 | 2020: 92.3%; 2018 | 2021: 91.7%; 2019 | 2022: 92.2%; 2020 | 2023: 92.7%; 2021 | 2024: 92.7%; 2022 | 2025*: 90.4%; 2023 | 2026*: 89.9% | Postgraduate coursework: Short-term: Labour force participation: 2017 | 2020: 95.8%; 2018 | 2021: 96.2%; 2019 | 2022: 96.6%; 2020 | 2023: 96.1%; 2021 | 2024: 95.8%; 2022 | 2025*: 96.2%; 2023 | 2026*: 96.3% Medium-term: Labour force participation: 2017 | 2020: 94.5%; 2018 | 2021: 95.0%; 2019 | 2022: 95.3%; 2020 | 2023: 94.9%; 2021 | 2024: 94.5%; 2022 | 2025*: 93.9%; 2023 | 2026*: 93.1% | Postgraduate research: Short-term: Labour force participation: 2017 | 2020: 95.7%; 2018 | 2021: 94.6%; 2019 | 2022: 94.1%; 2020 | 2023: 95.7%; 2021 | 2024: 95.0%; 2022 | 2025*: 95.9%; 2023 | 2026*: 96.2% Medium-term: Labour force participation: 2017 | 2020: 93.6%; 2018 | 2021: 93.0%; 2019 | 2022: 92.8%; 2020 | 2023: 94.6%; 2021 | 2024: 93.9%; 2022 | 2025*: 91.7%; 2023 | 2026*: 92.0%"/>
                    <pic:cNvPicPr/>
                  </pic:nvPicPr>
                  <pic:blipFill>
                    <a:blip r:embed="rId31"/>
                    <a:stretch>
                      <a:fillRect/>
                    </a:stretch>
                  </pic:blipFill>
                  <pic:spPr>
                    <a:xfrm>
                      <a:off x="0" y="0"/>
                      <a:ext cx="6656070" cy="7658100"/>
                    </a:xfrm>
                    <a:prstGeom prst="rect">
                      <a:avLst/>
                    </a:prstGeom>
                  </pic:spPr>
                </pic:pic>
              </a:graphicData>
            </a:graphic>
          </wp:inline>
        </w:drawing>
      </w:r>
    </w:p>
    <w:p w14:paraId="1C875F63" w14:textId="179D018D" w:rsidR="00415F87" w:rsidRPr="00DF1EF3" w:rsidRDefault="006406E8" w:rsidP="001061E4">
      <w:pPr>
        <w:pStyle w:val="BaseFigureNotes"/>
      </w:pPr>
      <w:r w:rsidRPr="005A3AFE">
        <w:t>*</w:t>
      </w:r>
      <w:r w:rsidR="0026124A" w:rsidRPr="005A3AFE">
        <w:t xml:space="preserve"> </w:t>
      </w:r>
      <w:r w:rsidR="00226560" w:rsidRPr="00330E8E">
        <w:rPr>
          <w:i/>
          <w:iCs/>
        </w:rPr>
        <w:t xml:space="preserve">Medium-term </w:t>
      </w:r>
      <w:r w:rsidR="00735858" w:rsidRPr="00330E8E">
        <w:rPr>
          <w:i/>
          <w:iCs/>
        </w:rPr>
        <w:t>labour force participation rates</w:t>
      </w:r>
      <w:r w:rsidR="00735858" w:rsidRPr="005A3AFE">
        <w:t xml:space="preserve"> </w:t>
      </w:r>
      <w:r w:rsidR="00226560" w:rsidRPr="00135575">
        <w:rPr>
          <w:i/>
          <w:iCs/>
        </w:rPr>
        <w:t>from 2025</w:t>
      </w:r>
      <w:r w:rsidR="00226560" w:rsidRPr="005A3AFE">
        <w:t xml:space="preserve"> onwards</w:t>
      </w:r>
      <w:r w:rsidR="00782C2B" w:rsidRPr="005A3AFE">
        <w:t xml:space="preserve"> are not directly comparable </w:t>
      </w:r>
      <w:r w:rsidR="00BC4022" w:rsidRPr="005A3AFE">
        <w:t xml:space="preserve">with earlier years due to </w:t>
      </w:r>
      <w:r w:rsidR="000D3E90" w:rsidRPr="005A3AFE">
        <w:t>a change to how the labour force is defined.</w:t>
      </w:r>
      <w:r w:rsidR="006444FD" w:rsidRPr="005A3AFE">
        <w:t xml:space="preserve"> Caution should </w:t>
      </w:r>
      <w:r w:rsidR="00F50DF3" w:rsidRPr="005A3AFE">
        <w:t xml:space="preserve">be exercised when interpreting </w:t>
      </w:r>
      <w:r w:rsidR="0005263A" w:rsidRPr="005A3AFE">
        <w:t xml:space="preserve">differences in labour force participation rates between </w:t>
      </w:r>
      <w:r w:rsidR="0005263A" w:rsidRPr="00330E8E">
        <w:t>2025</w:t>
      </w:r>
      <w:r w:rsidR="00F546F3" w:rsidRPr="00330E8E">
        <w:t xml:space="preserve"> and 2026</w:t>
      </w:r>
      <w:r w:rsidR="0005263A" w:rsidRPr="005A3AFE">
        <w:t xml:space="preserve"> medium</w:t>
      </w:r>
      <w:r w:rsidR="00735858" w:rsidRPr="005A3AFE">
        <w:noBreakHyphen/>
      </w:r>
      <w:r w:rsidR="0005263A" w:rsidRPr="005A3AFE">
        <w:t>term results, and the short</w:t>
      </w:r>
      <w:r w:rsidR="00E137FD" w:rsidRPr="005A3AFE">
        <w:t>-</w:t>
      </w:r>
      <w:r w:rsidR="0005263A" w:rsidRPr="005A3AFE">
        <w:t>term results and other medium-term results</w:t>
      </w:r>
      <w:r w:rsidR="00735858" w:rsidRPr="005A3AFE">
        <w:t>, as they partly reflect the change in methodology</w:t>
      </w:r>
      <w:r w:rsidR="007249C1" w:rsidRPr="005A3AFE">
        <w:t>.</w:t>
      </w:r>
      <w:r w:rsidR="000D3E90" w:rsidRPr="005A3AFE">
        <w:t xml:space="preserve"> See </w:t>
      </w:r>
      <w:r w:rsidR="000D3E90" w:rsidRPr="005A3AFE">
        <w:rPr>
          <w:b/>
          <w:bCs/>
        </w:rPr>
        <w:t>Appendix 1</w:t>
      </w:r>
      <w:r w:rsidR="000D3E90" w:rsidRPr="005A3AFE">
        <w:t xml:space="preserve"> </w:t>
      </w:r>
      <w:r w:rsidR="00024CCF">
        <w:t xml:space="preserve">in the 2025 GOS-L National Report </w:t>
      </w:r>
      <w:r w:rsidR="000D3E90" w:rsidRPr="005A3AFE">
        <w:t>for further information.</w:t>
      </w:r>
    </w:p>
    <w:p w14:paraId="23239E19" w14:textId="77777777" w:rsidR="006928F1" w:rsidRDefault="006928F1" w:rsidP="00DF1EF3">
      <w:pPr>
        <w:pStyle w:val="Body"/>
        <w:spacing w:after="240"/>
        <w:sectPr w:rsidR="006928F1" w:rsidSect="00E46702">
          <w:pgSz w:w="11900" w:h="16840"/>
          <w:pgMar w:top="709" w:right="709" w:bottom="709" w:left="709" w:header="567" w:footer="567" w:gutter="0"/>
          <w:pgNumType w:start="1"/>
          <w:cols w:space="708"/>
          <w:docGrid w:linePitch="360"/>
        </w:sectPr>
      </w:pPr>
    </w:p>
    <w:p w14:paraId="7BCDB4A2" w14:textId="7D5146FA" w:rsidR="00934D00" w:rsidRDefault="00615620" w:rsidP="007C2C04">
      <w:pPr>
        <w:pStyle w:val="Body"/>
        <w:spacing w:after="200"/>
      </w:pPr>
      <w:r w:rsidRPr="005A3AFE">
        <w:lastRenderedPageBreak/>
        <w:t>A possible reason for th</w:t>
      </w:r>
      <w:r w:rsidR="00EF6539">
        <w:t>e</w:t>
      </w:r>
      <w:r w:rsidRPr="005A3AFE">
        <w:t xml:space="preserve"> </w:t>
      </w:r>
      <w:r w:rsidR="00097324">
        <w:t>difference</w:t>
      </w:r>
      <w:r w:rsidRPr="005A3AFE">
        <w:t xml:space="preserve"> between</w:t>
      </w:r>
      <w:r w:rsidR="00EF6539">
        <w:t xml:space="preserve"> medium-term</w:t>
      </w:r>
      <w:r w:rsidRPr="005A3AFE">
        <w:t xml:space="preserve"> undergraduate and postgraduate participation rates include a larger proportion of undergraduates deciding to return to (or actively engaged in) further study, even in the medium-term</w:t>
      </w:r>
      <w:r w:rsidR="00EF6539">
        <w:t xml:space="preserve"> (</w:t>
      </w:r>
      <w:r w:rsidR="00EF6539" w:rsidRPr="0037256F">
        <w:rPr>
          <w:b/>
          <w:bCs/>
        </w:rPr>
        <w:fldChar w:fldCharType="begin"/>
      </w:r>
      <w:r w:rsidR="00EF6539" w:rsidRPr="0037256F">
        <w:rPr>
          <w:b/>
          <w:bCs/>
        </w:rPr>
        <w:instrText xml:space="preserve"> REF _Ref231457238 \h </w:instrText>
      </w:r>
      <w:r w:rsidR="00EF6539">
        <w:rPr>
          <w:b/>
          <w:bCs/>
        </w:rPr>
        <w:instrText xml:space="preserve"> \* MERGEFORMAT </w:instrText>
      </w:r>
      <w:r w:rsidR="00EF6539" w:rsidRPr="0037256F">
        <w:rPr>
          <w:b/>
          <w:bCs/>
        </w:rPr>
      </w:r>
      <w:r w:rsidR="00EF6539" w:rsidRPr="0037256F">
        <w:rPr>
          <w:b/>
          <w:bCs/>
        </w:rPr>
        <w:fldChar w:fldCharType="separate"/>
      </w:r>
      <w:r w:rsidR="00EF6539" w:rsidRPr="0037256F">
        <w:rPr>
          <w:b/>
          <w:bCs/>
        </w:rPr>
        <w:t xml:space="preserve">Figure </w:t>
      </w:r>
      <w:r w:rsidR="00EF6539" w:rsidRPr="0037256F">
        <w:rPr>
          <w:b/>
          <w:bCs/>
          <w:noProof/>
        </w:rPr>
        <w:t>2</w:t>
      </w:r>
      <w:r w:rsidR="00EF6539" w:rsidRPr="0037256F">
        <w:rPr>
          <w:b/>
          <w:bCs/>
        </w:rPr>
        <w:fldChar w:fldCharType="end"/>
      </w:r>
      <w:r w:rsidR="00EF6539">
        <w:t>)</w:t>
      </w:r>
      <w:r w:rsidRPr="005A3AFE">
        <w:t>. In 2026, 42.2 per cent of undergraduates cited further studies as a reason they were not intending to work, compared to 18.6 per cent and 21.9 per cent among postgraduate coursework and postgraduate research graduates respectively. This aligns with the profiles of graduates from the three study levels— undergraduates are more likely to be at the beginning of their higher education journey compared to postgraduates.</w:t>
      </w:r>
    </w:p>
    <w:p w14:paraId="4297854D" w14:textId="60B35A71" w:rsidR="0029522B" w:rsidRPr="0036340F" w:rsidRDefault="00934D00" w:rsidP="005C4845">
      <w:pPr>
        <w:pStyle w:val="Caption"/>
      </w:pPr>
      <w:bookmarkStart w:id="25" w:name="_Ref231457238"/>
      <w:bookmarkStart w:id="26" w:name="_Toc243492108"/>
      <w:r>
        <w:t xml:space="preserve">Figure </w:t>
      </w:r>
      <w:fldSimple w:instr=" SEQ Figure \* ARABIC ">
        <w:r w:rsidR="008E1916">
          <w:rPr>
            <w:noProof/>
          </w:rPr>
          <w:t>2</w:t>
        </w:r>
      </w:fldSimple>
      <w:bookmarkEnd w:id="25"/>
      <w:r w:rsidR="00DF1EF3">
        <w:tab/>
      </w:r>
      <w:r>
        <w:t>Reasons graduates are not in the labour force by study level, medium-term 2026</w:t>
      </w:r>
      <w:bookmarkEnd w:id="26"/>
    </w:p>
    <w:p w14:paraId="2BB85966" w14:textId="44CCF85D" w:rsidR="00D7072B" w:rsidRDefault="00F83423" w:rsidP="000A1787">
      <w:pPr>
        <w:rPr>
          <w:sz w:val="16"/>
          <w:szCs w:val="14"/>
          <w:lang w:eastAsia="en-AU"/>
        </w:rPr>
      </w:pPr>
      <w:r>
        <w:rPr>
          <w:noProof/>
          <w:sz w:val="16"/>
          <w:szCs w:val="14"/>
          <w:lang w:eastAsia="en-AU"/>
        </w:rPr>
        <w:drawing>
          <wp:inline distT="0" distB="0" distL="0" distR="0" wp14:anchorId="63BB2F32" wp14:editId="64591281">
            <wp:extent cx="9791065" cy="5084445"/>
            <wp:effectExtent l="0" t="0" r="635" b="1905"/>
            <wp:docPr id="1361907682" name="Picture 16" descr="Stacked bar chart. Reasons graduates are not in the labour force by study level, medium-term 2026. Bars: Undergraduate; Postgraduate coursework; Postgraduate research. Legend segments: Studying or returning to studies; Caring for children/parental leave*; Retired; Permanently unable to work; On a temporary holiday or leisure activity/time off work; Not enough work experience/skills/training; No jobs with suitable conditions/arrangements/hours in my local area; No jobs in my line of work; Considered to be too old by employers; Other. Horizontal axis: percentage. Studying or returning to studies: Undergraduate: 42.2%; Postgraduate coursework: 18.6%; Postgraduate research: 21.9% Caring for children/parental leave*: Undergraduate: 9.1%; Postgraduate coursework: 14.5%; Postgraduate research: 8.6% Retired: Undergraduate: 8.4%; Postgraduate coursework: 13.6%; Postgraduate research: 31.4% Permanently unable to work: Undergraduate: 7.5%; Postgraduate coursework: 10.8%; Postgraduate research: 1.0% On a temporary holiday or leisure activity/time off work: Undergraduate: 3.4%; Postgraduate coursework: 2.8%; Postgraduate research: 4.8% Not enough work experience/skills/training: Undergraduate: 2.7%; Postgraduate coursework: 1.5%; Postgraduate research: 1.0% No jobs with suitable conditions/arrangements/hours in my local area: Undergraduate: 2.3%; Postgraduate coursework: 2.5%; Postgraduate research: 1.0% No jobs in my line of work: Undergraduate: 1.3%; Postgraduate coursework: 2.3%; Postgraduate research: 8.6% Considered to be too old by employers: Undergraduate: 1.3%; Postgraduate coursework: 4.0%; Postgraduate research: 5.7% Other: Undergraduate: 21.8%; Postgraduate coursework: 29.4%; Postgraduate research: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07682" name="Picture 16" descr="Stacked bar chart. Reasons graduates are not in the labour force by study level, medium-term 2026. Bars: Undergraduate; Postgraduate coursework; Postgraduate research. Legend segments: Studying or returning to studies; Caring for children/parental leave*; Retired; Permanently unable to work; On a temporary holiday or leisure activity/time off work; Not enough work experience/skills/training; No jobs with suitable conditions/arrangements/hours in my local area; No jobs in my line of work; Considered to be too old by employers; Other. Horizontal axis: percentage. Studying or returning to studies: Undergraduate: 42.2%; Postgraduate coursework: 18.6%; Postgraduate research: 21.9% Caring for children/parental leave*: Undergraduate: 9.1%; Postgraduate coursework: 14.5%; Postgraduate research: 8.6% Retired: Undergraduate: 8.4%; Postgraduate coursework: 13.6%; Postgraduate research: 31.4% Permanently unable to work: Undergraduate: 7.5%; Postgraduate coursework: 10.8%; Postgraduate research: 1.0% On a temporary holiday or leisure activity/time off work: Undergraduate: 3.4%; Postgraduate coursework: 2.8%; Postgraduate research: 4.8% Not enough work experience/skills/training: Undergraduate: 2.7%; Postgraduate coursework: 1.5%; Postgraduate research: 1.0% No jobs with suitable conditions/arrangements/hours in my local area: Undergraduate: 2.3%; Postgraduate coursework: 2.5%; Postgraduate research: 1.0% No jobs in my line of work: Undergraduate: 1.3%; Postgraduate coursework: 2.3%; Postgraduate research: 8.6% Considered to be too old by employers: Undergraduate: 1.3%; Postgraduate coursework: 4.0%; Postgraduate research: 5.7% Other: Undergraduate: 21.8%; Postgraduate coursework: 29.4%; Postgraduate research: 16.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91065" cy="5084445"/>
                    </a:xfrm>
                    <a:prstGeom prst="rect">
                      <a:avLst/>
                    </a:prstGeom>
                    <a:noFill/>
                  </pic:spPr>
                </pic:pic>
              </a:graphicData>
            </a:graphic>
          </wp:inline>
        </w:drawing>
      </w:r>
    </w:p>
    <w:p w14:paraId="069F793C" w14:textId="1D7918D3" w:rsidR="00DF1EF3" w:rsidRDefault="0036528E" w:rsidP="00093C2F">
      <w:pPr>
        <w:pStyle w:val="BaseFigureNotes"/>
        <w:rPr>
          <w:lang w:eastAsia="en-AU"/>
        </w:rPr>
        <w:sectPr w:rsidR="00DF1EF3" w:rsidSect="00A11753">
          <w:pgSz w:w="16840" w:h="11900" w:orient="landscape"/>
          <w:pgMar w:top="709" w:right="709" w:bottom="709" w:left="709" w:header="567" w:footer="567" w:gutter="0"/>
          <w:cols w:space="708"/>
          <w:docGrid w:linePitch="360"/>
        </w:sectPr>
      </w:pPr>
      <w:r w:rsidRPr="0036340F">
        <w:rPr>
          <w:lang w:eastAsia="en-AU"/>
        </w:rPr>
        <w:t>*’Caring for children/parental leave’ also includes the reason ‘maternity leave or paternity leave’</w:t>
      </w:r>
      <w:r w:rsidR="00093C2F">
        <w:rPr>
          <w:lang w:eastAsia="en-AU"/>
        </w:rPr>
        <w:t>.</w:t>
      </w:r>
    </w:p>
    <w:p w14:paraId="63C4EC95" w14:textId="772F6B7F" w:rsidR="00E354E2" w:rsidRPr="005A3AFE" w:rsidRDefault="00A56598" w:rsidP="00BC7B68">
      <w:pPr>
        <w:pStyle w:val="Heading2"/>
        <w:spacing w:before="0" w:after="240"/>
      </w:pPr>
      <w:bookmarkStart w:id="27" w:name="_Full-time_employment"/>
      <w:bookmarkStart w:id="28" w:name="_Ref202256364"/>
      <w:bookmarkStart w:id="29" w:name="_Toc243492327"/>
      <w:bookmarkEnd w:id="27"/>
      <w:r w:rsidRPr="005A3AFE">
        <w:lastRenderedPageBreak/>
        <w:t>Full</w:t>
      </w:r>
      <w:r w:rsidR="00940F52" w:rsidRPr="005A3AFE">
        <w:t>-time employment</w:t>
      </w:r>
      <w:bookmarkEnd w:id="28"/>
      <w:bookmarkEnd w:id="29"/>
    </w:p>
    <w:p w14:paraId="154481F9" w14:textId="32E4BD6A" w:rsidR="00965B6C" w:rsidRPr="005A3AFE" w:rsidRDefault="00965B6C" w:rsidP="00965B6C">
      <w:pPr>
        <w:pStyle w:val="Body"/>
      </w:pPr>
      <w:bookmarkStart w:id="30" w:name="_Ref178673699"/>
      <w:bookmarkStart w:id="31" w:name="_Ref135683755"/>
      <w:r w:rsidRPr="005A3AFE">
        <w:t>Graduates who completed the 202</w:t>
      </w:r>
      <w:r w:rsidR="00C43F9E" w:rsidRPr="005A3AFE">
        <w:t>6</w:t>
      </w:r>
      <w:r w:rsidRPr="005A3AFE">
        <w:t xml:space="preserve"> GOS-L completed the 202</w:t>
      </w:r>
      <w:r w:rsidR="00C43F9E" w:rsidRPr="005A3AFE">
        <w:t>3</w:t>
      </w:r>
      <w:r w:rsidRPr="005A3AFE">
        <w:t xml:space="preserve"> GOS </w:t>
      </w:r>
      <w:r w:rsidR="00E05C6E" w:rsidRPr="005A3AFE">
        <w:t xml:space="preserve">during a period </w:t>
      </w:r>
      <w:r w:rsidR="00882D6E">
        <w:t xml:space="preserve">of </w:t>
      </w:r>
      <w:r w:rsidR="00882D6E" w:rsidRPr="00882D6E">
        <w:t>favourable employment conditions due to reduced competition for job vacancies</w:t>
      </w:r>
      <w:r w:rsidRPr="005A3AFE">
        <w:rPr>
          <w:lang w:val="en-GB"/>
        </w:rPr>
        <w:t xml:space="preserve">. </w:t>
      </w:r>
      <w:r w:rsidRPr="00BC7B68">
        <w:rPr>
          <w:spacing w:val="-2"/>
          <w:lang w:val="en-GB"/>
        </w:rPr>
        <w:t>This is reflected in the sharp rise in the short-term full-time employment rate</w:t>
      </w:r>
      <w:r w:rsidR="006339AA" w:rsidRPr="00BC7B68">
        <w:rPr>
          <w:spacing w:val="-2"/>
          <w:lang w:val="en-GB"/>
        </w:rPr>
        <w:t xml:space="preserve"> across all study levels</w:t>
      </w:r>
      <w:r w:rsidRPr="00BC7B68">
        <w:rPr>
          <w:spacing w:val="-2"/>
          <w:lang w:val="en-GB"/>
        </w:rPr>
        <w:t xml:space="preserve"> </w:t>
      </w:r>
      <w:r w:rsidR="00882D6E" w:rsidRPr="00BC7B68">
        <w:rPr>
          <w:spacing w:val="-2"/>
          <w:lang w:val="en-GB"/>
        </w:rPr>
        <w:t>in</w:t>
      </w:r>
      <w:r w:rsidRPr="00BC7B68">
        <w:rPr>
          <w:spacing w:val="-2"/>
          <w:lang w:val="en-GB"/>
        </w:rPr>
        <w:t xml:space="preserve"> 2022</w:t>
      </w:r>
      <w:r w:rsidR="00864764" w:rsidRPr="00BC7B68">
        <w:rPr>
          <w:spacing w:val="-2"/>
          <w:lang w:val="en-GB"/>
        </w:rPr>
        <w:t xml:space="preserve">, </w:t>
      </w:r>
      <w:r w:rsidR="00A62FFD" w:rsidRPr="00BC7B68">
        <w:rPr>
          <w:spacing w:val="-2"/>
          <w:lang w:val="en-GB"/>
        </w:rPr>
        <w:t xml:space="preserve">with a </w:t>
      </w:r>
      <w:r w:rsidR="00882D6E" w:rsidRPr="00BC7B68">
        <w:rPr>
          <w:spacing w:val="-2"/>
          <w:lang w:val="en-GB"/>
        </w:rPr>
        <w:t xml:space="preserve">further </w:t>
      </w:r>
      <w:r w:rsidR="00C65B19" w:rsidRPr="00BC7B68">
        <w:rPr>
          <w:spacing w:val="-2"/>
          <w:lang w:val="en-GB"/>
        </w:rPr>
        <w:t>increase in 2023</w:t>
      </w:r>
      <w:r w:rsidR="00A62FFD" w:rsidRPr="00BC7B68">
        <w:rPr>
          <w:spacing w:val="-2"/>
          <w:lang w:val="en-GB"/>
        </w:rPr>
        <w:t xml:space="preserve"> </w:t>
      </w:r>
      <w:r w:rsidRPr="00BC7B68">
        <w:rPr>
          <w:spacing w:val="-2"/>
          <w:lang w:val="en-GB"/>
        </w:rPr>
        <w:t>(</w:t>
      </w:r>
      <w:r w:rsidR="004E26C0" w:rsidRPr="00BC7B68">
        <w:rPr>
          <w:b/>
          <w:bCs/>
          <w:spacing w:val="-2"/>
          <w:lang w:val="en-GB"/>
        </w:rPr>
        <w:fldChar w:fldCharType="begin"/>
      </w:r>
      <w:r w:rsidR="004E26C0" w:rsidRPr="00BC7B68">
        <w:rPr>
          <w:b/>
          <w:bCs/>
          <w:spacing w:val="-2"/>
          <w:lang w:val="en-GB"/>
        </w:rPr>
        <w:instrText xml:space="preserve"> REF _Ref201326956 \h </w:instrText>
      </w:r>
      <w:r w:rsidR="00BA396F" w:rsidRPr="00BC7B68">
        <w:rPr>
          <w:b/>
          <w:bCs/>
          <w:spacing w:val="-2"/>
          <w:lang w:val="en-GB"/>
        </w:rPr>
        <w:instrText xml:space="preserve"> \* MERGEFORMAT </w:instrText>
      </w:r>
      <w:r w:rsidR="004E26C0" w:rsidRPr="00BC7B68">
        <w:rPr>
          <w:b/>
          <w:bCs/>
          <w:spacing w:val="-2"/>
          <w:lang w:val="en-GB"/>
        </w:rPr>
      </w:r>
      <w:r w:rsidR="004E26C0" w:rsidRPr="00BC7B68">
        <w:rPr>
          <w:b/>
          <w:bCs/>
          <w:spacing w:val="-2"/>
          <w:lang w:val="en-GB"/>
        </w:rPr>
        <w:fldChar w:fldCharType="separate"/>
      </w:r>
      <w:r w:rsidR="00487685" w:rsidRPr="00BC7B68">
        <w:rPr>
          <w:b/>
          <w:bCs/>
          <w:spacing w:val="-2"/>
        </w:rPr>
        <w:t xml:space="preserve">Figure </w:t>
      </w:r>
      <w:r w:rsidR="004E26C0" w:rsidRPr="00BC7B68">
        <w:rPr>
          <w:b/>
          <w:bCs/>
          <w:spacing w:val="-2"/>
          <w:lang w:val="en-GB"/>
        </w:rPr>
        <w:fldChar w:fldCharType="end"/>
      </w:r>
      <w:r w:rsidR="00487685" w:rsidRPr="00BC7B68">
        <w:rPr>
          <w:b/>
          <w:bCs/>
          <w:spacing w:val="-2"/>
          <w:lang w:val="en-GB"/>
        </w:rPr>
        <w:t>3</w:t>
      </w:r>
      <w:r w:rsidRPr="00BC7B68">
        <w:rPr>
          <w:spacing w:val="-2"/>
          <w:lang w:val="en-GB"/>
        </w:rPr>
        <w:t>)</w:t>
      </w:r>
      <w:r w:rsidR="00864764" w:rsidRPr="00BC7B68">
        <w:rPr>
          <w:spacing w:val="-2"/>
          <w:lang w:val="en-GB"/>
        </w:rPr>
        <w:t xml:space="preserve">. These results are </w:t>
      </w:r>
      <w:r w:rsidR="00CB2F67" w:rsidRPr="00BC7B68">
        <w:rPr>
          <w:spacing w:val="-2"/>
          <w:lang w:val="en-GB"/>
        </w:rPr>
        <w:t xml:space="preserve">consistent </w:t>
      </w:r>
      <w:r w:rsidRPr="00BC7B68">
        <w:rPr>
          <w:spacing w:val="-2"/>
        </w:rPr>
        <w:t>with results from the Australian Bureau of Statistics (ABS)</w:t>
      </w:r>
      <w:r w:rsidR="00266873" w:rsidRPr="00BC7B68">
        <w:rPr>
          <w:spacing w:val="-2"/>
        </w:rPr>
        <w:t xml:space="preserve"> L</w:t>
      </w:r>
      <w:r w:rsidRPr="00BC7B68">
        <w:rPr>
          <w:spacing w:val="-2"/>
        </w:rPr>
        <w:t>abour Force Survey.</w:t>
      </w:r>
      <w:r w:rsidR="00BC7B68" w:rsidRPr="00781554">
        <w:rPr>
          <w:rStyle w:val="FootnoteReference"/>
          <w:spacing w:val="-2"/>
        </w:rPr>
        <w:footnoteReference w:id="5"/>
      </w:r>
    </w:p>
    <w:p w14:paraId="0D74385B" w14:textId="3A071C40" w:rsidR="00BB21FD" w:rsidRPr="005A3AFE" w:rsidRDefault="00BB21CB" w:rsidP="764AE63B">
      <w:pPr>
        <w:pStyle w:val="Body"/>
      </w:pPr>
      <w:r w:rsidRPr="005A3AFE">
        <w:t>I</w:t>
      </w:r>
      <w:r w:rsidR="00121614" w:rsidRPr="005A3AFE">
        <w:t xml:space="preserve">n line with </w:t>
      </w:r>
      <w:r w:rsidR="00327065" w:rsidRPr="005A3AFE">
        <w:t>previous year</w:t>
      </w:r>
      <w:r w:rsidRPr="005A3AFE">
        <w:t>s</w:t>
      </w:r>
      <w:r w:rsidR="00870BA5" w:rsidRPr="005A3AFE">
        <w:t xml:space="preserve">, </w:t>
      </w:r>
      <w:r w:rsidR="009341C9" w:rsidRPr="005A3AFE">
        <w:t>the</w:t>
      </w:r>
      <w:r w:rsidR="00327065" w:rsidRPr="005A3AFE">
        <w:t xml:space="preserve"> 2023</w:t>
      </w:r>
      <w:r w:rsidR="00B37087" w:rsidRPr="005A3AFE">
        <w:t xml:space="preserve"> short-term undergraduate full-time employment </w:t>
      </w:r>
      <w:r w:rsidR="00B37087" w:rsidRPr="00FE3F59">
        <w:t>rate</w:t>
      </w:r>
      <w:r w:rsidR="00934D00" w:rsidRPr="00FE3F59">
        <w:t xml:space="preserve"> </w:t>
      </w:r>
      <w:r w:rsidR="00934D00" w:rsidRPr="0037256F">
        <w:t>(80.2 per cent</w:t>
      </w:r>
      <w:r w:rsidR="00934D00" w:rsidRPr="00FE3F59">
        <w:t>)</w:t>
      </w:r>
      <w:r w:rsidR="00870BA5" w:rsidRPr="005A3AFE">
        <w:t xml:space="preserve"> continu</w:t>
      </w:r>
      <w:r w:rsidR="00A758CE" w:rsidRPr="005A3AFE">
        <w:t>e</w:t>
      </w:r>
      <w:r w:rsidR="00AD1231" w:rsidRPr="005A3AFE">
        <w:t>d</w:t>
      </w:r>
      <w:r w:rsidR="00A758CE" w:rsidRPr="005A3AFE">
        <w:t xml:space="preserve"> to be lower than</w:t>
      </w:r>
      <w:r w:rsidR="00216C16" w:rsidRPr="005A3AFE">
        <w:t xml:space="preserve"> the</w:t>
      </w:r>
      <w:r w:rsidR="00A758CE" w:rsidRPr="005A3AFE">
        <w:t xml:space="preserve"> full-time employment </w:t>
      </w:r>
      <w:r w:rsidR="00216C16" w:rsidRPr="005A3AFE">
        <w:t xml:space="preserve">rate </w:t>
      </w:r>
      <w:r w:rsidR="00A758CE" w:rsidRPr="005A3AFE">
        <w:t>for postgraduate</w:t>
      </w:r>
      <w:r w:rsidR="007869D6">
        <w:t xml:space="preserve"> coursework</w:t>
      </w:r>
      <w:r w:rsidR="00FE3F59">
        <w:t xml:space="preserve"> (90.2 per cent)</w:t>
      </w:r>
      <w:r w:rsidR="007869D6">
        <w:t xml:space="preserve"> and postgraduate research </w:t>
      </w:r>
      <w:r w:rsidR="00A758CE" w:rsidRPr="005A3AFE">
        <w:t>graduates</w:t>
      </w:r>
      <w:r w:rsidR="007869D6">
        <w:t xml:space="preserve"> </w:t>
      </w:r>
      <w:r w:rsidR="007869D6" w:rsidRPr="0037256F">
        <w:t>(</w:t>
      </w:r>
      <w:r w:rsidR="00934D00" w:rsidRPr="0037256F">
        <w:t>86</w:t>
      </w:r>
      <w:r w:rsidR="007869D6" w:rsidRPr="0037256F">
        <w:t>.</w:t>
      </w:r>
      <w:r w:rsidR="00934D00" w:rsidRPr="0037256F">
        <w:t>2</w:t>
      </w:r>
      <w:r w:rsidR="007869D6" w:rsidRPr="0037256F">
        <w:t xml:space="preserve"> per</w:t>
      </w:r>
      <w:r w:rsidR="00FE3F59" w:rsidRPr="0037256F">
        <w:t xml:space="preserve"> </w:t>
      </w:r>
      <w:r w:rsidR="007869D6" w:rsidRPr="0037256F">
        <w:t>cent</w:t>
      </w:r>
      <w:r w:rsidR="007869D6">
        <w:t>)</w:t>
      </w:r>
      <w:r w:rsidR="000F1ABA" w:rsidRPr="005A3AFE">
        <w:t>. Over t</w:t>
      </w:r>
      <w:r w:rsidR="6CED787A" w:rsidRPr="005A3AFE">
        <w:t xml:space="preserve">he medium-term, </w:t>
      </w:r>
      <w:r w:rsidR="000F1ABA" w:rsidRPr="005A3AFE">
        <w:t xml:space="preserve">this </w:t>
      </w:r>
      <w:r w:rsidR="007869D6">
        <w:t>difference</w:t>
      </w:r>
      <w:r w:rsidR="007869D6" w:rsidRPr="005A3AFE">
        <w:t xml:space="preserve"> </w:t>
      </w:r>
      <w:r w:rsidR="000F1ABA" w:rsidRPr="005A3AFE">
        <w:t>narrow</w:t>
      </w:r>
      <w:r w:rsidR="00AD1231" w:rsidRPr="005A3AFE">
        <w:t>ed</w:t>
      </w:r>
      <w:r w:rsidR="005F7EA0" w:rsidRPr="005A3AFE">
        <w:t xml:space="preserve"> to 3.3 percentage points between undergraduate and postgraduate coursework graduates, and 0.3 percentage points between </w:t>
      </w:r>
      <w:r w:rsidR="007869D6" w:rsidRPr="005A3AFE">
        <w:t xml:space="preserve">undergraduate </w:t>
      </w:r>
      <w:r w:rsidR="007869D6">
        <w:t xml:space="preserve">and </w:t>
      </w:r>
      <w:r w:rsidR="005F7EA0" w:rsidRPr="005A3AFE">
        <w:t>postgraduate research</w:t>
      </w:r>
      <w:r w:rsidR="00FE3F59">
        <w:t xml:space="preserve"> graduates</w:t>
      </w:r>
      <w:r w:rsidR="005F7EA0" w:rsidRPr="005A3AFE">
        <w:t>.</w:t>
      </w:r>
      <w:r w:rsidR="00A70AE6" w:rsidRPr="005A3AFE">
        <w:t xml:space="preserve"> </w:t>
      </w:r>
      <w:r w:rsidR="131AD534" w:rsidRPr="005A3AFE">
        <w:t xml:space="preserve">This narrowing over the medium-term </w:t>
      </w:r>
      <w:r w:rsidR="000F1ABA" w:rsidRPr="005A3AFE">
        <w:t>suggests</w:t>
      </w:r>
      <w:r w:rsidR="00FE3F59">
        <w:t xml:space="preserve"> that</w:t>
      </w:r>
      <w:r w:rsidR="000F1ABA" w:rsidRPr="005A3AFE">
        <w:t xml:space="preserve"> it takes </w:t>
      </w:r>
      <w:r w:rsidR="083C7678" w:rsidRPr="005A3AFE">
        <w:t xml:space="preserve">more time </w:t>
      </w:r>
      <w:r w:rsidR="000F1ABA" w:rsidRPr="005A3AFE">
        <w:t>for undergraduates</w:t>
      </w:r>
      <w:r w:rsidR="00AE07EB" w:rsidRPr="005A3AFE">
        <w:t xml:space="preserve"> to</w:t>
      </w:r>
      <w:r w:rsidR="00EF51BF" w:rsidRPr="005A3AFE">
        <w:t xml:space="preserve"> </w:t>
      </w:r>
      <w:r w:rsidR="007869D6">
        <w:t>transition to</w:t>
      </w:r>
      <w:r w:rsidR="00AE07EB" w:rsidRPr="005A3AFE">
        <w:t xml:space="preserve"> full-time employment</w:t>
      </w:r>
      <w:r w:rsidR="00EF51BF" w:rsidRPr="005A3AFE">
        <w:t xml:space="preserve"> after their studies</w:t>
      </w:r>
      <w:r w:rsidR="00AE07EB" w:rsidRPr="005A3AFE">
        <w:t xml:space="preserve"> – </w:t>
      </w:r>
      <w:r w:rsidR="00882D6E">
        <w:t>reflecting</w:t>
      </w:r>
      <w:r w:rsidR="00934D00">
        <w:t xml:space="preserve"> both</w:t>
      </w:r>
      <w:r w:rsidR="00AE07EB" w:rsidRPr="005A3AFE">
        <w:t xml:space="preserve"> their </w:t>
      </w:r>
      <w:r w:rsidR="00882D6E">
        <w:t xml:space="preserve">relatively lower levels </w:t>
      </w:r>
      <w:r w:rsidR="00AE07EB" w:rsidRPr="005A3AFE">
        <w:t xml:space="preserve">of </w:t>
      </w:r>
      <w:r w:rsidR="008A1532" w:rsidRPr="005A3AFE">
        <w:t>prior</w:t>
      </w:r>
      <w:r w:rsidR="008516EB" w:rsidRPr="005A3AFE">
        <w:t xml:space="preserve"> </w:t>
      </w:r>
      <w:r w:rsidR="00882D6E">
        <w:t xml:space="preserve">work </w:t>
      </w:r>
      <w:r w:rsidR="00AE07EB" w:rsidRPr="005A3AFE">
        <w:t>experience</w:t>
      </w:r>
      <w:r w:rsidR="00934D00">
        <w:t xml:space="preserve"> and their propensity to pursue further study (see </w:t>
      </w:r>
      <w:r w:rsidR="00934D00" w:rsidRPr="0037256F">
        <w:rPr>
          <w:u w:val="single"/>
        </w:rPr>
        <w:fldChar w:fldCharType="begin"/>
      </w:r>
      <w:r w:rsidR="00934D00" w:rsidRPr="0037256F">
        <w:rPr>
          <w:u w:val="single"/>
        </w:rPr>
        <w:instrText xml:space="preserve"> REF _Ref231395501 \h  \* MERGEFORMAT </w:instrText>
      </w:r>
      <w:r w:rsidR="00934D00" w:rsidRPr="0037256F">
        <w:rPr>
          <w:u w:val="single"/>
        </w:rPr>
      </w:r>
      <w:r w:rsidR="00934D00" w:rsidRPr="0037256F">
        <w:rPr>
          <w:u w:val="single"/>
        </w:rPr>
        <w:fldChar w:fldCharType="separate"/>
      </w:r>
      <w:r w:rsidR="00934D00" w:rsidRPr="0037256F">
        <w:rPr>
          <w:u w:val="single"/>
        </w:rPr>
        <w:t>Domestic graduates in further full-time study</w:t>
      </w:r>
      <w:r w:rsidR="00934D00" w:rsidRPr="0037256F">
        <w:rPr>
          <w:u w:val="single"/>
        </w:rPr>
        <w:fldChar w:fldCharType="end"/>
      </w:r>
      <w:r w:rsidR="00934D00" w:rsidRPr="0037256F">
        <w:rPr>
          <w:u w:val="single"/>
        </w:rPr>
        <w:t>)</w:t>
      </w:r>
      <w:r w:rsidR="00AE07EB" w:rsidRPr="00A918B5">
        <w:t>.</w:t>
      </w:r>
    </w:p>
    <w:p w14:paraId="74C2C556" w14:textId="34CDABAF" w:rsidR="00557031" w:rsidRPr="005A3AFE" w:rsidRDefault="007869D6" w:rsidP="00557031">
      <w:pPr>
        <w:pStyle w:val="Body"/>
        <w:rPr>
          <w:lang w:val="en-GB"/>
        </w:rPr>
      </w:pPr>
      <w:r>
        <w:rPr>
          <w:lang w:val="en-GB"/>
        </w:rPr>
        <w:t>The</w:t>
      </w:r>
      <w:r w:rsidR="2046FB98" w:rsidRPr="005A3AFE">
        <w:rPr>
          <w:lang w:val="en-GB"/>
        </w:rPr>
        <w:t xml:space="preserve"> </w:t>
      </w:r>
      <w:r w:rsidR="65A94BA9" w:rsidRPr="005A3AFE">
        <w:rPr>
          <w:lang w:val="en-GB"/>
        </w:rPr>
        <w:t>2026</w:t>
      </w:r>
      <w:r w:rsidR="6BD4541D" w:rsidRPr="005A3AFE">
        <w:rPr>
          <w:lang w:val="en-GB"/>
        </w:rPr>
        <w:t xml:space="preserve"> </w:t>
      </w:r>
      <w:r w:rsidR="4AA0E23E" w:rsidRPr="005A3AFE">
        <w:rPr>
          <w:lang w:val="en-GB"/>
        </w:rPr>
        <w:t>medium-term full-time employment rates</w:t>
      </w:r>
      <w:r w:rsidR="00FE3F59">
        <w:rPr>
          <w:lang w:val="en-GB"/>
        </w:rPr>
        <w:t xml:space="preserve"> remained consistent with 2025 for undergraduates and postgraduates coursework graduates, and slightly decreased for </w:t>
      </w:r>
      <w:r w:rsidR="65905128" w:rsidRPr="005A3AFE">
        <w:rPr>
          <w:lang w:val="en-GB"/>
        </w:rPr>
        <w:t>postgraduate</w:t>
      </w:r>
      <w:r w:rsidR="00FE3F59">
        <w:rPr>
          <w:lang w:val="en-GB"/>
        </w:rPr>
        <w:t xml:space="preserve"> </w:t>
      </w:r>
      <w:r w:rsidR="00EF6539">
        <w:rPr>
          <w:lang w:val="en-GB"/>
        </w:rPr>
        <w:t>research</w:t>
      </w:r>
      <w:r w:rsidR="00FE3F59">
        <w:rPr>
          <w:lang w:val="en-GB"/>
        </w:rPr>
        <w:t xml:space="preserve"> graduates. </w:t>
      </w:r>
      <w:r w:rsidR="00557031" w:rsidRPr="005A3AFE">
        <w:rPr>
          <w:lang w:val="en-GB"/>
        </w:rPr>
        <w:t xml:space="preserve">In general, medium-term labour market outcomes for graduates </w:t>
      </w:r>
      <w:r>
        <w:rPr>
          <w:lang w:val="en-GB"/>
        </w:rPr>
        <w:t>are</w:t>
      </w:r>
      <w:r w:rsidR="00557031" w:rsidRPr="005A3AFE">
        <w:rPr>
          <w:lang w:val="en-GB"/>
        </w:rPr>
        <w:t xml:space="preserve"> less volatile than short-term outcomes. </w:t>
      </w:r>
      <w:r w:rsidR="00557031" w:rsidRPr="00296DF1">
        <w:rPr>
          <w:spacing w:val="-2"/>
          <w:lang w:val="en-GB"/>
        </w:rPr>
        <w:t>This is likely due to graduates being more established in their jobs 3 years after completing their studies, as well as the increased proportions of graduates employed in managerial and professional occupations</w:t>
      </w:r>
      <w:r w:rsidR="006927A1" w:rsidRPr="00296DF1">
        <w:rPr>
          <w:spacing w:val="-2"/>
          <w:lang w:val="en-GB"/>
        </w:rPr>
        <w:t xml:space="preserve"> </w:t>
      </w:r>
      <w:r w:rsidR="00A43B4B" w:rsidRPr="00296DF1">
        <w:rPr>
          <w:spacing w:val="-2"/>
          <w:lang w:val="en-GB"/>
        </w:rPr>
        <w:t>(s</w:t>
      </w:r>
      <w:r w:rsidR="00557031" w:rsidRPr="00296DF1">
        <w:rPr>
          <w:spacing w:val="-2"/>
          <w:lang w:val="en-GB"/>
        </w:rPr>
        <w:t xml:space="preserve">ee </w:t>
      </w:r>
      <w:hyperlink w:anchor="_Domestic_graduate_skills" w:history="1">
        <w:r w:rsidR="00557031" w:rsidRPr="00296DF1">
          <w:rPr>
            <w:rStyle w:val="Hyperlink"/>
            <w:spacing w:val="-2"/>
            <w:lang w:val="en-GB"/>
          </w:rPr>
          <w:t>Domestic graduate skills utilisation</w:t>
        </w:r>
      </w:hyperlink>
      <w:r w:rsidR="00A43B4B" w:rsidRPr="00296DF1">
        <w:rPr>
          <w:spacing w:val="-2"/>
        </w:rPr>
        <w:t>)</w:t>
      </w:r>
      <w:r w:rsidR="00557031" w:rsidRPr="00296DF1">
        <w:rPr>
          <w:spacing w:val="-2"/>
          <w:lang w:val="en-GB"/>
        </w:rPr>
        <w:t>.</w:t>
      </w:r>
    </w:p>
    <w:p w14:paraId="387F1181" w14:textId="0E519926" w:rsidR="00557031" w:rsidRPr="005A3AFE" w:rsidRDefault="00557031" w:rsidP="00BC7B68">
      <w:pPr>
        <w:pStyle w:val="Body"/>
        <w:spacing w:after="240"/>
      </w:pPr>
      <w:r w:rsidRPr="005A3AFE">
        <w:t xml:space="preserve">Note that in 2025, medium-term full-time employment rates appeared to increase year-on-year across all study levels. Part of this change can be attributed to the change in how the labour force is defined. Caution should be exercised when interpreting differences between medium-term results prior to 2025 as a result of this change. See </w:t>
      </w:r>
      <w:r w:rsidR="00450AF5" w:rsidRPr="005A3AFE">
        <w:fldChar w:fldCharType="begin"/>
      </w:r>
      <w:r w:rsidR="00450AF5" w:rsidRPr="005A3AFE">
        <w:instrText xml:space="preserve"> REF _Ref229931450 \r \h  \* MERGEFORMAT </w:instrText>
      </w:r>
      <w:r w:rsidR="00450AF5" w:rsidRPr="005A3AFE">
        <w:fldChar w:fldCharType="separate"/>
      </w:r>
      <w:r w:rsidR="00450AF5" w:rsidRPr="005A3AFE">
        <w:rPr>
          <w:b/>
          <w:bCs/>
        </w:rPr>
        <w:t>Appendix 1</w:t>
      </w:r>
      <w:r w:rsidR="00450AF5" w:rsidRPr="005A3AFE">
        <w:fldChar w:fldCharType="end"/>
      </w:r>
      <w:r w:rsidR="00450AF5" w:rsidRPr="005A3AFE">
        <w:t xml:space="preserve"> </w:t>
      </w:r>
      <w:r w:rsidR="00FE3F59">
        <w:t xml:space="preserve">in the 2025 GOS-L National Report </w:t>
      </w:r>
      <w:r w:rsidRPr="005A3AFE">
        <w:t xml:space="preserve">for </w:t>
      </w:r>
      <w:r w:rsidR="00FE3F59">
        <w:t>further</w:t>
      </w:r>
      <w:r w:rsidR="00FE3F59" w:rsidRPr="005A3AFE">
        <w:t xml:space="preserve"> </w:t>
      </w:r>
      <w:r w:rsidRPr="005A3AFE">
        <w:t>information.</w:t>
      </w:r>
    </w:p>
    <w:p w14:paraId="0F052506" w14:textId="52EE9411" w:rsidR="00FB2469" w:rsidRPr="005A3AFE" w:rsidRDefault="00FB2469" w:rsidP="001B285B">
      <w:pPr>
        <w:pStyle w:val="Caption"/>
      </w:pPr>
      <w:bookmarkStart w:id="32" w:name="_Ref201326956"/>
      <w:bookmarkStart w:id="33" w:name="_Toc243492109"/>
      <w:r w:rsidRPr="005A3AFE">
        <w:lastRenderedPageBreak/>
        <w:t xml:space="preserve">Figure </w:t>
      </w:r>
      <w:bookmarkEnd w:id="30"/>
      <w:bookmarkEnd w:id="31"/>
      <w:bookmarkEnd w:id="32"/>
      <w:r w:rsidR="00377B08" w:rsidRPr="005A3AFE">
        <w:fldChar w:fldCharType="begin"/>
      </w:r>
      <w:r w:rsidR="00377B08" w:rsidRPr="005A3AFE">
        <w:instrText xml:space="preserve"> SEQ Figure \* ARABIC </w:instrText>
      </w:r>
      <w:r w:rsidR="00377B08" w:rsidRPr="005A3AFE">
        <w:fldChar w:fldCharType="separate"/>
      </w:r>
      <w:r w:rsidR="008E1916">
        <w:rPr>
          <w:noProof/>
        </w:rPr>
        <w:t>3</w:t>
      </w:r>
      <w:r w:rsidR="00377B08" w:rsidRPr="005A3AFE">
        <w:fldChar w:fldCharType="end"/>
      </w:r>
      <w:bookmarkStart w:id="34" w:name="_Hlk136509892"/>
      <w:r w:rsidR="007F6B22">
        <w:tab/>
      </w:r>
      <w:r w:rsidR="008B7FB9" w:rsidRPr="005A3AFE">
        <w:t>Short- and medium-term</w:t>
      </w:r>
      <w:r w:rsidRPr="005A3AFE">
        <w:t xml:space="preserve"> full-time employment rate for 201</w:t>
      </w:r>
      <w:r w:rsidR="009E4732" w:rsidRPr="005A3AFE">
        <w:t>7</w:t>
      </w:r>
      <w:r w:rsidRPr="005A3AFE">
        <w:t xml:space="preserve"> to 202</w:t>
      </w:r>
      <w:r w:rsidR="00D0733D" w:rsidRPr="005A3AFE">
        <w:t>3</w:t>
      </w:r>
      <w:r w:rsidRPr="005A3AFE">
        <w:t xml:space="preserve"> domestic graduates</w:t>
      </w:r>
      <w:bookmarkStart w:id="35" w:name="_Ref71033086"/>
      <w:bookmarkStart w:id="36" w:name="_Toc71028415"/>
      <w:bookmarkStart w:id="37" w:name="_Toc71028468"/>
      <w:bookmarkEnd w:id="33"/>
      <w:bookmarkEnd w:id="34"/>
    </w:p>
    <w:p w14:paraId="49D4FC03" w14:textId="711B9619" w:rsidR="00E52223" w:rsidRPr="005917DE" w:rsidRDefault="005917DE" w:rsidP="005917DE">
      <w:pPr>
        <w:keepNext/>
        <w:rPr>
          <w:noProof/>
        </w:rPr>
      </w:pPr>
      <w:r w:rsidRPr="005917DE">
        <w:rPr>
          <w:noProof/>
        </w:rPr>
        <w:drawing>
          <wp:inline distT="0" distB="0" distL="0" distR="0" wp14:anchorId="57D1081E" wp14:editId="486EF362">
            <wp:extent cx="6656070" cy="5984240"/>
            <wp:effectExtent l="0" t="0" r="0" b="0"/>
            <wp:docPr id="476651431" name="Picture 1" descr="Composite chart. Short- and medium-term full-time employment rate for 2017 to 2023 domestic graduates. Three panels, top to bottom: Undergraduate; Postgraduate coursework; Postgraduate research. Legend in each panel: Short-term full-time employed; Medium-term full-time employed. Horizontal axis: short-term year followed by medium-term year. Vertical axis: full-time employment rate (%). Undergraduate: Short-term: Full-time employed: 2017 | 2020: 73.0%; 2018 | 2021: 74.3%; 2019 | 2022: 73.6%; 2020 | 2023: 70.3%; 2021 | 2024: 71.1%; 2022 | 2025*: 79.5%; 2023 | 2026*: 80.2% Medium-term: Full-time employed: 2017 | 2020: 90.1%; 2018 | 2021: 88.9%; 2019 | 2022: 91.5%; 2020 | 2023: 91.7%; 2021 | 2024: 91.1%; 2022 | 2025*: 91.7%; 2023 | 2026*: 91.8% | Postgraduate coursework: Short-term: Full-time employed: 2017 | 2020: 86.2%; 2018 | 2021: 86.6%; 2019 | 2022: 86.6%; 2020 | 2023: 86.0%; 2021 | 2024: 85.8%; 2022 | 2025*: 89.5%; 2023 | 2026*: 90.2% Medium-term: Full-time employed: 2017 | 2020: 94.1%; 2018 | 2021: 93.3%; 2019 | 2022: 94.8%; 2020 | 2023: 94.8%; 2021 | 2024: 93.9%; 2022 | 2025*: 95.4%; 2023 | 2026*: 95.1% | Postgraduate research: Short-term: Full-time employed: 2017 | 2020: 81.4%; 2018 | 2021: 82.5%; 2019 | 2022: 81.4%; 2020 | 2023: 81.1%; 2021 | 2024: 78.9%; 2022 | 2025*: 84.9%; 2023 | 2026*: 86.2% Medium-term: Full-time employed: 2017 | 2020: 90.1%; 2018 | 2021: 90.3%; 2019 | 2022: 91.5%; 2020 | 2023: 91.3%; 2021 | 2024: 92.6%; 2022 | 2025*: 93.7%; 2023 | 2026*: 9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51431" name="Picture 1" descr="Composite chart. Short- and medium-term full-time employment rate for 2017 to 2023 domestic graduates. Three panels, top to bottom: Undergraduate; Postgraduate coursework; Postgraduate research. Legend in each panel: Short-term full-time employed; Medium-term full-time employed. Horizontal axis: short-term year followed by medium-term year. Vertical axis: full-time employment rate (%). Undergraduate: Short-term: Full-time employed: 2017 | 2020: 73.0%; 2018 | 2021: 74.3%; 2019 | 2022: 73.6%; 2020 | 2023: 70.3%; 2021 | 2024: 71.1%; 2022 | 2025*: 79.5%; 2023 | 2026*: 80.2% Medium-term: Full-time employed: 2017 | 2020: 90.1%; 2018 | 2021: 88.9%; 2019 | 2022: 91.5%; 2020 | 2023: 91.7%; 2021 | 2024: 91.1%; 2022 | 2025*: 91.7%; 2023 | 2026*: 91.8% | Postgraduate coursework: Short-term: Full-time employed: 2017 | 2020: 86.2%; 2018 | 2021: 86.6%; 2019 | 2022: 86.6%; 2020 | 2023: 86.0%; 2021 | 2024: 85.8%; 2022 | 2025*: 89.5%; 2023 | 2026*: 90.2% Medium-term: Full-time employed: 2017 | 2020: 94.1%; 2018 | 2021: 93.3%; 2019 | 2022: 94.8%; 2020 | 2023: 94.8%; 2021 | 2024: 93.9%; 2022 | 2025*: 95.4%; 2023 | 2026*: 95.1% | Postgraduate research: Short-term: Full-time employed: 2017 | 2020: 81.4%; 2018 | 2021: 82.5%; 2019 | 2022: 81.4%; 2020 | 2023: 81.1%; 2021 | 2024: 78.9%; 2022 | 2025*: 84.9%; 2023 | 2026*: 86.2% Medium-term: Full-time employed: 2017 | 2020: 90.1%; 2018 | 2021: 90.3%; 2019 | 2022: 91.5%; 2020 | 2023: 91.3%; 2021 | 2024: 92.6%; 2022 | 2025*: 93.7%; 2023 | 2026*: 92.1% "/>
                    <pic:cNvPicPr/>
                  </pic:nvPicPr>
                  <pic:blipFill>
                    <a:blip r:embed="rId33"/>
                    <a:stretch>
                      <a:fillRect/>
                    </a:stretch>
                  </pic:blipFill>
                  <pic:spPr>
                    <a:xfrm>
                      <a:off x="0" y="0"/>
                      <a:ext cx="6656070" cy="5984240"/>
                    </a:xfrm>
                    <a:prstGeom prst="rect">
                      <a:avLst/>
                    </a:prstGeom>
                  </pic:spPr>
                </pic:pic>
              </a:graphicData>
            </a:graphic>
          </wp:inline>
        </w:drawing>
      </w:r>
    </w:p>
    <w:p w14:paraId="41D42CA0" w14:textId="21162A67" w:rsidR="000C27E0" w:rsidRDefault="00CA68F6" w:rsidP="001B285B">
      <w:pPr>
        <w:pStyle w:val="BaseFigureNotes"/>
        <w:spacing w:before="120" w:after="240"/>
      </w:pPr>
      <w:r w:rsidRPr="005A3AFE">
        <w:t xml:space="preserve">* </w:t>
      </w:r>
      <w:r w:rsidRPr="00330E8E">
        <w:rPr>
          <w:i/>
          <w:iCs/>
        </w:rPr>
        <w:t xml:space="preserve">Medium-term </w:t>
      </w:r>
      <w:r w:rsidR="00BE76E8" w:rsidRPr="00330E8E">
        <w:rPr>
          <w:i/>
          <w:iCs/>
        </w:rPr>
        <w:t>full-time employment rates</w:t>
      </w:r>
      <w:r w:rsidR="00BE76E8" w:rsidRPr="005A3AFE">
        <w:t xml:space="preserve"> </w:t>
      </w:r>
      <w:r w:rsidRPr="00135575">
        <w:rPr>
          <w:i/>
          <w:iCs/>
        </w:rPr>
        <w:t>from 2025 onwards</w:t>
      </w:r>
      <w:r w:rsidRPr="005A3AFE">
        <w:t xml:space="preserve"> are not directly comparable with earlier years due to a change to how the labour force is defined. Caution should be exercised when interpreting </w:t>
      </w:r>
      <w:r w:rsidR="00AE6BC8" w:rsidRPr="005A3AFE">
        <w:t xml:space="preserve">differences in full-time employment rates between </w:t>
      </w:r>
      <w:r w:rsidR="00AE6BC8" w:rsidRPr="00330E8E">
        <w:t>2025</w:t>
      </w:r>
      <w:r w:rsidR="00F546F3" w:rsidRPr="00330E8E">
        <w:t xml:space="preserve"> and 2026</w:t>
      </w:r>
      <w:r w:rsidR="00AE6BC8" w:rsidRPr="00330E8E">
        <w:t xml:space="preserve"> medium-term results</w:t>
      </w:r>
      <w:r w:rsidR="00AE6BC8" w:rsidRPr="005A3AFE">
        <w:t>, and the short</w:t>
      </w:r>
      <w:r w:rsidR="00E137FD" w:rsidRPr="005A3AFE">
        <w:t>-</w:t>
      </w:r>
      <w:r w:rsidR="00AE6BC8" w:rsidRPr="005A3AFE">
        <w:t>term results and other medium-term results</w:t>
      </w:r>
      <w:r w:rsidR="00BE76E8" w:rsidRPr="005A3AFE">
        <w:t>, as they partly reflect the change in methodology</w:t>
      </w:r>
      <w:r w:rsidRPr="005A3AFE">
        <w:t xml:space="preserve">. See </w:t>
      </w:r>
      <w:r w:rsidRPr="005A3AFE">
        <w:rPr>
          <w:b/>
          <w:bCs/>
        </w:rPr>
        <w:t>Appendix 1</w:t>
      </w:r>
      <w:r w:rsidRPr="005A3AFE">
        <w:t xml:space="preserve"> </w:t>
      </w:r>
      <w:r w:rsidR="00F546F3">
        <w:t xml:space="preserve">in the 2025 GOS-L National Report </w:t>
      </w:r>
      <w:r w:rsidRPr="005A3AFE">
        <w:t>for further information.</w:t>
      </w:r>
    </w:p>
    <w:p w14:paraId="086541AD" w14:textId="5524DA17" w:rsidR="002C76BB" w:rsidRDefault="000C27E0" w:rsidP="0050738C">
      <w:pPr>
        <w:pStyle w:val="Body"/>
      </w:pPr>
      <w:r>
        <w:t>Undergraduates</w:t>
      </w:r>
      <w:r w:rsidR="00113213">
        <w:t>’</w:t>
      </w:r>
      <w:r>
        <w:t xml:space="preserve"> lower full-time employment</w:t>
      </w:r>
      <w:r w:rsidR="00EF6539">
        <w:t xml:space="preserve"> </w:t>
      </w:r>
      <w:r w:rsidR="002A5E06">
        <w:t xml:space="preserve">rate </w:t>
      </w:r>
      <w:r w:rsidR="00EF6539">
        <w:t>in the short-term</w:t>
      </w:r>
      <w:r>
        <w:t xml:space="preserve"> can be partially attributed to their lower age and </w:t>
      </w:r>
      <w:r w:rsidR="000C048B">
        <w:t>consequently</w:t>
      </w:r>
      <w:r>
        <w:t xml:space="preserve"> lower </w:t>
      </w:r>
      <w:r w:rsidR="006C734D">
        <w:t>levels of work experience</w:t>
      </w:r>
      <w:r>
        <w:t xml:space="preserve">. </w:t>
      </w:r>
      <w:r w:rsidR="001E51CE">
        <w:t>In the short-term, o</w:t>
      </w:r>
      <w:r>
        <w:t>f those who were full-time employed</w:t>
      </w:r>
      <w:r w:rsidR="001E51CE">
        <w:t xml:space="preserve"> and working for an </w:t>
      </w:r>
      <w:r w:rsidR="001E51CE" w:rsidRPr="00FE3F59">
        <w:t>employer</w:t>
      </w:r>
      <w:r w:rsidR="001E51CE" w:rsidRPr="00A918B5">
        <w:t>,</w:t>
      </w:r>
      <w:r w:rsidR="0050738C" w:rsidRPr="00FE3F59">
        <w:t xml:space="preserve"> </w:t>
      </w:r>
      <w:r w:rsidR="002C76BB" w:rsidRPr="00FE3F59">
        <w:t xml:space="preserve">38.1 per cent of </w:t>
      </w:r>
      <w:r w:rsidR="001E51CE" w:rsidRPr="00FE3F59">
        <w:t>undergraduates</w:t>
      </w:r>
      <w:r w:rsidR="001E51CE">
        <w:t xml:space="preserve"> </w:t>
      </w:r>
      <w:r w:rsidR="0050738C">
        <w:t>were working in their first</w:t>
      </w:r>
      <w:r w:rsidR="002C76BB">
        <w:t xml:space="preserve"> </w:t>
      </w:r>
      <w:proofErr w:type="gramStart"/>
      <w:r w:rsidR="0050738C">
        <w:t>full time</w:t>
      </w:r>
      <w:proofErr w:type="gramEnd"/>
      <w:r w:rsidR="0050738C">
        <w:t xml:space="preserve"> job</w:t>
      </w:r>
      <w:r w:rsidR="00487685">
        <w:t xml:space="preserve"> (</w:t>
      </w:r>
      <w:r w:rsidR="00487685" w:rsidRPr="0037256F">
        <w:rPr>
          <w:b/>
          <w:bCs/>
        </w:rPr>
        <w:fldChar w:fldCharType="begin"/>
      </w:r>
      <w:r w:rsidR="00487685" w:rsidRPr="0037256F">
        <w:rPr>
          <w:b/>
          <w:bCs/>
        </w:rPr>
        <w:instrText xml:space="preserve"> REF _Ref231536796 \h </w:instrText>
      </w:r>
      <w:r w:rsidR="00487685">
        <w:rPr>
          <w:b/>
          <w:bCs/>
        </w:rPr>
        <w:instrText xml:space="preserve"> \* MERGEFORMAT </w:instrText>
      </w:r>
      <w:r w:rsidR="00487685" w:rsidRPr="0037256F">
        <w:rPr>
          <w:b/>
          <w:bCs/>
        </w:rPr>
      </w:r>
      <w:r w:rsidR="00487685" w:rsidRPr="0037256F">
        <w:rPr>
          <w:b/>
          <w:bCs/>
        </w:rPr>
        <w:fldChar w:fldCharType="separate"/>
      </w:r>
      <w:r w:rsidR="00487685" w:rsidRPr="0037256F">
        <w:rPr>
          <w:b/>
          <w:bCs/>
        </w:rPr>
        <w:t xml:space="preserve">Figure </w:t>
      </w:r>
      <w:r w:rsidR="00487685" w:rsidRPr="0037256F">
        <w:rPr>
          <w:b/>
          <w:bCs/>
          <w:noProof/>
        </w:rPr>
        <w:t>4</w:t>
      </w:r>
      <w:r w:rsidR="00487685" w:rsidRPr="0037256F">
        <w:rPr>
          <w:b/>
          <w:bCs/>
        </w:rPr>
        <w:fldChar w:fldCharType="end"/>
      </w:r>
      <w:r w:rsidR="00487685">
        <w:t>)</w:t>
      </w:r>
      <w:r w:rsidR="0050738C">
        <w:t>.</w:t>
      </w:r>
      <w:r w:rsidR="00FE3F59" w:rsidRPr="00E17B1D">
        <w:rPr>
          <w:rStyle w:val="FootnoteReference"/>
          <w:sz w:val="20"/>
        </w:rPr>
        <w:footnoteReference w:id="6"/>
      </w:r>
      <w:r w:rsidR="00024747" w:rsidRPr="00E17B1D">
        <w:rPr>
          <w:vertAlign w:val="superscript"/>
        </w:rPr>
        <w:t>,</w:t>
      </w:r>
      <w:r w:rsidR="00FE3F59" w:rsidRPr="00E17B1D">
        <w:rPr>
          <w:rStyle w:val="FootnoteReference"/>
          <w:sz w:val="20"/>
        </w:rPr>
        <w:footnoteReference w:id="7"/>
      </w:r>
      <w:r w:rsidR="0050738C" w:rsidRPr="00E17B1D">
        <w:t xml:space="preserve"> </w:t>
      </w:r>
      <w:r w:rsidR="002C76BB">
        <w:t xml:space="preserve">In contrast, </w:t>
      </w:r>
      <w:r w:rsidR="002C76BB" w:rsidRPr="00FE3F59">
        <w:t>only 11.</w:t>
      </w:r>
      <w:r w:rsidR="001E647B" w:rsidRPr="0037256F">
        <w:t>2</w:t>
      </w:r>
      <w:r w:rsidR="002C76BB" w:rsidRPr="00FE3F59">
        <w:t xml:space="preserve"> per cent</w:t>
      </w:r>
      <w:r w:rsidR="002C76BB">
        <w:t xml:space="preserve"> of postgraduate coursework graduates </w:t>
      </w:r>
      <w:r w:rsidR="002C76BB" w:rsidRPr="00FE3F59">
        <w:t>and 20.</w:t>
      </w:r>
      <w:r w:rsidR="001E647B" w:rsidRPr="0037256F">
        <w:t>7</w:t>
      </w:r>
      <w:r w:rsidR="002C76BB" w:rsidRPr="00FE3F59">
        <w:t xml:space="preserve"> per cent of postgraduate research graduates</w:t>
      </w:r>
      <w:r w:rsidR="002C76BB">
        <w:t xml:space="preserve"> were working in their first full-time job</w:t>
      </w:r>
      <w:r w:rsidR="006C734D">
        <w:t xml:space="preserve"> in the short-term</w:t>
      </w:r>
      <w:r w:rsidR="002C76BB">
        <w:t xml:space="preserve">. </w:t>
      </w:r>
      <w:r w:rsidR="00FE3F59">
        <w:t>Compared to undergraduates</w:t>
      </w:r>
      <w:r w:rsidR="00954DF4">
        <w:t>,</w:t>
      </w:r>
      <w:r w:rsidR="00FE3F59">
        <w:t xml:space="preserve"> </w:t>
      </w:r>
      <w:r w:rsidR="002C76BB">
        <w:t xml:space="preserve">a much larger share of </w:t>
      </w:r>
      <w:r w:rsidR="00FE3F59">
        <w:t xml:space="preserve">postgraduate coursework and postgraduate research </w:t>
      </w:r>
      <w:r w:rsidR="002C76BB">
        <w:t xml:space="preserve">graduates had been working with their employer for longer than 12 months. </w:t>
      </w:r>
      <w:r w:rsidR="0050738C">
        <w:t xml:space="preserve">In the medium-term, </w:t>
      </w:r>
      <w:r w:rsidR="002C76BB">
        <w:t>the proportion of undergraduates working in their first full-time job drops dramatically</w:t>
      </w:r>
      <w:r w:rsidR="006C734D">
        <w:t xml:space="preserve"> </w:t>
      </w:r>
      <w:r w:rsidR="006C734D" w:rsidRPr="00FE3F59">
        <w:t>to 3.3 per cent</w:t>
      </w:r>
      <w:r w:rsidR="002C76BB" w:rsidRPr="00FE3F59">
        <w:t>,</w:t>
      </w:r>
      <w:r w:rsidR="002C76BB">
        <w:t xml:space="preserve"> reflecting the increase in full-time work experience</w:t>
      </w:r>
      <w:r w:rsidR="00FE3F59">
        <w:t xml:space="preserve"> for this cohort</w:t>
      </w:r>
      <w:r w:rsidR="002C76BB">
        <w:t xml:space="preserve"> over the</w:t>
      </w:r>
      <w:r w:rsidR="00830454">
        <w:t xml:space="preserve"> short- to</w:t>
      </w:r>
      <w:r w:rsidR="002C76BB">
        <w:t xml:space="preserve"> medium-term.</w:t>
      </w:r>
    </w:p>
    <w:p w14:paraId="4867F9D0" w14:textId="68EF992B" w:rsidR="00B1074C" w:rsidRPr="00B1074C" w:rsidRDefault="002C76BB" w:rsidP="004E14B2">
      <w:pPr>
        <w:pStyle w:val="Caption"/>
        <w:rPr>
          <w:sz w:val="2"/>
          <w:szCs w:val="2"/>
        </w:rPr>
      </w:pPr>
      <w:bookmarkStart w:id="38" w:name="_Ref231536796"/>
      <w:bookmarkStart w:id="39" w:name="_Toc243492110"/>
      <w:r w:rsidRPr="00830454">
        <w:lastRenderedPageBreak/>
        <w:t xml:space="preserve">Figure </w:t>
      </w:r>
      <w:r w:rsidR="008E1916">
        <w:fldChar w:fldCharType="begin"/>
      </w:r>
      <w:r w:rsidR="008E1916">
        <w:rPr>
          <w:b w:val="0"/>
          <w:bCs w:val="0"/>
        </w:rPr>
        <w:instrText xml:space="preserve"> SEQ Figure \* ARABIC </w:instrText>
      </w:r>
      <w:r w:rsidR="008E1916">
        <w:fldChar w:fldCharType="separate"/>
      </w:r>
      <w:r w:rsidR="008E1916">
        <w:rPr>
          <w:noProof/>
        </w:rPr>
        <w:t>4</w:t>
      </w:r>
      <w:r w:rsidR="008E1916">
        <w:rPr>
          <w:noProof/>
        </w:rPr>
        <w:fldChar w:fldCharType="end"/>
      </w:r>
      <w:bookmarkEnd w:id="38"/>
      <w:r w:rsidR="00373D3A">
        <w:tab/>
      </w:r>
      <w:r w:rsidRPr="00830454">
        <w:t>Full-time job experience by course level in the short- to medium-term, 2023</w:t>
      </w:r>
      <w:r w:rsidR="008E1916">
        <w:t xml:space="preserve"> graduates</w:t>
      </w:r>
      <w:bookmarkEnd w:id="39"/>
    </w:p>
    <w:p w14:paraId="6A3D4CDE" w14:textId="1D205A2C" w:rsidR="001E647B" w:rsidRPr="0036340F" w:rsidRDefault="00135575" w:rsidP="00135575">
      <w:pPr>
        <w:pStyle w:val="Body"/>
      </w:pPr>
      <w:r w:rsidRPr="00135575">
        <w:rPr>
          <w:noProof/>
        </w:rPr>
        <w:drawing>
          <wp:inline distT="0" distB="0" distL="0" distR="0" wp14:anchorId="7D2FFB5C" wp14:editId="5F9BD57E">
            <wp:extent cx="6656070" cy="7324725"/>
            <wp:effectExtent l="0" t="0" r="0" b="9525"/>
            <wp:docPr id="1779978426" name="Picture 1" descr="Composite chart. Full-time job experience by course level in the short- to medium-term, 2023 graduates. Two panels: Short-term (2023); Medium-term (2026). Bars: Postgraduate research; Postgraduate coursework; Undergraduate. Legend segments: first full-time job; less than 12 months with current employer, not first full-time job; 12 or more months with current employer. Horizontal axis: percentage. Short-term (2023): &lt;12 months with current employer, first full-time job: Postgraduate research: 20.7%; Postgraduate coursework: 11.2%; Undergraduate: 38.1% &lt;12 months with current employer, not first full-time job: Postgraduate research: 23.6%; Postgraduate coursework: 26.0%; Undergraduate: 24.2% 12+ months with employer: Postgraduate research: 55.7%; Postgraduate coursework: 62.8%; Undergraduate: 37.7% | Medium-term (2026): First full-time job*: Postgraduate research: 1.7%; Postgraduate coursework: 0.8%; Undergraduate: 3.3% &lt;12 months with current employer, not first full-time job: Postgraduate research: 11.8%; Postgraduate coursework: 15.0%; Undergraduate: 17.3% 12+ months with current employer: Postgraduate research: 86.5%; Postgraduate coursework: 84.2%; Undergraduate: 79.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78426" name="Picture 1" descr="Composite chart. Full-time job experience by course level in the short- to medium-term, 2023 graduates. Two panels: Short-term (2023); Medium-term (2026). Bars: Postgraduate research; Postgraduate coursework; Undergraduate. Legend segments: first full-time job; less than 12 months with current employer, not first full-time job; 12 or more months with current employer. Horizontal axis: percentage. Short-term (2023): &lt;12 months with current employer, first full-time job: Postgraduate research: 20.7%; Postgraduate coursework: 11.2%; Undergraduate: 38.1% &lt;12 months with current employer, not first full-time job: Postgraduate research: 23.6%; Postgraduate coursework: 26.0%; Undergraduate: 24.2% 12+ months with employer: Postgraduate research: 55.7%; Postgraduate coursework: 62.8%; Undergraduate: 37.7% | Medium-term (2026): First full-time job*: Postgraduate research: 1.7%; Postgraduate coursework: 0.8%; Undergraduate: 3.3% &lt;12 months with current employer, not first full-time job: Postgraduate research: 11.8%; Postgraduate coursework: 15.0%; Undergraduate: 17.3% 12+ months with current employer: Postgraduate research: 86.5%; Postgraduate coursework: 84.2%; Undergraduate: 79.4% "/>
                    <pic:cNvPicPr/>
                  </pic:nvPicPr>
                  <pic:blipFill>
                    <a:blip r:embed="rId34"/>
                    <a:stretch>
                      <a:fillRect/>
                    </a:stretch>
                  </pic:blipFill>
                  <pic:spPr>
                    <a:xfrm>
                      <a:off x="0" y="0"/>
                      <a:ext cx="6656070" cy="7324725"/>
                    </a:xfrm>
                    <a:prstGeom prst="rect">
                      <a:avLst/>
                    </a:prstGeom>
                  </pic:spPr>
                </pic:pic>
              </a:graphicData>
            </a:graphic>
          </wp:inline>
        </w:drawing>
      </w:r>
    </w:p>
    <w:p w14:paraId="0F58D79A" w14:textId="1206405F" w:rsidR="009013F2" w:rsidRPr="0036340F" w:rsidRDefault="006114B0" w:rsidP="00527FDB">
      <w:pPr>
        <w:pStyle w:val="BaseFigureNotes"/>
      </w:pPr>
      <w:r w:rsidRPr="0036340F">
        <w:rPr>
          <w:b/>
          <w:bCs/>
        </w:rPr>
        <w:t>*</w:t>
      </w:r>
      <w:r w:rsidRPr="0036340F">
        <w:t>First full-time job is only asked of those who have been with their current employer for less than 12 months</w:t>
      </w:r>
      <w:r w:rsidR="00581922">
        <w:t>.</w:t>
      </w:r>
      <w:r w:rsidR="003D4E4C">
        <w:t xml:space="preserve"> This metric is a proxy indicator for </w:t>
      </w:r>
      <w:r w:rsidR="00C95690">
        <w:t xml:space="preserve">recent </w:t>
      </w:r>
      <w:r w:rsidR="003D4E4C">
        <w:t>entrants to the full-time labour market.</w:t>
      </w:r>
    </w:p>
    <w:p w14:paraId="305DD3A1" w14:textId="55D27A56" w:rsidR="00E354E2" w:rsidRPr="005A3AFE" w:rsidRDefault="00E354E2" w:rsidP="001B285B">
      <w:pPr>
        <w:pStyle w:val="Heading2"/>
      </w:pPr>
      <w:bookmarkStart w:id="40" w:name="_Toc243492328"/>
      <w:bookmarkEnd w:id="35"/>
      <w:bookmarkEnd w:id="36"/>
      <w:bookmarkEnd w:id="37"/>
      <w:r w:rsidRPr="005A3AFE">
        <w:lastRenderedPageBreak/>
        <w:t>Overall employment</w:t>
      </w:r>
      <w:bookmarkEnd w:id="40"/>
    </w:p>
    <w:p w14:paraId="797BFE47" w14:textId="0CF2BBFC" w:rsidR="00415F87" w:rsidRDefault="002A43DE" w:rsidP="001B285B">
      <w:pPr>
        <w:pStyle w:val="Body"/>
        <w:keepNext/>
        <w:keepLines/>
        <w:spacing w:after="240"/>
      </w:pPr>
      <w:r w:rsidRPr="005A3AFE">
        <w:t>The difference in overall employment rates between the short-term and medium-term for 2023 graduates narrowed in 2026, reflecting</w:t>
      </w:r>
      <w:r w:rsidR="006C734D">
        <w:t xml:space="preserve"> the transition of those unemployed into part-time and full-time employment in the medium term.</w:t>
      </w:r>
      <w:r w:rsidR="00976359">
        <w:t xml:space="preserve"> </w:t>
      </w:r>
      <w:r w:rsidR="008D3EC5" w:rsidRPr="00AC0D31">
        <w:rPr>
          <w:spacing w:val="-2"/>
        </w:rPr>
        <w:t>Compared to 2025, m</w:t>
      </w:r>
      <w:r w:rsidRPr="00AC0D31">
        <w:rPr>
          <w:spacing w:val="-2"/>
        </w:rPr>
        <w:t xml:space="preserve">edium-term overall employment rates have remained stable </w:t>
      </w:r>
      <w:r w:rsidR="008D3EC5" w:rsidRPr="00AC0D31">
        <w:rPr>
          <w:spacing w:val="-2"/>
        </w:rPr>
        <w:t>at the undergraduate level and slightly decreased at the postgraduate coursework and postgraduate research level</w:t>
      </w:r>
      <w:r w:rsidR="00996FD9" w:rsidRPr="00AC0D31">
        <w:rPr>
          <w:spacing w:val="-2"/>
        </w:rPr>
        <w:t>.</w:t>
      </w:r>
    </w:p>
    <w:p w14:paraId="402A7639" w14:textId="69030339" w:rsidR="00FB2469" w:rsidRPr="005A3AFE" w:rsidRDefault="00FB2469" w:rsidP="00FB2469">
      <w:pPr>
        <w:pStyle w:val="Caption"/>
      </w:pPr>
      <w:bookmarkStart w:id="41" w:name="_Toc243492111"/>
      <w:r w:rsidRPr="005A3AFE">
        <w:t xml:space="preserve">Figure </w:t>
      </w:r>
      <w:fldSimple w:instr=" SEQ Figure \* ARABIC ">
        <w:r w:rsidR="001768FD">
          <w:rPr>
            <w:noProof/>
          </w:rPr>
          <w:t>5</w:t>
        </w:r>
      </w:fldSimple>
      <w:r w:rsidR="007F6B22">
        <w:tab/>
      </w:r>
      <w:r w:rsidR="008B7FB9" w:rsidRPr="005A3AFE">
        <w:t>Short- and medium-term</w:t>
      </w:r>
      <w:r w:rsidRPr="005A3AFE">
        <w:t xml:space="preserve"> overall employment rate for 201</w:t>
      </w:r>
      <w:r w:rsidR="009E4732" w:rsidRPr="005A3AFE">
        <w:t>7</w:t>
      </w:r>
      <w:r w:rsidRPr="005A3AFE">
        <w:t xml:space="preserve"> to 202</w:t>
      </w:r>
      <w:r w:rsidR="00D0733D" w:rsidRPr="005A3AFE">
        <w:t>3</w:t>
      </w:r>
      <w:r w:rsidRPr="005A3AFE">
        <w:t xml:space="preserve"> domestic graduates</w:t>
      </w:r>
      <w:bookmarkEnd w:id="41"/>
    </w:p>
    <w:p w14:paraId="6A2EE3ED" w14:textId="44DD1FD9" w:rsidR="00BF3CFA" w:rsidRPr="005A3AFE" w:rsidRDefault="00513337" w:rsidP="00C44168">
      <w:pPr>
        <w:rPr>
          <w:rFonts w:ascii="Times New Roman" w:eastAsia="Times New Roman" w:hAnsi="Times New Roman" w:cs="Times New Roman"/>
          <w:sz w:val="24"/>
          <w:szCs w:val="24"/>
          <w:lang w:eastAsia="en-AU"/>
        </w:rPr>
      </w:pPr>
      <w:r w:rsidRPr="00513337">
        <w:rPr>
          <w:rFonts w:ascii="Times New Roman" w:eastAsia="Times New Roman" w:hAnsi="Times New Roman" w:cs="Times New Roman"/>
          <w:noProof/>
          <w:sz w:val="24"/>
          <w:szCs w:val="24"/>
          <w:lang w:eastAsia="en-AU"/>
        </w:rPr>
        <w:drawing>
          <wp:inline distT="0" distB="0" distL="0" distR="0" wp14:anchorId="721BA916" wp14:editId="386D7099">
            <wp:extent cx="6656070" cy="6722110"/>
            <wp:effectExtent l="0" t="0" r="0" b="2540"/>
            <wp:docPr id="719582403" name="Picture 1" descr="Composite chart. Short- and medium-term overall employment rate for 2017 to 2023 domestic graduates. Three panels, top to bottom: Undergraduate; Postgraduate coursework; Postgraduate research. Legend in each panel: Short-term overall employed; Medium-term overall employed. Horizontal axis: short-term year followed by medium-term year. Vertical axis: overall employment rate (%). Undergraduate: Short-term: Overall employed: 2017 | 2020: 86.9%; 2018 | 2021: 87.4%; 2019 | 2022: 88.1%; 2020 | 2023: 86.2%; 2021 | 2024: 86.8%; 2022 | 2025*: 89.2%; 2023 | 2026*: 90.0% Medium-term: Overall employed: 2017 | 2020: 93.3%; 2018 | 2021: 92.3%; 2019 | 2022: 93.9%; 2020 | 2023: 93.8%; 2021 | 2024: 93.3%; 2022 | 2025*: 94.6%; 2023 | 2026*: 94.6% | Postgraduate coursework: Short-term: Overall employed: 2017 | 2020: 92.9%; 2018 | 2021: 93.3%; 2019 | 2022: 92.7%; 2020 | 2023: 92.3%; 2021 | 2024: 91.5%; 2022 | 2025*: 93.8%; 2023 | 2026*: 94.4% Medium-term: Overall employed: 2017 | 2020: 95.8%; 2018 | 2021: 95.2%; 2019 | 2022: 96.0%; 2020 | 2023: 95.7%; 2021 | 2024: 95.5%; 2022 | 2025*: 97.0%; 2023 | 2026*: 96.5% | Postgraduate research: Short-term: Overall employed: 2017 | 2020: 91.3%; 2018 | 2021: 91.9%; 2019 | 2022: 91.0%; 2020 | 2023: 91.1%; 2021 | 2024: 89.3%; 2022 | 2025*: 92.7%; 2023 | 2026*: 92.0% Medium-term: Overall employed: 2017 | 2020: 92.6%; 2018 | 2021: 92.4%; 2019 | 2022: 93.6%; 2020 | 2023: 93.5%; 2021 | 2024: 94.5%; 2022 | 2025*: 96.5%; 2023 | 2026*: 9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82403" name="Picture 1" descr="Composite chart. Short- and medium-term overall employment rate for 2017 to 2023 domestic graduates. Three panels, top to bottom: Undergraduate; Postgraduate coursework; Postgraduate research. Legend in each panel: Short-term overall employed; Medium-term overall employed. Horizontal axis: short-term year followed by medium-term year. Vertical axis: overall employment rate (%). Undergraduate: Short-term: Overall employed: 2017 | 2020: 86.9%; 2018 | 2021: 87.4%; 2019 | 2022: 88.1%; 2020 | 2023: 86.2%; 2021 | 2024: 86.8%; 2022 | 2025*: 89.2%; 2023 | 2026*: 90.0% Medium-term: Overall employed: 2017 | 2020: 93.3%; 2018 | 2021: 92.3%; 2019 | 2022: 93.9%; 2020 | 2023: 93.8%; 2021 | 2024: 93.3%; 2022 | 2025*: 94.6%; 2023 | 2026*: 94.6% | Postgraduate coursework: Short-term: Overall employed: 2017 | 2020: 92.9%; 2018 | 2021: 93.3%; 2019 | 2022: 92.7%; 2020 | 2023: 92.3%; 2021 | 2024: 91.5%; 2022 | 2025*: 93.8%; 2023 | 2026*: 94.4% Medium-term: Overall employed: 2017 | 2020: 95.8%; 2018 | 2021: 95.2%; 2019 | 2022: 96.0%; 2020 | 2023: 95.7%; 2021 | 2024: 95.5%; 2022 | 2025*: 97.0%; 2023 | 2026*: 96.5% | Postgraduate research: Short-term: Overall employed: 2017 | 2020: 91.3%; 2018 | 2021: 91.9%; 2019 | 2022: 91.0%; 2020 | 2023: 91.1%; 2021 | 2024: 89.3%; 2022 | 2025*: 92.7%; 2023 | 2026*: 92.0% Medium-term: Overall employed: 2017 | 2020: 92.6%; 2018 | 2021: 92.4%; 2019 | 2022: 93.6%; 2020 | 2023: 93.5%; 2021 | 2024: 94.5%; 2022 | 2025*: 96.5%; 2023 | 2026*: 94.8% "/>
                    <pic:cNvPicPr/>
                  </pic:nvPicPr>
                  <pic:blipFill>
                    <a:blip r:embed="rId35"/>
                    <a:stretch>
                      <a:fillRect/>
                    </a:stretch>
                  </pic:blipFill>
                  <pic:spPr>
                    <a:xfrm>
                      <a:off x="0" y="0"/>
                      <a:ext cx="6656070" cy="6722110"/>
                    </a:xfrm>
                    <a:prstGeom prst="rect">
                      <a:avLst/>
                    </a:prstGeom>
                  </pic:spPr>
                </pic:pic>
              </a:graphicData>
            </a:graphic>
          </wp:inline>
        </w:drawing>
      </w:r>
    </w:p>
    <w:p w14:paraId="790DC98A" w14:textId="2D8F2B5C" w:rsidR="00DD520D" w:rsidRPr="00093C2F" w:rsidRDefault="00CA68F6" w:rsidP="00AD7403">
      <w:pPr>
        <w:pStyle w:val="BaseFigureNotes"/>
        <w:spacing w:before="120" w:after="240"/>
        <w:rPr>
          <w:spacing w:val="-2"/>
        </w:rPr>
      </w:pPr>
      <w:r w:rsidRPr="00093C2F">
        <w:rPr>
          <w:spacing w:val="-2"/>
        </w:rPr>
        <w:t xml:space="preserve">* </w:t>
      </w:r>
      <w:r w:rsidRPr="00135575">
        <w:rPr>
          <w:i/>
          <w:iCs/>
          <w:spacing w:val="-2"/>
        </w:rPr>
        <w:t xml:space="preserve">Medium-term </w:t>
      </w:r>
      <w:r w:rsidR="00F72F3A" w:rsidRPr="00135575">
        <w:rPr>
          <w:i/>
          <w:iCs/>
          <w:spacing w:val="-2"/>
        </w:rPr>
        <w:t xml:space="preserve">overall employment rates </w:t>
      </w:r>
      <w:r w:rsidRPr="00135575">
        <w:rPr>
          <w:i/>
          <w:iCs/>
          <w:spacing w:val="-2"/>
        </w:rPr>
        <w:t>from 2025 onwards</w:t>
      </w:r>
      <w:r w:rsidRPr="00093C2F">
        <w:rPr>
          <w:spacing w:val="-2"/>
        </w:rPr>
        <w:t xml:space="preserve"> are not directly comparable with earlier years due to a change to how the labour force is defined. Caution should be exercised when interpreting </w:t>
      </w:r>
      <w:r w:rsidR="00AE6BC8" w:rsidRPr="00093C2F">
        <w:rPr>
          <w:spacing w:val="-2"/>
        </w:rPr>
        <w:t>differences</w:t>
      </w:r>
      <w:r w:rsidR="000D2D2A" w:rsidRPr="00093C2F">
        <w:rPr>
          <w:spacing w:val="-2"/>
        </w:rPr>
        <w:t xml:space="preserve"> in overall employment rates</w:t>
      </w:r>
      <w:r w:rsidR="00AE6BC8" w:rsidRPr="00093C2F">
        <w:rPr>
          <w:spacing w:val="-2"/>
        </w:rPr>
        <w:t xml:space="preserve"> between 2025 </w:t>
      </w:r>
      <w:r w:rsidR="00F546F3" w:rsidRPr="00093C2F">
        <w:rPr>
          <w:spacing w:val="-2"/>
        </w:rPr>
        <w:t xml:space="preserve">and 2026 </w:t>
      </w:r>
      <w:r w:rsidR="00AE6BC8" w:rsidRPr="00093C2F">
        <w:rPr>
          <w:spacing w:val="-2"/>
        </w:rPr>
        <w:t>medium-term results, and the short</w:t>
      </w:r>
      <w:r w:rsidR="00E137FD" w:rsidRPr="00093C2F">
        <w:rPr>
          <w:spacing w:val="-2"/>
        </w:rPr>
        <w:t>-</w:t>
      </w:r>
      <w:r w:rsidR="00AE6BC8" w:rsidRPr="00093C2F">
        <w:rPr>
          <w:spacing w:val="-2"/>
        </w:rPr>
        <w:t>term results and other medium-term results</w:t>
      </w:r>
      <w:r w:rsidR="00F72F3A" w:rsidRPr="00093C2F">
        <w:rPr>
          <w:spacing w:val="-2"/>
        </w:rPr>
        <w:t>, as they partly reflect the change in methodology</w:t>
      </w:r>
      <w:r w:rsidRPr="00093C2F">
        <w:rPr>
          <w:spacing w:val="-2"/>
        </w:rPr>
        <w:t>. See</w:t>
      </w:r>
      <w:r w:rsidR="00AD7403">
        <w:rPr>
          <w:spacing w:val="-2"/>
        </w:rPr>
        <w:t> </w:t>
      </w:r>
      <w:r w:rsidRPr="00093C2F">
        <w:rPr>
          <w:b/>
          <w:bCs/>
          <w:spacing w:val="-2"/>
        </w:rPr>
        <w:t>Appendix 1</w:t>
      </w:r>
      <w:r w:rsidRPr="00093C2F">
        <w:rPr>
          <w:spacing w:val="-2"/>
        </w:rPr>
        <w:t xml:space="preserve"> </w:t>
      </w:r>
      <w:r w:rsidR="00F546F3" w:rsidRPr="00093C2F">
        <w:rPr>
          <w:spacing w:val="-2"/>
        </w:rPr>
        <w:t xml:space="preserve">in the 2025 GOS-L National Report </w:t>
      </w:r>
      <w:r w:rsidRPr="00093C2F">
        <w:rPr>
          <w:spacing w:val="-2"/>
        </w:rPr>
        <w:t>for further information.</w:t>
      </w:r>
    </w:p>
    <w:p w14:paraId="532C97C8" w14:textId="5BE30110" w:rsidR="00DD520D" w:rsidRPr="005A3AFE" w:rsidRDefault="00DD520D" w:rsidP="00DD520D">
      <w:pPr>
        <w:pStyle w:val="Body"/>
      </w:pPr>
      <w:r w:rsidRPr="005A3AFE">
        <w:t xml:space="preserve">In general, the full-time employment rate </w:t>
      </w:r>
      <w:r w:rsidR="00D94880">
        <w:t xml:space="preserve">is lower than </w:t>
      </w:r>
      <w:r w:rsidRPr="005A3AFE">
        <w:t xml:space="preserve">the </w:t>
      </w:r>
      <w:r w:rsidRPr="005A3AFE">
        <w:rPr>
          <w:i/>
          <w:iCs/>
        </w:rPr>
        <w:t>overall</w:t>
      </w:r>
      <w:r w:rsidRPr="005A3AFE">
        <w:t xml:space="preserve"> employment rate (including part-time and full-time</w:t>
      </w:r>
      <w:r w:rsidR="00D94880">
        <w:t xml:space="preserve"> hours</w:t>
      </w:r>
      <w:r w:rsidRPr="005A3AFE">
        <w:t xml:space="preserve">) of recent graduates, 4 to 6 months after course completion. Three years later, this </w:t>
      </w:r>
      <w:r>
        <w:t>difference</w:t>
      </w:r>
      <w:r w:rsidRPr="005A3AFE">
        <w:t xml:space="preserve"> narrows which may indicate that while most graduates are </w:t>
      </w:r>
      <w:r w:rsidRPr="005A3AFE">
        <w:rPr>
          <w:i/>
          <w:iCs/>
        </w:rPr>
        <w:t>available</w:t>
      </w:r>
      <w:r w:rsidRPr="005A3AFE">
        <w:t xml:space="preserve"> to work full-time soon after completing their studies, accessing </w:t>
      </w:r>
      <w:r w:rsidRPr="005A3AFE">
        <w:lastRenderedPageBreak/>
        <w:t>full-time hours can take time. This pattern is most notable at the undergraduate level but can also be seen at the postgraduate research and, to a lesser extent, postgraduate coursework levels.</w:t>
      </w:r>
    </w:p>
    <w:p w14:paraId="70C7BA3B" w14:textId="6261FB4B" w:rsidR="00DD520D" w:rsidRPr="005A3AFE" w:rsidRDefault="00DD520D" w:rsidP="00DD520D">
      <w:pPr>
        <w:pStyle w:val="Body"/>
      </w:pPr>
      <w:r w:rsidRPr="005A3AFE">
        <w:t>For example, the full-time employment rate of recent undergraduates in 2023 was 80.2 per cent (</w:t>
      </w:r>
      <w:r w:rsidRPr="005A3AFE">
        <w:rPr>
          <w:b/>
          <w:bCs/>
        </w:rPr>
        <w:fldChar w:fldCharType="begin"/>
      </w:r>
      <w:r w:rsidRPr="005A3AFE">
        <w:rPr>
          <w:b/>
          <w:bCs/>
        </w:rPr>
        <w:instrText xml:space="preserve"> REF _Ref201326956 \h  \* MERGEFORMAT </w:instrText>
      </w:r>
      <w:r w:rsidRPr="005A3AFE">
        <w:rPr>
          <w:b/>
          <w:bCs/>
        </w:rPr>
      </w:r>
      <w:r w:rsidRPr="005A3AFE">
        <w:rPr>
          <w:b/>
          <w:bCs/>
        </w:rPr>
        <w:fldChar w:fldCharType="separate"/>
      </w:r>
      <w:r w:rsidR="00487685" w:rsidRPr="00EA6894">
        <w:rPr>
          <w:b/>
          <w:bCs/>
        </w:rPr>
        <w:t xml:space="preserve">Figure </w:t>
      </w:r>
      <w:r w:rsidRPr="005A3AFE">
        <w:rPr>
          <w:b/>
          <w:bCs/>
        </w:rPr>
        <w:fldChar w:fldCharType="end"/>
      </w:r>
      <w:r w:rsidR="00487685">
        <w:rPr>
          <w:b/>
          <w:bCs/>
        </w:rPr>
        <w:t>3</w:t>
      </w:r>
      <w:r w:rsidRPr="005A3AFE">
        <w:t>) and the overall employment rate was 90.0 per cent (</w:t>
      </w:r>
      <w:r w:rsidRPr="005A3AFE">
        <w:rPr>
          <w:b/>
          <w:bCs/>
        </w:rPr>
        <w:t xml:space="preserve">Figure </w:t>
      </w:r>
      <w:r w:rsidR="00487685">
        <w:rPr>
          <w:b/>
          <w:bCs/>
        </w:rPr>
        <w:t>5</w:t>
      </w:r>
      <w:r w:rsidRPr="005A3AFE">
        <w:t xml:space="preserve">), a difference of 9.8 percentage points. </w:t>
      </w:r>
      <w:r w:rsidRPr="008E24D7">
        <w:rPr>
          <w:spacing w:val="-2"/>
        </w:rPr>
        <w:t>Three</w:t>
      </w:r>
      <w:r w:rsidR="008E24D7" w:rsidRPr="008E24D7">
        <w:rPr>
          <w:spacing w:val="-2"/>
        </w:rPr>
        <w:t> </w:t>
      </w:r>
      <w:r w:rsidRPr="008E24D7">
        <w:rPr>
          <w:spacing w:val="-2"/>
        </w:rPr>
        <w:t>years later in 2026, the full-time employment rate had risen to 91.8 per cent and the overall employment rate was 94.6 per cent, a difference of only 2.8 percentage points.</w:t>
      </w:r>
    </w:p>
    <w:p w14:paraId="186D1C71" w14:textId="63F25E96" w:rsidR="00DD520D" w:rsidRDefault="00DD520D" w:rsidP="00373D3A">
      <w:pPr>
        <w:pStyle w:val="Body"/>
        <w:spacing w:after="240"/>
      </w:pPr>
      <w:r>
        <w:t xml:space="preserve">These patterns coincide with </w:t>
      </w:r>
      <w:r w:rsidR="003B5104">
        <w:t>a large</w:t>
      </w:r>
      <w:r w:rsidR="00DF13AE">
        <w:t xml:space="preserve"> decrease in the</w:t>
      </w:r>
      <w:r>
        <w:t xml:space="preserve"> proportion of employed </w:t>
      </w:r>
      <w:r w:rsidR="003B5104">
        <w:t>under</w:t>
      </w:r>
      <w:r>
        <w:t>graduates who were working part-time hours</w:t>
      </w:r>
      <w:r w:rsidR="008D3EC5">
        <w:t xml:space="preserve"> </w:t>
      </w:r>
      <w:r w:rsidR="00D94880">
        <w:t>from</w:t>
      </w:r>
      <w:r w:rsidR="008D3EC5">
        <w:t xml:space="preserve"> the short-</w:t>
      </w:r>
      <w:r w:rsidR="00D94880">
        <w:t>term</w:t>
      </w:r>
      <w:r w:rsidR="008D3EC5">
        <w:t xml:space="preserve"> to medium-term</w:t>
      </w:r>
      <w:r w:rsidR="00DF13AE">
        <w:t xml:space="preserve"> (</w:t>
      </w:r>
      <w:r w:rsidR="00DF13AE" w:rsidRPr="00EA6894">
        <w:rPr>
          <w:b/>
          <w:bCs/>
        </w:rPr>
        <w:fldChar w:fldCharType="begin"/>
      </w:r>
      <w:r w:rsidR="00DF13AE" w:rsidRPr="00EA6894">
        <w:rPr>
          <w:b/>
          <w:bCs/>
        </w:rPr>
        <w:instrText xml:space="preserve"> REF _Ref231460053 \h </w:instrText>
      </w:r>
      <w:r w:rsidR="00DF13AE">
        <w:rPr>
          <w:b/>
          <w:bCs/>
        </w:rPr>
        <w:instrText xml:space="preserve"> \* MERGEFORMAT </w:instrText>
      </w:r>
      <w:r w:rsidR="00DF13AE" w:rsidRPr="00EA6894">
        <w:rPr>
          <w:b/>
          <w:bCs/>
        </w:rPr>
      </w:r>
      <w:r w:rsidR="00DF13AE" w:rsidRPr="00EA6894">
        <w:rPr>
          <w:b/>
          <w:bCs/>
        </w:rPr>
        <w:fldChar w:fldCharType="separate"/>
      </w:r>
      <w:r w:rsidR="00DF13AE" w:rsidRPr="00EA6894">
        <w:rPr>
          <w:b/>
          <w:bCs/>
        </w:rPr>
        <w:t xml:space="preserve">Figure </w:t>
      </w:r>
      <w:r w:rsidR="00DF13AE" w:rsidRPr="00EA6894">
        <w:rPr>
          <w:b/>
          <w:bCs/>
          <w:noProof/>
        </w:rPr>
        <w:t>6</w:t>
      </w:r>
      <w:r w:rsidR="00DF13AE" w:rsidRPr="00EA6894">
        <w:rPr>
          <w:b/>
          <w:bCs/>
        </w:rPr>
        <w:fldChar w:fldCharType="end"/>
      </w:r>
      <w:r w:rsidR="00DF13AE">
        <w:t>)</w:t>
      </w:r>
      <w:r>
        <w:t>.</w:t>
      </w:r>
      <w:r w:rsidR="003B5104" w:rsidRPr="00E17B1D">
        <w:rPr>
          <w:rStyle w:val="FootnoteReference"/>
          <w:sz w:val="20"/>
        </w:rPr>
        <w:footnoteReference w:id="8"/>
      </w:r>
      <w:r w:rsidRPr="00E17B1D">
        <w:t xml:space="preserve"> </w:t>
      </w:r>
      <w:r>
        <w:t xml:space="preserve">This </w:t>
      </w:r>
      <w:r w:rsidR="00DF13AE">
        <w:t>decrease is</w:t>
      </w:r>
      <w:r>
        <w:t xml:space="preserve"> reflective of undergraduates taking time to </w:t>
      </w:r>
      <w:r w:rsidR="00DF13AE">
        <w:t>transition to full-time employment</w:t>
      </w:r>
      <w:r>
        <w:t xml:space="preserve">. For postgraduate coursework and postgraduate research graduates, the share of part-time hours only slightly decreased </w:t>
      </w:r>
      <w:r w:rsidR="00D94880">
        <w:t>from</w:t>
      </w:r>
      <w:r>
        <w:t xml:space="preserve"> the short-</w:t>
      </w:r>
      <w:r w:rsidR="00D94880">
        <w:t>term</w:t>
      </w:r>
      <w:r>
        <w:t xml:space="preserve"> to medium-term.</w:t>
      </w:r>
    </w:p>
    <w:p w14:paraId="115BFF6F" w14:textId="1F2CC6E9" w:rsidR="00DD520D" w:rsidRPr="00EB7186" w:rsidRDefault="00DD520D" w:rsidP="006621EE">
      <w:pPr>
        <w:pStyle w:val="Caption"/>
        <w:spacing w:before="0"/>
      </w:pPr>
      <w:bookmarkStart w:id="42" w:name="_Ref231460053"/>
      <w:bookmarkStart w:id="43" w:name="_Toc243492112"/>
      <w:r w:rsidRPr="00EB7186">
        <w:t xml:space="preserve">Figure </w:t>
      </w:r>
      <w:fldSimple w:instr=" SEQ Figure \* ARABIC ">
        <w:r w:rsidR="008E1916" w:rsidRPr="00EB7186">
          <w:rPr>
            <w:noProof/>
          </w:rPr>
          <w:t>6</w:t>
        </w:r>
      </w:fldSimple>
      <w:bookmarkEnd w:id="42"/>
      <w:r w:rsidR="006621EE" w:rsidRPr="00EB7186">
        <w:tab/>
      </w:r>
      <w:r w:rsidRPr="00EB7186">
        <w:t>Share of graduates employed part-time by study level, 20</w:t>
      </w:r>
      <w:r w:rsidR="008E1916" w:rsidRPr="00EB7186">
        <w:t>23 graduates</w:t>
      </w:r>
      <w:r w:rsidRPr="00EB7186">
        <w:t xml:space="preserve"> (% of those employed)</w:t>
      </w:r>
      <w:bookmarkEnd w:id="43"/>
    </w:p>
    <w:p w14:paraId="738B5427" w14:textId="64F6B777" w:rsidR="00DD520D" w:rsidRDefault="0053057F" w:rsidP="0053057F">
      <w:r>
        <w:rPr>
          <w:noProof/>
        </w:rPr>
        <w:drawing>
          <wp:inline distT="0" distB="0" distL="0" distR="0" wp14:anchorId="1F233821" wp14:editId="5DC0D4B6">
            <wp:extent cx="6657340" cy="2158365"/>
            <wp:effectExtent l="0" t="0" r="0" b="0"/>
            <wp:docPr id="1266089792" name="Picture 18" descr="Clustered column chart. Share of graduates employed part-time by study level, 2023 graduates (% of those employed). Legend: Short-term (2023); Medium-term (2026). Categories: Undergraduate; Postgraduate coursework; Postgraduate research. Vertical axis: share employed part-time (% of those employed). Undergraduate: Short-term (2023): 34.8%; Medium-term (2026): 23.7% Postgraduate coursework: Short-term (2023): 22.7%; Medium-term (2026): 20.6% Postgraduate research: Short-term (2023): 22.3%; Medium-term (2026):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89792" name="Picture 18" descr="Clustered column chart. Share of graduates employed part-time by study level, 2023 graduates (% of those employed). Legend: Short-term (2023); Medium-term (2026). Categories: Undergraduate; Postgraduate coursework; Postgraduate research. Vertical axis: share employed part-time (% of those employed). Undergraduate: Short-term (2023): 34.8%; Medium-term (2026): 23.7% Postgraduate coursework: Short-term (2023): 22.7%; Medium-term (2026): 20.6% Postgraduate research: Short-term (2023): 22.3%; Medium-term (2026): 20.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57340" cy="2158365"/>
                    </a:xfrm>
                    <a:prstGeom prst="rect">
                      <a:avLst/>
                    </a:prstGeom>
                    <a:noFill/>
                  </pic:spPr>
                </pic:pic>
              </a:graphicData>
            </a:graphic>
          </wp:inline>
        </w:drawing>
      </w:r>
    </w:p>
    <w:p w14:paraId="0487B5F9" w14:textId="5771827E" w:rsidR="00B51933" w:rsidRPr="005A3AFE" w:rsidRDefault="00E354E2" w:rsidP="007A292C">
      <w:pPr>
        <w:pStyle w:val="Heading2"/>
      </w:pPr>
      <w:bookmarkStart w:id="44" w:name="_Toc243492329"/>
      <w:r w:rsidRPr="005A3AFE">
        <w:t>Median annual full-time salary</w:t>
      </w:r>
      <w:bookmarkEnd w:id="44"/>
    </w:p>
    <w:p w14:paraId="7CA3A493" w14:textId="3D0F25E6" w:rsidR="00C74C73" w:rsidRPr="005A3AFE" w:rsidRDefault="00B307A5" w:rsidP="004C3A06">
      <w:pPr>
        <w:pStyle w:val="Body"/>
      </w:pPr>
      <w:r w:rsidRPr="005A3AFE">
        <w:t>Domestic g</w:t>
      </w:r>
      <w:r w:rsidR="003459A3" w:rsidRPr="005A3AFE">
        <w:t xml:space="preserve">raduates with </w:t>
      </w:r>
      <w:r w:rsidR="00F95A57" w:rsidRPr="005A3AFE">
        <w:t>postgraduate</w:t>
      </w:r>
      <w:r w:rsidR="003459A3" w:rsidRPr="005A3AFE">
        <w:t xml:space="preserve"> qualifications</w:t>
      </w:r>
      <w:r w:rsidR="0039496B" w:rsidRPr="005A3AFE">
        <w:t xml:space="preserve"> have higher median salaries than </w:t>
      </w:r>
      <w:r w:rsidR="00F95A57" w:rsidRPr="005A3AFE">
        <w:t xml:space="preserve">those with </w:t>
      </w:r>
      <w:r w:rsidR="0039496B" w:rsidRPr="005A3AFE">
        <w:t>undergraduate</w:t>
      </w:r>
      <w:r w:rsidR="00F95A57" w:rsidRPr="005A3AFE">
        <w:t xml:space="preserve"> qualification</w:t>
      </w:r>
      <w:r w:rsidR="0039496B" w:rsidRPr="005A3AFE">
        <w:t>s in</w:t>
      </w:r>
      <w:r w:rsidR="006E1709" w:rsidRPr="005A3AFE">
        <w:t xml:space="preserve"> the </w:t>
      </w:r>
      <w:r w:rsidR="008B7FB9" w:rsidRPr="005A3AFE">
        <w:t>short- and medium-term</w:t>
      </w:r>
      <w:r w:rsidR="006E1709" w:rsidRPr="005A3AFE">
        <w:t xml:space="preserve"> (</w:t>
      </w:r>
      <w:r w:rsidR="00E43A8A" w:rsidRPr="005A3AFE">
        <w:rPr>
          <w:b/>
          <w:bCs/>
        </w:rPr>
        <w:fldChar w:fldCharType="begin"/>
      </w:r>
      <w:r w:rsidR="00E43A8A" w:rsidRPr="005A3AFE">
        <w:rPr>
          <w:b/>
          <w:bCs/>
        </w:rPr>
        <w:instrText xml:space="preserve"> REF _Ref201834075 \h  \* MERGEFORMAT </w:instrText>
      </w:r>
      <w:r w:rsidR="00E43A8A" w:rsidRPr="005A3AFE">
        <w:rPr>
          <w:b/>
          <w:bCs/>
        </w:rPr>
      </w:r>
      <w:r w:rsidR="00E43A8A" w:rsidRPr="005A3AFE">
        <w:rPr>
          <w:b/>
          <w:bCs/>
        </w:rPr>
        <w:fldChar w:fldCharType="separate"/>
      </w:r>
      <w:r w:rsidR="00487685" w:rsidRPr="001163D4">
        <w:rPr>
          <w:b/>
          <w:bCs/>
        </w:rPr>
        <w:t xml:space="preserve">Figure </w:t>
      </w:r>
      <w:r w:rsidR="00E43A8A" w:rsidRPr="005A3AFE">
        <w:rPr>
          <w:b/>
          <w:bCs/>
        </w:rPr>
        <w:fldChar w:fldCharType="end"/>
      </w:r>
      <w:r w:rsidR="00487685">
        <w:rPr>
          <w:b/>
          <w:bCs/>
        </w:rPr>
        <w:t>7</w:t>
      </w:r>
      <w:r w:rsidR="00E43A8A" w:rsidRPr="005A3AFE">
        <w:t>)</w:t>
      </w:r>
      <w:r w:rsidR="006E1709" w:rsidRPr="005A3AFE">
        <w:t xml:space="preserve">. </w:t>
      </w:r>
      <w:r w:rsidR="00605BFB" w:rsidRPr="00441722">
        <w:rPr>
          <w:spacing w:val="-4"/>
        </w:rPr>
        <w:t xml:space="preserve">This </w:t>
      </w:r>
      <w:r w:rsidR="00D05C62" w:rsidRPr="00441722">
        <w:rPr>
          <w:spacing w:val="-4"/>
        </w:rPr>
        <w:t>differen</w:t>
      </w:r>
      <w:r w:rsidR="006808CF" w:rsidRPr="00441722">
        <w:rPr>
          <w:spacing w:val="-4"/>
        </w:rPr>
        <w:t>ce</w:t>
      </w:r>
      <w:r w:rsidR="00D05C62" w:rsidRPr="00441722">
        <w:rPr>
          <w:spacing w:val="-4"/>
        </w:rPr>
        <w:t xml:space="preserve"> in median salar</w:t>
      </w:r>
      <w:r w:rsidR="007C5C0F" w:rsidRPr="00441722">
        <w:rPr>
          <w:spacing w:val="-4"/>
        </w:rPr>
        <w:t xml:space="preserve">ies by study levels may be attributed to </w:t>
      </w:r>
      <w:r w:rsidR="00F20B46" w:rsidRPr="00441722">
        <w:rPr>
          <w:spacing w:val="-4"/>
        </w:rPr>
        <w:t xml:space="preserve">more advanced or specialised skills and knowledge </w:t>
      </w:r>
      <w:r w:rsidR="00F11A54" w:rsidRPr="00441722">
        <w:rPr>
          <w:spacing w:val="-4"/>
        </w:rPr>
        <w:t xml:space="preserve">acquired in a postgraduate level course, but </w:t>
      </w:r>
      <w:r w:rsidR="00505C04" w:rsidRPr="00441722">
        <w:rPr>
          <w:spacing w:val="-4"/>
        </w:rPr>
        <w:t xml:space="preserve">it </w:t>
      </w:r>
      <w:r w:rsidR="00F11A54" w:rsidRPr="00441722">
        <w:rPr>
          <w:spacing w:val="-4"/>
        </w:rPr>
        <w:t xml:space="preserve">is also likely driven by </w:t>
      </w:r>
      <w:r w:rsidR="00A32EEF" w:rsidRPr="00441722">
        <w:rPr>
          <w:spacing w:val="-4"/>
        </w:rPr>
        <w:t xml:space="preserve">graduates’ </w:t>
      </w:r>
      <w:r w:rsidR="004D2746" w:rsidRPr="00441722">
        <w:rPr>
          <w:spacing w:val="-4"/>
        </w:rPr>
        <w:t xml:space="preserve">prior labour </w:t>
      </w:r>
      <w:r w:rsidR="002A08CE" w:rsidRPr="00441722">
        <w:rPr>
          <w:spacing w:val="-4"/>
        </w:rPr>
        <w:t xml:space="preserve">market </w:t>
      </w:r>
      <w:r w:rsidR="004D2746" w:rsidRPr="00441722">
        <w:rPr>
          <w:spacing w:val="-4"/>
        </w:rPr>
        <w:t>experience</w:t>
      </w:r>
      <w:r w:rsidR="00E84E2E" w:rsidRPr="00441722">
        <w:rPr>
          <w:spacing w:val="-4"/>
        </w:rPr>
        <w:t xml:space="preserve"> or </w:t>
      </w:r>
      <w:r w:rsidR="0019795A" w:rsidRPr="00441722">
        <w:rPr>
          <w:spacing w:val="-4"/>
        </w:rPr>
        <w:t>establishment in the labour force</w:t>
      </w:r>
      <w:r w:rsidR="00F11A54" w:rsidRPr="00441722">
        <w:rPr>
          <w:spacing w:val="-4"/>
        </w:rPr>
        <w:t xml:space="preserve"> </w:t>
      </w:r>
      <w:r w:rsidR="002A08CE" w:rsidRPr="00441722">
        <w:rPr>
          <w:spacing w:val="-4"/>
        </w:rPr>
        <w:t xml:space="preserve">before or </w:t>
      </w:r>
      <w:r w:rsidR="004B48EA" w:rsidRPr="00441722">
        <w:rPr>
          <w:spacing w:val="-4"/>
        </w:rPr>
        <w:t>during their studies.</w:t>
      </w:r>
    </w:p>
    <w:p w14:paraId="7ED5B222" w14:textId="5ADE3946" w:rsidR="007D1F2F" w:rsidRPr="005A3AFE" w:rsidRDefault="00533949" w:rsidP="007D1F2F">
      <w:pPr>
        <w:pStyle w:val="Body"/>
        <w:rPr>
          <w:rFonts w:ascii="ArialMT" w:hAnsi="ArialMT" w:cs="ArialMT"/>
          <w:lang w:val="en-GB"/>
        </w:rPr>
      </w:pPr>
      <w:r w:rsidRPr="005A3AFE">
        <w:t>While undergraduate median salaries</w:t>
      </w:r>
      <w:r w:rsidR="0078781E" w:rsidRPr="005A3AFE">
        <w:t xml:space="preserve"> </w:t>
      </w:r>
      <w:r w:rsidR="00110DB4" w:rsidRPr="005A3AFE">
        <w:t xml:space="preserve">were </w:t>
      </w:r>
      <w:r w:rsidR="0078781E" w:rsidRPr="005A3AFE">
        <w:t>lower in the short</w:t>
      </w:r>
      <w:r w:rsidR="008809F9" w:rsidRPr="005A3AFE">
        <w:t>-</w:t>
      </w:r>
      <w:r w:rsidR="00851C83" w:rsidRPr="005A3AFE">
        <w:t xml:space="preserve"> </w:t>
      </w:r>
      <w:r w:rsidR="0078781E" w:rsidRPr="005A3AFE">
        <w:t>and medium-term, they increase</w:t>
      </w:r>
      <w:r w:rsidR="00110DB4" w:rsidRPr="005A3AFE">
        <w:t>d</w:t>
      </w:r>
      <w:r w:rsidR="0078781E" w:rsidRPr="005A3AFE">
        <w:t xml:space="preserve"> at a higher rate than both postgraduate coursework and postgraduate research median salaries</w:t>
      </w:r>
      <w:r w:rsidR="000D3F18" w:rsidRPr="005A3AFE">
        <w:t>.</w:t>
      </w:r>
      <w:r w:rsidR="008F48E2" w:rsidRPr="005A3AFE">
        <w:t xml:space="preserve"> </w:t>
      </w:r>
      <w:r w:rsidR="007D1F2F" w:rsidRPr="005A3AFE">
        <w:rPr>
          <w:rFonts w:ascii="ArialMT" w:hAnsi="ArialMT" w:cs="ArialMT"/>
          <w:lang w:val="en-GB"/>
        </w:rPr>
        <w:t xml:space="preserve">Despite increasing at a higher rate over the 3-year period, in dollar terms, the </w:t>
      </w:r>
      <w:r w:rsidR="008248D7">
        <w:rPr>
          <w:rFonts w:ascii="ArialMT" w:hAnsi="ArialMT" w:cs="ArialMT"/>
          <w:lang w:val="en-GB"/>
        </w:rPr>
        <w:t>difference</w:t>
      </w:r>
      <w:r w:rsidR="008248D7" w:rsidRPr="005A3AFE">
        <w:rPr>
          <w:rFonts w:ascii="ArialMT" w:hAnsi="ArialMT" w:cs="ArialMT"/>
          <w:lang w:val="en-GB"/>
        </w:rPr>
        <w:t xml:space="preserve"> </w:t>
      </w:r>
      <w:r w:rsidR="007D1F2F" w:rsidRPr="005A3AFE">
        <w:rPr>
          <w:rFonts w:ascii="ArialMT" w:hAnsi="ArialMT" w:cs="ArialMT"/>
          <w:lang w:val="en-GB"/>
        </w:rPr>
        <w:t>in median salaries remained: the postgraduate coursework median salary was $2</w:t>
      </w:r>
      <w:r w:rsidR="005B2534" w:rsidRPr="005A3AFE">
        <w:rPr>
          <w:rFonts w:ascii="ArialMT" w:hAnsi="ArialMT" w:cs="ArialMT"/>
          <w:lang w:val="en-GB"/>
        </w:rPr>
        <w:t>6</w:t>
      </w:r>
      <w:r w:rsidR="007D1F2F" w:rsidRPr="005A3AFE">
        <w:rPr>
          <w:rFonts w:ascii="ArialMT" w:hAnsi="ArialMT" w:cs="ArialMT"/>
          <w:lang w:val="en-GB"/>
        </w:rPr>
        <w:t>,</w:t>
      </w:r>
      <w:r w:rsidR="005B2534" w:rsidRPr="005A3AFE">
        <w:rPr>
          <w:rFonts w:ascii="ArialMT" w:hAnsi="ArialMT" w:cs="ArialMT"/>
          <w:lang w:val="en-GB"/>
        </w:rPr>
        <w:t>5</w:t>
      </w:r>
      <w:r w:rsidR="007D1F2F" w:rsidRPr="005A3AFE">
        <w:rPr>
          <w:rFonts w:ascii="ArialMT" w:hAnsi="ArialMT" w:cs="ArialMT"/>
          <w:lang w:val="en-GB"/>
        </w:rPr>
        <w:t>00</w:t>
      </w:r>
      <w:r w:rsidR="00DE5136" w:rsidRPr="005A3AFE">
        <w:rPr>
          <w:rFonts w:ascii="ArialMT" w:hAnsi="ArialMT" w:cs="ArialMT"/>
          <w:lang w:val="en-GB"/>
        </w:rPr>
        <w:t xml:space="preserve"> higher than the undergraduate salary</w:t>
      </w:r>
      <w:r w:rsidR="007D1F2F" w:rsidRPr="005A3AFE">
        <w:rPr>
          <w:rFonts w:ascii="ArialMT" w:hAnsi="ArialMT" w:cs="ArialMT"/>
          <w:lang w:val="en-GB"/>
        </w:rPr>
        <w:t xml:space="preserve"> in the medium-term.</w:t>
      </w:r>
      <w:r w:rsidR="005B2534" w:rsidRPr="005A3AFE">
        <w:rPr>
          <w:rFonts w:ascii="ArialMT" w:hAnsi="ArialMT" w:cs="ArialMT"/>
          <w:lang w:val="en-GB"/>
        </w:rPr>
        <w:t xml:space="preserve"> Compared to the 2022</w:t>
      </w:r>
      <w:r w:rsidR="00886C60" w:rsidRPr="00886C60">
        <w:rPr>
          <w:rFonts w:ascii="ArialMT" w:hAnsi="ArialMT" w:cs="ArialMT"/>
        </w:rPr>
        <w:t>–</w:t>
      </w:r>
      <w:r w:rsidR="005B2534" w:rsidRPr="005A3AFE">
        <w:rPr>
          <w:rFonts w:ascii="ArialMT" w:hAnsi="ArialMT" w:cs="ArialMT"/>
          <w:lang w:val="en-GB"/>
        </w:rPr>
        <w:t xml:space="preserve">2025 cohort, this </w:t>
      </w:r>
      <w:r w:rsidR="008248D7">
        <w:rPr>
          <w:rFonts w:ascii="ArialMT" w:hAnsi="ArialMT" w:cs="ArialMT"/>
          <w:lang w:val="en-GB"/>
        </w:rPr>
        <w:t>difference</w:t>
      </w:r>
      <w:r w:rsidR="008248D7" w:rsidRPr="005A3AFE" w:rsidDel="008248D7">
        <w:rPr>
          <w:rFonts w:ascii="ArialMT" w:hAnsi="ArialMT" w:cs="ArialMT"/>
          <w:lang w:val="en-GB"/>
        </w:rPr>
        <w:t xml:space="preserve"> </w:t>
      </w:r>
      <w:r w:rsidR="002D7E32" w:rsidRPr="005A3AFE">
        <w:rPr>
          <w:rFonts w:ascii="ArialMT" w:hAnsi="ArialMT" w:cs="ArialMT"/>
          <w:lang w:val="en-GB"/>
        </w:rPr>
        <w:t xml:space="preserve">has </w:t>
      </w:r>
      <w:r w:rsidR="00FB496E" w:rsidRPr="005A3AFE">
        <w:rPr>
          <w:rFonts w:ascii="ArialMT" w:hAnsi="ArialMT" w:cs="ArialMT"/>
          <w:lang w:val="en-GB"/>
        </w:rPr>
        <w:t>widened</w:t>
      </w:r>
      <w:r w:rsidR="002D7E32" w:rsidRPr="005A3AFE">
        <w:rPr>
          <w:rFonts w:ascii="ArialMT" w:hAnsi="ArialMT" w:cs="ArialMT"/>
          <w:lang w:val="en-GB"/>
        </w:rPr>
        <w:t xml:space="preserve"> by $1,500</w:t>
      </w:r>
      <w:r w:rsidR="00DE5136" w:rsidRPr="005A3AFE">
        <w:rPr>
          <w:rFonts w:ascii="ArialMT" w:hAnsi="ArialMT" w:cs="ArialMT"/>
          <w:lang w:val="en-GB"/>
        </w:rPr>
        <w:t>.</w:t>
      </w:r>
    </w:p>
    <w:p w14:paraId="02229AC3" w14:textId="09643047" w:rsidR="0045410B" w:rsidRPr="005A3AFE" w:rsidRDefault="0045410B" w:rsidP="007D1F2F">
      <w:pPr>
        <w:pStyle w:val="Body"/>
        <w:rPr>
          <w:rFonts w:ascii="ArialMT" w:hAnsi="ArialMT" w:cs="ArialMT"/>
          <w:lang w:val="en-GB"/>
        </w:rPr>
      </w:pPr>
      <w:r w:rsidRPr="005A3AFE">
        <w:rPr>
          <w:rFonts w:ascii="ArialMT" w:hAnsi="ArialMT" w:cs="ArialMT"/>
          <w:lang w:val="en-GB"/>
        </w:rPr>
        <w:t xml:space="preserve">Postgraduate research graduates </w:t>
      </w:r>
      <w:r w:rsidR="00F44D5B" w:rsidRPr="005A3AFE">
        <w:rPr>
          <w:rFonts w:ascii="ArialMT" w:hAnsi="ArialMT" w:cs="ArialMT"/>
          <w:lang w:val="en-GB"/>
        </w:rPr>
        <w:t xml:space="preserve">continued to report </w:t>
      </w:r>
      <w:r w:rsidRPr="005A3AFE">
        <w:rPr>
          <w:rFonts w:ascii="ArialMT" w:hAnsi="ArialMT" w:cs="ArialMT"/>
          <w:lang w:val="en-GB"/>
        </w:rPr>
        <w:t>the highest median salary of the 3 study levels</w:t>
      </w:r>
      <w:r w:rsidR="00206F5F" w:rsidRPr="005A3AFE">
        <w:rPr>
          <w:rFonts w:ascii="ArialMT" w:hAnsi="ArialMT" w:cs="ArialMT"/>
          <w:lang w:val="en-GB"/>
        </w:rPr>
        <w:t>:</w:t>
      </w:r>
      <w:r w:rsidRPr="005A3AFE">
        <w:rPr>
          <w:rFonts w:ascii="ArialMT" w:hAnsi="ArialMT" w:cs="ArialMT"/>
          <w:lang w:val="en-GB"/>
        </w:rPr>
        <w:t xml:space="preserve"> $</w:t>
      </w:r>
      <w:r w:rsidR="00D22E56" w:rsidRPr="005A3AFE">
        <w:rPr>
          <w:rFonts w:ascii="ArialMT" w:hAnsi="ArialMT" w:cs="ArialMT"/>
          <w:lang w:val="en-GB"/>
        </w:rPr>
        <w:t>28</w:t>
      </w:r>
      <w:r w:rsidRPr="005A3AFE">
        <w:rPr>
          <w:rFonts w:ascii="ArialMT" w:hAnsi="ArialMT" w:cs="ArialMT"/>
          <w:lang w:val="en-GB"/>
        </w:rPr>
        <w:t>,</w:t>
      </w:r>
      <w:r w:rsidR="00D22E56" w:rsidRPr="005A3AFE">
        <w:rPr>
          <w:rFonts w:ascii="ArialMT" w:hAnsi="ArialMT" w:cs="ArialMT"/>
          <w:lang w:val="en-GB"/>
        </w:rPr>
        <w:t>6</w:t>
      </w:r>
      <w:r w:rsidRPr="005A3AFE">
        <w:rPr>
          <w:rFonts w:ascii="ArialMT" w:hAnsi="ArialMT" w:cs="ArialMT"/>
          <w:lang w:val="en-GB"/>
        </w:rPr>
        <w:t>00 more than undergraduates and $</w:t>
      </w:r>
      <w:r w:rsidR="00252832" w:rsidRPr="005A3AFE">
        <w:rPr>
          <w:rFonts w:ascii="ArialMT" w:hAnsi="ArialMT" w:cs="ArialMT"/>
          <w:lang w:val="en-GB"/>
        </w:rPr>
        <w:t>2</w:t>
      </w:r>
      <w:r w:rsidRPr="005A3AFE">
        <w:rPr>
          <w:rFonts w:ascii="ArialMT" w:hAnsi="ArialMT" w:cs="ArialMT"/>
          <w:lang w:val="en-GB"/>
        </w:rPr>
        <w:t>,</w:t>
      </w:r>
      <w:r w:rsidR="00252832" w:rsidRPr="005A3AFE">
        <w:rPr>
          <w:rFonts w:ascii="ArialMT" w:hAnsi="ArialMT" w:cs="ArialMT"/>
          <w:lang w:val="en-GB"/>
        </w:rPr>
        <w:t>0</w:t>
      </w:r>
      <w:r w:rsidRPr="005A3AFE">
        <w:rPr>
          <w:rFonts w:ascii="ArialMT" w:hAnsi="ArialMT" w:cs="ArialMT"/>
          <w:lang w:val="en-GB"/>
        </w:rPr>
        <w:t>00 more than postgraduate coursework graduates in the short-term.</w:t>
      </w:r>
      <w:r w:rsidR="004E0D2F" w:rsidRPr="005A3AFE">
        <w:rPr>
          <w:rFonts w:ascii="ArialMT" w:hAnsi="ArialMT" w:cs="ArialMT"/>
          <w:lang w:val="en-GB"/>
        </w:rPr>
        <w:t xml:space="preserve"> </w:t>
      </w:r>
      <w:r w:rsidR="004E0D2F" w:rsidRPr="00441722">
        <w:rPr>
          <w:rFonts w:ascii="ArialMT" w:hAnsi="ArialMT" w:cs="ArialMT"/>
          <w:spacing w:val="-2"/>
          <w:lang w:val="en-GB"/>
        </w:rPr>
        <w:t>F</w:t>
      </w:r>
      <w:r w:rsidRPr="00441722">
        <w:rPr>
          <w:rFonts w:ascii="ArialMT" w:hAnsi="ArialMT" w:cs="ArialMT"/>
          <w:spacing w:val="-2"/>
          <w:lang w:val="en-GB"/>
        </w:rPr>
        <w:t xml:space="preserve">rom a high starting point, </w:t>
      </w:r>
      <w:r w:rsidR="006C0499" w:rsidRPr="00441722">
        <w:rPr>
          <w:rFonts w:ascii="ArialMT" w:hAnsi="ArialMT" w:cs="ArialMT"/>
          <w:spacing w:val="-2"/>
          <w:lang w:val="en-GB"/>
        </w:rPr>
        <w:t>postgraduate research graduate</w:t>
      </w:r>
      <w:r w:rsidRPr="00441722">
        <w:rPr>
          <w:rFonts w:ascii="ArialMT" w:hAnsi="ArialMT" w:cs="ArialMT"/>
          <w:spacing w:val="-2"/>
          <w:lang w:val="en-GB"/>
        </w:rPr>
        <w:t xml:space="preserve"> median salary grew at a slower rate</w:t>
      </w:r>
      <w:r w:rsidR="004E0D2F" w:rsidRPr="00441722">
        <w:rPr>
          <w:rFonts w:ascii="ArialMT" w:hAnsi="ArialMT" w:cs="ArialMT"/>
          <w:spacing w:val="-2"/>
          <w:lang w:val="en-GB"/>
        </w:rPr>
        <w:t xml:space="preserve"> in comparison to undergraduate</w:t>
      </w:r>
      <w:r w:rsidR="00EE4EAD" w:rsidRPr="00441722">
        <w:rPr>
          <w:rFonts w:ascii="ArialMT" w:hAnsi="ArialMT" w:cs="ArialMT"/>
          <w:spacing w:val="-2"/>
          <w:lang w:val="en-GB"/>
        </w:rPr>
        <w:t>s</w:t>
      </w:r>
      <w:r w:rsidR="00196B87" w:rsidRPr="00441722">
        <w:rPr>
          <w:rFonts w:ascii="ArialMT" w:hAnsi="ArialMT" w:cs="ArialMT"/>
          <w:spacing w:val="-2"/>
          <w:lang w:val="en-GB"/>
        </w:rPr>
        <w:t xml:space="preserve"> (25.0 per cent compared to 31.0 per cent)</w:t>
      </w:r>
      <w:r w:rsidRPr="00441722">
        <w:rPr>
          <w:rFonts w:ascii="ArialMT" w:hAnsi="ArialMT" w:cs="ArialMT"/>
          <w:spacing w:val="-2"/>
          <w:lang w:val="en-GB"/>
        </w:rPr>
        <w:t xml:space="preserve">, </w:t>
      </w:r>
      <w:r w:rsidR="00405BC4" w:rsidRPr="00441722">
        <w:rPr>
          <w:rFonts w:ascii="ArialMT" w:hAnsi="ArialMT" w:cs="ArialMT"/>
          <w:spacing w:val="-2"/>
          <w:lang w:val="en-GB"/>
        </w:rPr>
        <w:t>and faster compared to postgraduate coursework</w:t>
      </w:r>
      <w:r w:rsidR="00413E18" w:rsidRPr="00441722">
        <w:rPr>
          <w:rFonts w:ascii="ArialMT" w:hAnsi="ArialMT" w:cs="ArialMT"/>
          <w:spacing w:val="-2"/>
          <w:lang w:val="en-GB"/>
        </w:rPr>
        <w:t xml:space="preserve"> graduates</w:t>
      </w:r>
      <w:r w:rsidR="00405BC4" w:rsidRPr="00441722">
        <w:rPr>
          <w:rFonts w:ascii="ArialMT" w:hAnsi="ArialMT" w:cs="ArialMT"/>
          <w:spacing w:val="-2"/>
          <w:lang w:val="en-GB"/>
        </w:rPr>
        <w:t xml:space="preserve"> (22.4 per cent)</w:t>
      </w:r>
      <w:r w:rsidRPr="00441722">
        <w:rPr>
          <w:rFonts w:ascii="ArialMT" w:hAnsi="ArialMT" w:cs="ArialMT"/>
          <w:spacing w:val="-2"/>
          <w:lang w:val="en-GB"/>
        </w:rPr>
        <w:t>.</w:t>
      </w:r>
    </w:p>
    <w:p w14:paraId="05FC7D3F" w14:textId="0F344850" w:rsidR="006F45DA" w:rsidRPr="007E7B1A" w:rsidRDefault="00441B19" w:rsidP="007E7B1A">
      <w:pPr>
        <w:pStyle w:val="Caption"/>
        <w:spacing w:after="240"/>
      </w:pPr>
      <w:bookmarkStart w:id="45" w:name="_Ref201834075"/>
      <w:bookmarkStart w:id="46" w:name="_Ref232501420"/>
      <w:bookmarkStart w:id="47" w:name="_Toc243492113"/>
      <w:r w:rsidRPr="005A3AFE">
        <w:lastRenderedPageBreak/>
        <w:t xml:space="preserve">Figure </w:t>
      </w:r>
      <w:bookmarkEnd w:id="45"/>
      <w:r w:rsidR="00377B08" w:rsidRPr="005A3AFE">
        <w:fldChar w:fldCharType="begin"/>
      </w:r>
      <w:r w:rsidR="00377B08" w:rsidRPr="005A3AFE">
        <w:instrText xml:space="preserve"> SEQ Figure \* ARABIC </w:instrText>
      </w:r>
      <w:r w:rsidR="00377B08" w:rsidRPr="005A3AFE">
        <w:fldChar w:fldCharType="separate"/>
      </w:r>
      <w:r w:rsidR="008E1916">
        <w:rPr>
          <w:noProof/>
        </w:rPr>
        <w:t>7</w:t>
      </w:r>
      <w:r w:rsidR="00377B08" w:rsidRPr="005A3AFE">
        <w:fldChar w:fldCharType="end"/>
      </w:r>
      <w:bookmarkEnd w:id="46"/>
      <w:r w:rsidR="006621EE">
        <w:tab/>
      </w:r>
      <w:r w:rsidR="008B7FB9" w:rsidRPr="005A3AFE">
        <w:t>Short- and medium-term</w:t>
      </w:r>
      <w:r w:rsidRPr="005A3AFE">
        <w:t xml:space="preserve"> </w:t>
      </w:r>
      <w:r w:rsidR="0073596A" w:rsidRPr="005A3AFE">
        <w:t>median salary</w:t>
      </w:r>
      <w:r w:rsidRPr="005A3AFE">
        <w:t xml:space="preserve"> for 201</w:t>
      </w:r>
      <w:r w:rsidR="009E4732" w:rsidRPr="005A3AFE">
        <w:t>7</w:t>
      </w:r>
      <w:r w:rsidRPr="005A3AFE">
        <w:t xml:space="preserve"> to 202</w:t>
      </w:r>
      <w:r w:rsidR="00D0733D" w:rsidRPr="005A3AFE">
        <w:t>3</w:t>
      </w:r>
      <w:r w:rsidRPr="005A3AFE">
        <w:t xml:space="preserve"> domestic graduates</w:t>
      </w:r>
      <w:bookmarkEnd w:id="47"/>
    </w:p>
    <w:p w14:paraId="1F88F48F" w14:textId="5A0A0A99" w:rsidR="00A33BD9" w:rsidRDefault="007E7B1A" w:rsidP="008C6EC9">
      <w:pPr>
        <w:pStyle w:val="BaseFigureNotes"/>
        <w:spacing w:before="0"/>
      </w:pPr>
      <w:r w:rsidRPr="007E7B1A">
        <w:rPr>
          <w:noProof/>
        </w:rPr>
        <w:drawing>
          <wp:inline distT="0" distB="0" distL="0" distR="0" wp14:anchorId="4E4576D5" wp14:editId="5BAAF12C">
            <wp:extent cx="6656070" cy="7412990"/>
            <wp:effectExtent l="0" t="0" r="0" b="0"/>
            <wp:docPr id="695111227" name="Picture 1" descr="Composite chart. Short- and medium-term median salary for 2017 to 2023 domestic graduates. Three panels, top to bottom: Undergraduate; Postgraduate coursework; Postgraduate research. Legend in each panel: Short-term median salary; Medium-term median salary. Percentage boxes show three-year growth from short-term to medium-term. Horizontal axis: short-term year followed by medium-term year. Vertical axis: median annual full-time salary ($). Undergraduate: Short-term: Salaries ($): 2017 | 2020: $60,000; 2018 | 2021: $62,100; 2019 | 2022: $63,400; 2020 | 2023: $65,000; 2021 | 2024: $65,800; 2022 | 2025: $69,000; 2023 | 2026: $71,400 Medium-term: Salaries ($): 2017 | 2020: $75,000; 2018 | 2021: $77,000; 2019 | 2022: $80,000; 2020 | 2023: $83,500; 2021 | 2024: $88,100; 2022 | 2025: $91,000; 2023 | 2026: $93,500 3-year growth, short to medium term: 2017 | 2020: 25.0%; 2018 | 2021: 24.0%; 2019 | 2022: 26.2%; 2020 | 2023: 28.5%; 2021 | 2024: 33.9%; 2022 | 2025: 31.9%; 2023 | 2026: 31.0% | Postgraduate coursework: Short-term: Salaries ($): 2017 | 2020: $83,300; 2018 | 2021: $83,600; 2019 | 2022: $86,100; 2020 | 2023: $88,700; 2021 | 2024: $90,000; 2022 | 2025: $91,300; 2023 | 2026: $98,000 Medium-term: Salaries ($): 2017 | 2020: $98,000; 2018 | 2021: $100,000; 2019 | 2022: $103,000; 2020 | 2023: $108,000; 2021 | 2024: $112,500; 2022 | 2025: $116,000; 2023 | 2026: $120,000 3-year growth, short to medium term: 2017 | 2020: 17.6%; 2018 | 2021: 19.6%; 2019 | 2022: 19.6%; 2020 | 2023: 21.8%; 2021 | 2024: 25.0%; 2022 | 2025: 27.1%; 2023 | 2026: 22.4% | Postgraduate research: Short-term: Salaries ($): 2017 | 2020: $89,500; 2018 | 2021: $90,000; 2019 | 2022: $90,200; 2020 | 2023: $93,000; 2021 | 2024: $95,000; 2022 | 2025: $97,000; 2023 | 2026: $100,000 Medium-term: Salaries ($): 2017 | 2020: $103,000; 2018 | 2021: $102,000; 2019 | 2022: $105,000; 2020 | 2023: $110,000; 2021 | 2024: $117,200; 2022 | 2025: $120,000; 2023 | 2026: $125,000 3-year growth, short to medium term: 2017 | 2020: 15.1%; 2018 | 2021: 13.3%; 2019 | 2022: 16.4%; 2020 | 2023: 18.3%; 2021 | 2024: 23.4%; 2022 | 2025: 23.7%; 2023 | 2026: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11227" name="Picture 1" descr="Composite chart. Short- and medium-term median salary for 2017 to 2023 domestic graduates. Three panels, top to bottom: Undergraduate; Postgraduate coursework; Postgraduate research. Legend in each panel: Short-term median salary; Medium-term median salary. Percentage boxes show three-year growth from short-term to medium-term. Horizontal axis: short-term year followed by medium-term year. Vertical axis: median annual full-time salary ($). Undergraduate: Short-term: Salaries ($): 2017 | 2020: $60,000; 2018 | 2021: $62,100; 2019 | 2022: $63,400; 2020 | 2023: $65,000; 2021 | 2024: $65,800; 2022 | 2025: $69,000; 2023 | 2026: $71,400 Medium-term: Salaries ($): 2017 | 2020: $75,000; 2018 | 2021: $77,000; 2019 | 2022: $80,000; 2020 | 2023: $83,500; 2021 | 2024: $88,100; 2022 | 2025: $91,000; 2023 | 2026: $93,500 3-year growth, short to medium term: 2017 | 2020: 25.0%; 2018 | 2021: 24.0%; 2019 | 2022: 26.2%; 2020 | 2023: 28.5%; 2021 | 2024: 33.9%; 2022 | 2025: 31.9%; 2023 | 2026: 31.0% | Postgraduate coursework: Short-term: Salaries ($): 2017 | 2020: $83,300; 2018 | 2021: $83,600; 2019 | 2022: $86,100; 2020 | 2023: $88,700; 2021 | 2024: $90,000; 2022 | 2025: $91,300; 2023 | 2026: $98,000 Medium-term: Salaries ($): 2017 | 2020: $98,000; 2018 | 2021: $100,000; 2019 | 2022: $103,000; 2020 | 2023: $108,000; 2021 | 2024: $112,500; 2022 | 2025: $116,000; 2023 | 2026: $120,000 3-year growth, short to medium term: 2017 | 2020: 17.6%; 2018 | 2021: 19.6%; 2019 | 2022: 19.6%; 2020 | 2023: 21.8%; 2021 | 2024: 25.0%; 2022 | 2025: 27.1%; 2023 | 2026: 22.4% | Postgraduate research: Short-term: Salaries ($): 2017 | 2020: $89,500; 2018 | 2021: $90,000; 2019 | 2022: $90,200; 2020 | 2023: $93,000; 2021 | 2024: $95,000; 2022 | 2025: $97,000; 2023 | 2026: $100,000 Medium-term: Salaries ($): 2017 | 2020: $103,000; 2018 | 2021: $102,000; 2019 | 2022: $105,000; 2020 | 2023: $110,000; 2021 | 2024: $117,200; 2022 | 2025: $120,000; 2023 | 2026: $125,000 3-year growth, short to medium term: 2017 | 2020: 15.1%; 2018 | 2021: 13.3%; 2019 | 2022: 16.4%; 2020 | 2023: 18.3%; 2021 | 2024: 23.4%; 2022 | 2025: 23.7%; 2023 | 2026: 25.0%"/>
                    <pic:cNvPicPr/>
                  </pic:nvPicPr>
                  <pic:blipFill>
                    <a:blip r:embed="rId37"/>
                    <a:stretch>
                      <a:fillRect/>
                    </a:stretch>
                  </pic:blipFill>
                  <pic:spPr>
                    <a:xfrm>
                      <a:off x="0" y="0"/>
                      <a:ext cx="6656070" cy="7412990"/>
                    </a:xfrm>
                    <a:prstGeom prst="rect">
                      <a:avLst/>
                    </a:prstGeom>
                  </pic:spPr>
                </pic:pic>
              </a:graphicData>
            </a:graphic>
          </wp:inline>
        </w:drawing>
      </w:r>
    </w:p>
    <w:p w14:paraId="0E60EC68" w14:textId="634E4297" w:rsidR="00450AF5" w:rsidRPr="005A3AFE" w:rsidRDefault="00450AF5" w:rsidP="00CE0CAF">
      <w:pPr>
        <w:pStyle w:val="BaseFigureNotes"/>
        <w:spacing w:before="120" w:after="120"/>
        <w:ind w:left="567" w:hanging="567"/>
      </w:pPr>
      <w:r w:rsidRPr="00886C60">
        <w:rPr>
          <w:b/>
          <w:bCs/>
        </w:rPr>
        <w:t>Note</w:t>
      </w:r>
      <w:r w:rsidR="00CE0CAF">
        <w:rPr>
          <w:b/>
          <w:bCs/>
        </w:rPr>
        <w:t>:</w:t>
      </w:r>
      <w:r w:rsidRPr="005A3AFE">
        <w:t xml:space="preserve"> </w:t>
      </w:r>
      <w:r w:rsidR="00CE0CAF" w:rsidRPr="00CE0CAF">
        <w:rPr>
          <w:spacing w:val="-2"/>
        </w:rPr>
        <w:t>S</w:t>
      </w:r>
      <w:r w:rsidRPr="00CE0CAF">
        <w:rPr>
          <w:spacing w:val="-2"/>
        </w:rPr>
        <w:t>alary growth in the 2023</w:t>
      </w:r>
      <w:r w:rsidR="00886C60" w:rsidRPr="00CE0CAF">
        <w:rPr>
          <w:spacing w:val="-2"/>
        </w:rPr>
        <w:t>–</w:t>
      </w:r>
      <w:r w:rsidRPr="00CE0CAF">
        <w:rPr>
          <w:spacing w:val="-2"/>
        </w:rPr>
        <w:t>2026 period continue</w:t>
      </w:r>
      <w:r w:rsidR="00110DB4" w:rsidRPr="00CE0CAF">
        <w:rPr>
          <w:spacing w:val="-2"/>
        </w:rPr>
        <w:t>d</w:t>
      </w:r>
      <w:r w:rsidRPr="00CE0CAF">
        <w:rPr>
          <w:spacing w:val="-2"/>
        </w:rPr>
        <w:t xml:space="preserve"> to be relatively high compared to the pre-pandemic years among all levels of study. This is consistent with the relatively high levels of salary growth across the public and private sectors per the ABS Wage Price Index </w:t>
      </w:r>
      <w:r w:rsidR="00873DA3" w:rsidRPr="00CE0CAF">
        <w:rPr>
          <w:spacing w:val="-2"/>
        </w:rPr>
        <w:t>as well as</w:t>
      </w:r>
      <w:r w:rsidR="0095470F" w:rsidRPr="00CE0CAF">
        <w:rPr>
          <w:spacing w:val="-2"/>
        </w:rPr>
        <w:t xml:space="preserve"> the</w:t>
      </w:r>
      <w:r w:rsidR="00873DA3" w:rsidRPr="00CE0CAF">
        <w:rPr>
          <w:spacing w:val="-2"/>
        </w:rPr>
        <w:t xml:space="preserve"> Average Weekly Ordinary Time Earnings for full-time adult employees </w:t>
      </w:r>
      <w:r w:rsidRPr="00CE0CAF">
        <w:rPr>
          <w:spacing w:val="-2"/>
        </w:rPr>
        <w:t>during the same period</w:t>
      </w:r>
      <w:r w:rsidRPr="00CE0CAF">
        <w:rPr>
          <w:spacing w:val="-2"/>
          <w:sz w:val="20"/>
          <w:szCs w:val="20"/>
        </w:rPr>
        <w:t>.</w:t>
      </w:r>
      <w:r w:rsidRPr="00E17B1D">
        <w:rPr>
          <w:rStyle w:val="FootnoteReference"/>
          <w:rFonts w:cs="ArialMT"/>
          <w:spacing w:val="-2"/>
          <w:sz w:val="20"/>
          <w:szCs w:val="20"/>
          <w:lang w:val="en-GB"/>
        </w:rPr>
        <w:footnoteReference w:id="9"/>
      </w:r>
      <w:r w:rsidRPr="00E17B1D">
        <w:rPr>
          <w:spacing w:val="-2"/>
          <w:sz w:val="20"/>
          <w:szCs w:val="20"/>
          <w:vertAlign w:val="superscript"/>
        </w:rPr>
        <w:t>,</w:t>
      </w:r>
      <w:r w:rsidRPr="00E17B1D">
        <w:rPr>
          <w:rStyle w:val="FootnoteReference"/>
          <w:rFonts w:cs="ArialMT"/>
          <w:spacing w:val="-2"/>
          <w:sz w:val="20"/>
          <w:szCs w:val="20"/>
          <w:lang w:val="en-GB"/>
        </w:rPr>
        <w:footnoteReference w:id="10"/>
      </w:r>
    </w:p>
    <w:p w14:paraId="384002F1" w14:textId="1E195E5F" w:rsidR="00B0152D" w:rsidRPr="005A3AFE" w:rsidRDefault="00E61CE7" w:rsidP="00296E15">
      <w:pPr>
        <w:pStyle w:val="Body"/>
        <w:rPr>
          <w:rFonts w:ascii="ArialMT" w:hAnsi="ArialMT" w:cs="ArialMT"/>
          <w:lang w:val="en-GB"/>
        </w:rPr>
      </w:pPr>
      <w:r>
        <w:t xml:space="preserve">Strong </w:t>
      </w:r>
      <w:r w:rsidR="008A68A8">
        <w:t xml:space="preserve">salary </w:t>
      </w:r>
      <w:r>
        <w:t xml:space="preserve">growth occurred </w:t>
      </w:r>
      <w:r w:rsidR="00832877">
        <w:t xml:space="preserve">for undergraduates </w:t>
      </w:r>
      <w:r w:rsidRPr="005A3AFE">
        <w:t xml:space="preserve">during </w:t>
      </w:r>
      <w:r>
        <w:t xml:space="preserve">2022 and 2023, </w:t>
      </w:r>
      <w:r w:rsidRPr="005A3AFE">
        <w:t xml:space="preserve">a period </w:t>
      </w:r>
      <w:r>
        <w:t xml:space="preserve">of </w:t>
      </w:r>
      <w:r w:rsidRPr="00882D6E">
        <w:t>favourable employment conditions due to reduced competition for job vacancies</w:t>
      </w:r>
      <w:r>
        <w:t xml:space="preserve">. </w:t>
      </w:r>
      <w:r w:rsidR="004F6005">
        <w:t xml:space="preserve">As both of these years were fully </w:t>
      </w:r>
      <w:r w:rsidR="004F6005">
        <w:rPr>
          <w:rFonts w:ascii="ArialMT" w:hAnsi="ArialMT" w:cs="ArialMT"/>
          <w:lang w:val="en-GB"/>
        </w:rPr>
        <w:t xml:space="preserve">experienced by </w:t>
      </w:r>
      <w:r w:rsidR="004F6005" w:rsidRPr="005A3AFE">
        <w:rPr>
          <w:rFonts w:ascii="ArialMT" w:hAnsi="ArialMT" w:cs="ArialMT"/>
          <w:lang w:val="en-GB"/>
        </w:rPr>
        <w:t>the 2021</w:t>
      </w:r>
      <w:r w:rsidR="00886C60" w:rsidRPr="00886C60">
        <w:rPr>
          <w:rFonts w:ascii="ArialMT" w:hAnsi="ArialMT" w:cs="ArialMT"/>
        </w:rPr>
        <w:t>–</w:t>
      </w:r>
      <w:r w:rsidR="004F6005" w:rsidRPr="005A3AFE">
        <w:rPr>
          <w:rFonts w:ascii="ArialMT" w:hAnsi="ArialMT" w:cs="ArialMT"/>
          <w:lang w:val="en-GB"/>
        </w:rPr>
        <w:t>2024 cohort</w:t>
      </w:r>
      <w:r w:rsidR="004F6005">
        <w:rPr>
          <w:rFonts w:ascii="ArialMT" w:hAnsi="ArialMT" w:cs="ArialMT"/>
          <w:lang w:val="en-GB"/>
        </w:rPr>
        <w:t>,</w:t>
      </w:r>
      <w:r w:rsidR="004F6005" w:rsidRPr="005A3AFE">
        <w:rPr>
          <w:rFonts w:ascii="ArialMT" w:hAnsi="ArialMT" w:cs="ArialMT"/>
          <w:lang w:val="en-GB"/>
        </w:rPr>
        <w:t xml:space="preserve"> </w:t>
      </w:r>
      <w:r w:rsidR="004F6005">
        <w:t xml:space="preserve">this cohort recorded </w:t>
      </w:r>
      <w:r w:rsidR="00B0152D" w:rsidRPr="005A3AFE">
        <w:rPr>
          <w:rFonts w:ascii="ArialMT" w:hAnsi="ArialMT" w:cs="ArialMT"/>
          <w:lang w:val="en-GB"/>
        </w:rPr>
        <w:t xml:space="preserve">the peak undergraduate </w:t>
      </w:r>
      <w:r w:rsidR="004F6005">
        <w:rPr>
          <w:rFonts w:ascii="ArialMT" w:hAnsi="ArialMT" w:cs="ArialMT"/>
          <w:lang w:val="en-GB"/>
        </w:rPr>
        <w:t xml:space="preserve">3-year </w:t>
      </w:r>
      <w:r w:rsidR="00B0152D" w:rsidRPr="005A3AFE">
        <w:rPr>
          <w:rFonts w:ascii="ArialMT" w:hAnsi="ArialMT" w:cs="ArialMT"/>
          <w:lang w:val="en-GB"/>
        </w:rPr>
        <w:t xml:space="preserve">salary growth </w:t>
      </w:r>
      <w:r w:rsidR="004F6005">
        <w:rPr>
          <w:rFonts w:ascii="ArialMT" w:hAnsi="ArialMT" w:cs="ArialMT"/>
          <w:lang w:val="en-GB"/>
        </w:rPr>
        <w:t xml:space="preserve">in the GOS-L series </w:t>
      </w:r>
      <w:r w:rsidR="00B0152D" w:rsidRPr="005A3AFE">
        <w:rPr>
          <w:rFonts w:ascii="ArialMT" w:hAnsi="ArialMT" w:cs="ArialMT"/>
          <w:lang w:val="en-GB"/>
        </w:rPr>
        <w:t>(33.9 per cent)</w:t>
      </w:r>
      <w:r>
        <w:rPr>
          <w:rFonts w:ascii="ArialMT" w:hAnsi="ArialMT" w:cs="ArialMT"/>
          <w:lang w:val="en-GB"/>
        </w:rPr>
        <w:t xml:space="preserve">. </w:t>
      </w:r>
      <w:r>
        <w:rPr>
          <w:rFonts w:ascii="ArialMT" w:hAnsi="ArialMT" w:cs="ArialMT"/>
          <w:lang w:val="en-GB"/>
        </w:rPr>
        <w:lastRenderedPageBreak/>
        <w:t>T</w:t>
      </w:r>
      <w:r w:rsidR="00E26D08" w:rsidRPr="005A3AFE">
        <w:rPr>
          <w:rFonts w:ascii="ArialMT" w:hAnsi="ArialMT" w:cs="ArialMT"/>
          <w:lang w:val="en-GB"/>
        </w:rPr>
        <w:t xml:space="preserve">he </w:t>
      </w:r>
      <w:r>
        <w:rPr>
          <w:rFonts w:ascii="ArialMT" w:hAnsi="ArialMT" w:cs="ArialMT"/>
          <w:lang w:val="en-GB"/>
        </w:rPr>
        <w:t xml:space="preserve">3-year </w:t>
      </w:r>
      <w:r w:rsidR="00E26D08" w:rsidRPr="005A3AFE">
        <w:rPr>
          <w:rFonts w:ascii="ArialMT" w:hAnsi="ArialMT" w:cs="ArialMT"/>
          <w:lang w:val="en-GB"/>
        </w:rPr>
        <w:t>growth rate has diminished slightly for both the 2022</w:t>
      </w:r>
      <w:r w:rsidR="00886C60" w:rsidRPr="00886C60">
        <w:rPr>
          <w:rFonts w:ascii="ArialMT" w:hAnsi="ArialMT" w:cs="ArialMT"/>
        </w:rPr>
        <w:t>–</w:t>
      </w:r>
      <w:r w:rsidR="00E26D08" w:rsidRPr="005A3AFE">
        <w:rPr>
          <w:rFonts w:ascii="ArialMT" w:hAnsi="ArialMT" w:cs="ArialMT"/>
          <w:lang w:val="en-GB"/>
        </w:rPr>
        <w:t>2025</w:t>
      </w:r>
      <w:r w:rsidR="00DB2667" w:rsidRPr="005A3AFE">
        <w:rPr>
          <w:rFonts w:ascii="ArialMT" w:hAnsi="ArialMT" w:cs="ArialMT"/>
          <w:lang w:val="en-GB"/>
        </w:rPr>
        <w:t xml:space="preserve"> (31.9 per cent)</w:t>
      </w:r>
      <w:r w:rsidR="00E26D08" w:rsidRPr="005A3AFE">
        <w:rPr>
          <w:rFonts w:ascii="ArialMT" w:hAnsi="ArialMT" w:cs="ArialMT"/>
          <w:lang w:val="en-GB"/>
        </w:rPr>
        <w:t xml:space="preserve"> and 2023</w:t>
      </w:r>
      <w:r w:rsidR="00886C60" w:rsidRPr="00886C60">
        <w:rPr>
          <w:rFonts w:ascii="ArialMT" w:hAnsi="ArialMT" w:cs="ArialMT"/>
        </w:rPr>
        <w:t>–</w:t>
      </w:r>
      <w:r w:rsidR="00E26D08" w:rsidRPr="005A3AFE">
        <w:rPr>
          <w:rFonts w:ascii="ArialMT" w:hAnsi="ArialMT" w:cs="ArialMT"/>
          <w:lang w:val="en-GB"/>
        </w:rPr>
        <w:t>2026</w:t>
      </w:r>
      <w:r w:rsidR="00DB2667" w:rsidRPr="005A3AFE">
        <w:rPr>
          <w:rFonts w:ascii="ArialMT" w:hAnsi="ArialMT" w:cs="ArialMT"/>
          <w:lang w:val="en-GB"/>
        </w:rPr>
        <w:t xml:space="preserve"> (31.0 per cent)</w:t>
      </w:r>
      <w:r w:rsidR="00E26D08" w:rsidRPr="005A3AFE">
        <w:rPr>
          <w:rFonts w:ascii="ArialMT" w:hAnsi="ArialMT" w:cs="ArialMT"/>
          <w:lang w:val="en-GB"/>
        </w:rPr>
        <w:t xml:space="preserve"> cohorts</w:t>
      </w:r>
      <w:r>
        <w:rPr>
          <w:rFonts w:ascii="ArialMT" w:hAnsi="ArialMT" w:cs="ArialMT"/>
          <w:lang w:val="en-GB"/>
        </w:rPr>
        <w:t xml:space="preserve">, as </w:t>
      </w:r>
      <w:r>
        <w:t>the 3-year growth periods move beyond 2022 and 2023</w:t>
      </w:r>
      <w:r w:rsidR="00DB2667" w:rsidRPr="005A3AFE">
        <w:rPr>
          <w:rFonts w:ascii="ArialMT" w:hAnsi="ArialMT" w:cs="ArialMT"/>
          <w:lang w:val="en-GB"/>
        </w:rPr>
        <w:t>.</w:t>
      </w:r>
    </w:p>
    <w:p w14:paraId="780A0670" w14:textId="50B5737D" w:rsidR="003D0EFC" w:rsidRPr="005A3AFE" w:rsidRDefault="00450AF5" w:rsidP="00296E15">
      <w:pPr>
        <w:pStyle w:val="Body"/>
        <w:rPr>
          <w:rFonts w:ascii="ArialMT" w:hAnsi="ArialMT" w:cs="ArialMT"/>
        </w:rPr>
      </w:pPr>
      <w:r w:rsidRPr="005A3AFE">
        <w:rPr>
          <w:rFonts w:ascii="ArialMT" w:hAnsi="ArialMT" w:cs="ArialMT"/>
        </w:rPr>
        <w:t>The s</w:t>
      </w:r>
      <w:r w:rsidR="000F0BC5" w:rsidRPr="005A3AFE">
        <w:rPr>
          <w:rFonts w:ascii="ArialMT" w:hAnsi="ArialMT" w:cs="ArialMT"/>
        </w:rPr>
        <w:t xml:space="preserve">alary growth rate for </w:t>
      </w:r>
      <w:r w:rsidR="00135295" w:rsidRPr="005A3AFE">
        <w:rPr>
          <w:rFonts w:ascii="ArialMT" w:hAnsi="ArialMT" w:cs="ArialMT"/>
        </w:rPr>
        <w:t>postgraduate coursework</w:t>
      </w:r>
      <w:r w:rsidR="000F0BC5" w:rsidRPr="005A3AFE">
        <w:rPr>
          <w:rFonts w:ascii="ArialMT" w:hAnsi="ArialMT" w:cs="ArialMT"/>
        </w:rPr>
        <w:t xml:space="preserve"> dropped</w:t>
      </w:r>
      <w:r w:rsidRPr="005A3AFE">
        <w:rPr>
          <w:rFonts w:ascii="ArialMT" w:hAnsi="ArialMT" w:cs="ArialMT"/>
        </w:rPr>
        <w:t xml:space="preserve"> substantially </w:t>
      </w:r>
      <w:r w:rsidR="00C60B61">
        <w:rPr>
          <w:rFonts w:ascii="ArialMT" w:hAnsi="ArialMT" w:cs="ArialMT"/>
        </w:rPr>
        <w:t>for</w:t>
      </w:r>
      <w:r w:rsidR="00C60B61" w:rsidRPr="005A3AFE">
        <w:rPr>
          <w:rFonts w:ascii="ArialMT" w:hAnsi="ArialMT" w:cs="ArialMT"/>
        </w:rPr>
        <w:t xml:space="preserve"> </w:t>
      </w:r>
      <w:r w:rsidR="007E0A44" w:rsidRPr="005A3AFE">
        <w:rPr>
          <w:rFonts w:ascii="ArialMT" w:hAnsi="ArialMT" w:cs="ArialMT"/>
        </w:rPr>
        <w:t>the 2023</w:t>
      </w:r>
      <w:r w:rsidR="00886C60" w:rsidRPr="00886C60">
        <w:rPr>
          <w:rFonts w:ascii="ArialMT" w:hAnsi="ArialMT" w:cs="ArialMT"/>
        </w:rPr>
        <w:t>–</w:t>
      </w:r>
      <w:r w:rsidR="007E0A44" w:rsidRPr="005A3AFE">
        <w:rPr>
          <w:rFonts w:ascii="ArialMT" w:hAnsi="ArialMT" w:cs="ArialMT"/>
        </w:rPr>
        <w:t>2026 cohort (</w:t>
      </w:r>
      <w:r w:rsidR="00C60B61" w:rsidRPr="005A3AFE">
        <w:rPr>
          <w:rFonts w:ascii="ArialMT" w:hAnsi="ArialMT" w:cs="ArialMT"/>
        </w:rPr>
        <w:t>to 22.4 per cent</w:t>
      </w:r>
      <w:r w:rsidR="00C60B61">
        <w:rPr>
          <w:rFonts w:ascii="ArialMT" w:hAnsi="ArialMT" w:cs="ArialMT"/>
        </w:rPr>
        <w:t>,</w:t>
      </w:r>
      <w:r w:rsidR="00C60B61" w:rsidRPr="005A3AFE">
        <w:rPr>
          <w:rFonts w:ascii="ArialMT" w:hAnsi="ArialMT" w:cs="ArialMT"/>
        </w:rPr>
        <w:t xml:space="preserve"> </w:t>
      </w:r>
      <w:r w:rsidR="007E0A44" w:rsidRPr="005A3AFE">
        <w:rPr>
          <w:rFonts w:ascii="ArialMT" w:hAnsi="ArialMT" w:cs="ArialMT"/>
        </w:rPr>
        <w:t xml:space="preserve">from </w:t>
      </w:r>
      <w:r w:rsidR="001C2C74" w:rsidRPr="005A3AFE">
        <w:rPr>
          <w:rFonts w:ascii="ArialMT" w:hAnsi="ArialMT" w:cs="ArialMT"/>
        </w:rPr>
        <w:t>27.1 per cent</w:t>
      </w:r>
      <w:r w:rsidR="00507CEA" w:rsidRPr="005A3AFE">
        <w:rPr>
          <w:rFonts w:ascii="ArialMT" w:hAnsi="ArialMT" w:cs="ArialMT"/>
        </w:rPr>
        <w:t xml:space="preserve"> for the 2022</w:t>
      </w:r>
      <w:r w:rsidR="00886C60" w:rsidRPr="00886C60">
        <w:rPr>
          <w:rFonts w:ascii="ArialMT" w:hAnsi="ArialMT" w:cs="ArialMT"/>
        </w:rPr>
        <w:t>–</w:t>
      </w:r>
      <w:r w:rsidR="00507CEA" w:rsidRPr="005A3AFE">
        <w:rPr>
          <w:rFonts w:ascii="ArialMT" w:hAnsi="ArialMT" w:cs="ArialMT"/>
        </w:rPr>
        <w:t>2025 cohort</w:t>
      </w:r>
      <w:r w:rsidR="001C2C74" w:rsidRPr="005A3AFE">
        <w:rPr>
          <w:rFonts w:ascii="ArialMT" w:hAnsi="ArialMT" w:cs="ArialMT"/>
        </w:rPr>
        <w:t>)</w:t>
      </w:r>
      <w:r w:rsidR="003D0EFC" w:rsidRPr="005A3AFE">
        <w:rPr>
          <w:rFonts w:ascii="ArialMT" w:hAnsi="ArialMT" w:cs="ArialMT"/>
        </w:rPr>
        <w:t>.</w:t>
      </w:r>
      <w:r w:rsidR="003D0EFC" w:rsidRPr="005A3AFE">
        <w:rPr>
          <w:rFonts w:ascii="ArialMT" w:hAnsi="ArialMT" w:cs="ArialMT"/>
          <w:lang w:val="en-GB"/>
        </w:rPr>
        <w:t xml:space="preserve"> It should be noted that this may in part be due to the particularly high short-term salary for this cohort in 2023, coupled with a medium-term salary that is in line with historical data.</w:t>
      </w:r>
    </w:p>
    <w:p w14:paraId="208650C7" w14:textId="18BD12D4" w:rsidR="00441B19" w:rsidRDefault="003B3D36" w:rsidP="00296E15">
      <w:pPr>
        <w:pStyle w:val="Body"/>
        <w:rPr>
          <w:rFonts w:ascii="ArialMT" w:hAnsi="ArialMT" w:cs="ArialMT"/>
        </w:rPr>
      </w:pPr>
      <w:r w:rsidRPr="005A3AFE">
        <w:rPr>
          <w:rFonts w:ascii="ArialMT" w:hAnsi="ArialMT" w:cs="ArialMT"/>
        </w:rPr>
        <w:t xml:space="preserve">The salary growth rate for postgraduate research </w:t>
      </w:r>
      <w:r w:rsidR="00832877">
        <w:rPr>
          <w:rFonts w:ascii="ArialMT" w:hAnsi="ArialMT" w:cs="ArialMT"/>
        </w:rPr>
        <w:t xml:space="preserve">has </w:t>
      </w:r>
      <w:r w:rsidRPr="005A3AFE">
        <w:rPr>
          <w:rFonts w:ascii="ArialMT" w:hAnsi="ArialMT" w:cs="ArialMT"/>
        </w:rPr>
        <w:t xml:space="preserve">continued to climb </w:t>
      </w:r>
      <w:r w:rsidR="004B3D40" w:rsidRPr="005A3AFE">
        <w:rPr>
          <w:rFonts w:ascii="ArialMT" w:hAnsi="ArialMT" w:cs="ArialMT"/>
        </w:rPr>
        <w:t>from 23.7 per</w:t>
      </w:r>
      <w:r w:rsidRPr="005A3AFE">
        <w:rPr>
          <w:rFonts w:ascii="ArialMT" w:hAnsi="ArialMT" w:cs="ArialMT"/>
        </w:rPr>
        <w:t xml:space="preserve"> </w:t>
      </w:r>
      <w:r w:rsidR="004B3D40" w:rsidRPr="005A3AFE">
        <w:rPr>
          <w:rFonts w:ascii="ArialMT" w:hAnsi="ArialMT" w:cs="ArialMT"/>
        </w:rPr>
        <w:t>cent</w:t>
      </w:r>
      <w:r w:rsidR="00507CEA" w:rsidRPr="005A3AFE">
        <w:rPr>
          <w:rFonts w:ascii="ArialMT" w:hAnsi="ArialMT" w:cs="ArialMT"/>
        </w:rPr>
        <w:t xml:space="preserve"> </w:t>
      </w:r>
      <w:r w:rsidR="00C60B61">
        <w:rPr>
          <w:rFonts w:ascii="ArialMT" w:hAnsi="ArialMT" w:cs="ArialMT"/>
        </w:rPr>
        <w:t>for</w:t>
      </w:r>
      <w:r w:rsidR="00C60B61" w:rsidRPr="005A3AFE">
        <w:rPr>
          <w:rFonts w:ascii="ArialMT" w:hAnsi="ArialMT" w:cs="ArialMT"/>
        </w:rPr>
        <w:t xml:space="preserve"> </w:t>
      </w:r>
      <w:r w:rsidR="00507CEA" w:rsidRPr="005A3AFE">
        <w:rPr>
          <w:rFonts w:ascii="ArialMT" w:hAnsi="ArialMT" w:cs="ArialMT"/>
        </w:rPr>
        <w:t>the 2022</w:t>
      </w:r>
      <w:r w:rsidR="00886C60" w:rsidRPr="00886C60">
        <w:rPr>
          <w:rFonts w:ascii="ArialMT" w:hAnsi="ArialMT" w:cs="ArialMT"/>
        </w:rPr>
        <w:t>–</w:t>
      </w:r>
      <w:r w:rsidR="00507CEA" w:rsidRPr="005A3AFE">
        <w:rPr>
          <w:rFonts w:ascii="ArialMT" w:hAnsi="ArialMT" w:cs="ArialMT"/>
        </w:rPr>
        <w:t>2025 cohort</w:t>
      </w:r>
      <w:r w:rsidR="004B3D40" w:rsidRPr="005A3AFE">
        <w:rPr>
          <w:rFonts w:ascii="ArialMT" w:hAnsi="ArialMT" w:cs="ArialMT"/>
        </w:rPr>
        <w:t xml:space="preserve"> to </w:t>
      </w:r>
      <w:r w:rsidR="00AF5833" w:rsidRPr="005A3AFE">
        <w:rPr>
          <w:rFonts w:ascii="ArialMT" w:hAnsi="ArialMT" w:cs="ArialMT"/>
        </w:rPr>
        <w:t>a</w:t>
      </w:r>
      <w:r w:rsidR="00626E7E" w:rsidRPr="005A3AFE">
        <w:rPr>
          <w:rFonts w:ascii="ArialMT" w:hAnsi="ArialMT" w:cs="ArialMT"/>
        </w:rPr>
        <w:t xml:space="preserve"> new</w:t>
      </w:r>
      <w:r w:rsidR="00AF5833" w:rsidRPr="005A3AFE">
        <w:rPr>
          <w:rFonts w:ascii="ArialMT" w:hAnsi="ArialMT" w:cs="ArialMT"/>
        </w:rPr>
        <w:t xml:space="preserve"> high of </w:t>
      </w:r>
      <w:r w:rsidR="00752795" w:rsidRPr="005A3AFE">
        <w:rPr>
          <w:rFonts w:ascii="ArialMT" w:hAnsi="ArialMT" w:cs="ArialMT"/>
        </w:rPr>
        <w:t>25.0 per cent</w:t>
      </w:r>
      <w:r w:rsidR="00E61CE7">
        <w:rPr>
          <w:rFonts w:ascii="ArialMT" w:hAnsi="ArialMT" w:cs="ArialMT"/>
        </w:rPr>
        <w:t xml:space="preserve"> </w:t>
      </w:r>
      <w:r w:rsidR="00C60B61">
        <w:rPr>
          <w:rFonts w:ascii="ArialMT" w:hAnsi="ArialMT" w:cs="ArialMT"/>
        </w:rPr>
        <w:t xml:space="preserve">for </w:t>
      </w:r>
      <w:r w:rsidR="00E61CE7">
        <w:rPr>
          <w:rFonts w:ascii="ArialMT" w:hAnsi="ArialMT" w:cs="ArialMT"/>
        </w:rPr>
        <w:t>the 2023</w:t>
      </w:r>
      <w:r w:rsidR="00886C60" w:rsidRPr="00886C60">
        <w:rPr>
          <w:rFonts w:ascii="ArialMT" w:hAnsi="ArialMT" w:cs="ArialMT"/>
        </w:rPr>
        <w:t>–</w:t>
      </w:r>
      <w:r w:rsidR="00E61CE7">
        <w:rPr>
          <w:rFonts w:ascii="ArialMT" w:hAnsi="ArialMT" w:cs="ArialMT"/>
        </w:rPr>
        <w:t>2026 cohort</w:t>
      </w:r>
      <w:r w:rsidR="00752795" w:rsidRPr="005A3AFE">
        <w:rPr>
          <w:rFonts w:ascii="ArialMT" w:hAnsi="ArialMT" w:cs="ArialMT"/>
        </w:rPr>
        <w:t>.</w:t>
      </w:r>
      <w:r w:rsidR="00296E15" w:rsidRPr="005A3AFE">
        <w:rPr>
          <w:rFonts w:ascii="ArialMT" w:hAnsi="ArialMT" w:cs="ArialMT"/>
        </w:rPr>
        <w:t xml:space="preserve"> </w:t>
      </w:r>
    </w:p>
    <w:p w14:paraId="3F1E808A" w14:textId="3D2B2032" w:rsidR="007911D5" w:rsidRDefault="00F87C0C" w:rsidP="00296E15">
      <w:pPr>
        <w:pStyle w:val="Body"/>
        <w:rPr>
          <w:lang w:val="en-GB"/>
        </w:rPr>
      </w:pPr>
      <w:r>
        <w:rPr>
          <w:lang w:val="en-GB"/>
        </w:rPr>
        <w:t xml:space="preserve">The relatively </w:t>
      </w:r>
      <w:r w:rsidR="00B2087A">
        <w:rPr>
          <w:lang w:val="en-GB"/>
        </w:rPr>
        <w:t>higher</w:t>
      </w:r>
      <w:r>
        <w:rPr>
          <w:lang w:val="en-GB"/>
        </w:rPr>
        <w:t xml:space="preserve"> </w:t>
      </w:r>
      <w:r w:rsidR="004F6005">
        <w:rPr>
          <w:lang w:val="en-GB"/>
        </w:rPr>
        <w:t xml:space="preserve">salary </w:t>
      </w:r>
      <w:r>
        <w:rPr>
          <w:lang w:val="en-GB"/>
        </w:rPr>
        <w:t>growth rate for undergraduate</w:t>
      </w:r>
      <w:r w:rsidR="00B2087A">
        <w:rPr>
          <w:lang w:val="en-GB"/>
        </w:rPr>
        <w:t xml:space="preserve">s compared to </w:t>
      </w:r>
      <w:r>
        <w:rPr>
          <w:lang w:val="en-GB"/>
        </w:rPr>
        <w:t>postgraduate coursework and postgraduate research graduates can be partially explained by the differences in prior labour force experience</w:t>
      </w:r>
      <w:r w:rsidR="007B15D2">
        <w:rPr>
          <w:lang w:val="en-GB"/>
        </w:rPr>
        <w:t xml:space="preserve">, as entrants to the labour force typically see higher growth in </w:t>
      </w:r>
      <w:r w:rsidR="004F6005">
        <w:rPr>
          <w:lang w:val="en-GB"/>
        </w:rPr>
        <w:t xml:space="preserve">salary during </w:t>
      </w:r>
      <w:r w:rsidR="007B15D2">
        <w:rPr>
          <w:lang w:val="en-GB"/>
        </w:rPr>
        <w:t>the</w:t>
      </w:r>
      <w:r w:rsidR="004F6005">
        <w:rPr>
          <w:lang w:val="en-GB"/>
        </w:rPr>
        <w:t>ir</w:t>
      </w:r>
      <w:r w:rsidR="007B15D2">
        <w:rPr>
          <w:lang w:val="en-GB"/>
        </w:rPr>
        <w:t xml:space="preserve"> first few years</w:t>
      </w:r>
      <w:r>
        <w:rPr>
          <w:lang w:val="en-GB"/>
        </w:rPr>
        <w:t xml:space="preserve">. As outlined </w:t>
      </w:r>
      <w:r w:rsidR="00B2087A">
        <w:rPr>
          <w:lang w:val="en-GB"/>
        </w:rPr>
        <w:t xml:space="preserve">in </w:t>
      </w:r>
      <w:r w:rsidR="00B2087A" w:rsidRPr="001163D4">
        <w:rPr>
          <w:u w:val="single"/>
          <w:lang w:val="en-GB"/>
        </w:rPr>
        <w:fldChar w:fldCharType="begin"/>
      </w:r>
      <w:r w:rsidR="00B2087A" w:rsidRPr="001163D4">
        <w:rPr>
          <w:u w:val="single"/>
          <w:lang w:val="en-GB"/>
        </w:rPr>
        <w:instrText xml:space="preserve"> REF _Ref202256364 \h  \* MERGEFORMAT </w:instrText>
      </w:r>
      <w:r w:rsidR="00B2087A" w:rsidRPr="001163D4">
        <w:rPr>
          <w:u w:val="single"/>
          <w:lang w:val="en-GB"/>
        </w:rPr>
      </w:r>
      <w:r w:rsidR="00B2087A" w:rsidRPr="001163D4">
        <w:rPr>
          <w:u w:val="single"/>
          <w:lang w:val="en-GB"/>
        </w:rPr>
        <w:fldChar w:fldCharType="separate"/>
      </w:r>
      <w:r w:rsidR="00B2087A" w:rsidRPr="001163D4">
        <w:rPr>
          <w:u w:val="single"/>
        </w:rPr>
        <w:t>Full-time employment</w:t>
      </w:r>
      <w:r w:rsidR="00B2087A" w:rsidRPr="001163D4">
        <w:rPr>
          <w:u w:val="single"/>
          <w:lang w:val="en-GB"/>
        </w:rPr>
        <w:fldChar w:fldCharType="end"/>
      </w:r>
      <w:r>
        <w:rPr>
          <w:lang w:val="en-GB"/>
        </w:rPr>
        <w:t>, undergraduates were more likely to be working in their first full-time job compared to postgraduate coursework and postgraduate research graduates</w:t>
      </w:r>
      <w:r w:rsidR="00B2087A">
        <w:rPr>
          <w:lang w:val="en-GB"/>
        </w:rPr>
        <w:t xml:space="preserve"> in the short-term</w:t>
      </w:r>
      <w:r>
        <w:rPr>
          <w:lang w:val="en-GB"/>
        </w:rPr>
        <w:t>.</w:t>
      </w:r>
      <w:r w:rsidR="007B15D2">
        <w:rPr>
          <w:lang w:val="en-GB"/>
        </w:rPr>
        <w:t xml:space="preserve"> </w:t>
      </w:r>
    </w:p>
    <w:p w14:paraId="58950047" w14:textId="5C9E736C" w:rsidR="00F87C0C" w:rsidRDefault="007911D5" w:rsidP="0014536F">
      <w:pPr>
        <w:pStyle w:val="Body"/>
        <w:spacing w:after="240"/>
        <w:rPr>
          <w:lang w:val="en-GB"/>
        </w:rPr>
      </w:pPr>
      <w:r>
        <w:rPr>
          <w:lang w:val="en-GB"/>
        </w:rPr>
        <w:t xml:space="preserve">The 3-year </w:t>
      </w:r>
      <w:r w:rsidR="00F87C0C">
        <w:rPr>
          <w:lang w:val="en-GB"/>
        </w:rPr>
        <w:t xml:space="preserve">salary growth for </w:t>
      </w:r>
      <w:r w:rsidRPr="007911D5">
        <w:rPr>
          <w:lang w:val="en-GB"/>
        </w:rPr>
        <w:t>undergraduate and postgraduate coursework graduates</w:t>
      </w:r>
      <w:r w:rsidRPr="007911D5" w:rsidDel="007911D5">
        <w:rPr>
          <w:lang w:val="en-GB"/>
        </w:rPr>
        <w:t xml:space="preserve"> </w:t>
      </w:r>
      <w:r w:rsidR="00F87C0C">
        <w:rPr>
          <w:lang w:val="en-GB"/>
        </w:rPr>
        <w:t>who indicated they were in their first full-time job in the short-term</w:t>
      </w:r>
      <w:r w:rsidR="00FE7B32">
        <w:rPr>
          <w:lang w:val="en-GB"/>
        </w:rPr>
        <w:t xml:space="preserve"> (</w:t>
      </w:r>
      <w:r w:rsidR="00FE7B32" w:rsidRPr="00264165">
        <w:rPr>
          <w:b/>
          <w:bCs/>
          <w:lang w:val="en-GB"/>
        </w:rPr>
        <w:fldChar w:fldCharType="begin"/>
      </w:r>
      <w:r w:rsidR="00FE7B32" w:rsidRPr="00264165">
        <w:rPr>
          <w:b/>
          <w:bCs/>
          <w:lang w:val="en-GB"/>
        </w:rPr>
        <w:instrText xml:space="preserve"> REF _Ref231490169 \h </w:instrText>
      </w:r>
      <w:r w:rsidR="00FE7B32">
        <w:rPr>
          <w:b/>
          <w:bCs/>
          <w:lang w:val="en-GB"/>
        </w:rPr>
        <w:instrText xml:space="preserve"> \* MERGEFORMAT </w:instrText>
      </w:r>
      <w:r w:rsidR="00FE7B32" w:rsidRPr="00264165">
        <w:rPr>
          <w:b/>
          <w:bCs/>
          <w:lang w:val="en-GB"/>
        </w:rPr>
      </w:r>
      <w:r w:rsidR="00FE7B32" w:rsidRPr="00264165">
        <w:rPr>
          <w:b/>
          <w:bCs/>
          <w:lang w:val="en-GB"/>
        </w:rPr>
        <w:fldChar w:fldCharType="separate"/>
      </w:r>
      <w:r w:rsidR="00FE7B32" w:rsidRPr="00264165">
        <w:rPr>
          <w:b/>
          <w:bCs/>
        </w:rPr>
        <w:t xml:space="preserve">Figure </w:t>
      </w:r>
      <w:r w:rsidR="00FE7B32" w:rsidRPr="00264165">
        <w:rPr>
          <w:b/>
          <w:bCs/>
          <w:noProof/>
        </w:rPr>
        <w:t>8</w:t>
      </w:r>
      <w:r w:rsidR="00FE7B32" w:rsidRPr="00264165">
        <w:rPr>
          <w:b/>
          <w:bCs/>
          <w:lang w:val="en-GB"/>
        </w:rPr>
        <w:fldChar w:fldCharType="end"/>
      </w:r>
      <w:r w:rsidR="00FE7B32">
        <w:rPr>
          <w:lang w:val="en-GB"/>
        </w:rPr>
        <w:t>)</w:t>
      </w:r>
      <w:r w:rsidR="00F87C0C">
        <w:rPr>
          <w:lang w:val="en-GB"/>
        </w:rPr>
        <w:t xml:space="preserve">, </w:t>
      </w:r>
      <w:r>
        <w:rPr>
          <w:lang w:val="en-GB"/>
        </w:rPr>
        <w:t xml:space="preserve">was notably higher than the growth reported </w:t>
      </w:r>
      <w:r w:rsidR="00FE7B32">
        <w:rPr>
          <w:lang w:val="en-GB"/>
        </w:rPr>
        <w:t xml:space="preserve">by the broader </w:t>
      </w:r>
      <w:r w:rsidR="00FE7B32" w:rsidRPr="007911D5">
        <w:rPr>
          <w:lang w:val="en-GB"/>
        </w:rPr>
        <w:t xml:space="preserve">undergraduate and postgraduate coursework </w:t>
      </w:r>
      <w:r w:rsidR="00FE7B32">
        <w:rPr>
          <w:lang w:val="en-GB"/>
        </w:rPr>
        <w:t xml:space="preserve">cohorts respectively </w:t>
      </w:r>
      <w:r w:rsidR="00FB06DB">
        <w:rPr>
          <w:lang w:val="en-GB"/>
        </w:rPr>
        <w:t>(</w:t>
      </w:r>
      <w:r w:rsidR="00FE7B32" w:rsidRPr="0036340F">
        <w:rPr>
          <w:b/>
          <w:bCs/>
          <w:lang w:val="en-GB"/>
        </w:rPr>
        <w:fldChar w:fldCharType="begin"/>
      </w:r>
      <w:r w:rsidR="00FE7B32" w:rsidRPr="0036340F">
        <w:rPr>
          <w:b/>
          <w:bCs/>
          <w:lang w:val="en-GB"/>
        </w:rPr>
        <w:instrText xml:space="preserve"> REF _Ref232501420 \h </w:instrText>
      </w:r>
      <w:r w:rsidR="00FE7B32">
        <w:rPr>
          <w:b/>
          <w:bCs/>
          <w:lang w:val="en-GB"/>
        </w:rPr>
        <w:instrText xml:space="preserve"> \* MERGEFORMAT </w:instrText>
      </w:r>
      <w:r w:rsidR="00FE7B32" w:rsidRPr="0036340F">
        <w:rPr>
          <w:b/>
          <w:bCs/>
          <w:lang w:val="en-GB"/>
        </w:rPr>
      </w:r>
      <w:r w:rsidR="00FE7B32" w:rsidRPr="0036340F">
        <w:rPr>
          <w:b/>
          <w:bCs/>
          <w:lang w:val="en-GB"/>
        </w:rPr>
        <w:fldChar w:fldCharType="separate"/>
      </w:r>
      <w:r w:rsidR="00FE7B32" w:rsidRPr="0036340F">
        <w:rPr>
          <w:b/>
          <w:bCs/>
        </w:rPr>
        <w:t xml:space="preserve">Figure </w:t>
      </w:r>
      <w:r w:rsidR="00FE7B32" w:rsidRPr="0036340F">
        <w:rPr>
          <w:b/>
          <w:bCs/>
          <w:noProof/>
        </w:rPr>
        <w:t>7</w:t>
      </w:r>
      <w:r w:rsidR="00FE7B32" w:rsidRPr="0036340F">
        <w:rPr>
          <w:b/>
          <w:bCs/>
          <w:lang w:val="en-GB"/>
        </w:rPr>
        <w:fldChar w:fldCharType="end"/>
      </w:r>
      <w:r w:rsidR="00FB06DB" w:rsidRPr="0036340F">
        <w:rPr>
          <w:b/>
          <w:bCs/>
          <w:lang w:val="en-GB"/>
        </w:rPr>
        <w:fldChar w:fldCharType="begin"/>
      </w:r>
      <w:r w:rsidR="00FB06DB" w:rsidRPr="0036340F">
        <w:rPr>
          <w:b/>
          <w:bCs/>
          <w:lang w:val="en-GB"/>
        </w:rPr>
        <w:instrText xml:space="preserve"> REF _Ref231490169 \h </w:instrText>
      </w:r>
      <w:r w:rsidR="00FB06DB">
        <w:rPr>
          <w:b/>
          <w:bCs/>
          <w:lang w:val="en-GB"/>
        </w:rPr>
        <w:instrText xml:space="preserve"> \* MERGEFORMAT </w:instrText>
      </w:r>
      <w:r w:rsidR="00FB06DB" w:rsidRPr="0036340F">
        <w:rPr>
          <w:b/>
          <w:bCs/>
          <w:lang w:val="en-GB"/>
        </w:rPr>
      </w:r>
      <w:r w:rsidR="00FB06DB" w:rsidRPr="0036340F">
        <w:rPr>
          <w:b/>
          <w:bCs/>
          <w:lang w:val="en-GB"/>
        </w:rPr>
        <w:fldChar w:fldCharType="separate"/>
      </w:r>
      <w:r w:rsidR="00FB06DB" w:rsidRPr="0036340F">
        <w:rPr>
          <w:b/>
          <w:bCs/>
          <w:lang w:val="en-GB"/>
        </w:rPr>
        <w:fldChar w:fldCharType="end"/>
      </w:r>
      <w:r w:rsidR="00FB06DB">
        <w:rPr>
          <w:lang w:val="en-GB"/>
        </w:rPr>
        <w:t>)</w:t>
      </w:r>
      <w:r w:rsidR="00F87C0C">
        <w:rPr>
          <w:lang w:val="en-GB"/>
        </w:rPr>
        <w:t>.</w:t>
      </w:r>
      <w:r w:rsidR="00C4053D">
        <w:rPr>
          <w:lang w:val="en-GB"/>
        </w:rPr>
        <w:t xml:space="preserve"> P</w:t>
      </w:r>
      <w:r>
        <w:rPr>
          <w:lang w:val="en-GB"/>
        </w:rPr>
        <w:t xml:space="preserve">ostgraduate coursework </w:t>
      </w:r>
      <w:r w:rsidR="00FE7B32">
        <w:rPr>
          <w:lang w:val="en-GB"/>
        </w:rPr>
        <w:t xml:space="preserve">graduates in their first full-time job reported </w:t>
      </w:r>
      <w:r w:rsidR="00CA3696">
        <w:rPr>
          <w:lang w:val="en-GB"/>
        </w:rPr>
        <w:t xml:space="preserve">a short-term median salary that was lower than the broader postgraduate coursework cohort by $22,700 (and </w:t>
      </w:r>
      <w:r w:rsidR="00FE7B32">
        <w:rPr>
          <w:lang w:val="en-GB"/>
        </w:rPr>
        <w:t xml:space="preserve">only slightly higher </w:t>
      </w:r>
      <w:r w:rsidR="00CA3696">
        <w:rPr>
          <w:lang w:val="en-GB"/>
        </w:rPr>
        <w:t xml:space="preserve">than </w:t>
      </w:r>
      <w:r w:rsidR="00FE7B32">
        <w:rPr>
          <w:lang w:val="en-GB"/>
        </w:rPr>
        <w:t>the short</w:t>
      </w:r>
      <w:r w:rsidR="00CA3696">
        <w:rPr>
          <w:lang w:val="en-GB"/>
        </w:rPr>
        <w:t>-</w:t>
      </w:r>
      <w:r w:rsidR="00FE7B32">
        <w:rPr>
          <w:lang w:val="en-GB"/>
        </w:rPr>
        <w:t xml:space="preserve">term </w:t>
      </w:r>
      <w:r w:rsidR="00CA3696">
        <w:rPr>
          <w:lang w:val="en-GB"/>
        </w:rPr>
        <w:t xml:space="preserve">median salary of </w:t>
      </w:r>
      <w:r w:rsidR="00FE7B32">
        <w:rPr>
          <w:lang w:val="en-GB"/>
        </w:rPr>
        <w:t>undergraduates</w:t>
      </w:r>
      <w:r w:rsidR="00CA3696">
        <w:rPr>
          <w:lang w:val="en-GB"/>
        </w:rPr>
        <w:t>)</w:t>
      </w:r>
      <w:r w:rsidR="00FE7B32">
        <w:rPr>
          <w:lang w:val="en-GB"/>
        </w:rPr>
        <w:t xml:space="preserve">. </w:t>
      </w:r>
      <w:r w:rsidR="00FE7B32" w:rsidRPr="00920CB9">
        <w:rPr>
          <w:spacing w:val="-2"/>
          <w:lang w:val="en-GB"/>
        </w:rPr>
        <w:t>This</w:t>
      </w:r>
      <w:r w:rsidR="00CA3696" w:rsidRPr="00920CB9">
        <w:rPr>
          <w:spacing w:val="-2"/>
          <w:lang w:val="en-GB"/>
        </w:rPr>
        <w:t xml:space="preserve"> lower short-term median salary</w:t>
      </w:r>
      <w:r w:rsidR="00FE7B32" w:rsidRPr="00920CB9">
        <w:rPr>
          <w:spacing w:val="-2"/>
          <w:lang w:val="en-GB"/>
        </w:rPr>
        <w:t xml:space="preserve"> </w:t>
      </w:r>
      <w:r w:rsidR="00CA3696" w:rsidRPr="00920CB9">
        <w:rPr>
          <w:spacing w:val="-2"/>
          <w:lang w:val="en-GB"/>
        </w:rPr>
        <w:t>led to</w:t>
      </w:r>
      <w:r w:rsidR="00FE7B32" w:rsidRPr="00920CB9">
        <w:rPr>
          <w:spacing w:val="-2"/>
          <w:lang w:val="en-GB"/>
        </w:rPr>
        <w:t xml:space="preserve"> a </w:t>
      </w:r>
      <w:r w:rsidRPr="00920CB9">
        <w:rPr>
          <w:spacing w:val="-2"/>
          <w:lang w:val="en-GB"/>
        </w:rPr>
        <w:t xml:space="preserve">3-year growth rate that was </w:t>
      </w:r>
      <w:r w:rsidR="00CA3696" w:rsidRPr="00920CB9">
        <w:rPr>
          <w:spacing w:val="-2"/>
          <w:lang w:val="en-GB"/>
        </w:rPr>
        <w:t>13.0</w:t>
      </w:r>
      <w:r w:rsidR="00FE7B32" w:rsidRPr="00920CB9">
        <w:rPr>
          <w:spacing w:val="-2"/>
          <w:lang w:val="en-GB"/>
        </w:rPr>
        <w:t xml:space="preserve"> percentage points </w:t>
      </w:r>
      <w:r w:rsidRPr="00920CB9">
        <w:rPr>
          <w:spacing w:val="-2"/>
          <w:lang w:val="en-GB"/>
        </w:rPr>
        <w:t xml:space="preserve">higher </w:t>
      </w:r>
      <w:r w:rsidR="00FE7B32" w:rsidRPr="00920CB9">
        <w:rPr>
          <w:spacing w:val="-2"/>
          <w:lang w:val="en-GB"/>
        </w:rPr>
        <w:t xml:space="preserve">than the broader postgraduate coursework cohort. </w:t>
      </w:r>
      <w:r w:rsidR="00F87C0C" w:rsidRPr="00920CB9">
        <w:rPr>
          <w:spacing w:val="-2"/>
          <w:lang w:val="en-GB"/>
        </w:rPr>
        <w:t xml:space="preserve">Notably, </w:t>
      </w:r>
      <w:r w:rsidR="007B15D2" w:rsidRPr="00920CB9">
        <w:rPr>
          <w:spacing w:val="-2"/>
          <w:lang w:val="en-GB"/>
        </w:rPr>
        <w:t xml:space="preserve">reported </w:t>
      </w:r>
      <w:r w:rsidR="00F87C0C" w:rsidRPr="00920CB9">
        <w:rPr>
          <w:spacing w:val="-2"/>
          <w:lang w:val="en-GB"/>
        </w:rPr>
        <w:t>salary</w:t>
      </w:r>
      <w:r w:rsidR="00F34282" w:rsidRPr="00920CB9">
        <w:rPr>
          <w:spacing w:val="-2"/>
          <w:lang w:val="en-GB"/>
        </w:rPr>
        <w:t xml:space="preserve"> </w:t>
      </w:r>
      <w:r w:rsidR="00F87C0C" w:rsidRPr="00920CB9">
        <w:rPr>
          <w:spacing w:val="-2"/>
          <w:lang w:val="en-GB"/>
        </w:rPr>
        <w:t xml:space="preserve">for postgraduate research graduates </w:t>
      </w:r>
      <w:r w:rsidR="00DD520D" w:rsidRPr="00920CB9">
        <w:rPr>
          <w:spacing w:val="-2"/>
          <w:lang w:val="en-GB"/>
        </w:rPr>
        <w:t>in their first full-time job</w:t>
      </w:r>
      <w:r w:rsidR="007B15D2" w:rsidRPr="00920CB9">
        <w:rPr>
          <w:spacing w:val="-2"/>
          <w:lang w:val="en-GB"/>
        </w:rPr>
        <w:t xml:space="preserve"> </w:t>
      </w:r>
      <w:r w:rsidR="00C4053D" w:rsidRPr="00920CB9">
        <w:rPr>
          <w:spacing w:val="-2"/>
          <w:lang w:val="en-GB"/>
        </w:rPr>
        <w:t>wa</w:t>
      </w:r>
      <w:r w:rsidR="007B15D2" w:rsidRPr="00920CB9">
        <w:rPr>
          <w:spacing w:val="-2"/>
          <w:lang w:val="en-GB"/>
        </w:rPr>
        <w:t>s</w:t>
      </w:r>
      <w:r w:rsidR="00DD520D" w:rsidRPr="00920CB9">
        <w:rPr>
          <w:spacing w:val="-2"/>
          <w:lang w:val="en-GB"/>
        </w:rPr>
        <w:t xml:space="preserve"> </w:t>
      </w:r>
      <w:r w:rsidR="00F34282" w:rsidRPr="00920CB9">
        <w:rPr>
          <w:spacing w:val="-2"/>
          <w:lang w:val="en-GB"/>
        </w:rPr>
        <w:t>high</w:t>
      </w:r>
      <w:r w:rsidR="007B15D2" w:rsidRPr="00920CB9">
        <w:rPr>
          <w:spacing w:val="-2"/>
          <w:lang w:val="en-GB"/>
        </w:rPr>
        <w:t xml:space="preserve">er than </w:t>
      </w:r>
      <w:r w:rsidR="00C4053D" w:rsidRPr="00920CB9">
        <w:rPr>
          <w:spacing w:val="-2"/>
          <w:lang w:val="en-GB"/>
        </w:rPr>
        <w:t xml:space="preserve">graduates in their first full-time job at </w:t>
      </w:r>
      <w:r w:rsidR="007B15D2" w:rsidRPr="00920CB9">
        <w:rPr>
          <w:spacing w:val="-2"/>
          <w:lang w:val="en-GB"/>
        </w:rPr>
        <w:t>other study levels</w:t>
      </w:r>
      <w:r w:rsidR="00F34282" w:rsidRPr="00920CB9">
        <w:rPr>
          <w:spacing w:val="-2"/>
          <w:lang w:val="en-GB"/>
        </w:rPr>
        <w:t xml:space="preserve"> in the short-term, </w:t>
      </w:r>
      <w:r w:rsidR="00FB06DB" w:rsidRPr="00920CB9">
        <w:rPr>
          <w:spacing w:val="-2"/>
          <w:lang w:val="en-GB"/>
        </w:rPr>
        <w:t>and</w:t>
      </w:r>
      <w:r w:rsidR="00F34282" w:rsidRPr="00920CB9">
        <w:rPr>
          <w:spacing w:val="-2"/>
          <w:lang w:val="en-GB"/>
        </w:rPr>
        <w:t xml:space="preserve"> their salary growth </w:t>
      </w:r>
      <w:r w:rsidR="00C4053D" w:rsidRPr="00920CB9">
        <w:rPr>
          <w:spacing w:val="-2"/>
          <w:lang w:val="en-GB"/>
        </w:rPr>
        <w:t>wa</w:t>
      </w:r>
      <w:r w:rsidR="00F34282" w:rsidRPr="00920CB9">
        <w:rPr>
          <w:spacing w:val="-2"/>
          <w:lang w:val="en-GB"/>
        </w:rPr>
        <w:t xml:space="preserve">s </w:t>
      </w:r>
      <w:r w:rsidR="00FB06DB" w:rsidRPr="00920CB9">
        <w:rPr>
          <w:spacing w:val="-2"/>
          <w:lang w:val="en-GB"/>
        </w:rPr>
        <w:t>lower</w:t>
      </w:r>
      <w:r w:rsidR="00F34282" w:rsidRPr="00920CB9">
        <w:rPr>
          <w:spacing w:val="-2"/>
          <w:lang w:val="en-GB"/>
        </w:rPr>
        <w:t xml:space="preserve"> </w:t>
      </w:r>
      <w:r w:rsidR="00FE7B32" w:rsidRPr="00920CB9">
        <w:rPr>
          <w:spacing w:val="-2"/>
          <w:lang w:val="en-GB"/>
        </w:rPr>
        <w:t>from</w:t>
      </w:r>
      <w:r w:rsidR="00F34282" w:rsidRPr="00920CB9">
        <w:rPr>
          <w:spacing w:val="-2"/>
          <w:lang w:val="en-GB"/>
        </w:rPr>
        <w:t xml:space="preserve"> the short-</w:t>
      </w:r>
      <w:r w:rsidR="00FE7B32" w:rsidRPr="00920CB9">
        <w:rPr>
          <w:spacing w:val="-2"/>
          <w:lang w:val="en-GB"/>
        </w:rPr>
        <w:t>term</w:t>
      </w:r>
      <w:r w:rsidR="00F34282" w:rsidRPr="00920CB9">
        <w:rPr>
          <w:spacing w:val="-2"/>
          <w:lang w:val="en-GB"/>
        </w:rPr>
        <w:t xml:space="preserve"> to medium-term</w:t>
      </w:r>
      <w:r w:rsidR="00F87C0C" w:rsidRPr="00920CB9">
        <w:rPr>
          <w:spacing w:val="-2"/>
          <w:lang w:val="en-GB"/>
        </w:rPr>
        <w:t>.</w:t>
      </w:r>
    </w:p>
    <w:p w14:paraId="05DBE4FE" w14:textId="6DE61098" w:rsidR="008E1916" w:rsidRDefault="008E1916" w:rsidP="00173A7F">
      <w:pPr>
        <w:pStyle w:val="Caption"/>
        <w:rPr>
          <w:lang w:val="en-GB"/>
        </w:rPr>
      </w:pPr>
      <w:bookmarkStart w:id="49" w:name="_Ref231490169"/>
      <w:bookmarkStart w:id="50" w:name="_Toc243492114"/>
      <w:r>
        <w:t xml:space="preserve">Figure </w:t>
      </w:r>
      <w:fldSimple w:instr=" SEQ Figure \* ARABIC ">
        <w:r>
          <w:rPr>
            <w:noProof/>
          </w:rPr>
          <w:t>8</w:t>
        </w:r>
      </w:fldSimple>
      <w:bookmarkEnd w:id="49"/>
      <w:r w:rsidR="00DF1EF3">
        <w:tab/>
      </w:r>
      <w:r>
        <w:t xml:space="preserve">Short- and medium-term median salary for 2023 graduates in their first full-time job by </w:t>
      </w:r>
      <w:r w:rsidR="00487685">
        <w:t xml:space="preserve">study </w:t>
      </w:r>
      <w:r>
        <w:t>level</w:t>
      </w:r>
      <w:bookmarkEnd w:id="50"/>
    </w:p>
    <w:p w14:paraId="663E66BF" w14:textId="4A5D6C71" w:rsidR="00FE3D9D" w:rsidRDefault="00173A7F" w:rsidP="00173A7F">
      <w:pPr>
        <w:pStyle w:val="Body"/>
        <w:spacing w:after="0"/>
        <w:rPr>
          <w:lang w:val="en-GB"/>
        </w:rPr>
      </w:pPr>
      <w:r w:rsidRPr="00173A7F">
        <w:rPr>
          <w:noProof/>
          <w:lang w:val="en-GB"/>
        </w:rPr>
        <w:drawing>
          <wp:inline distT="0" distB="0" distL="0" distR="0" wp14:anchorId="7D160350" wp14:editId="58056D48">
            <wp:extent cx="6300000" cy="2539954"/>
            <wp:effectExtent l="0" t="0" r="5715" b="0"/>
            <wp:docPr id="26024043" name="Picture 1" descr="Composite chart. Short- and medium-term median salary for 2023 graduates in their first full-time job by study level. Legend: Short-term (2023); Medium-term (2026). Categories: Undergraduate; Postgraduate coursework; Postgraduate research. Percentage boxes show three-year salary growth. Vertical axis: median annual full-time salary ($).  Short-term (2023): Undergraduate: $70,000; Postgraduate coursework: $75,300; Postgraduate research: $91,900 Medium-term (2026): Undergraduate: $95,000; Postgraduate coursework: $102,000; Postgraduate research: $117,000 | Three-year salary growth: Undergraduate, 35.7%; Postgraduate coursework, 35.5%; Postgraduate research,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4043" name="Picture 1" descr="Composite chart. Short- and medium-term median salary for 2023 graduates in their first full-time job by study level. Legend: Short-term (2023); Medium-term (2026). Categories: Undergraduate; Postgraduate coursework; Postgraduate research. Percentage boxes show three-year salary growth. Vertical axis: median annual full-time salary ($).  Short-term (2023): Undergraduate: $70,000; Postgraduate coursework: $75,300; Postgraduate research: $91,900 Medium-term (2026): Undergraduate: $95,000; Postgraduate coursework: $102,000; Postgraduate research: $117,000 | Three-year salary growth: Undergraduate, 35.7%; Postgraduate coursework, 35.5%; Postgraduate research, 27.3%."/>
                    <pic:cNvPicPr/>
                  </pic:nvPicPr>
                  <pic:blipFill>
                    <a:blip r:embed="rId38"/>
                    <a:stretch>
                      <a:fillRect/>
                    </a:stretch>
                  </pic:blipFill>
                  <pic:spPr>
                    <a:xfrm>
                      <a:off x="0" y="0"/>
                      <a:ext cx="6300000" cy="2539954"/>
                    </a:xfrm>
                    <a:prstGeom prst="rect">
                      <a:avLst/>
                    </a:prstGeom>
                  </pic:spPr>
                </pic:pic>
              </a:graphicData>
            </a:graphic>
          </wp:inline>
        </w:drawing>
      </w:r>
    </w:p>
    <w:p w14:paraId="6FAC6202" w14:textId="77777777" w:rsidR="00244416" w:rsidRPr="005A3AFE" w:rsidRDefault="00244416" w:rsidP="00095613">
      <w:pPr>
        <w:pStyle w:val="Heading2"/>
      </w:pPr>
      <w:bookmarkStart w:id="51" w:name="_Toc234236628"/>
      <w:bookmarkStart w:id="52" w:name="_Toc234236629"/>
      <w:bookmarkStart w:id="53" w:name="_Toc234236630"/>
      <w:bookmarkStart w:id="54" w:name="_Toc234236631"/>
      <w:bookmarkStart w:id="55" w:name="_Toc234236632"/>
      <w:bookmarkStart w:id="56" w:name="_Toc234236633"/>
      <w:bookmarkStart w:id="57" w:name="_Toc234236634"/>
      <w:bookmarkStart w:id="58" w:name="_Toc234236635"/>
      <w:bookmarkStart w:id="59" w:name="_Toc234236636"/>
      <w:bookmarkStart w:id="60" w:name="_Toc136603824"/>
      <w:bookmarkStart w:id="61" w:name="_Toc136603872"/>
      <w:bookmarkStart w:id="62" w:name="_Toc136603920"/>
      <w:bookmarkStart w:id="63" w:name="_Toc136616388"/>
      <w:bookmarkStart w:id="64" w:name="_Toc136616436"/>
      <w:bookmarkStart w:id="65" w:name="_Toc136616484"/>
      <w:bookmarkStart w:id="66" w:name="_Toc136950959"/>
      <w:bookmarkStart w:id="67" w:name="_Toc136603827"/>
      <w:bookmarkStart w:id="68" w:name="_Toc136603875"/>
      <w:bookmarkStart w:id="69" w:name="_Toc136603923"/>
      <w:bookmarkStart w:id="70" w:name="_Toc136616391"/>
      <w:bookmarkStart w:id="71" w:name="_Toc136616439"/>
      <w:bookmarkStart w:id="72" w:name="_Toc136616487"/>
      <w:bookmarkStart w:id="73" w:name="_Toc136950962"/>
      <w:bookmarkStart w:id="74" w:name="_Toc192179851"/>
      <w:bookmarkStart w:id="75" w:name="_Toc24349233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5A3AFE">
        <w:t>Underemployment</w:t>
      </w:r>
      <w:bookmarkEnd w:id="74"/>
      <w:bookmarkEnd w:id="75"/>
    </w:p>
    <w:p w14:paraId="4338DC84" w14:textId="70DA0C1E" w:rsidR="00244416" w:rsidRPr="005A3AFE" w:rsidRDefault="00244416" w:rsidP="00095613">
      <w:pPr>
        <w:pStyle w:val="Body"/>
        <w:keepNext/>
        <w:keepLines/>
        <w:rPr>
          <w:b/>
        </w:rPr>
      </w:pPr>
      <w:r w:rsidRPr="005A3AFE">
        <w:t xml:space="preserve">An ‘underemployed’ person is someone employed part-time (less than 35 hours per week) who would prefer to work more hours – regardless of if they are available to work those additional hours. </w:t>
      </w:r>
      <w:r w:rsidR="00A55D6D" w:rsidRPr="005A3AFE">
        <w:t xml:space="preserve">Rates of underemployment </w:t>
      </w:r>
      <w:r w:rsidR="006055FE" w:rsidRPr="005A3AFE">
        <w:t xml:space="preserve">are </w:t>
      </w:r>
      <w:r w:rsidR="00A55D6D" w:rsidRPr="005A3AFE">
        <w:t xml:space="preserve">typically </w:t>
      </w:r>
      <w:r w:rsidR="006055FE" w:rsidRPr="005A3AFE">
        <w:t xml:space="preserve">higher </w:t>
      </w:r>
      <w:r w:rsidR="00A55D6D" w:rsidRPr="005A3AFE">
        <w:t>in the short-term, 4 to 6 months after course completion</w:t>
      </w:r>
      <w:r w:rsidR="00F55D19" w:rsidRPr="005A3AFE">
        <w:t>, but narrow over time</w:t>
      </w:r>
      <w:r w:rsidR="0058107F" w:rsidRPr="005A3AFE">
        <w:t xml:space="preserve">, as seen in </w:t>
      </w:r>
      <w:r w:rsidR="00752DAE" w:rsidRPr="005A3AFE">
        <w:rPr>
          <w:b/>
        </w:rPr>
        <w:fldChar w:fldCharType="begin"/>
      </w:r>
      <w:r w:rsidR="00752DAE" w:rsidRPr="005A3AFE">
        <w:rPr>
          <w:b/>
        </w:rPr>
        <w:instrText xml:space="preserve"> REF _Ref207361109 \h  \* MERGEFORMAT </w:instrText>
      </w:r>
      <w:r w:rsidR="00752DAE" w:rsidRPr="005A3AFE">
        <w:rPr>
          <w:b/>
        </w:rPr>
      </w:r>
      <w:r w:rsidR="00752DAE" w:rsidRPr="005A3AFE">
        <w:rPr>
          <w:b/>
        </w:rPr>
        <w:fldChar w:fldCharType="separate"/>
      </w:r>
      <w:r w:rsidR="00487685" w:rsidRPr="00452453">
        <w:rPr>
          <w:b/>
        </w:rPr>
        <w:t xml:space="preserve">Figure </w:t>
      </w:r>
      <w:r w:rsidR="00752DAE" w:rsidRPr="005A3AFE">
        <w:rPr>
          <w:b/>
        </w:rPr>
        <w:fldChar w:fldCharType="end"/>
      </w:r>
      <w:r w:rsidR="00487685">
        <w:rPr>
          <w:b/>
        </w:rPr>
        <w:t>9</w:t>
      </w:r>
      <w:r w:rsidRPr="005A3AFE">
        <w:t>.</w:t>
      </w:r>
    </w:p>
    <w:p w14:paraId="6F2A31DD" w14:textId="1C8F579F" w:rsidR="00DC577F" w:rsidRPr="005A3AFE" w:rsidRDefault="00B00928" w:rsidP="00244416">
      <w:pPr>
        <w:pStyle w:val="Body"/>
      </w:pPr>
      <w:r w:rsidRPr="005A3AFE">
        <w:t xml:space="preserve">In 2023, short-term underemployment rates </w:t>
      </w:r>
      <w:r w:rsidR="00457C5F" w:rsidRPr="005A3AFE">
        <w:t xml:space="preserve">followed a pattern of continued recovery from the tail end of the pandemic. </w:t>
      </w:r>
      <w:r w:rsidR="00AB69F3" w:rsidRPr="005A3AFE">
        <w:t xml:space="preserve">Following a sharp drop in underemployment in 2022, </w:t>
      </w:r>
      <w:r w:rsidR="005178C4" w:rsidRPr="005A3AFE">
        <w:t>underemployment increased slightly for undergraduates</w:t>
      </w:r>
      <w:r w:rsidR="00715945" w:rsidRPr="005A3AFE">
        <w:t xml:space="preserve"> and</w:t>
      </w:r>
      <w:r w:rsidR="009408AD" w:rsidRPr="005A3AFE">
        <w:t xml:space="preserve"> postgraduate coursework graduates and slightly decreased for postgraduate research graduates</w:t>
      </w:r>
      <w:r w:rsidR="005A676A" w:rsidRPr="005A3AFE">
        <w:t xml:space="preserve">. Across all study levels, </w:t>
      </w:r>
      <w:r w:rsidR="00300E08" w:rsidRPr="005A3AFE">
        <w:t>short-term underemployment remained well below the ranges observed prior to 2022.</w:t>
      </w:r>
    </w:p>
    <w:p w14:paraId="42520083" w14:textId="0B2483F1" w:rsidR="00F911EC" w:rsidRPr="005A3AFE" w:rsidRDefault="004E4FDA" w:rsidP="0014536F">
      <w:pPr>
        <w:pStyle w:val="Body"/>
        <w:spacing w:after="240"/>
      </w:pPr>
      <w:r w:rsidRPr="005A3AFE">
        <w:t xml:space="preserve">In the </w:t>
      </w:r>
      <w:r w:rsidR="00077E88" w:rsidRPr="005A3AFE">
        <w:t>medium-</w:t>
      </w:r>
      <w:r w:rsidRPr="005A3AFE">
        <w:t xml:space="preserve">term, </w:t>
      </w:r>
      <w:r w:rsidR="0042586D" w:rsidRPr="005A3AFE">
        <w:t>underemployment levels</w:t>
      </w:r>
      <w:r w:rsidR="00A918B5">
        <w:t xml:space="preserve"> in 2026</w:t>
      </w:r>
      <w:r w:rsidR="0042586D" w:rsidRPr="005A3AFE">
        <w:t xml:space="preserve"> </w:t>
      </w:r>
      <w:r w:rsidR="008D1003" w:rsidRPr="005A3AFE">
        <w:t>remained</w:t>
      </w:r>
      <w:r w:rsidR="002B52A5" w:rsidRPr="005A3AFE">
        <w:t xml:space="preserve"> </w:t>
      </w:r>
      <w:r w:rsidR="000C78B3">
        <w:t>broadly</w:t>
      </w:r>
      <w:r w:rsidR="0000755D">
        <w:t xml:space="preserve"> </w:t>
      </w:r>
      <w:r w:rsidR="002B52A5" w:rsidRPr="005A3AFE">
        <w:t>similar to 202</w:t>
      </w:r>
      <w:r w:rsidR="0000755D">
        <w:t>5, ranging from 4.7 per cent for postgraduate coursework graduates, to 7.5 per cent for undergraduates</w:t>
      </w:r>
      <w:r w:rsidR="002B52A5" w:rsidRPr="005A3AFE">
        <w:t>.</w:t>
      </w:r>
      <w:bookmarkStart w:id="76" w:name="_Ref144980246"/>
      <w:bookmarkStart w:id="77" w:name="_Ref178421530"/>
    </w:p>
    <w:p w14:paraId="0C32D349" w14:textId="139019D9" w:rsidR="00173A7F" w:rsidRDefault="00244416" w:rsidP="00625A45">
      <w:pPr>
        <w:pStyle w:val="Caption"/>
        <w:ind w:left="0" w:firstLine="0"/>
      </w:pPr>
      <w:bookmarkStart w:id="78" w:name="_Ref207361109"/>
      <w:bookmarkStart w:id="79" w:name="_Toc243492115"/>
      <w:r w:rsidRPr="005A3AFE">
        <w:lastRenderedPageBreak/>
        <w:t xml:space="preserve">Figure </w:t>
      </w:r>
      <w:bookmarkEnd w:id="76"/>
      <w:bookmarkEnd w:id="77"/>
      <w:bookmarkEnd w:id="78"/>
      <w:r w:rsidR="00377B08" w:rsidRPr="005A3AFE">
        <w:fldChar w:fldCharType="begin"/>
      </w:r>
      <w:r w:rsidR="00377B08" w:rsidRPr="005A3AFE">
        <w:instrText xml:space="preserve"> SEQ Figure \* ARABIC </w:instrText>
      </w:r>
      <w:r w:rsidR="00377B08" w:rsidRPr="005A3AFE">
        <w:fldChar w:fldCharType="separate"/>
      </w:r>
      <w:r w:rsidR="008E1916">
        <w:rPr>
          <w:noProof/>
        </w:rPr>
        <w:t>9</w:t>
      </w:r>
      <w:r w:rsidR="00377B08" w:rsidRPr="005A3AFE">
        <w:fldChar w:fldCharType="end"/>
      </w:r>
      <w:r w:rsidR="00DF1EF3">
        <w:tab/>
      </w:r>
      <w:r w:rsidR="008B7FB9" w:rsidRPr="005A3AFE">
        <w:t>Short- and medium-term</w:t>
      </w:r>
      <w:r w:rsidR="004C0E47" w:rsidRPr="005A3AFE">
        <w:t xml:space="preserve"> underemployment rate</w:t>
      </w:r>
      <w:r w:rsidRPr="005A3AFE">
        <w:t xml:space="preserve"> (% of those employed)</w:t>
      </w:r>
      <w:bookmarkEnd w:id="79"/>
    </w:p>
    <w:p w14:paraId="3B1905D3" w14:textId="7EDEC144" w:rsidR="00625A45" w:rsidRDefault="00625A45" w:rsidP="00DA1C72">
      <w:pPr>
        <w:pStyle w:val="Body"/>
        <w:rPr>
          <w:noProof/>
        </w:rPr>
      </w:pPr>
      <w:r w:rsidRPr="00625A45">
        <w:rPr>
          <w:noProof/>
        </w:rPr>
        <w:drawing>
          <wp:inline distT="0" distB="0" distL="0" distR="0" wp14:anchorId="42A94B5C" wp14:editId="0295D95C">
            <wp:extent cx="6656070" cy="7496175"/>
            <wp:effectExtent l="0" t="0" r="0" b="9525"/>
            <wp:docPr id="1085514570" name="Picture 1" descr="Composite chart. Short- and medium-term underemployment rate (% of those employed). Three panels, top to bottom: Undergraduate; Postgraduate coursework; Postgraduate research. Legend in each panel: Short-term; Medium-term. Horizontal axis: short-term year followed by medium-term year. Vertical axis: underemployment rate (% of those employed). Undergraduate: Short-term: 2017 | 2020: 19.1%; 2018 | 2021: 18.1%; 2019 | 2022: 19.4%; 2020 | 2023: 20.9%; 2021 | 2024: 18.5%; 2022 | 2025: 13.7%; 2023 | 2026: 14.4% Medium-term: 2017 | 2020: 7.9%; 2018 | 2021: 7.7%; 2019 | 2022: 6.2%; 2020 | 2023: 6.5%; 2021 | 2024: 6.1%; 2022 | 2025: 7.2%; 2023 | 2026: 7.5% | Postgraduate coursework: Short-term: 2017 | 2020: 10.0%; 2018 | 2021: 9.5%; 2019 | 2022: 9.1%; 2020 | 2023: 9.9%; 2021 | 2024: 8.6%; 2022 | 2025: 7.2%; 2023 | 2026: 7.4% Medium-term: 2017 | 2020: 4.7%; 2018 | 2021: 5.2%; 2019 | 2022: 4.2%; 2020 | 2023: 4.1%; 2021 | 2024: 4.4%; 2022 | 2025: 4.5%; 2023 | 2026: 4.7% | Postgraduate research: Short-term: 2017 | 2020: 13.0%; 2018 | 2021: 12.2%; 2019 | 2022: 12.7%; 2020 | 2023: 13.9%; 2021 | 2024: 13.5%; 2022 | 2025: 10.8%; 2023 | 2026: 9.1% Medium-term: 2017 | 2020: 6.4%; 2018 | 2021: 6.1%; 2019 | 2022: 5.4%; 2020 | 2023: 5.4%; 2021 | 2024: 4.5%; 2022 | 2025: 5.7%; 2023 | 2026: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14570" name="Picture 1" descr="Composite chart. Short- and medium-term underemployment rate (% of those employed). Three panels, top to bottom: Undergraduate; Postgraduate coursework; Postgraduate research. Legend in each panel: Short-term; Medium-term. Horizontal axis: short-term year followed by medium-term year. Vertical axis: underemployment rate (% of those employed). Undergraduate: Short-term: 2017 | 2020: 19.1%; 2018 | 2021: 18.1%; 2019 | 2022: 19.4%; 2020 | 2023: 20.9%; 2021 | 2024: 18.5%; 2022 | 2025: 13.7%; 2023 | 2026: 14.4% Medium-term: 2017 | 2020: 7.9%; 2018 | 2021: 7.7%; 2019 | 2022: 6.2%; 2020 | 2023: 6.5%; 2021 | 2024: 6.1%; 2022 | 2025: 7.2%; 2023 | 2026: 7.5% | Postgraduate coursework: Short-term: 2017 | 2020: 10.0%; 2018 | 2021: 9.5%; 2019 | 2022: 9.1%; 2020 | 2023: 9.9%; 2021 | 2024: 8.6%; 2022 | 2025: 7.2%; 2023 | 2026: 7.4% Medium-term: 2017 | 2020: 4.7%; 2018 | 2021: 5.2%; 2019 | 2022: 4.2%; 2020 | 2023: 4.1%; 2021 | 2024: 4.4%; 2022 | 2025: 4.5%; 2023 | 2026: 4.7% | Postgraduate research: Short-term: 2017 | 2020: 13.0%; 2018 | 2021: 12.2%; 2019 | 2022: 12.7%; 2020 | 2023: 13.9%; 2021 | 2024: 13.5%; 2022 | 2025: 10.8%; 2023 | 2026: 9.1% Medium-term: 2017 | 2020: 6.4%; 2018 | 2021: 6.1%; 2019 | 2022: 5.4%; 2020 | 2023: 5.4%; 2021 | 2024: 4.5%; 2022 | 2025: 5.7%; 2023 | 2026: 6.1%"/>
                    <pic:cNvPicPr/>
                  </pic:nvPicPr>
                  <pic:blipFill>
                    <a:blip r:embed="rId39"/>
                    <a:stretch>
                      <a:fillRect/>
                    </a:stretch>
                  </pic:blipFill>
                  <pic:spPr>
                    <a:xfrm>
                      <a:off x="0" y="0"/>
                      <a:ext cx="6656070" cy="7496175"/>
                    </a:xfrm>
                    <a:prstGeom prst="rect">
                      <a:avLst/>
                    </a:prstGeom>
                  </pic:spPr>
                </pic:pic>
              </a:graphicData>
            </a:graphic>
          </wp:inline>
        </w:drawing>
      </w:r>
    </w:p>
    <w:p w14:paraId="0763927E" w14:textId="05B1AC7C" w:rsidR="00614751" w:rsidRDefault="00034623" w:rsidP="00DA1C72">
      <w:pPr>
        <w:pStyle w:val="Body"/>
        <w:rPr>
          <w:noProof/>
        </w:rPr>
        <w:sectPr w:rsidR="00614751" w:rsidSect="00A11753">
          <w:footerReference w:type="default" r:id="rId40"/>
          <w:pgSz w:w="11900" w:h="16840"/>
          <w:pgMar w:top="709" w:right="709" w:bottom="709" w:left="709" w:header="567" w:footer="567" w:gutter="0"/>
          <w:cols w:space="708"/>
          <w:docGrid w:linePitch="360"/>
        </w:sectPr>
      </w:pPr>
      <w:r>
        <w:rPr>
          <w:noProof/>
        </w:rPr>
        <w:t xml:space="preserve">Three years after course completion, </w:t>
      </w:r>
      <w:r w:rsidR="0090207A">
        <w:rPr>
          <w:noProof/>
        </w:rPr>
        <w:t>5</w:t>
      </w:r>
      <w:r w:rsidR="0085098B">
        <w:rPr>
          <w:noProof/>
        </w:rPr>
        <w:t>9</w:t>
      </w:r>
      <w:r w:rsidR="0090207A">
        <w:rPr>
          <w:noProof/>
        </w:rPr>
        <w:t>.</w:t>
      </w:r>
      <w:r w:rsidR="0085098B">
        <w:rPr>
          <w:noProof/>
        </w:rPr>
        <w:t xml:space="preserve">3 </w:t>
      </w:r>
      <w:r w:rsidR="0090207A">
        <w:rPr>
          <w:noProof/>
        </w:rPr>
        <w:t>per cent</w:t>
      </w:r>
      <w:r>
        <w:rPr>
          <w:noProof/>
        </w:rPr>
        <w:t xml:space="preserve"> of</w:t>
      </w:r>
      <w:r w:rsidR="008545CB">
        <w:rPr>
          <w:noProof/>
        </w:rPr>
        <w:t xml:space="preserve"> short-term underemployed</w:t>
      </w:r>
      <w:r>
        <w:rPr>
          <w:noProof/>
        </w:rPr>
        <w:t xml:space="preserve"> </w:t>
      </w:r>
      <w:r w:rsidR="00BB55BA" w:rsidRPr="005A3AFE">
        <w:rPr>
          <w:noProof/>
        </w:rPr>
        <w:t>undergraduate</w:t>
      </w:r>
      <w:r>
        <w:rPr>
          <w:noProof/>
        </w:rPr>
        <w:t>s</w:t>
      </w:r>
      <w:r w:rsidR="0090207A">
        <w:rPr>
          <w:noProof/>
        </w:rPr>
        <w:t xml:space="preserve"> who</w:t>
      </w:r>
      <w:r>
        <w:rPr>
          <w:noProof/>
        </w:rPr>
        <w:t xml:space="preserve"> were </w:t>
      </w:r>
      <w:r w:rsidR="008545CB">
        <w:rPr>
          <w:noProof/>
        </w:rPr>
        <w:t xml:space="preserve">available for work in the medium-term </w:t>
      </w:r>
      <w:r>
        <w:rPr>
          <w:noProof/>
        </w:rPr>
        <w:t>had transitioned to full-time employment</w:t>
      </w:r>
      <w:r w:rsidR="0090207A">
        <w:rPr>
          <w:noProof/>
        </w:rPr>
        <w:t xml:space="preserve"> </w:t>
      </w:r>
      <w:r w:rsidR="00487685">
        <w:rPr>
          <w:noProof/>
        </w:rPr>
        <w:t>(</w:t>
      </w:r>
      <w:r w:rsidR="00487685">
        <w:rPr>
          <w:b/>
          <w:bCs/>
          <w:noProof/>
        </w:rPr>
        <w:t>Figure 10)</w:t>
      </w:r>
      <w:r w:rsidR="00730628" w:rsidRPr="005A3AFE">
        <w:rPr>
          <w:noProof/>
        </w:rPr>
        <w:t xml:space="preserve">. </w:t>
      </w:r>
      <w:r w:rsidR="00DC3FB4" w:rsidRPr="005A3AFE">
        <w:rPr>
          <w:noProof/>
        </w:rPr>
        <w:t>The results are similar at the postgraduate coursework</w:t>
      </w:r>
      <w:r w:rsidR="00C01EE1" w:rsidRPr="005A3AFE">
        <w:rPr>
          <w:noProof/>
        </w:rPr>
        <w:t xml:space="preserve"> and postgraduate research</w:t>
      </w:r>
      <w:r w:rsidR="00DC3FB4" w:rsidRPr="005A3AFE">
        <w:rPr>
          <w:noProof/>
        </w:rPr>
        <w:t xml:space="preserve"> level</w:t>
      </w:r>
      <w:r w:rsidR="00184295" w:rsidRPr="005A3AFE">
        <w:rPr>
          <w:noProof/>
        </w:rPr>
        <w:t xml:space="preserve">. </w:t>
      </w:r>
      <w:r w:rsidR="00184295" w:rsidRPr="00241583">
        <w:rPr>
          <w:noProof/>
          <w:spacing w:val="-4"/>
        </w:rPr>
        <w:t xml:space="preserve">These results suggest that even though graduates may not </w:t>
      </w:r>
      <w:r w:rsidR="0087698E" w:rsidRPr="00241583">
        <w:rPr>
          <w:noProof/>
          <w:spacing w:val="-4"/>
        </w:rPr>
        <w:t xml:space="preserve">initially </w:t>
      </w:r>
      <w:r w:rsidR="00F2213D" w:rsidRPr="00241583">
        <w:rPr>
          <w:noProof/>
          <w:spacing w:val="-4"/>
        </w:rPr>
        <w:t>be in a position to</w:t>
      </w:r>
      <w:r w:rsidR="0090207A" w:rsidRPr="00241583">
        <w:rPr>
          <w:noProof/>
          <w:spacing w:val="-4"/>
        </w:rPr>
        <w:t xml:space="preserve"> acquire employment which aligns with their skills and qualifications </w:t>
      </w:r>
      <w:r w:rsidR="0087698E" w:rsidRPr="00241583">
        <w:rPr>
          <w:noProof/>
          <w:spacing w:val="-4"/>
        </w:rPr>
        <w:t xml:space="preserve">in </w:t>
      </w:r>
      <w:r w:rsidR="00166D65" w:rsidRPr="00241583">
        <w:rPr>
          <w:noProof/>
          <w:spacing w:val="-4"/>
        </w:rPr>
        <w:t xml:space="preserve">the short-term, </w:t>
      </w:r>
      <w:r w:rsidR="00F72912" w:rsidRPr="00241583">
        <w:rPr>
          <w:noProof/>
          <w:spacing w:val="-4"/>
        </w:rPr>
        <w:t>a considerable proportion of these graduates</w:t>
      </w:r>
      <w:r w:rsidR="00DC0D9C" w:rsidRPr="00241583">
        <w:rPr>
          <w:noProof/>
          <w:spacing w:val="-4"/>
        </w:rPr>
        <w:t xml:space="preserve"> </w:t>
      </w:r>
      <w:r w:rsidR="00F72912" w:rsidRPr="00241583">
        <w:rPr>
          <w:noProof/>
          <w:spacing w:val="-4"/>
        </w:rPr>
        <w:t>go on to</w:t>
      </w:r>
      <w:r w:rsidR="00DC0D9C" w:rsidRPr="00241583">
        <w:rPr>
          <w:noProof/>
          <w:spacing w:val="-4"/>
        </w:rPr>
        <w:t xml:space="preserve"> acquire employment</w:t>
      </w:r>
      <w:r w:rsidR="00283190" w:rsidRPr="00241583">
        <w:rPr>
          <w:noProof/>
          <w:spacing w:val="-4"/>
        </w:rPr>
        <w:t xml:space="preserve"> which </w:t>
      </w:r>
      <w:r w:rsidR="00E83E54" w:rsidRPr="00241583">
        <w:rPr>
          <w:noProof/>
          <w:spacing w:val="-4"/>
        </w:rPr>
        <w:t xml:space="preserve">suit their </w:t>
      </w:r>
      <w:r w:rsidR="009A6958" w:rsidRPr="00241583">
        <w:rPr>
          <w:noProof/>
          <w:spacing w:val="-4"/>
        </w:rPr>
        <w:t xml:space="preserve">preferences </w:t>
      </w:r>
      <w:r w:rsidR="005F57A2" w:rsidRPr="00241583">
        <w:rPr>
          <w:noProof/>
          <w:spacing w:val="-4"/>
        </w:rPr>
        <w:t>in the medium-term</w:t>
      </w:r>
      <w:r w:rsidR="00E83E54" w:rsidRPr="00241583">
        <w:rPr>
          <w:noProof/>
          <w:spacing w:val="-4"/>
        </w:rPr>
        <w:t>.</w:t>
      </w:r>
    </w:p>
    <w:p w14:paraId="2479CB3D" w14:textId="7339B580" w:rsidR="00B67087" w:rsidRPr="005A3AFE" w:rsidRDefault="00B67087" w:rsidP="00625A45">
      <w:pPr>
        <w:pStyle w:val="Caption"/>
        <w:spacing w:after="200"/>
        <w:ind w:left="0" w:firstLine="0"/>
      </w:pPr>
      <w:bookmarkStart w:id="80" w:name="_Toc243492116"/>
      <w:r w:rsidRPr="005A3AFE">
        <w:lastRenderedPageBreak/>
        <w:t xml:space="preserve">Figure </w:t>
      </w:r>
      <w:fldSimple w:instr=" SEQ Figure \* ARABIC ">
        <w:r w:rsidR="008E1916">
          <w:rPr>
            <w:noProof/>
          </w:rPr>
          <w:t>10</w:t>
        </w:r>
      </w:fldSimple>
      <w:r w:rsidR="0014536F">
        <w:tab/>
      </w:r>
      <w:r w:rsidRPr="005A3AFE">
        <w:t xml:space="preserve">Medium-term labour force classification for </w:t>
      </w:r>
      <w:r w:rsidR="001C14FC" w:rsidRPr="005A3AFE">
        <w:t xml:space="preserve">those </w:t>
      </w:r>
      <w:r w:rsidR="00E47553" w:rsidRPr="005A3AFE">
        <w:t>underemployed in the short-term</w:t>
      </w:r>
      <w:bookmarkEnd w:id="80"/>
    </w:p>
    <w:p w14:paraId="0EED5CBD" w14:textId="301CC532" w:rsidR="00625A45" w:rsidRDefault="00625A45" w:rsidP="00244416">
      <w:pPr>
        <w:pStyle w:val="Body"/>
        <w:rPr>
          <w:noProof/>
        </w:rPr>
      </w:pPr>
      <w:r>
        <w:rPr>
          <w:noProof/>
        </w:rPr>
        <w:drawing>
          <wp:inline distT="0" distB="0" distL="0" distR="0" wp14:anchorId="719E546B" wp14:editId="0F73B24A">
            <wp:extent cx="9791065" cy="4699591"/>
            <wp:effectExtent l="0" t="0" r="635" b="6350"/>
            <wp:docPr id="1099531176" name="Picture 11" descr="100% stacked bar chart. Medium-term labour force classification for those underemployed in the short-term. Legend segments: Employed full-time; Employed part-time, prefer more hours; Employed part-time, satisfied with hours; Employed part-time, unknown hours; Unemployed. Bars: Undergraduates; Postgraduate coursework; Postgraduate research. Horizontal axis: percentage. Employed full-time: Undergraduates: 59.3%; Postgraduate coursework: 58.2%; Postgraduate research: 53.6% Employed part-time, prefer more hours: Undergraduates: 16.4%; Postgraduate coursework: 15.4%; Postgraduate research: 23.2% Employed part-time, satisfied with hours: Undergraduates: 14.2%; Postgraduate coursework: 16.9%; Postgraduate research: 12.6% Employed part-time, unknown hours: Undergraduates: 3.8%; Postgraduate coursework: 3.7%; Postgraduate research: 0.0% Unemployed: Undergraduates: 6.2%; Postgraduate coursework: 5.7%; Postgraduate research: 10.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1176" name="Picture 11" descr="100% stacked bar chart. Medium-term labour force classification for those underemployed in the short-term. Legend segments: Employed full-time; Employed part-time, prefer more hours; Employed part-time, satisfied with hours; Employed part-time, unknown hours; Unemployed. Bars: Undergraduates; Postgraduate coursework; Postgraduate research. Horizontal axis: percentage. Employed full-time: Undergraduates: 59.3%; Postgraduate coursework: 58.2%; Postgraduate research: 53.6% Employed part-time, prefer more hours: Undergraduates: 16.4%; Postgraduate coursework: 15.4%; Postgraduate research: 23.2% Employed part-time, satisfied with hours: Undergraduates: 14.2%; Postgraduate coursework: 16.9%; Postgraduate research: 12.6% Employed part-time, unknown hours: Undergraduates: 3.8%; Postgraduate coursework: 3.7%; Postgraduate research: 0.0% Unemployed: Undergraduates: 6.2%; Postgraduate coursework: 5.7%; Postgraduate research: 10.6%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791065" cy="4699591"/>
                    </a:xfrm>
                    <a:prstGeom prst="rect">
                      <a:avLst/>
                    </a:prstGeom>
                    <a:noFill/>
                  </pic:spPr>
                </pic:pic>
              </a:graphicData>
            </a:graphic>
          </wp:inline>
        </w:drawing>
      </w:r>
    </w:p>
    <w:p w14:paraId="0486B4EA" w14:textId="77777777" w:rsidR="005817FA" w:rsidRDefault="005817FA" w:rsidP="00244416">
      <w:pPr>
        <w:pStyle w:val="Body"/>
        <w:rPr>
          <w:noProof/>
        </w:rPr>
      </w:pPr>
    </w:p>
    <w:p w14:paraId="23C84067" w14:textId="77777777" w:rsidR="00614751" w:rsidRDefault="00614751" w:rsidP="00244416">
      <w:pPr>
        <w:pStyle w:val="Body"/>
        <w:rPr>
          <w:noProof/>
        </w:rPr>
        <w:sectPr w:rsidR="00614751" w:rsidSect="00A11753">
          <w:pgSz w:w="16840" w:h="11900" w:orient="landscape"/>
          <w:pgMar w:top="709" w:right="709" w:bottom="709" w:left="709" w:header="567" w:footer="567" w:gutter="0"/>
          <w:cols w:space="708"/>
          <w:docGrid w:linePitch="360"/>
        </w:sectPr>
      </w:pPr>
    </w:p>
    <w:p w14:paraId="6FB52C88" w14:textId="77777777" w:rsidR="00244416" w:rsidRPr="005B46AF" w:rsidRDefault="00244416" w:rsidP="005B46AF">
      <w:pPr>
        <w:pStyle w:val="Heading3"/>
      </w:pPr>
      <w:bookmarkStart w:id="81" w:name="_Toc231537324"/>
      <w:bookmarkStart w:id="82" w:name="_Reasons_for_not"/>
      <w:bookmarkStart w:id="83" w:name="_Toc243492331"/>
      <w:bookmarkEnd w:id="81"/>
      <w:bookmarkEnd w:id="82"/>
      <w:r w:rsidRPr="005B46AF">
        <w:lastRenderedPageBreak/>
        <w:t>Reasons for not working more hours</w:t>
      </w:r>
      <w:bookmarkEnd w:id="83"/>
    </w:p>
    <w:p w14:paraId="5559039C" w14:textId="0E59DF04" w:rsidR="00434728" w:rsidRPr="005A3AFE" w:rsidRDefault="00434728" w:rsidP="00434728">
      <w:pPr>
        <w:spacing w:before="120" w:after="120" w:line="300" w:lineRule="auto"/>
        <w:rPr>
          <w:rFonts w:eastAsia="Times New Roman" w:cs="Times New Roman"/>
        </w:rPr>
      </w:pPr>
      <w:r w:rsidRPr="005A3AFE">
        <w:rPr>
          <w:rFonts w:eastAsia="Times New Roman" w:cs="Times New Roman"/>
        </w:rPr>
        <w:t xml:space="preserve">Examining why graduates </w:t>
      </w:r>
      <w:r w:rsidR="00032015" w:rsidRPr="005A3AFE">
        <w:rPr>
          <w:rFonts w:eastAsia="Times New Roman" w:cs="Times New Roman"/>
        </w:rPr>
        <w:t xml:space="preserve">employed part-time </w:t>
      </w:r>
      <w:r w:rsidRPr="005A3AFE">
        <w:rPr>
          <w:rFonts w:eastAsia="Times New Roman" w:cs="Times New Roman"/>
        </w:rPr>
        <w:t xml:space="preserve">are working the number of hours they do, despite their preference to work more, provides some insight into differences between underemployed graduates </w:t>
      </w:r>
      <w:r w:rsidR="006C0786" w:rsidRPr="005A3AFE">
        <w:rPr>
          <w:rFonts w:eastAsia="Times New Roman" w:cs="Times New Roman"/>
        </w:rPr>
        <w:t xml:space="preserve">across study levels and how </w:t>
      </w:r>
      <w:r w:rsidR="004A052B" w:rsidRPr="005A3AFE">
        <w:rPr>
          <w:rFonts w:eastAsia="Times New Roman" w:cs="Times New Roman"/>
        </w:rPr>
        <w:t xml:space="preserve">these </w:t>
      </w:r>
      <w:r w:rsidR="006C0786" w:rsidRPr="005A3AFE">
        <w:rPr>
          <w:rFonts w:eastAsia="Times New Roman" w:cs="Times New Roman"/>
        </w:rPr>
        <w:t>reasons may shift from the short</w:t>
      </w:r>
      <w:r w:rsidR="00224D70" w:rsidRPr="005A3AFE">
        <w:rPr>
          <w:rFonts w:eastAsia="Times New Roman" w:cs="Times New Roman"/>
        </w:rPr>
        <w:t>-term</w:t>
      </w:r>
      <w:r w:rsidR="007B30C5" w:rsidRPr="005A3AFE">
        <w:rPr>
          <w:rFonts w:eastAsia="Times New Roman" w:cs="Times New Roman"/>
        </w:rPr>
        <w:t xml:space="preserve"> </w:t>
      </w:r>
      <w:r w:rsidR="006C0786" w:rsidRPr="005A3AFE">
        <w:rPr>
          <w:rFonts w:eastAsia="Times New Roman" w:cs="Times New Roman"/>
        </w:rPr>
        <w:t xml:space="preserve">to the medium-term </w:t>
      </w:r>
      <w:r w:rsidRPr="005A3AFE">
        <w:rPr>
          <w:rFonts w:eastAsia="Times New Roman" w:cs="Times New Roman"/>
        </w:rPr>
        <w:t>(</w:t>
      </w:r>
      <w:r w:rsidR="00A85517" w:rsidRPr="005A3AFE">
        <w:rPr>
          <w:rFonts w:eastAsia="Times New Roman" w:cs="Times New Roman"/>
          <w:b/>
        </w:rPr>
        <w:fldChar w:fldCharType="begin"/>
      </w:r>
      <w:r w:rsidR="00A85517" w:rsidRPr="005A3AFE">
        <w:rPr>
          <w:rFonts w:eastAsia="Times New Roman" w:cs="Times New Roman"/>
          <w:b/>
        </w:rPr>
        <w:instrText xml:space="preserve"> REF _Ref202278791 \h  \* MERGEFORMAT </w:instrText>
      </w:r>
      <w:r w:rsidR="00A85517" w:rsidRPr="005A3AFE">
        <w:rPr>
          <w:rFonts w:eastAsia="Times New Roman" w:cs="Times New Roman"/>
          <w:b/>
        </w:rPr>
      </w:r>
      <w:r w:rsidR="00A85517" w:rsidRPr="005A3AFE">
        <w:rPr>
          <w:rFonts w:eastAsia="Times New Roman" w:cs="Times New Roman"/>
          <w:b/>
        </w:rPr>
        <w:fldChar w:fldCharType="separate"/>
      </w:r>
      <w:r w:rsidR="00FB6AC8" w:rsidRPr="005A3AFE">
        <w:rPr>
          <w:b/>
        </w:rPr>
        <w:t>Table 1</w:t>
      </w:r>
      <w:r w:rsidR="00A85517" w:rsidRPr="005A3AFE">
        <w:rPr>
          <w:rFonts w:eastAsia="Times New Roman" w:cs="Times New Roman"/>
          <w:b/>
        </w:rPr>
        <w:fldChar w:fldCharType="end"/>
      </w:r>
      <w:r w:rsidRPr="005A3AFE">
        <w:rPr>
          <w:rFonts w:eastAsia="Times New Roman" w:cs="Times New Roman"/>
        </w:rPr>
        <w:t>).</w:t>
      </w:r>
    </w:p>
    <w:p w14:paraId="4C7E68D4" w14:textId="5AC56F3F" w:rsidR="00A2720E" w:rsidRPr="005A3AFE" w:rsidRDefault="00A2720E" w:rsidP="00244416">
      <w:pPr>
        <w:pStyle w:val="Body"/>
      </w:pPr>
      <w:r w:rsidRPr="005A3AFE">
        <w:t>Across all study levels, ‘</w:t>
      </w:r>
      <w:r w:rsidR="00F858A0" w:rsidRPr="005A3AFE">
        <w:t>no more hours available in current position’ was the main reason graduates reported working the number of hours they do, despite their preference to work more</w:t>
      </w:r>
      <w:r w:rsidR="00BE0C11" w:rsidRPr="005A3AFE">
        <w:t xml:space="preserve"> in both the short-term and medium-term.</w:t>
      </w:r>
      <w:r w:rsidR="00BE701B">
        <w:t xml:space="preserve"> </w:t>
      </w:r>
      <w:r w:rsidR="00F20724">
        <w:t xml:space="preserve">While employees may prefer part-time working arrangements with greater flexibility than standard full-time employment, employers may adjust their workforce by changing hours of employees (rather than changing number of employees) when accounting for changes in business </w:t>
      </w:r>
      <w:r w:rsidR="002042A8" w:rsidRPr="002042A8">
        <w:t>demand</w:t>
      </w:r>
      <w:r w:rsidR="00F20724">
        <w:t xml:space="preserve">. </w:t>
      </w:r>
      <w:r w:rsidR="00005D99" w:rsidRPr="005A3AFE">
        <w:t>Notably, this proportion increases in the medium-term due to o</w:t>
      </w:r>
      <w:r w:rsidR="00DB2943" w:rsidRPr="005A3AFE">
        <w:t>ther labour market factors</w:t>
      </w:r>
      <w:r w:rsidR="00005D99" w:rsidRPr="005A3AFE">
        <w:t xml:space="preserve"> </w:t>
      </w:r>
      <w:r w:rsidR="0062616B" w:rsidRPr="005A3AFE">
        <w:t>diminishing over time as graduates establish themselves in the labour market</w:t>
      </w:r>
      <w:r w:rsidR="00BE0C11" w:rsidRPr="005A3AFE">
        <w:t>.</w:t>
      </w:r>
      <w:r w:rsidR="002042A8">
        <w:t xml:space="preserve"> </w:t>
      </w:r>
    </w:p>
    <w:p w14:paraId="1BF6F4D6" w14:textId="7A1D2647" w:rsidR="00950569" w:rsidRPr="005A3AFE" w:rsidRDefault="00A13224" w:rsidP="00244416">
      <w:pPr>
        <w:pStyle w:val="Body"/>
      </w:pPr>
      <w:r w:rsidRPr="005A3AFE">
        <w:t xml:space="preserve">For undergraduates, ‘studying’ was the </w:t>
      </w:r>
      <w:r w:rsidR="005B39F3" w:rsidRPr="005A3AFE">
        <w:t>second most</w:t>
      </w:r>
      <w:r w:rsidR="00395EED" w:rsidRPr="005A3AFE">
        <w:t xml:space="preserve"> cited</w:t>
      </w:r>
      <w:r w:rsidR="005B39F3" w:rsidRPr="005A3AFE">
        <w:t xml:space="preserve"> reason</w:t>
      </w:r>
      <w:r w:rsidR="0067513B" w:rsidRPr="005A3AFE">
        <w:t xml:space="preserve"> in both the short-term and medium-term</w:t>
      </w:r>
      <w:r w:rsidR="00395EED" w:rsidRPr="005A3AFE">
        <w:t>.</w:t>
      </w:r>
      <w:r w:rsidR="0067513B" w:rsidRPr="005A3AFE">
        <w:t xml:space="preserve"> Notably, </w:t>
      </w:r>
      <w:r w:rsidR="00402155" w:rsidRPr="005A3AFE">
        <w:t xml:space="preserve">the proportion of </w:t>
      </w:r>
      <w:r w:rsidR="005620B1" w:rsidRPr="005A3AFE">
        <w:t xml:space="preserve">underemployed </w:t>
      </w:r>
      <w:r w:rsidR="003438EE" w:rsidRPr="005A3AFE">
        <w:t xml:space="preserve">undergraduates citing ‘studying’ as a main reason for not working more hours slightly increases </w:t>
      </w:r>
      <w:r w:rsidR="00950569" w:rsidRPr="005A3AFE">
        <w:t xml:space="preserve">3 years after </w:t>
      </w:r>
      <w:r w:rsidR="00020509">
        <w:t>course completion</w:t>
      </w:r>
      <w:r w:rsidR="00DC74B3" w:rsidRPr="005A3AFE">
        <w:t xml:space="preserve">, </w:t>
      </w:r>
      <w:r w:rsidR="009638F4" w:rsidRPr="005A3AFE">
        <w:t>reflecting the strong propensity for undergraduates to pursue further</w:t>
      </w:r>
      <w:r w:rsidR="00EB505A" w:rsidRPr="005A3AFE">
        <w:t xml:space="preserve"> study</w:t>
      </w:r>
      <w:r w:rsidR="00BA05BE" w:rsidRPr="005A3AFE">
        <w:t xml:space="preserve"> (see</w:t>
      </w:r>
      <w:r w:rsidR="00F31A7C" w:rsidRPr="005A3AFE">
        <w:t xml:space="preserve"> </w:t>
      </w:r>
      <w:hyperlink r:id="rId42" w:history="1">
        <w:r w:rsidR="00F31A7C" w:rsidRPr="005A3AFE">
          <w:rPr>
            <w:rStyle w:val="Hyperlink"/>
          </w:rPr>
          <w:t>Domestic graduates in further full-time study</w:t>
        </w:r>
      </w:hyperlink>
      <w:r w:rsidR="00BA05BE" w:rsidRPr="005A3AFE">
        <w:t>)</w:t>
      </w:r>
      <w:r w:rsidR="00950569" w:rsidRPr="005A3AFE">
        <w:t>.</w:t>
      </w:r>
    </w:p>
    <w:p w14:paraId="6C535D81" w14:textId="4048FDBA" w:rsidR="00276B48" w:rsidRPr="005A3AFE" w:rsidRDefault="007E0F56" w:rsidP="00244416">
      <w:pPr>
        <w:pStyle w:val="Body"/>
      </w:pPr>
      <w:r w:rsidRPr="005A3AFE">
        <w:t xml:space="preserve">For postgraduate coursework graduates, </w:t>
      </w:r>
      <w:r w:rsidR="00533F4D" w:rsidRPr="005A3AFE">
        <w:t>‘caring for children’ was the</w:t>
      </w:r>
      <w:r w:rsidR="00616F09" w:rsidRPr="005A3AFE">
        <w:t xml:space="preserve"> second</w:t>
      </w:r>
      <w:r w:rsidR="00533F4D" w:rsidRPr="005A3AFE">
        <w:t xml:space="preserve"> most cited reason</w:t>
      </w:r>
      <w:r w:rsidR="00583B83" w:rsidRPr="005A3AFE">
        <w:t xml:space="preserve"> in the short-term and medium-term</w:t>
      </w:r>
      <w:r w:rsidR="00276B48" w:rsidRPr="005A3AFE">
        <w:t xml:space="preserve"> and they were more</w:t>
      </w:r>
      <w:r w:rsidR="0080163D" w:rsidRPr="005A3AFE">
        <w:t xml:space="preserve"> than twice</w:t>
      </w:r>
      <w:r w:rsidR="00276B48" w:rsidRPr="005A3AFE">
        <w:t xml:space="preserve"> </w:t>
      </w:r>
      <w:r w:rsidR="00755309" w:rsidRPr="005A3AFE">
        <w:t xml:space="preserve">as </w:t>
      </w:r>
      <w:r w:rsidR="00276B48" w:rsidRPr="005A3AFE">
        <w:t>likely to cite this reason compared to undergraduates and postgraduate research graduates.</w:t>
      </w:r>
      <w:r w:rsidR="00281D82" w:rsidRPr="005A3AFE">
        <w:t xml:space="preserve"> This aligns with postgraduate coursework graduates</w:t>
      </w:r>
      <w:r w:rsidR="00C47FAD" w:rsidRPr="005A3AFE">
        <w:t>’</w:t>
      </w:r>
      <w:r w:rsidR="00281D82" w:rsidRPr="005A3AFE">
        <w:t xml:space="preserve"> </w:t>
      </w:r>
      <w:r w:rsidR="0047561C" w:rsidRPr="005A3AFE">
        <w:t>older age profile, particularly compared to undergraduates</w:t>
      </w:r>
      <w:r w:rsidR="00276B48" w:rsidRPr="005A3AFE">
        <w:t>.</w:t>
      </w:r>
    </w:p>
    <w:p w14:paraId="79F826F7" w14:textId="77777777" w:rsidR="00B77417" w:rsidRDefault="00276B48" w:rsidP="00244416">
      <w:pPr>
        <w:pStyle w:val="Body"/>
        <w:sectPr w:rsidR="00B77417" w:rsidSect="00A11753">
          <w:pgSz w:w="11900" w:h="16840"/>
          <w:pgMar w:top="709" w:right="709" w:bottom="709" w:left="709" w:header="567" w:footer="567" w:gutter="0"/>
          <w:cols w:space="708"/>
          <w:docGrid w:linePitch="360"/>
        </w:sectPr>
      </w:pPr>
      <w:r w:rsidRPr="005A3AFE">
        <w:t>For postgraduate research graduates, ‘no jobs in my area of expertise’ was th</w:t>
      </w:r>
      <w:r w:rsidR="00C45C49" w:rsidRPr="005A3AFE">
        <w:t xml:space="preserve">e </w:t>
      </w:r>
      <w:r w:rsidR="00616F09" w:rsidRPr="005A3AFE">
        <w:t xml:space="preserve">second </w:t>
      </w:r>
      <w:r w:rsidR="008B6734" w:rsidRPr="005A3AFE">
        <w:t>most cited</w:t>
      </w:r>
      <w:r w:rsidR="00C45C49" w:rsidRPr="005A3AFE">
        <w:t xml:space="preserve"> reason, and they were </w:t>
      </w:r>
      <w:r w:rsidR="00030AA1" w:rsidRPr="005A3AFE">
        <w:t xml:space="preserve">more than twice as likely </w:t>
      </w:r>
      <w:r w:rsidR="00C45C49" w:rsidRPr="005A3AFE">
        <w:t>to report this</w:t>
      </w:r>
      <w:r w:rsidR="00030AA1" w:rsidRPr="005A3AFE">
        <w:t xml:space="preserve"> reason</w:t>
      </w:r>
      <w:r w:rsidR="00C45C49" w:rsidRPr="005A3AFE">
        <w:t xml:space="preserve"> compared to undergraduates and postgraduate coursework graduates. </w:t>
      </w:r>
      <w:r w:rsidR="00FF1E22" w:rsidRPr="005A3AFE">
        <w:t xml:space="preserve">This may indicate difficulties for these graduates in securing employment that aligns with their specialised skills and education in the short-term. </w:t>
      </w:r>
      <w:r w:rsidR="008D6475" w:rsidRPr="005A3AFE">
        <w:t>T</w:t>
      </w:r>
      <w:r w:rsidR="00FF1E22" w:rsidRPr="005A3AFE">
        <w:t>h</w:t>
      </w:r>
      <w:r w:rsidR="008D6475" w:rsidRPr="005A3AFE">
        <w:t xml:space="preserve">e proportion of underemployed </w:t>
      </w:r>
      <w:r w:rsidR="0058341F" w:rsidRPr="005A3AFE">
        <w:t xml:space="preserve">postgraduate research graduates citing this as a main reason for not working more hours, </w:t>
      </w:r>
      <w:r w:rsidR="00FF1E22" w:rsidRPr="005A3AFE">
        <w:t>diminishes over time, suggesting that graduates are increasingly able to transition into roles better aligned with their skills in the medium-term.</w:t>
      </w:r>
    </w:p>
    <w:p w14:paraId="460B27D0" w14:textId="06410B5C" w:rsidR="00E46CFE" w:rsidRPr="005A3AFE" w:rsidRDefault="00592DF5" w:rsidP="00373D3A">
      <w:pPr>
        <w:pStyle w:val="Caption"/>
      </w:pPr>
      <w:bookmarkStart w:id="84" w:name="_Ref202278791"/>
      <w:bookmarkStart w:id="85" w:name="_Toc243492093"/>
      <w:r w:rsidRPr="005A3AFE">
        <w:lastRenderedPageBreak/>
        <w:t xml:space="preserve">Table </w:t>
      </w:r>
      <w:fldSimple w:instr=" SEQ Table \* ARABIC ">
        <w:r w:rsidR="00C4459D">
          <w:rPr>
            <w:noProof/>
          </w:rPr>
          <w:t>1</w:t>
        </w:r>
      </w:fldSimple>
      <w:bookmarkEnd w:id="84"/>
      <w:r w:rsidR="00DF1EF3">
        <w:tab/>
      </w:r>
      <w:r w:rsidR="00EB50A7" w:rsidRPr="005A3AFE">
        <w:t>Main reason not working more hours, of graduates employed part-time who would prefer to work more hours (% of those employed)</w:t>
      </w:r>
      <w:bookmarkEnd w:id="85"/>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3964"/>
        <w:gridCol w:w="1843"/>
        <w:gridCol w:w="2126"/>
        <w:gridCol w:w="1985"/>
        <w:gridCol w:w="2268"/>
        <w:gridCol w:w="2026"/>
        <w:gridCol w:w="2050"/>
      </w:tblGrid>
      <w:tr w:rsidR="00170E72" w:rsidRPr="005A3AFE" w14:paraId="1E21FDB3" w14:textId="77777777" w:rsidTr="00170E72">
        <w:trPr>
          <w:cnfStyle w:val="100000000000" w:firstRow="1" w:lastRow="0" w:firstColumn="0" w:lastColumn="0" w:oddVBand="0" w:evenVBand="0" w:oddHBand="0" w:evenHBand="0" w:firstRowFirstColumn="0" w:firstRowLastColumn="0" w:lastRowFirstColumn="0" w:lastRowLastColumn="0"/>
          <w:trHeight w:val="1134"/>
          <w:tblHeader/>
        </w:trPr>
        <w:tc>
          <w:tcPr>
            <w:tcW w:w="3964" w:type="dxa"/>
            <w:vAlign w:val="top"/>
          </w:tcPr>
          <w:p w14:paraId="4567799F" w14:textId="74413F56" w:rsidR="00170E72" w:rsidRPr="00CE0CAF" w:rsidRDefault="00170E72" w:rsidP="00170E72">
            <w:pPr>
              <w:spacing w:before="240" w:after="40"/>
              <w:ind w:left="113"/>
              <w:rPr>
                <w:rFonts w:cs="Arial"/>
                <w:szCs w:val="20"/>
              </w:rPr>
            </w:pPr>
            <w:r w:rsidRPr="00CE0CAF">
              <w:rPr>
                <w:rFonts w:cs="Arial"/>
                <w:szCs w:val="20"/>
              </w:rPr>
              <w:t>Reason type</w:t>
            </w:r>
          </w:p>
        </w:tc>
        <w:tc>
          <w:tcPr>
            <w:tcW w:w="1843" w:type="dxa"/>
            <w:vAlign w:val="center"/>
            <w:hideMark/>
          </w:tcPr>
          <w:p w14:paraId="1C47450F" w14:textId="77777777" w:rsidR="00170E72" w:rsidRDefault="00170E72" w:rsidP="00170E72">
            <w:pPr>
              <w:spacing w:before="40" w:after="40"/>
              <w:ind w:left="113"/>
              <w:rPr>
                <w:rFonts w:cs="Arial"/>
                <w:b w:val="0"/>
                <w:szCs w:val="20"/>
              </w:rPr>
            </w:pPr>
            <w:r w:rsidRPr="00CE0CAF">
              <w:rPr>
                <w:rFonts w:cs="Arial"/>
                <w:szCs w:val="20"/>
              </w:rPr>
              <w:t>Undergraduate:</w:t>
            </w:r>
          </w:p>
          <w:p w14:paraId="2DB19CE8" w14:textId="017FBB76" w:rsidR="00170E72" w:rsidRPr="00CE0CAF" w:rsidRDefault="00170E72" w:rsidP="00170E72">
            <w:pPr>
              <w:spacing w:before="40" w:after="40"/>
              <w:ind w:left="113"/>
              <w:rPr>
                <w:rFonts w:cs="Arial"/>
                <w:szCs w:val="20"/>
              </w:rPr>
            </w:pPr>
            <w:r w:rsidRPr="00CE0CAF">
              <w:rPr>
                <w:rFonts w:cs="Arial"/>
                <w:b w:val="0"/>
                <w:bCs/>
                <w:szCs w:val="20"/>
              </w:rPr>
              <w:t>Short-term (2023)</w:t>
            </w:r>
          </w:p>
        </w:tc>
        <w:tc>
          <w:tcPr>
            <w:tcW w:w="2126" w:type="dxa"/>
            <w:vAlign w:val="center"/>
            <w:hideMark/>
          </w:tcPr>
          <w:p w14:paraId="257C6745" w14:textId="77777777" w:rsidR="00170E72" w:rsidRDefault="00170E72" w:rsidP="00170E72">
            <w:pPr>
              <w:spacing w:before="40" w:after="40"/>
              <w:ind w:left="113"/>
              <w:rPr>
                <w:rFonts w:cs="Arial"/>
                <w:b w:val="0"/>
                <w:szCs w:val="20"/>
              </w:rPr>
            </w:pPr>
            <w:r w:rsidRPr="00CE0CAF">
              <w:rPr>
                <w:rFonts w:cs="Arial"/>
                <w:szCs w:val="20"/>
              </w:rPr>
              <w:t>Undergraduate:</w:t>
            </w:r>
          </w:p>
          <w:p w14:paraId="11DD4973" w14:textId="53E22398" w:rsidR="00170E72" w:rsidRPr="00CE0CAF" w:rsidRDefault="00170E72" w:rsidP="00170E72">
            <w:pPr>
              <w:spacing w:before="40" w:after="40"/>
              <w:ind w:left="113"/>
              <w:rPr>
                <w:rFonts w:cs="Arial"/>
                <w:szCs w:val="20"/>
              </w:rPr>
            </w:pPr>
            <w:r w:rsidRPr="00CE0CAF">
              <w:rPr>
                <w:rFonts w:cs="Arial"/>
                <w:b w:val="0"/>
                <w:bCs/>
                <w:szCs w:val="20"/>
              </w:rPr>
              <w:t>Medium-term (2026)</w:t>
            </w:r>
          </w:p>
        </w:tc>
        <w:tc>
          <w:tcPr>
            <w:tcW w:w="1985" w:type="dxa"/>
            <w:vAlign w:val="center"/>
            <w:hideMark/>
          </w:tcPr>
          <w:p w14:paraId="0D45B051" w14:textId="77777777" w:rsidR="00170E72" w:rsidRDefault="00170E72" w:rsidP="00170E72">
            <w:pPr>
              <w:spacing w:before="40" w:after="40"/>
              <w:ind w:left="113"/>
              <w:rPr>
                <w:rFonts w:cs="Arial"/>
                <w:b w:val="0"/>
                <w:szCs w:val="20"/>
              </w:rPr>
            </w:pPr>
            <w:r w:rsidRPr="00CE0CAF">
              <w:rPr>
                <w:rFonts w:cs="Arial"/>
                <w:szCs w:val="20"/>
              </w:rPr>
              <w:t>Postgraduate coursework:</w:t>
            </w:r>
          </w:p>
          <w:p w14:paraId="71577A18" w14:textId="31AE7831" w:rsidR="00170E72" w:rsidRPr="00CE0CAF" w:rsidRDefault="00170E72" w:rsidP="00170E72">
            <w:pPr>
              <w:spacing w:before="40" w:after="40"/>
              <w:ind w:left="113"/>
              <w:rPr>
                <w:rFonts w:cs="Arial"/>
                <w:szCs w:val="20"/>
              </w:rPr>
            </w:pPr>
            <w:r w:rsidRPr="00CE0CAF">
              <w:rPr>
                <w:rFonts w:cs="Arial"/>
                <w:b w:val="0"/>
                <w:bCs/>
                <w:szCs w:val="20"/>
              </w:rPr>
              <w:t>Short-term (2023)</w:t>
            </w:r>
          </w:p>
        </w:tc>
        <w:tc>
          <w:tcPr>
            <w:tcW w:w="2268" w:type="dxa"/>
            <w:vAlign w:val="center"/>
            <w:hideMark/>
          </w:tcPr>
          <w:p w14:paraId="2B7C6D54" w14:textId="77777777" w:rsidR="00170E72" w:rsidRDefault="00170E72" w:rsidP="00170E72">
            <w:pPr>
              <w:spacing w:before="40" w:after="40"/>
              <w:ind w:left="113"/>
              <w:rPr>
                <w:rFonts w:cs="Arial"/>
                <w:b w:val="0"/>
                <w:szCs w:val="20"/>
              </w:rPr>
            </w:pPr>
            <w:r w:rsidRPr="00CE0CAF">
              <w:rPr>
                <w:rFonts w:cs="Arial"/>
                <w:szCs w:val="20"/>
              </w:rPr>
              <w:t>Postgraduate coursework:</w:t>
            </w:r>
          </w:p>
          <w:p w14:paraId="43F3E933" w14:textId="746D9866" w:rsidR="00170E72" w:rsidRPr="00CE0CAF" w:rsidRDefault="00170E72" w:rsidP="00170E72">
            <w:pPr>
              <w:spacing w:before="40" w:after="40"/>
              <w:ind w:left="113"/>
              <w:rPr>
                <w:rFonts w:cs="Arial"/>
                <w:szCs w:val="20"/>
              </w:rPr>
            </w:pPr>
            <w:r w:rsidRPr="00CE0CAF">
              <w:rPr>
                <w:rFonts w:cs="Arial"/>
                <w:b w:val="0"/>
                <w:bCs/>
                <w:szCs w:val="20"/>
              </w:rPr>
              <w:t>Medium</w:t>
            </w:r>
            <w:r w:rsidRPr="00CE0CAF">
              <w:rPr>
                <w:rFonts w:cs="Arial"/>
                <w:b w:val="0"/>
                <w:bCs/>
                <w:szCs w:val="20"/>
              </w:rPr>
              <w:noBreakHyphen/>
              <w:t>term (2026)</w:t>
            </w:r>
          </w:p>
        </w:tc>
        <w:tc>
          <w:tcPr>
            <w:tcW w:w="2026" w:type="dxa"/>
            <w:vAlign w:val="center"/>
            <w:hideMark/>
          </w:tcPr>
          <w:p w14:paraId="32F6A465" w14:textId="77777777" w:rsidR="00170E72" w:rsidRDefault="00170E72" w:rsidP="00170E72">
            <w:pPr>
              <w:spacing w:before="40" w:after="40"/>
              <w:ind w:left="113"/>
              <w:rPr>
                <w:rFonts w:cs="Arial"/>
                <w:b w:val="0"/>
                <w:szCs w:val="20"/>
              </w:rPr>
            </w:pPr>
            <w:r w:rsidRPr="00CE0CAF">
              <w:rPr>
                <w:rFonts w:cs="Arial"/>
                <w:szCs w:val="20"/>
              </w:rPr>
              <w:t>Postgraduate research:</w:t>
            </w:r>
          </w:p>
          <w:p w14:paraId="7F461461" w14:textId="3B0D76AE" w:rsidR="00170E72" w:rsidRPr="00CE0CAF" w:rsidRDefault="00170E72" w:rsidP="00170E72">
            <w:pPr>
              <w:spacing w:before="40" w:after="40"/>
              <w:ind w:left="113"/>
              <w:rPr>
                <w:rFonts w:cs="Arial"/>
                <w:szCs w:val="20"/>
              </w:rPr>
            </w:pPr>
            <w:r w:rsidRPr="00CE0CAF">
              <w:rPr>
                <w:rFonts w:cs="Arial"/>
                <w:b w:val="0"/>
                <w:bCs/>
                <w:szCs w:val="20"/>
              </w:rPr>
              <w:t>Short</w:t>
            </w:r>
            <w:r w:rsidRPr="00CE0CAF">
              <w:rPr>
                <w:rFonts w:cs="Arial"/>
                <w:b w:val="0"/>
                <w:bCs/>
                <w:szCs w:val="20"/>
              </w:rPr>
              <w:noBreakHyphen/>
              <w:t>term (2023)</w:t>
            </w:r>
          </w:p>
        </w:tc>
        <w:tc>
          <w:tcPr>
            <w:tcW w:w="2050" w:type="dxa"/>
            <w:vAlign w:val="center"/>
            <w:hideMark/>
          </w:tcPr>
          <w:p w14:paraId="249B384E" w14:textId="77777777" w:rsidR="00170E72" w:rsidRDefault="00170E72" w:rsidP="00170E72">
            <w:pPr>
              <w:spacing w:before="40" w:after="40"/>
              <w:ind w:left="113"/>
              <w:rPr>
                <w:rFonts w:cs="Arial"/>
                <w:b w:val="0"/>
                <w:szCs w:val="20"/>
              </w:rPr>
            </w:pPr>
            <w:r w:rsidRPr="00CE0CAF">
              <w:rPr>
                <w:rFonts w:cs="Arial"/>
                <w:szCs w:val="20"/>
              </w:rPr>
              <w:t>Postgraduate research:</w:t>
            </w:r>
          </w:p>
          <w:p w14:paraId="3E88B8B0" w14:textId="17C2BB61" w:rsidR="00170E72" w:rsidRPr="00CE0CAF" w:rsidRDefault="00170E72" w:rsidP="00170E72">
            <w:pPr>
              <w:spacing w:before="40" w:after="40"/>
              <w:ind w:left="113"/>
              <w:rPr>
                <w:rFonts w:cs="Arial"/>
                <w:szCs w:val="20"/>
              </w:rPr>
            </w:pPr>
            <w:r w:rsidRPr="00CE0CAF">
              <w:rPr>
                <w:rFonts w:cs="Arial"/>
                <w:b w:val="0"/>
                <w:bCs/>
                <w:szCs w:val="20"/>
              </w:rPr>
              <w:t>Medium</w:t>
            </w:r>
            <w:r w:rsidRPr="00CE0CAF">
              <w:rPr>
                <w:rFonts w:cs="Arial"/>
                <w:b w:val="0"/>
                <w:bCs/>
                <w:szCs w:val="20"/>
              </w:rPr>
              <w:noBreakHyphen/>
              <w:t>term (2026)</w:t>
            </w:r>
          </w:p>
        </w:tc>
      </w:tr>
      <w:tr w:rsidR="00170E72" w:rsidRPr="005A3AFE" w14:paraId="7D021B6E" w14:textId="77777777" w:rsidTr="00300C8B">
        <w:trPr>
          <w:trHeight w:val="398"/>
        </w:trPr>
        <w:tc>
          <w:tcPr>
            <w:tcW w:w="3964" w:type="dxa"/>
          </w:tcPr>
          <w:p w14:paraId="5A76926C" w14:textId="679ADAA1" w:rsidR="00170E72" w:rsidRPr="005817FA" w:rsidRDefault="00170E72" w:rsidP="00170E72">
            <w:pPr>
              <w:spacing w:before="40" w:after="40"/>
              <w:ind w:left="57" w:right="57"/>
              <w:rPr>
                <w:rFonts w:cs="Arial"/>
                <w:szCs w:val="20"/>
              </w:rPr>
            </w:pPr>
            <w:r w:rsidRPr="008E3305">
              <w:rPr>
                <w:rFonts w:cs="Arial"/>
                <w:b/>
                <w:bCs/>
                <w:szCs w:val="20"/>
              </w:rPr>
              <w:t>Personal factors</w:t>
            </w:r>
            <w:r>
              <w:rPr>
                <w:rFonts w:cs="Arial"/>
                <w:b/>
                <w:bCs/>
                <w:szCs w:val="20"/>
              </w:rPr>
              <w:t>:</w:t>
            </w:r>
            <w:r w:rsidRPr="005817FA">
              <w:rPr>
                <w:rFonts w:cs="Arial"/>
                <w:szCs w:val="20"/>
              </w:rPr>
              <w:t xml:space="preserve"> Studying</w:t>
            </w:r>
          </w:p>
        </w:tc>
        <w:tc>
          <w:tcPr>
            <w:tcW w:w="1843" w:type="dxa"/>
            <w:noWrap/>
            <w:vAlign w:val="center"/>
            <w:hideMark/>
          </w:tcPr>
          <w:p w14:paraId="11DC1626" w14:textId="1709D9C1" w:rsidR="00170E72" w:rsidRPr="005817FA" w:rsidRDefault="00170E72" w:rsidP="00170E72">
            <w:pPr>
              <w:spacing w:before="40" w:after="40"/>
              <w:ind w:left="57" w:right="57"/>
              <w:jc w:val="center"/>
              <w:rPr>
                <w:rFonts w:cs="Arial"/>
                <w:szCs w:val="20"/>
              </w:rPr>
            </w:pPr>
            <w:r w:rsidRPr="005817FA">
              <w:rPr>
                <w:rFonts w:cs="Arial"/>
                <w:color w:val="3A3A3A"/>
                <w:szCs w:val="20"/>
              </w:rPr>
              <w:t>16.6</w:t>
            </w:r>
          </w:p>
        </w:tc>
        <w:tc>
          <w:tcPr>
            <w:tcW w:w="2126" w:type="dxa"/>
            <w:noWrap/>
            <w:vAlign w:val="center"/>
            <w:hideMark/>
          </w:tcPr>
          <w:p w14:paraId="434A6C46" w14:textId="6C7B979E" w:rsidR="00170E72" w:rsidRPr="005817FA" w:rsidRDefault="00170E72" w:rsidP="00170E72">
            <w:pPr>
              <w:spacing w:before="40" w:after="40"/>
              <w:ind w:left="57" w:right="57"/>
              <w:jc w:val="center"/>
              <w:rPr>
                <w:rFonts w:cs="Arial"/>
                <w:szCs w:val="20"/>
              </w:rPr>
            </w:pPr>
            <w:r w:rsidRPr="005817FA">
              <w:rPr>
                <w:rFonts w:cs="Arial"/>
                <w:color w:val="3A3A3A"/>
                <w:szCs w:val="20"/>
              </w:rPr>
              <w:t>17.8</w:t>
            </w:r>
          </w:p>
        </w:tc>
        <w:tc>
          <w:tcPr>
            <w:tcW w:w="1985" w:type="dxa"/>
            <w:noWrap/>
            <w:vAlign w:val="center"/>
            <w:hideMark/>
          </w:tcPr>
          <w:p w14:paraId="19288350" w14:textId="1F90D1CE" w:rsidR="00170E72" w:rsidRPr="005817FA" w:rsidRDefault="00170E72" w:rsidP="00170E72">
            <w:pPr>
              <w:spacing w:before="40" w:after="40"/>
              <w:ind w:left="57" w:right="57"/>
              <w:jc w:val="center"/>
              <w:rPr>
                <w:rFonts w:cs="Arial"/>
                <w:szCs w:val="20"/>
              </w:rPr>
            </w:pPr>
            <w:r w:rsidRPr="005817FA">
              <w:rPr>
                <w:rFonts w:cs="Arial"/>
                <w:color w:val="3A3A3A"/>
                <w:szCs w:val="20"/>
              </w:rPr>
              <w:t>7.3</w:t>
            </w:r>
          </w:p>
        </w:tc>
        <w:tc>
          <w:tcPr>
            <w:tcW w:w="2268" w:type="dxa"/>
            <w:noWrap/>
            <w:vAlign w:val="center"/>
            <w:hideMark/>
          </w:tcPr>
          <w:p w14:paraId="42424B49" w14:textId="11CD96D8" w:rsidR="00170E72" w:rsidRPr="005817FA" w:rsidRDefault="00170E72" w:rsidP="00170E72">
            <w:pPr>
              <w:spacing w:before="40" w:after="40"/>
              <w:ind w:left="57" w:right="57"/>
              <w:jc w:val="center"/>
              <w:rPr>
                <w:rFonts w:cs="Arial"/>
                <w:szCs w:val="20"/>
              </w:rPr>
            </w:pPr>
            <w:r w:rsidRPr="005817FA">
              <w:rPr>
                <w:rFonts w:cs="Arial"/>
                <w:color w:val="3A3A3A"/>
                <w:szCs w:val="20"/>
              </w:rPr>
              <w:t>7.6</w:t>
            </w:r>
          </w:p>
        </w:tc>
        <w:tc>
          <w:tcPr>
            <w:tcW w:w="2026" w:type="dxa"/>
            <w:noWrap/>
            <w:vAlign w:val="center"/>
            <w:hideMark/>
          </w:tcPr>
          <w:p w14:paraId="044F0458" w14:textId="17208921" w:rsidR="00170E72" w:rsidRPr="005817FA" w:rsidRDefault="00170E72" w:rsidP="00170E72">
            <w:pPr>
              <w:spacing w:before="40" w:after="40"/>
              <w:ind w:left="57" w:right="57"/>
              <w:jc w:val="center"/>
              <w:rPr>
                <w:rFonts w:cs="Arial"/>
                <w:szCs w:val="20"/>
              </w:rPr>
            </w:pPr>
            <w:r w:rsidRPr="005817FA">
              <w:rPr>
                <w:rFonts w:cs="Arial"/>
                <w:color w:val="3A3A3A"/>
                <w:szCs w:val="20"/>
              </w:rPr>
              <w:t>1.9</w:t>
            </w:r>
          </w:p>
        </w:tc>
        <w:tc>
          <w:tcPr>
            <w:tcW w:w="2050" w:type="dxa"/>
            <w:noWrap/>
            <w:vAlign w:val="center"/>
            <w:hideMark/>
          </w:tcPr>
          <w:p w14:paraId="666648C2" w14:textId="5639745B" w:rsidR="00170E72" w:rsidRPr="005817FA" w:rsidRDefault="00170E72" w:rsidP="00170E72">
            <w:pPr>
              <w:spacing w:before="40" w:after="40"/>
              <w:ind w:left="57" w:right="57"/>
              <w:jc w:val="center"/>
              <w:rPr>
                <w:rFonts w:cs="Arial"/>
                <w:szCs w:val="20"/>
              </w:rPr>
            </w:pPr>
            <w:r w:rsidRPr="005817FA">
              <w:rPr>
                <w:rFonts w:cs="Arial"/>
                <w:color w:val="3A3A3A"/>
                <w:szCs w:val="20"/>
              </w:rPr>
              <w:t>7.5</w:t>
            </w:r>
          </w:p>
        </w:tc>
      </w:tr>
      <w:tr w:rsidR="00170E72" w:rsidRPr="005A3AFE" w14:paraId="55875E91" w14:textId="77777777" w:rsidTr="00300C8B">
        <w:trPr>
          <w:trHeight w:val="398"/>
        </w:trPr>
        <w:tc>
          <w:tcPr>
            <w:tcW w:w="3964" w:type="dxa"/>
          </w:tcPr>
          <w:p w14:paraId="176B6FAD" w14:textId="5E2BBA03" w:rsidR="00170E72" w:rsidRPr="005817FA" w:rsidRDefault="00170E72" w:rsidP="00170E72">
            <w:pPr>
              <w:spacing w:before="40" w:after="40"/>
              <w:ind w:left="57" w:right="57"/>
              <w:rPr>
                <w:rFonts w:cs="Arial"/>
                <w:szCs w:val="20"/>
              </w:rPr>
            </w:pPr>
            <w:r w:rsidRPr="008E3305">
              <w:rPr>
                <w:rFonts w:cs="Arial"/>
                <w:b/>
                <w:bCs/>
                <w:szCs w:val="20"/>
              </w:rPr>
              <w:t>Personal factors</w:t>
            </w:r>
            <w:r>
              <w:rPr>
                <w:rFonts w:cs="Arial"/>
                <w:b/>
                <w:bCs/>
                <w:szCs w:val="20"/>
              </w:rPr>
              <w:t>:</w:t>
            </w:r>
            <w:r w:rsidRPr="005817FA">
              <w:rPr>
                <w:rFonts w:cs="Arial"/>
                <w:szCs w:val="20"/>
              </w:rPr>
              <w:t xml:space="preserve"> Caring for children</w:t>
            </w:r>
          </w:p>
        </w:tc>
        <w:tc>
          <w:tcPr>
            <w:tcW w:w="1843" w:type="dxa"/>
            <w:noWrap/>
            <w:vAlign w:val="center"/>
            <w:hideMark/>
          </w:tcPr>
          <w:p w14:paraId="0FA80469" w14:textId="753197D4" w:rsidR="00170E72" w:rsidRPr="005817FA" w:rsidRDefault="00170E72" w:rsidP="00170E72">
            <w:pPr>
              <w:spacing w:before="40" w:after="40"/>
              <w:ind w:left="57" w:right="57"/>
              <w:jc w:val="center"/>
              <w:rPr>
                <w:rFonts w:cs="Arial"/>
                <w:szCs w:val="20"/>
              </w:rPr>
            </w:pPr>
            <w:r w:rsidRPr="005817FA">
              <w:rPr>
                <w:rFonts w:cs="Arial"/>
                <w:color w:val="3A3A3A"/>
                <w:szCs w:val="20"/>
              </w:rPr>
              <w:t>4.6</w:t>
            </w:r>
          </w:p>
        </w:tc>
        <w:tc>
          <w:tcPr>
            <w:tcW w:w="2126" w:type="dxa"/>
            <w:noWrap/>
            <w:vAlign w:val="center"/>
            <w:hideMark/>
          </w:tcPr>
          <w:p w14:paraId="3BBDEB57" w14:textId="0A9A98E1" w:rsidR="00170E72" w:rsidRPr="005817FA" w:rsidRDefault="00170E72" w:rsidP="00170E72">
            <w:pPr>
              <w:spacing w:before="40" w:after="40"/>
              <w:ind w:left="57" w:right="57"/>
              <w:jc w:val="center"/>
              <w:rPr>
                <w:rFonts w:cs="Arial"/>
                <w:szCs w:val="20"/>
              </w:rPr>
            </w:pPr>
            <w:r w:rsidRPr="005817FA">
              <w:rPr>
                <w:rFonts w:cs="Arial"/>
                <w:color w:val="3A3A3A"/>
                <w:szCs w:val="20"/>
              </w:rPr>
              <w:t>5.4</w:t>
            </w:r>
          </w:p>
        </w:tc>
        <w:tc>
          <w:tcPr>
            <w:tcW w:w="1985" w:type="dxa"/>
            <w:noWrap/>
            <w:vAlign w:val="center"/>
            <w:hideMark/>
          </w:tcPr>
          <w:p w14:paraId="7FFA2F1C" w14:textId="705E2385" w:rsidR="00170E72" w:rsidRPr="005817FA" w:rsidRDefault="00170E72" w:rsidP="00170E72">
            <w:pPr>
              <w:spacing w:before="40" w:after="40"/>
              <w:ind w:left="57" w:right="57"/>
              <w:jc w:val="center"/>
              <w:rPr>
                <w:rFonts w:cs="Arial"/>
                <w:szCs w:val="20"/>
              </w:rPr>
            </w:pPr>
            <w:r w:rsidRPr="005817FA">
              <w:rPr>
                <w:rFonts w:cs="Arial"/>
                <w:color w:val="3A3A3A"/>
                <w:szCs w:val="20"/>
              </w:rPr>
              <w:t>14.0</w:t>
            </w:r>
          </w:p>
        </w:tc>
        <w:tc>
          <w:tcPr>
            <w:tcW w:w="2268" w:type="dxa"/>
            <w:noWrap/>
            <w:vAlign w:val="center"/>
            <w:hideMark/>
          </w:tcPr>
          <w:p w14:paraId="3BEE4274" w14:textId="13EEE32A" w:rsidR="00170E72" w:rsidRPr="005817FA" w:rsidRDefault="00170E72" w:rsidP="00170E72">
            <w:pPr>
              <w:spacing w:before="40" w:after="40"/>
              <w:ind w:left="57" w:right="57"/>
              <w:jc w:val="center"/>
              <w:rPr>
                <w:rFonts w:cs="Arial"/>
                <w:szCs w:val="20"/>
              </w:rPr>
            </w:pPr>
            <w:r w:rsidRPr="005817FA">
              <w:rPr>
                <w:rFonts w:cs="Arial"/>
                <w:color w:val="3A3A3A"/>
                <w:szCs w:val="20"/>
              </w:rPr>
              <w:t>11.8</w:t>
            </w:r>
          </w:p>
        </w:tc>
        <w:tc>
          <w:tcPr>
            <w:tcW w:w="2026" w:type="dxa"/>
            <w:noWrap/>
            <w:vAlign w:val="center"/>
            <w:hideMark/>
          </w:tcPr>
          <w:p w14:paraId="3E782A97" w14:textId="29B6A363" w:rsidR="00170E72" w:rsidRPr="005817FA" w:rsidRDefault="00170E72" w:rsidP="00170E72">
            <w:pPr>
              <w:spacing w:before="40" w:after="40"/>
              <w:ind w:left="57" w:right="57"/>
              <w:jc w:val="center"/>
              <w:rPr>
                <w:rFonts w:cs="Arial"/>
                <w:szCs w:val="20"/>
              </w:rPr>
            </w:pPr>
            <w:r w:rsidRPr="005817FA">
              <w:rPr>
                <w:rFonts w:cs="Arial"/>
                <w:color w:val="3A3A3A"/>
                <w:szCs w:val="20"/>
              </w:rPr>
              <w:t>3.7</w:t>
            </w:r>
          </w:p>
        </w:tc>
        <w:tc>
          <w:tcPr>
            <w:tcW w:w="2050" w:type="dxa"/>
            <w:noWrap/>
            <w:vAlign w:val="center"/>
            <w:hideMark/>
          </w:tcPr>
          <w:p w14:paraId="2306C384" w14:textId="5EA6E17B" w:rsidR="00170E72" w:rsidRPr="005817FA" w:rsidRDefault="00170E72" w:rsidP="00170E72">
            <w:pPr>
              <w:spacing w:before="40" w:after="40"/>
              <w:ind w:left="57" w:right="57"/>
              <w:jc w:val="center"/>
              <w:rPr>
                <w:rFonts w:cs="Arial"/>
                <w:szCs w:val="20"/>
              </w:rPr>
            </w:pPr>
            <w:r w:rsidRPr="005817FA">
              <w:rPr>
                <w:rFonts w:cs="Arial"/>
                <w:color w:val="3A3A3A"/>
                <w:szCs w:val="20"/>
              </w:rPr>
              <w:t>6.6</w:t>
            </w:r>
          </w:p>
        </w:tc>
      </w:tr>
      <w:tr w:rsidR="00170E72" w:rsidRPr="005A3AFE" w14:paraId="1B42A4F8" w14:textId="77777777" w:rsidTr="00300C8B">
        <w:trPr>
          <w:trHeight w:val="398"/>
        </w:trPr>
        <w:tc>
          <w:tcPr>
            <w:tcW w:w="3964" w:type="dxa"/>
          </w:tcPr>
          <w:p w14:paraId="6AA7BE28" w14:textId="64334CEB" w:rsidR="00170E72" w:rsidRPr="005817FA" w:rsidRDefault="00170E72" w:rsidP="00170E72">
            <w:pPr>
              <w:spacing w:before="40" w:after="40"/>
              <w:ind w:left="57" w:right="57"/>
              <w:rPr>
                <w:rFonts w:cs="Arial"/>
                <w:szCs w:val="20"/>
              </w:rPr>
            </w:pPr>
            <w:r w:rsidRPr="008E3305">
              <w:rPr>
                <w:rFonts w:cs="Arial"/>
                <w:b/>
                <w:bCs/>
                <w:szCs w:val="20"/>
              </w:rPr>
              <w:t>Personal factors</w:t>
            </w:r>
            <w:r>
              <w:rPr>
                <w:rFonts w:cs="Arial"/>
                <w:b/>
                <w:bCs/>
                <w:szCs w:val="20"/>
              </w:rPr>
              <w:t>:</w:t>
            </w:r>
            <w:r w:rsidRPr="005817FA">
              <w:rPr>
                <w:rFonts w:cs="Arial"/>
                <w:szCs w:val="20"/>
              </w:rPr>
              <w:t xml:space="preserve"> Long-term health condition or disability</w:t>
            </w:r>
          </w:p>
        </w:tc>
        <w:tc>
          <w:tcPr>
            <w:tcW w:w="1843" w:type="dxa"/>
            <w:noWrap/>
            <w:vAlign w:val="center"/>
            <w:hideMark/>
          </w:tcPr>
          <w:p w14:paraId="4036F84C" w14:textId="432527B1" w:rsidR="00170E72" w:rsidRPr="005817FA" w:rsidRDefault="00170E72" w:rsidP="00170E72">
            <w:pPr>
              <w:spacing w:before="40" w:after="40"/>
              <w:ind w:left="57" w:right="57"/>
              <w:jc w:val="center"/>
              <w:rPr>
                <w:rFonts w:cs="Arial"/>
                <w:szCs w:val="20"/>
              </w:rPr>
            </w:pPr>
            <w:r w:rsidRPr="005817FA">
              <w:rPr>
                <w:rFonts w:cs="Arial"/>
                <w:color w:val="3A3A3A"/>
                <w:szCs w:val="20"/>
              </w:rPr>
              <w:t>0.5</w:t>
            </w:r>
          </w:p>
        </w:tc>
        <w:tc>
          <w:tcPr>
            <w:tcW w:w="2126" w:type="dxa"/>
            <w:noWrap/>
            <w:vAlign w:val="center"/>
            <w:hideMark/>
          </w:tcPr>
          <w:p w14:paraId="17E04771" w14:textId="03707C62" w:rsidR="00170E72" w:rsidRPr="005817FA" w:rsidRDefault="00170E72" w:rsidP="00170E72">
            <w:pPr>
              <w:spacing w:before="40" w:after="40"/>
              <w:ind w:left="57" w:right="57"/>
              <w:jc w:val="center"/>
              <w:rPr>
                <w:rFonts w:cs="Arial"/>
                <w:szCs w:val="20"/>
              </w:rPr>
            </w:pPr>
            <w:r w:rsidRPr="005817FA">
              <w:rPr>
                <w:rFonts w:cs="Arial"/>
                <w:color w:val="3A3A3A"/>
                <w:szCs w:val="20"/>
              </w:rPr>
              <w:t>3.8</w:t>
            </w:r>
          </w:p>
        </w:tc>
        <w:tc>
          <w:tcPr>
            <w:tcW w:w="1985" w:type="dxa"/>
            <w:noWrap/>
            <w:vAlign w:val="center"/>
            <w:hideMark/>
          </w:tcPr>
          <w:p w14:paraId="122166A3" w14:textId="0D606F3B" w:rsidR="00170E72" w:rsidRPr="005817FA" w:rsidRDefault="00170E72" w:rsidP="00170E72">
            <w:pPr>
              <w:spacing w:before="40" w:after="40"/>
              <w:ind w:left="57" w:right="57"/>
              <w:jc w:val="center"/>
              <w:rPr>
                <w:rFonts w:cs="Arial"/>
                <w:szCs w:val="20"/>
              </w:rPr>
            </w:pPr>
            <w:r w:rsidRPr="005817FA">
              <w:rPr>
                <w:rFonts w:cs="Arial"/>
                <w:color w:val="3A3A3A"/>
                <w:szCs w:val="20"/>
              </w:rPr>
              <w:t>0.6</w:t>
            </w:r>
          </w:p>
        </w:tc>
        <w:tc>
          <w:tcPr>
            <w:tcW w:w="2268" w:type="dxa"/>
            <w:noWrap/>
            <w:vAlign w:val="center"/>
            <w:hideMark/>
          </w:tcPr>
          <w:p w14:paraId="266B319D" w14:textId="4797E3AE" w:rsidR="00170E72" w:rsidRPr="005817FA" w:rsidRDefault="00170E72" w:rsidP="00170E72">
            <w:pPr>
              <w:spacing w:before="40" w:after="40"/>
              <w:ind w:left="57" w:right="57"/>
              <w:jc w:val="center"/>
              <w:rPr>
                <w:rFonts w:cs="Arial"/>
                <w:szCs w:val="20"/>
              </w:rPr>
            </w:pPr>
            <w:r w:rsidRPr="005817FA">
              <w:rPr>
                <w:rFonts w:cs="Arial"/>
                <w:color w:val="3A3A3A"/>
                <w:szCs w:val="20"/>
              </w:rPr>
              <w:t>4.1</w:t>
            </w:r>
          </w:p>
        </w:tc>
        <w:tc>
          <w:tcPr>
            <w:tcW w:w="2026" w:type="dxa"/>
            <w:noWrap/>
            <w:vAlign w:val="center"/>
            <w:hideMark/>
          </w:tcPr>
          <w:p w14:paraId="795B28ED" w14:textId="29065B5C" w:rsidR="00170E72" w:rsidRPr="005817FA" w:rsidRDefault="00170E72" w:rsidP="00170E72">
            <w:pPr>
              <w:spacing w:before="40" w:after="40"/>
              <w:ind w:left="57" w:right="57"/>
              <w:jc w:val="center"/>
              <w:rPr>
                <w:rFonts w:cs="Arial"/>
                <w:szCs w:val="20"/>
              </w:rPr>
            </w:pPr>
            <w:r w:rsidRPr="005817FA">
              <w:rPr>
                <w:rFonts w:cs="Arial"/>
                <w:color w:val="3A3A3A"/>
                <w:szCs w:val="20"/>
              </w:rPr>
              <w:t>0.6</w:t>
            </w:r>
          </w:p>
        </w:tc>
        <w:tc>
          <w:tcPr>
            <w:tcW w:w="2050" w:type="dxa"/>
            <w:noWrap/>
            <w:vAlign w:val="center"/>
            <w:hideMark/>
          </w:tcPr>
          <w:p w14:paraId="393E0495" w14:textId="73EBA765" w:rsidR="00170E72" w:rsidRPr="005817FA" w:rsidRDefault="00170E72" w:rsidP="00170E72">
            <w:pPr>
              <w:spacing w:before="40" w:after="40"/>
              <w:ind w:left="57" w:right="57"/>
              <w:jc w:val="center"/>
              <w:rPr>
                <w:rFonts w:cs="Arial"/>
                <w:szCs w:val="20"/>
              </w:rPr>
            </w:pPr>
            <w:r w:rsidRPr="005817FA">
              <w:rPr>
                <w:rFonts w:cs="Arial"/>
                <w:color w:val="3A3A3A"/>
                <w:szCs w:val="20"/>
              </w:rPr>
              <w:t>3.8</w:t>
            </w:r>
          </w:p>
        </w:tc>
      </w:tr>
      <w:tr w:rsidR="00170E72" w:rsidRPr="005A3AFE" w14:paraId="3BC681F3" w14:textId="77777777" w:rsidTr="00300C8B">
        <w:trPr>
          <w:trHeight w:val="561"/>
        </w:trPr>
        <w:tc>
          <w:tcPr>
            <w:tcW w:w="3964" w:type="dxa"/>
          </w:tcPr>
          <w:p w14:paraId="291698A1" w14:textId="5B43FC0B" w:rsidR="00170E72" w:rsidRPr="005817FA" w:rsidRDefault="00170E72" w:rsidP="00170E72">
            <w:pPr>
              <w:spacing w:before="40" w:after="40"/>
              <w:ind w:left="57" w:right="57"/>
              <w:rPr>
                <w:rFonts w:cs="Arial"/>
                <w:szCs w:val="20"/>
              </w:rPr>
            </w:pPr>
            <w:r w:rsidRPr="008E3305">
              <w:rPr>
                <w:rFonts w:cs="Arial"/>
                <w:b/>
                <w:bCs/>
                <w:szCs w:val="20"/>
              </w:rPr>
              <w:t>Personal factors</w:t>
            </w:r>
            <w:r>
              <w:rPr>
                <w:rFonts w:cs="Arial"/>
                <w:b/>
                <w:bCs/>
                <w:szCs w:val="20"/>
              </w:rPr>
              <w:t>:</w:t>
            </w:r>
            <w:r w:rsidRPr="005817FA">
              <w:rPr>
                <w:rFonts w:cs="Arial"/>
                <w:szCs w:val="20"/>
              </w:rPr>
              <w:t xml:space="preserve"> Due to other commitments outside of main job</w:t>
            </w:r>
          </w:p>
        </w:tc>
        <w:tc>
          <w:tcPr>
            <w:tcW w:w="1843" w:type="dxa"/>
            <w:noWrap/>
            <w:vAlign w:val="center"/>
            <w:hideMark/>
          </w:tcPr>
          <w:p w14:paraId="62EA1ACC" w14:textId="3281B8C4" w:rsidR="00170E72" w:rsidRPr="005817FA" w:rsidRDefault="00170E72" w:rsidP="00170E72">
            <w:pPr>
              <w:spacing w:before="40" w:after="40"/>
              <w:ind w:left="57" w:right="57"/>
              <w:jc w:val="center"/>
              <w:rPr>
                <w:rFonts w:cs="Arial"/>
                <w:szCs w:val="20"/>
              </w:rPr>
            </w:pPr>
            <w:r w:rsidRPr="005817FA">
              <w:rPr>
                <w:rFonts w:cs="Arial"/>
                <w:color w:val="3A3A3A"/>
                <w:szCs w:val="20"/>
              </w:rPr>
              <w:t>0.7</w:t>
            </w:r>
          </w:p>
        </w:tc>
        <w:tc>
          <w:tcPr>
            <w:tcW w:w="2126" w:type="dxa"/>
            <w:noWrap/>
            <w:vAlign w:val="center"/>
            <w:hideMark/>
          </w:tcPr>
          <w:p w14:paraId="4A12FACC" w14:textId="359A0069" w:rsidR="00170E72" w:rsidRPr="005817FA" w:rsidRDefault="00170E72" w:rsidP="00170E72">
            <w:pPr>
              <w:spacing w:before="40" w:after="40"/>
              <w:ind w:left="57" w:right="57"/>
              <w:jc w:val="center"/>
              <w:rPr>
                <w:rFonts w:cs="Arial"/>
                <w:szCs w:val="20"/>
              </w:rPr>
            </w:pPr>
            <w:r w:rsidRPr="005817FA">
              <w:rPr>
                <w:rFonts w:cs="Arial"/>
                <w:color w:val="3A3A3A"/>
                <w:szCs w:val="20"/>
              </w:rPr>
              <w:t>3.7</w:t>
            </w:r>
          </w:p>
        </w:tc>
        <w:tc>
          <w:tcPr>
            <w:tcW w:w="1985" w:type="dxa"/>
            <w:noWrap/>
            <w:vAlign w:val="center"/>
            <w:hideMark/>
          </w:tcPr>
          <w:p w14:paraId="552C3328" w14:textId="700E8160" w:rsidR="00170E72" w:rsidRPr="005817FA" w:rsidRDefault="00170E72" w:rsidP="00170E72">
            <w:pPr>
              <w:spacing w:before="40" w:after="40"/>
              <w:ind w:left="57" w:right="57"/>
              <w:jc w:val="center"/>
              <w:rPr>
                <w:rFonts w:cs="Arial"/>
                <w:szCs w:val="20"/>
              </w:rPr>
            </w:pPr>
            <w:r w:rsidRPr="005817FA">
              <w:rPr>
                <w:rFonts w:cs="Arial"/>
                <w:color w:val="3A3A3A"/>
                <w:szCs w:val="20"/>
              </w:rPr>
              <w:t>1.1</w:t>
            </w:r>
          </w:p>
        </w:tc>
        <w:tc>
          <w:tcPr>
            <w:tcW w:w="2268" w:type="dxa"/>
            <w:noWrap/>
            <w:vAlign w:val="center"/>
            <w:hideMark/>
          </w:tcPr>
          <w:p w14:paraId="1BB37793" w14:textId="778639C8" w:rsidR="00170E72" w:rsidRPr="005817FA" w:rsidRDefault="00170E72" w:rsidP="00170E72">
            <w:pPr>
              <w:spacing w:before="40" w:after="40"/>
              <w:ind w:left="57" w:right="57"/>
              <w:jc w:val="center"/>
              <w:rPr>
                <w:rFonts w:cs="Arial"/>
                <w:szCs w:val="20"/>
              </w:rPr>
            </w:pPr>
            <w:r w:rsidRPr="005817FA">
              <w:rPr>
                <w:rFonts w:cs="Arial"/>
                <w:color w:val="3A3A3A"/>
                <w:szCs w:val="20"/>
              </w:rPr>
              <w:t>4.4</w:t>
            </w:r>
          </w:p>
        </w:tc>
        <w:tc>
          <w:tcPr>
            <w:tcW w:w="2026" w:type="dxa"/>
            <w:noWrap/>
            <w:vAlign w:val="center"/>
            <w:hideMark/>
          </w:tcPr>
          <w:p w14:paraId="4EFF0769" w14:textId="73639BDF" w:rsidR="00170E72" w:rsidRPr="005817FA" w:rsidRDefault="00170E72" w:rsidP="00170E72">
            <w:pPr>
              <w:spacing w:before="40" w:after="40"/>
              <w:ind w:left="57" w:right="57"/>
              <w:jc w:val="center"/>
              <w:rPr>
                <w:rFonts w:cs="Arial"/>
                <w:szCs w:val="20"/>
              </w:rPr>
            </w:pPr>
            <w:r w:rsidRPr="005817FA">
              <w:rPr>
                <w:rFonts w:cs="Arial"/>
                <w:color w:val="3A3A3A"/>
                <w:szCs w:val="20"/>
              </w:rPr>
              <w:t>3.1</w:t>
            </w:r>
          </w:p>
        </w:tc>
        <w:tc>
          <w:tcPr>
            <w:tcW w:w="2050" w:type="dxa"/>
            <w:noWrap/>
            <w:vAlign w:val="center"/>
            <w:hideMark/>
          </w:tcPr>
          <w:p w14:paraId="28CC2C26" w14:textId="4F5FC1B5" w:rsidR="00170E72" w:rsidRPr="005817FA" w:rsidRDefault="00170E72" w:rsidP="00170E72">
            <w:pPr>
              <w:spacing w:before="40" w:after="40"/>
              <w:ind w:left="57" w:right="57"/>
              <w:jc w:val="center"/>
              <w:rPr>
                <w:rFonts w:cs="Arial"/>
                <w:szCs w:val="20"/>
              </w:rPr>
            </w:pPr>
            <w:r w:rsidRPr="005817FA">
              <w:rPr>
                <w:rFonts w:cs="Arial"/>
                <w:color w:val="3A3A3A"/>
                <w:szCs w:val="20"/>
              </w:rPr>
              <w:t>3.8</w:t>
            </w:r>
          </w:p>
        </w:tc>
      </w:tr>
      <w:tr w:rsidR="00170E72" w:rsidRPr="005A3AFE" w14:paraId="0B40610F" w14:textId="77777777" w:rsidTr="007253FC">
        <w:trPr>
          <w:trHeight w:val="398"/>
        </w:trPr>
        <w:tc>
          <w:tcPr>
            <w:tcW w:w="3964" w:type="dxa"/>
            <w:tcBorders>
              <w:bottom w:val="single" w:sz="4" w:space="0" w:color="0D0D0D" w:themeColor="text1" w:themeTint="F2"/>
            </w:tcBorders>
          </w:tcPr>
          <w:p w14:paraId="00326811" w14:textId="1E987EC5" w:rsidR="00170E72" w:rsidRPr="005817FA" w:rsidRDefault="00170E72" w:rsidP="00170E72">
            <w:pPr>
              <w:spacing w:before="40" w:after="40"/>
              <w:ind w:left="57" w:right="57"/>
              <w:rPr>
                <w:rFonts w:cs="Arial"/>
                <w:szCs w:val="20"/>
              </w:rPr>
            </w:pPr>
            <w:r w:rsidRPr="008E3305">
              <w:rPr>
                <w:rFonts w:cs="Arial"/>
                <w:b/>
                <w:bCs/>
                <w:szCs w:val="20"/>
              </w:rPr>
              <w:t>Personal factors</w:t>
            </w:r>
            <w:r>
              <w:rPr>
                <w:rFonts w:cs="Arial"/>
                <w:b/>
                <w:bCs/>
                <w:szCs w:val="20"/>
              </w:rPr>
              <w:t>:</w:t>
            </w:r>
            <w:r w:rsidRPr="005817FA">
              <w:rPr>
                <w:rFonts w:cs="Arial"/>
                <w:szCs w:val="20"/>
              </w:rPr>
              <w:t xml:space="preserve"> Other personal factors</w:t>
            </w:r>
          </w:p>
        </w:tc>
        <w:tc>
          <w:tcPr>
            <w:tcW w:w="1843" w:type="dxa"/>
            <w:tcBorders>
              <w:bottom w:val="single" w:sz="4" w:space="0" w:color="0D0D0D" w:themeColor="text1" w:themeTint="F2"/>
            </w:tcBorders>
            <w:noWrap/>
            <w:vAlign w:val="center"/>
          </w:tcPr>
          <w:p w14:paraId="28CEF96B" w14:textId="279714CC" w:rsidR="00170E72" w:rsidRPr="005817FA" w:rsidRDefault="00170E72" w:rsidP="00170E72">
            <w:pPr>
              <w:spacing w:before="40" w:after="40"/>
              <w:ind w:left="57" w:right="57"/>
              <w:jc w:val="center"/>
              <w:rPr>
                <w:rFonts w:cs="Arial"/>
                <w:szCs w:val="20"/>
              </w:rPr>
            </w:pPr>
            <w:r w:rsidRPr="005817FA">
              <w:rPr>
                <w:rFonts w:cs="Arial"/>
                <w:color w:val="3A3A3A"/>
                <w:szCs w:val="20"/>
              </w:rPr>
              <w:t>0.3</w:t>
            </w:r>
          </w:p>
        </w:tc>
        <w:tc>
          <w:tcPr>
            <w:tcW w:w="2126" w:type="dxa"/>
            <w:tcBorders>
              <w:bottom w:val="single" w:sz="4" w:space="0" w:color="0D0D0D" w:themeColor="text1" w:themeTint="F2"/>
            </w:tcBorders>
            <w:noWrap/>
            <w:vAlign w:val="center"/>
          </w:tcPr>
          <w:p w14:paraId="27433BEA" w14:textId="52DA378D" w:rsidR="00170E72" w:rsidRPr="005817FA" w:rsidRDefault="00170E72" w:rsidP="00170E72">
            <w:pPr>
              <w:spacing w:before="40" w:after="40"/>
              <w:ind w:left="57" w:right="57"/>
              <w:jc w:val="center"/>
              <w:rPr>
                <w:rFonts w:cs="Arial"/>
                <w:szCs w:val="20"/>
              </w:rPr>
            </w:pPr>
            <w:r w:rsidRPr="005817FA">
              <w:rPr>
                <w:rFonts w:cs="Arial"/>
                <w:color w:val="3A3A3A"/>
                <w:szCs w:val="20"/>
              </w:rPr>
              <w:t>2.7</w:t>
            </w:r>
          </w:p>
        </w:tc>
        <w:tc>
          <w:tcPr>
            <w:tcW w:w="1985" w:type="dxa"/>
            <w:tcBorders>
              <w:bottom w:val="single" w:sz="4" w:space="0" w:color="0D0D0D" w:themeColor="text1" w:themeTint="F2"/>
            </w:tcBorders>
            <w:noWrap/>
            <w:vAlign w:val="center"/>
          </w:tcPr>
          <w:p w14:paraId="595E5127" w14:textId="265666B5" w:rsidR="00170E72" w:rsidRPr="005817FA" w:rsidRDefault="00170E72" w:rsidP="00170E72">
            <w:pPr>
              <w:spacing w:before="40" w:after="40"/>
              <w:ind w:left="57" w:right="57"/>
              <w:jc w:val="center"/>
              <w:rPr>
                <w:rFonts w:cs="Arial"/>
                <w:szCs w:val="20"/>
              </w:rPr>
            </w:pPr>
            <w:r w:rsidRPr="005817FA">
              <w:rPr>
                <w:rFonts w:cs="Arial"/>
                <w:color w:val="3A3A3A"/>
                <w:szCs w:val="20"/>
              </w:rPr>
              <w:t>0.8</w:t>
            </w:r>
          </w:p>
        </w:tc>
        <w:tc>
          <w:tcPr>
            <w:tcW w:w="2268" w:type="dxa"/>
            <w:tcBorders>
              <w:bottom w:val="single" w:sz="4" w:space="0" w:color="0D0D0D" w:themeColor="text1" w:themeTint="F2"/>
            </w:tcBorders>
            <w:noWrap/>
            <w:vAlign w:val="center"/>
          </w:tcPr>
          <w:p w14:paraId="125C3A82" w14:textId="0A619427" w:rsidR="00170E72" w:rsidRPr="005817FA" w:rsidRDefault="00170E72" w:rsidP="00170E72">
            <w:pPr>
              <w:spacing w:before="40" w:after="40"/>
              <w:ind w:left="57" w:right="57"/>
              <w:jc w:val="center"/>
              <w:rPr>
                <w:rFonts w:cs="Arial"/>
                <w:szCs w:val="20"/>
              </w:rPr>
            </w:pPr>
            <w:r w:rsidRPr="005817FA">
              <w:rPr>
                <w:rFonts w:cs="Arial"/>
                <w:color w:val="3A3A3A"/>
                <w:szCs w:val="20"/>
              </w:rPr>
              <w:t>4.6</w:t>
            </w:r>
          </w:p>
        </w:tc>
        <w:tc>
          <w:tcPr>
            <w:tcW w:w="2026" w:type="dxa"/>
            <w:tcBorders>
              <w:bottom w:val="single" w:sz="4" w:space="0" w:color="0D0D0D" w:themeColor="text1" w:themeTint="F2"/>
            </w:tcBorders>
            <w:noWrap/>
            <w:vAlign w:val="center"/>
          </w:tcPr>
          <w:p w14:paraId="773D51EF" w14:textId="547EE7F0" w:rsidR="00170E72" w:rsidRPr="005817FA" w:rsidRDefault="00170E72" w:rsidP="00170E72">
            <w:pPr>
              <w:spacing w:before="40" w:after="40"/>
              <w:ind w:left="57" w:right="57"/>
              <w:jc w:val="center"/>
              <w:rPr>
                <w:rFonts w:cs="Arial"/>
                <w:szCs w:val="20"/>
              </w:rPr>
            </w:pPr>
            <w:r w:rsidRPr="005817FA">
              <w:rPr>
                <w:rFonts w:cs="Arial"/>
                <w:color w:val="3A3A3A"/>
                <w:szCs w:val="20"/>
              </w:rPr>
              <w:t>0.0</w:t>
            </w:r>
          </w:p>
        </w:tc>
        <w:tc>
          <w:tcPr>
            <w:tcW w:w="2050" w:type="dxa"/>
            <w:tcBorders>
              <w:bottom w:val="single" w:sz="4" w:space="0" w:color="0D0D0D" w:themeColor="text1" w:themeTint="F2"/>
            </w:tcBorders>
            <w:noWrap/>
            <w:vAlign w:val="center"/>
          </w:tcPr>
          <w:p w14:paraId="067D2D52" w14:textId="6D210CD8" w:rsidR="00170E72" w:rsidRPr="005817FA" w:rsidRDefault="00170E72" w:rsidP="00170E72">
            <w:pPr>
              <w:spacing w:before="40" w:after="40"/>
              <w:ind w:left="57" w:right="57"/>
              <w:jc w:val="center"/>
              <w:rPr>
                <w:rFonts w:cs="Arial"/>
                <w:szCs w:val="20"/>
              </w:rPr>
            </w:pPr>
            <w:r w:rsidRPr="005817FA">
              <w:rPr>
                <w:rFonts w:cs="Arial"/>
                <w:color w:val="3A3A3A"/>
                <w:szCs w:val="20"/>
              </w:rPr>
              <w:t>0.9</w:t>
            </w:r>
          </w:p>
        </w:tc>
      </w:tr>
      <w:tr w:rsidR="00170E72" w:rsidRPr="005A3AFE" w14:paraId="488F2952" w14:textId="77777777" w:rsidTr="007253FC">
        <w:trPr>
          <w:trHeight w:val="398"/>
        </w:trPr>
        <w:tc>
          <w:tcPr>
            <w:tcW w:w="3964" w:type="dxa"/>
            <w:shd w:val="clear" w:color="auto" w:fill="F2F2F2" w:themeFill="background1" w:themeFillShade="F2"/>
          </w:tcPr>
          <w:p w14:paraId="61FF82D8" w14:textId="5CADCD13" w:rsidR="00170E72" w:rsidRPr="00A50552" w:rsidRDefault="00170E72" w:rsidP="00A50552">
            <w:pPr>
              <w:spacing w:before="120" w:after="120"/>
              <w:ind w:left="57" w:right="57"/>
              <w:rPr>
                <w:rFonts w:cs="Arial"/>
                <w:b/>
                <w:bCs/>
                <w:sz w:val="21"/>
                <w:szCs w:val="21"/>
              </w:rPr>
            </w:pPr>
            <w:r w:rsidRPr="00A50552">
              <w:rPr>
                <w:rFonts w:cs="Arial"/>
                <w:b/>
                <w:bCs/>
                <w:sz w:val="21"/>
                <w:szCs w:val="21"/>
              </w:rPr>
              <w:t>Sub-total:</w:t>
            </w:r>
            <w:r w:rsidR="00A50552" w:rsidRPr="00A50552">
              <w:rPr>
                <w:rFonts w:cs="Arial"/>
                <w:b/>
                <w:bCs/>
                <w:sz w:val="21"/>
                <w:szCs w:val="21"/>
              </w:rPr>
              <w:br/>
            </w:r>
            <w:r w:rsidRPr="00A50552">
              <w:rPr>
                <w:rFonts w:cs="Arial"/>
                <w:b/>
                <w:bCs/>
                <w:sz w:val="21"/>
                <w:szCs w:val="21"/>
              </w:rPr>
              <w:t>Personal factors</w:t>
            </w:r>
          </w:p>
        </w:tc>
        <w:tc>
          <w:tcPr>
            <w:tcW w:w="1843" w:type="dxa"/>
            <w:shd w:val="clear" w:color="auto" w:fill="F2F2F2" w:themeFill="background1" w:themeFillShade="F2"/>
            <w:noWrap/>
            <w:vAlign w:val="center"/>
            <w:hideMark/>
          </w:tcPr>
          <w:p w14:paraId="224B94ED" w14:textId="1EF5B989" w:rsidR="00170E72" w:rsidRPr="00170E72" w:rsidRDefault="00170E72" w:rsidP="00170E72">
            <w:pPr>
              <w:spacing w:before="80" w:after="80"/>
              <w:ind w:left="57" w:right="57"/>
              <w:jc w:val="center"/>
              <w:rPr>
                <w:rFonts w:cs="Arial"/>
                <w:b/>
                <w:bCs/>
                <w:szCs w:val="20"/>
              </w:rPr>
            </w:pPr>
            <w:r w:rsidRPr="00170E72">
              <w:rPr>
                <w:rFonts w:cs="Arial"/>
                <w:b/>
                <w:bCs/>
                <w:color w:val="3A3A3A"/>
                <w:szCs w:val="20"/>
              </w:rPr>
              <w:t>22.8</w:t>
            </w:r>
          </w:p>
        </w:tc>
        <w:tc>
          <w:tcPr>
            <w:tcW w:w="2126" w:type="dxa"/>
            <w:shd w:val="clear" w:color="auto" w:fill="F2F2F2" w:themeFill="background1" w:themeFillShade="F2"/>
            <w:noWrap/>
            <w:vAlign w:val="center"/>
            <w:hideMark/>
          </w:tcPr>
          <w:p w14:paraId="489D169F" w14:textId="53DB7976" w:rsidR="00170E72" w:rsidRPr="00170E72" w:rsidRDefault="00170E72" w:rsidP="00170E72">
            <w:pPr>
              <w:spacing w:before="80" w:after="80"/>
              <w:ind w:left="57" w:right="57"/>
              <w:jc w:val="center"/>
              <w:rPr>
                <w:rFonts w:cs="Arial"/>
                <w:b/>
                <w:bCs/>
                <w:szCs w:val="20"/>
              </w:rPr>
            </w:pPr>
            <w:r w:rsidRPr="00170E72">
              <w:rPr>
                <w:rFonts w:cs="Arial"/>
                <w:b/>
                <w:bCs/>
                <w:color w:val="3A3A3A"/>
                <w:szCs w:val="20"/>
              </w:rPr>
              <w:t>33.3</w:t>
            </w:r>
          </w:p>
        </w:tc>
        <w:tc>
          <w:tcPr>
            <w:tcW w:w="1985" w:type="dxa"/>
            <w:shd w:val="clear" w:color="auto" w:fill="F2F2F2" w:themeFill="background1" w:themeFillShade="F2"/>
            <w:noWrap/>
            <w:vAlign w:val="center"/>
            <w:hideMark/>
          </w:tcPr>
          <w:p w14:paraId="4D79B963" w14:textId="25CF82A7" w:rsidR="00170E72" w:rsidRPr="00170E72" w:rsidRDefault="00170E72" w:rsidP="00170E72">
            <w:pPr>
              <w:spacing w:before="80" w:after="80"/>
              <w:ind w:left="57" w:right="57"/>
              <w:jc w:val="center"/>
              <w:rPr>
                <w:rFonts w:cs="Arial"/>
                <w:b/>
                <w:bCs/>
                <w:szCs w:val="20"/>
              </w:rPr>
            </w:pPr>
            <w:r w:rsidRPr="00170E72">
              <w:rPr>
                <w:rFonts w:cs="Arial"/>
                <w:b/>
                <w:bCs/>
                <w:color w:val="3A3A3A"/>
                <w:szCs w:val="20"/>
              </w:rPr>
              <w:t>23.9</w:t>
            </w:r>
          </w:p>
        </w:tc>
        <w:tc>
          <w:tcPr>
            <w:tcW w:w="2268" w:type="dxa"/>
            <w:shd w:val="clear" w:color="auto" w:fill="F2F2F2" w:themeFill="background1" w:themeFillShade="F2"/>
            <w:noWrap/>
            <w:vAlign w:val="center"/>
            <w:hideMark/>
          </w:tcPr>
          <w:p w14:paraId="51C9ECD2" w14:textId="24D411E4" w:rsidR="00170E72" w:rsidRPr="00170E72" w:rsidRDefault="00170E72" w:rsidP="00170E72">
            <w:pPr>
              <w:spacing w:before="80" w:after="80"/>
              <w:ind w:left="57" w:right="57"/>
              <w:jc w:val="center"/>
              <w:rPr>
                <w:rFonts w:cs="Arial"/>
                <w:b/>
                <w:bCs/>
                <w:szCs w:val="20"/>
              </w:rPr>
            </w:pPr>
            <w:r w:rsidRPr="00170E72">
              <w:rPr>
                <w:rFonts w:cs="Arial"/>
                <w:b/>
                <w:bCs/>
                <w:color w:val="3A3A3A"/>
                <w:szCs w:val="20"/>
              </w:rPr>
              <w:t>32.5</w:t>
            </w:r>
          </w:p>
        </w:tc>
        <w:tc>
          <w:tcPr>
            <w:tcW w:w="2026" w:type="dxa"/>
            <w:shd w:val="clear" w:color="auto" w:fill="F2F2F2" w:themeFill="background1" w:themeFillShade="F2"/>
            <w:noWrap/>
            <w:vAlign w:val="center"/>
            <w:hideMark/>
          </w:tcPr>
          <w:p w14:paraId="4A8F16AB" w14:textId="76BF2DC5" w:rsidR="00170E72" w:rsidRPr="00170E72" w:rsidRDefault="00170E72" w:rsidP="00170E72">
            <w:pPr>
              <w:spacing w:before="80" w:after="80"/>
              <w:ind w:left="57" w:right="57"/>
              <w:jc w:val="center"/>
              <w:rPr>
                <w:rFonts w:cs="Arial"/>
                <w:b/>
                <w:bCs/>
                <w:szCs w:val="20"/>
              </w:rPr>
            </w:pPr>
            <w:r w:rsidRPr="00170E72">
              <w:rPr>
                <w:rFonts w:cs="Arial"/>
                <w:b/>
                <w:bCs/>
                <w:color w:val="3A3A3A"/>
                <w:szCs w:val="20"/>
              </w:rPr>
              <w:t>9.3</w:t>
            </w:r>
          </w:p>
        </w:tc>
        <w:tc>
          <w:tcPr>
            <w:tcW w:w="2050" w:type="dxa"/>
            <w:shd w:val="clear" w:color="auto" w:fill="F2F2F2" w:themeFill="background1" w:themeFillShade="F2"/>
            <w:noWrap/>
            <w:vAlign w:val="center"/>
            <w:hideMark/>
          </w:tcPr>
          <w:p w14:paraId="6E658AEA" w14:textId="1F4BC585" w:rsidR="00170E72" w:rsidRPr="00170E72" w:rsidRDefault="00170E72" w:rsidP="00170E72">
            <w:pPr>
              <w:spacing w:before="80" w:after="80"/>
              <w:ind w:left="57" w:right="57"/>
              <w:jc w:val="center"/>
              <w:rPr>
                <w:rFonts w:cs="Arial"/>
                <w:b/>
                <w:bCs/>
                <w:szCs w:val="20"/>
              </w:rPr>
            </w:pPr>
            <w:r w:rsidRPr="00170E72">
              <w:rPr>
                <w:rFonts w:cs="Arial"/>
                <w:b/>
                <w:bCs/>
                <w:color w:val="3A3A3A"/>
                <w:szCs w:val="20"/>
              </w:rPr>
              <w:t>22.6</w:t>
            </w:r>
          </w:p>
        </w:tc>
      </w:tr>
      <w:tr w:rsidR="00170E72" w:rsidRPr="005A3AFE" w14:paraId="2DBAB93A" w14:textId="77777777" w:rsidTr="00300C8B">
        <w:trPr>
          <w:trHeight w:val="398"/>
        </w:trPr>
        <w:tc>
          <w:tcPr>
            <w:tcW w:w="3964" w:type="dxa"/>
          </w:tcPr>
          <w:p w14:paraId="5FF5545A" w14:textId="714C7E5C" w:rsidR="00170E72" w:rsidRPr="005817FA" w:rsidRDefault="00170E72" w:rsidP="00170E72">
            <w:pPr>
              <w:spacing w:before="40" w:after="40"/>
              <w:ind w:left="57" w:right="57"/>
              <w:rPr>
                <w:rFonts w:cs="Arial"/>
                <w:szCs w:val="20"/>
              </w:rPr>
            </w:pPr>
            <w:r w:rsidRPr="008E3305">
              <w:rPr>
                <w:rFonts w:cs="Arial"/>
                <w:b/>
                <w:bCs/>
                <w:szCs w:val="20"/>
              </w:rPr>
              <w:t>Labour market factors</w:t>
            </w:r>
            <w:r>
              <w:rPr>
                <w:rFonts w:cs="Arial"/>
                <w:b/>
                <w:bCs/>
                <w:szCs w:val="20"/>
              </w:rPr>
              <w:t>:</w:t>
            </w:r>
            <w:r w:rsidRPr="005817FA">
              <w:rPr>
                <w:rFonts w:cs="Arial"/>
                <w:szCs w:val="20"/>
              </w:rPr>
              <w:t xml:space="preserve"> No suitable job in my local area</w:t>
            </w:r>
          </w:p>
        </w:tc>
        <w:tc>
          <w:tcPr>
            <w:tcW w:w="1843" w:type="dxa"/>
            <w:noWrap/>
            <w:vAlign w:val="center"/>
            <w:hideMark/>
          </w:tcPr>
          <w:p w14:paraId="61B1DF7A" w14:textId="38E548F9" w:rsidR="00170E72" w:rsidRPr="005817FA" w:rsidRDefault="00170E72" w:rsidP="00170E72">
            <w:pPr>
              <w:spacing w:before="40" w:after="40"/>
              <w:ind w:left="57" w:right="57"/>
              <w:jc w:val="center"/>
              <w:rPr>
                <w:rFonts w:cs="Arial"/>
                <w:szCs w:val="20"/>
              </w:rPr>
            </w:pPr>
            <w:r w:rsidRPr="005817FA">
              <w:rPr>
                <w:rFonts w:cs="Arial"/>
                <w:color w:val="3A3A3A"/>
                <w:szCs w:val="20"/>
              </w:rPr>
              <w:t>4.1</w:t>
            </w:r>
          </w:p>
        </w:tc>
        <w:tc>
          <w:tcPr>
            <w:tcW w:w="2126" w:type="dxa"/>
            <w:noWrap/>
            <w:vAlign w:val="center"/>
            <w:hideMark/>
          </w:tcPr>
          <w:p w14:paraId="7FD742E7" w14:textId="4F2D4123" w:rsidR="00170E72" w:rsidRPr="005817FA" w:rsidRDefault="00170E72" w:rsidP="00170E72">
            <w:pPr>
              <w:spacing w:before="40" w:after="40"/>
              <w:ind w:left="57" w:right="57"/>
              <w:jc w:val="center"/>
              <w:rPr>
                <w:rFonts w:cs="Arial"/>
                <w:szCs w:val="20"/>
              </w:rPr>
            </w:pPr>
            <w:r w:rsidRPr="005817FA">
              <w:rPr>
                <w:rFonts w:cs="Arial"/>
                <w:color w:val="3A3A3A"/>
                <w:szCs w:val="20"/>
              </w:rPr>
              <w:t>3.0</w:t>
            </w:r>
          </w:p>
        </w:tc>
        <w:tc>
          <w:tcPr>
            <w:tcW w:w="1985" w:type="dxa"/>
            <w:noWrap/>
            <w:vAlign w:val="center"/>
            <w:hideMark/>
          </w:tcPr>
          <w:p w14:paraId="002E943A" w14:textId="1628BCE6" w:rsidR="00170E72" w:rsidRPr="005817FA" w:rsidRDefault="00170E72" w:rsidP="00170E72">
            <w:pPr>
              <w:spacing w:before="40" w:after="40"/>
              <w:ind w:left="57" w:right="57"/>
              <w:jc w:val="center"/>
              <w:rPr>
                <w:rFonts w:cs="Arial"/>
                <w:szCs w:val="20"/>
              </w:rPr>
            </w:pPr>
            <w:r w:rsidRPr="005817FA">
              <w:rPr>
                <w:rFonts w:cs="Arial"/>
                <w:color w:val="3A3A3A"/>
                <w:szCs w:val="20"/>
              </w:rPr>
              <w:t>5.5</w:t>
            </w:r>
          </w:p>
        </w:tc>
        <w:tc>
          <w:tcPr>
            <w:tcW w:w="2268" w:type="dxa"/>
            <w:noWrap/>
            <w:vAlign w:val="center"/>
            <w:hideMark/>
          </w:tcPr>
          <w:p w14:paraId="15F935BC" w14:textId="33E38D96" w:rsidR="00170E72" w:rsidRPr="005817FA" w:rsidRDefault="00170E72" w:rsidP="00170E72">
            <w:pPr>
              <w:spacing w:before="40" w:after="40"/>
              <w:ind w:left="57" w:right="57"/>
              <w:jc w:val="center"/>
              <w:rPr>
                <w:rFonts w:cs="Arial"/>
                <w:szCs w:val="20"/>
              </w:rPr>
            </w:pPr>
            <w:r w:rsidRPr="005817FA">
              <w:rPr>
                <w:rFonts w:cs="Arial"/>
                <w:color w:val="3A3A3A"/>
                <w:szCs w:val="20"/>
              </w:rPr>
              <w:t>4.4</w:t>
            </w:r>
          </w:p>
        </w:tc>
        <w:tc>
          <w:tcPr>
            <w:tcW w:w="2026" w:type="dxa"/>
            <w:noWrap/>
            <w:vAlign w:val="center"/>
            <w:hideMark/>
          </w:tcPr>
          <w:p w14:paraId="148F3DC6" w14:textId="3BBB78A7" w:rsidR="00170E72" w:rsidRPr="005817FA" w:rsidRDefault="00170E72" w:rsidP="00170E72">
            <w:pPr>
              <w:spacing w:before="40" w:after="40"/>
              <w:ind w:left="57" w:right="57"/>
              <w:jc w:val="center"/>
              <w:rPr>
                <w:rFonts w:cs="Arial"/>
                <w:szCs w:val="20"/>
              </w:rPr>
            </w:pPr>
            <w:r w:rsidRPr="005817FA">
              <w:rPr>
                <w:rFonts w:cs="Arial"/>
                <w:color w:val="3A3A3A"/>
                <w:szCs w:val="20"/>
              </w:rPr>
              <w:t>7.4</w:t>
            </w:r>
          </w:p>
        </w:tc>
        <w:tc>
          <w:tcPr>
            <w:tcW w:w="2050" w:type="dxa"/>
            <w:noWrap/>
            <w:vAlign w:val="center"/>
            <w:hideMark/>
          </w:tcPr>
          <w:p w14:paraId="564199EB" w14:textId="22106B3F" w:rsidR="00170E72" w:rsidRPr="005817FA" w:rsidRDefault="00170E72" w:rsidP="00170E72">
            <w:pPr>
              <w:spacing w:before="40" w:after="40"/>
              <w:ind w:left="57" w:right="57"/>
              <w:jc w:val="center"/>
              <w:rPr>
                <w:rFonts w:cs="Arial"/>
                <w:szCs w:val="20"/>
              </w:rPr>
            </w:pPr>
            <w:r w:rsidRPr="005817FA">
              <w:rPr>
                <w:rFonts w:cs="Arial"/>
                <w:color w:val="3A3A3A"/>
                <w:szCs w:val="20"/>
              </w:rPr>
              <w:t>5.7</w:t>
            </w:r>
          </w:p>
        </w:tc>
      </w:tr>
      <w:tr w:rsidR="00170E72" w:rsidRPr="005A3AFE" w14:paraId="7ED9CBBE" w14:textId="77777777" w:rsidTr="00300C8B">
        <w:trPr>
          <w:trHeight w:val="398"/>
        </w:trPr>
        <w:tc>
          <w:tcPr>
            <w:tcW w:w="3964" w:type="dxa"/>
          </w:tcPr>
          <w:p w14:paraId="5FC55E92" w14:textId="18B4F5F5" w:rsidR="00170E72" w:rsidRPr="005817FA" w:rsidRDefault="00170E72" w:rsidP="00170E72">
            <w:pPr>
              <w:spacing w:before="40" w:after="40"/>
              <w:ind w:left="57" w:right="57"/>
              <w:rPr>
                <w:rFonts w:cs="Arial"/>
                <w:szCs w:val="20"/>
              </w:rPr>
            </w:pPr>
            <w:r w:rsidRPr="008E3305">
              <w:rPr>
                <w:rFonts w:cs="Arial"/>
                <w:b/>
                <w:bCs/>
                <w:szCs w:val="20"/>
              </w:rPr>
              <w:t>Labour market factors</w:t>
            </w:r>
            <w:r>
              <w:rPr>
                <w:rFonts w:cs="Arial"/>
                <w:b/>
                <w:bCs/>
                <w:szCs w:val="20"/>
              </w:rPr>
              <w:t>:</w:t>
            </w:r>
            <w:r w:rsidRPr="005817FA">
              <w:rPr>
                <w:rFonts w:cs="Arial"/>
                <w:szCs w:val="20"/>
              </w:rPr>
              <w:t xml:space="preserve"> No job with a suitable number of hours</w:t>
            </w:r>
          </w:p>
        </w:tc>
        <w:tc>
          <w:tcPr>
            <w:tcW w:w="1843" w:type="dxa"/>
            <w:noWrap/>
            <w:vAlign w:val="center"/>
            <w:hideMark/>
          </w:tcPr>
          <w:p w14:paraId="31C9DFAE" w14:textId="6AEF1BC9" w:rsidR="00170E72" w:rsidRPr="005817FA" w:rsidRDefault="00170E72" w:rsidP="00170E72">
            <w:pPr>
              <w:spacing w:before="40" w:after="40"/>
              <w:ind w:left="57" w:right="57"/>
              <w:jc w:val="center"/>
              <w:rPr>
                <w:rFonts w:cs="Arial"/>
                <w:szCs w:val="20"/>
              </w:rPr>
            </w:pPr>
            <w:r w:rsidRPr="005817FA">
              <w:rPr>
                <w:rFonts w:cs="Arial"/>
                <w:color w:val="000000"/>
                <w:szCs w:val="20"/>
              </w:rPr>
              <w:t>4.9</w:t>
            </w:r>
          </w:p>
        </w:tc>
        <w:tc>
          <w:tcPr>
            <w:tcW w:w="2126" w:type="dxa"/>
            <w:noWrap/>
            <w:vAlign w:val="center"/>
            <w:hideMark/>
          </w:tcPr>
          <w:p w14:paraId="2896EB7B" w14:textId="7209EE4B" w:rsidR="00170E72" w:rsidRPr="005817FA" w:rsidRDefault="00170E72" w:rsidP="00170E72">
            <w:pPr>
              <w:spacing w:before="40" w:after="40"/>
              <w:ind w:left="57" w:right="57"/>
              <w:jc w:val="center"/>
              <w:rPr>
                <w:rFonts w:cs="Arial"/>
                <w:szCs w:val="20"/>
              </w:rPr>
            </w:pPr>
            <w:r w:rsidRPr="005817FA">
              <w:rPr>
                <w:rFonts w:cs="Arial"/>
                <w:color w:val="000000"/>
                <w:szCs w:val="20"/>
              </w:rPr>
              <w:t>2.6</w:t>
            </w:r>
          </w:p>
        </w:tc>
        <w:tc>
          <w:tcPr>
            <w:tcW w:w="1985" w:type="dxa"/>
            <w:noWrap/>
            <w:vAlign w:val="center"/>
            <w:hideMark/>
          </w:tcPr>
          <w:p w14:paraId="40D49C49" w14:textId="0207B241" w:rsidR="00170E72" w:rsidRPr="005817FA" w:rsidRDefault="00170E72" w:rsidP="00170E72">
            <w:pPr>
              <w:spacing w:before="40" w:after="40"/>
              <w:ind w:left="57" w:right="57"/>
              <w:jc w:val="center"/>
              <w:rPr>
                <w:rFonts w:cs="Arial"/>
                <w:szCs w:val="20"/>
              </w:rPr>
            </w:pPr>
            <w:r w:rsidRPr="005817FA">
              <w:rPr>
                <w:rFonts w:cs="Arial"/>
                <w:color w:val="000000"/>
                <w:szCs w:val="20"/>
              </w:rPr>
              <w:t>5.4</w:t>
            </w:r>
          </w:p>
        </w:tc>
        <w:tc>
          <w:tcPr>
            <w:tcW w:w="2268" w:type="dxa"/>
            <w:noWrap/>
            <w:vAlign w:val="center"/>
            <w:hideMark/>
          </w:tcPr>
          <w:p w14:paraId="377C64C0" w14:textId="7C4E1697" w:rsidR="00170E72" w:rsidRPr="005817FA" w:rsidRDefault="00170E72" w:rsidP="00170E72">
            <w:pPr>
              <w:spacing w:before="40" w:after="40"/>
              <w:ind w:left="57" w:right="57"/>
              <w:jc w:val="center"/>
              <w:rPr>
                <w:rFonts w:cs="Arial"/>
                <w:szCs w:val="20"/>
              </w:rPr>
            </w:pPr>
            <w:r w:rsidRPr="005817FA">
              <w:rPr>
                <w:rFonts w:cs="Arial"/>
                <w:color w:val="000000"/>
                <w:szCs w:val="20"/>
              </w:rPr>
              <w:t>3.2</w:t>
            </w:r>
          </w:p>
        </w:tc>
        <w:tc>
          <w:tcPr>
            <w:tcW w:w="2026" w:type="dxa"/>
            <w:noWrap/>
            <w:vAlign w:val="center"/>
            <w:hideMark/>
          </w:tcPr>
          <w:p w14:paraId="3A31F77C" w14:textId="5AC59ACA" w:rsidR="00170E72" w:rsidRPr="005817FA" w:rsidRDefault="00170E72" w:rsidP="00170E72">
            <w:pPr>
              <w:spacing w:before="40" w:after="40"/>
              <w:ind w:left="57" w:right="57"/>
              <w:jc w:val="center"/>
              <w:rPr>
                <w:rFonts w:cs="Arial"/>
                <w:szCs w:val="20"/>
              </w:rPr>
            </w:pPr>
            <w:r w:rsidRPr="005817FA">
              <w:rPr>
                <w:rFonts w:cs="Arial"/>
                <w:color w:val="000000"/>
                <w:szCs w:val="20"/>
              </w:rPr>
              <w:t>7.4</w:t>
            </w:r>
          </w:p>
        </w:tc>
        <w:tc>
          <w:tcPr>
            <w:tcW w:w="2050" w:type="dxa"/>
            <w:noWrap/>
            <w:vAlign w:val="center"/>
            <w:hideMark/>
          </w:tcPr>
          <w:p w14:paraId="29F032CE" w14:textId="69D01291" w:rsidR="00170E72" w:rsidRPr="005817FA" w:rsidRDefault="00170E72" w:rsidP="00170E72">
            <w:pPr>
              <w:spacing w:before="40" w:after="40"/>
              <w:ind w:left="57" w:right="57"/>
              <w:jc w:val="center"/>
              <w:rPr>
                <w:rFonts w:cs="Arial"/>
                <w:szCs w:val="20"/>
              </w:rPr>
            </w:pPr>
            <w:r w:rsidRPr="005817FA">
              <w:rPr>
                <w:rFonts w:cs="Arial"/>
                <w:color w:val="000000"/>
                <w:szCs w:val="20"/>
              </w:rPr>
              <w:t>6.6</w:t>
            </w:r>
          </w:p>
        </w:tc>
      </w:tr>
      <w:tr w:rsidR="00170E72" w:rsidRPr="005A3AFE" w14:paraId="1ACABBD7" w14:textId="77777777" w:rsidTr="00300C8B">
        <w:trPr>
          <w:trHeight w:val="398"/>
        </w:trPr>
        <w:tc>
          <w:tcPr>
            <w:tcW w:w="3964" w:type="dxa"/>
          </w:tcPr>
          <w:p w14:paraId="02324432" w14:textId="719FC0D1" w:rsidR="00170E72" w:rsidRPr="005817FA" w:rsidRDefault="00170E72" w:rsidP="00170E72">
            <w:pPr>
              <w:spacing w:before="40" w:after="40"/>
              <w:ind w:left="57" w:right="57"/>
              <w:rPr>
                <w:rFonts w:cs="Arial"/>
                <w:szCs w:val="20"/>
              </w:rPr>
            </w:pPr>
            <w:r w:rsidRPr="008E3305">
              <w:rPr>
                <w:rFonts w:cs="Arial"/>
                <w:b/>
                <w:bCs/>
                <w:szCs w:val="20"/>
              </w:rPr>
              <w:t>Labour market factors</w:t>
            </w:r>
            <w:r>
              <w:rPr>
                <w:rFonts w:cs="Arial"/>
                <w:b/>
                <w:bCs/>
                <w:szCs w:val="20"/>
              </w:rPr>
              <w:t>:</w:t>
            </w:r>
            <w:r w:rsidRPr="005817FA">
              <w:rPr>
                <w:rFonts w:cs="Arial"/>
                <w:szCs w:val="20"/>
              </w:rPr>
              <w:t xml:space="preserve"> No suitable job in my area of expertise</w:t>
            </w:r>
          </w:p>
        </w:tc>
        <w:tc>
          <w:tcPr>
            <w:tcW w:w="1843" w:type="dxa"/>
            <w:noWrap/>
            <w:vAlign w:val="center"/>
            <w:hideMark/>
          </w:tcPr>
          <w:p w14:paraId="5D6EE783" w14:textId="6E65470C" w:rsidR="00170E72" w:rsidRPr="005817FA" w:rsidRDefault="00170E72" w:rsidP="00170E72">
            <w:pPr>
              <w:spacing w:before="40" w:after="40"/>
              <w:ind w:left="57" w:right="57"/>
              <w:jc w:val="center"/>
              <w:rPr>
                <w:rFonts w:cs="Arial"/>
                <w:szCs w:val="20"/>
              </w:rPr>
            </w:pPr>
            <w:r w:rsidRPr="005817FA">
              <w:rPr>
                <w:rFonts w:cs="Arial"/>
                <w:color w:val="3A3A3A"/>
                <w:szCs w:val="20"/>
              </w:rPr>
              <w:t>10.3</w:t>
            </w:r>
          </w:p>
        </w:tc>
        <w:tc>
          <w:tcPr>
            <w:tcW w:w="2126" w:type="dxa"/>
            <w:noWrap/>
            <w:vAlign w:val="center"/>
            <w:hideMark/>
          </w:tcPr>
          <w:p w14:paraId="02B47306" w14:textId="3E6399A9" w:rsidR="00170E72" w:rsidRPr="005817FA" w:rsidRDefault="00170E72" w:rsidP="00170E72">
            <w:pPr>
              <w:spacing w:before="40" w:after="40"/>
              <w:ind w:left="57" w:right="57"/>
              <w:jc w:val="center"/>
              <w:rPr>
                <w:rFonts w:cs="Arial"/>
                <w:szCs w:val="20"/>
              </w:rPr>
            </w:pPr>
            <w:r w:rsidRPr="005817FA">
              <w:rPr>
                <w:rFonts w:cs="Arial"/>
                <w:color w:val="3A3A3A"/>
                <w:szCs w:val="20"/>
              </w:rPr>
              <w:t>5.1</w:t>
            </w:r>
          </w:p>
        </w:tc>
        <w:tc>
          <w:tcPr>
            <w:tcW w:w="1985" w:type="dxa"/>
            <w:noWrap/>
            <w:vAlign w:val="center"/>
            <w:hideMark/>
          </w:tcPr>
          <w:p w14:paraId="5FAD5CE8" w14:textId="0E0ABD71" w:rsidR="00170E72" w:rsidRPr="005817FA" w:rsidRDefault="00170E72" w:rsidP="00170E72">
            <w:pPr>
              <w:spacing w:before="40" w:after="40"/>
              <w:ind w:left="57" w:right="57"/>
              <w:jc w:val="center"/>
              <w:rPr>
                <w:rFonts w:cs="Arial"/>
                <w:szCs w:val="20"/>
              </w:rPr>
            </w:pPr>
            <w:r w:rsidRPr="005817FA">
              <w:rPr>
                <w:rFonts w:cs="Arial"/>
                <w:color w:val="3A3A3A"/>
                <w:szCs w:val="20"/>
              </w:rPr>
              <w:t>9.3</w:t>
            </w:r>
          </w:p>
        </w:tc>
        <w:tc>
          <w:tcPr>
            <w:tcW w:w="2268" w:type="dxa"/>
            <w:noWrap/>
            <w:vAlign w:val="center"/>
            <w:hideMark/>
          </w:tcPr>
          <w:p w14:paraId="18D2252D" w14:textId="4D1251BF" w:rsidR="00170E72" w:rsidRPr="005817FA" w:rsidRDefault="00170E72" w:rsidP="00170E72">
            <w:pPr>
              <w:spacing w:before="40" w:after="40"/>
              <w:ind w:left="57" w:right="57"/>
              <w:jc w:val="center"/>
              <w:rPr>
                <w:rFonts w:cs="Arial"/>
                <w:szCs w:val="20"/>
              </w:rPr>
            </w:pPr>
            <w:r w:rsidRPr="005817FA">
              <w:rPr>
                <w:rFonts w:cs="Arial"/>
                <w:color w:val="3A3A3A"/>
                <w:szCs w:val="20"/>
              </w:rPr>
              <w:t>6.9</w:t>
            </w:r>
          </w:p>
        </w:tc>
        <w:tc>
          <w:tcPr>
            <w:tcW w:w="2026" w:type="dxa"/>
            <w:noWrap/>
            <w:vAlign w:val="center"/>
            <w:hideMark/>
          </w:tcPr>
          <w:p w14:paraId="50E8E140" w14:textId="1469FDD0" w:rsidR="00170E72" w:rsidRPr="005817FA" w:rsidRDefault="00170E72" w:rsidP="00170E72">
            <w:pPr>
              <w:spacing w:before="40" w:after="40"/>
              <w:ind w:left="57" w:right="57"/>
              <w:jc w:val="center"/>
              <w:rPr>
                <w:rFonts w:cs="Arial"/>
                <w:szCs w:val="20"/>
              </w:rPr>
            </w:pPr>
            <w:r w:rsidRPr="005817FA">
              <w:rPr>
                <w:rFonts w:cs="Arial"/>
                <w:color w:val="3A3A3A"/>
                <w:szCs w:val="20"/>
              </w:rPr>
              <w:t>23.5</w:t>
            </w:r>
          </w:p>
        </w:tc>
        <w:tc>
          <w:tcPr>
            <w:tcW w:w="2050" w:type="dxa"/>
            <w:noWrap/>
            <w:vAlign w:val="center"/>
            <w:hideMark/>
          </w:tcPr>
          <w:p w14:paraId="11162D0B" w14:textId="0981ED62" w:rsidR="00170E72" w:rsidRPr="005817FA" w:rsidRDefault="00170E72" w:rsidP="00170E72">
            <w:pPr>
              <w:spacing w:before="40" w:after="40"/>
              <w:ind w:left="57" w:right="57"/>
              <w:jc w:val="center"/>
              <w:rPr>
                <w:rFonts w:cs="Arial"/>
                <w:szCs w:val="20"/>
              </w:rPr>
            </w:pPr>
            <w:r w:rsidRPr="005817FA">
              <w:rPr>
                <w:rFonts w:cs="Arial"/>
                <w:color w:val="3A3A3A"/>
                <w:szCs w:val="20"/>
              </w:rPr>
              <w:t>14.2</w:t>
            </w:r>
          </w:p>
        </w:tc>
      </w:tr>
      <w:tr w:rsidR="00170E72" w:rsidRPr="005A3AFE" w14:paraId="4F275BB8" w14:textId="77777777" w:rsidTr="00300C8B">
        <w:trPr>
          <w:trHeight w:val="398"/>
        </w:trPr>
        <w:tc>
          <w:tcPr>
            <w:tcW w:w="3964" w:type="dxa"/>
          </w:tcPr>
          <w:p w14:paraId="59B43424" w14:textId="62DA73F7" w:rsidR="00170E72" w:rsidRPr="005817FA" w:rsidRDefault="00170E72" w:rsidP="00170E72">
            <w:pPr>
              <w:spacing w:before="40" w:after="40"/>
              <w:ind w:left="57" w:right="57"/>
              <w:rPr>
                <w:rFonts w:cs="Arial"/>
                <w:szCs w:val="20"/>
              </w:rPr>
            </w:pPr>
            <w:r w:rsidRPr="008E3305">
              <w:rPr>
                <w:rFonts w:cs="Arial"/>
                <w:b/>
                <w:bCs/>
                <w:szCs w:val="20"/>
              </w:rPr>
              <w:t>Labour market factors</w:t>
            </w:r>
            <w:r>
              <w:rPr>
                <w:rFonts w:cs="Arial"/>
                <w:b/>
                <w:bCs/>
                <w:szCs w:val="20"/>
              </w:rPr>
              <w:t>:</w:t>
            </w:r>
            <w:r w:rsidRPr="005817FA">
              <w:rPr>
                <w:rFonts w:cs="Arial"/>
                <w:szCs w:val="20"/>
              </w:rPr>
              <w:t xml:space="preserve"> No more hours available in current position</w:t>
            </w:r>
          </w:p>
        </w:tc>
        <w:tc>
          <w:tcPr>
            <w:tcW w:w="1843" w:type="dxa"/>
            <w:noWrap/>
            <w:vAlign w:val="center"/>
            <w:hideMark/>
          </w:tcPr>
          <w:p w14:paraId="71413772" w14:textId="4143D508" w:rsidR="00170E72" w:rsidRPr="005817FA" w:rsidRDefault="00170E72" w:rsidP="00170E72">
            <w:pPr>
              <w:spacing w:before="40" w:after="40"/>
              <w:ind w:left="57" w:right="57"/>
              <w:jc w:val="center"/>
              <w:rPr>
                <w:rFonts w:cs="Arial"/>
                <w:szCs w:val="20"/>
              </w:rPr>
            </w:pPr>
            <w:r w:rsidRPr="005817FA">
              <w:rPr>
                <w:rFonts w:cs="Arial"/>
                <w:szCs w:val="20"/>
              </w:rPr>
              <w:t>45.3</w:t>
            </w:r>
          </w:p>
        </w:tc>
        <w:tc>
          <w:tcPr>
            <w:tcW w:w="2126" w:type="dxa"/>
            <w:noWrap/>
            <w:vAlign w:val="center"/>
            <w:hideMark/>
          </w:tcPr>
          <w:p w14:paraId="6DF8FF9B" w14:textId="62507CFE" w:rsidR="00170E72" w:rsidRPr="005817FA" w:rsidRDefault="00170E72" w:rsidP="00170E72">
            <w:pPr>
              <w:spacing w:before="40" w:after="40"/>
              <w:ind w:left="57" w:right="57"/>
              <w:jc w:val="center"/>
              <w:rPr>
                <w:rFonts w:cs="Arial"/>
                <w:szCs w:val="20"/>
              </w:rPr>
            </w:pPr>
            <w:r w:rsidRPr="005817FA">
              <w:rPr>
                <w:rFonts w:cs="Arial"/>
                <w:szCs w:val="20"/>
              </w:rPr>
              <w:t>51.9</w:t>
            </w:r>
          </w:p>
        </w:tc>
        <w:tc>
          <w:tcPr>
            <w:tcW w:w="1985" w:type="dxa"/>
            <w:noWrap/>
            <w:vAlign w:val="center"/>
            <w:hideMark/>
          </w:tcPr>
          <w:p w14:paraId="0472CC6E" w14:textId="44D7FFC7" w:rsidR="00170E72" w:rsidRPr="005817FA" w:rsidRDefault="00170E72" w:rsidP="00170E72">
            <w:pPr>
              <w:spacing w:before="40" w:after="40"/>
              <w:ind w:left="57" w:right="57"/>
              <w:jc w:val="center"/>
              <w:rPr>
                <w:rFonts w:cs="Arial"/>
                <w:szCs w:val="20"/>
              </w:rPr>
            </w:pPr>
            <w:r w:rsidRPr="005817FA">
              <w:rPr>
                <w:rFonts w:cs="Arial"/>
                <w:szCs w:val="20"/>
              </w:rPr>
              <w:t>38.6</w:t>
            </w:r>
          </w:p>
        </w:tc>
        <w:tc>
          <w:tcPr>
            <w:tcW w:w="2268" w:type="dxa"/>
            <w:noWrap/>
            <w:vAlign w:val="center"/>
            <w:hideMark/>
          </w:tcPr>
          <w:p w14:paraId="431959D3" w14:textId="2D7C5787" w:rsidR="00170E72" w:rsidRPr="005817FA" w:rsidRDefault="00170E72" w:rsidP="00170E72">
            <w:pPr>
              <w:spacing w:before="40" w:after="40"/>
              <w:ind w:left="57" w:right="57"/>
              <w:jc w:val="center"/>
              <w:rPr>
                <w:rFonts w:cs="Arial"/>
                <w:szCs w:val="20"/>
              </w:rPr>
            </w:pPr>
            <w:r w:rsidRPr="005817FA">
              <w:rPr>
                <w:rFonts w:cs="Arial"/>
                <w:szCs w:val="20"/>
              </w:rPr>
              <w:t>45.7</w:t>
            </w:r>
          </w:p>
        </w:tc>
        <w:tc>
          <w:tcPr>
            <w:tcW w:w="2026" w:type="dxa"/>
            <w:noWrap/>
            <w:vAlign w:val="center"/>
            <w:hideMark/>
          </w:tcPr>
          <w:p w14:paraId="3E97C087" w14:textId="16368E8B" w:rsidR="00170E72" w:rsidRPr="005817FA" w:rsidRDefault="00170E72" w:rsidP="00170E72">
            <w:pPr>
              <w:spacing w:before="40" w:after="40"/>
              <w:ind w:left="57" w:right="57"/>
              <w:jc w:val="center"/>
              <w:rPr>
                <w:rFonts w:cs="Arial"/>
                <w:szCs w:val="20"/>
              </w:rPr>
            </w:pPr>
            <w:r w:rsidRPr="005817FA">
              <w:rPr>
                <w:rFonts w:cs="Arial"/>
                <w:szCs w:val="20"/>
              </w:rPr>
              <w:t>41.4</w:t>
            </w:r>
          </w:p>
        </w:tc>
        <w:tc>
          <w:tcPr>
            <w:tcW w:w="2050" w:type="dxa"/>
            <w:noWrap/>
            <w:vAlign w:val="center"/>
            <w:hideMark/>
          </w:tcPr>
          <w:p w14:paraId="5EC1E2D1" w14:textId="46071C53" w:rsidR="00170E72" w:rsidRPr="005817FA" w:rsidRDefault="00170E72" w:rsidP="00170E72">
            <w:pPr>
              <w:spacing w:before="40" w:after="40"/>
              <w:ind w:left="57" w:right="57"/>
              <w:jc w:val="center"/>
              <w:rPr>
                <w:rFonts w:cs="Arial"/>
                <w:szCs w:val="20"/>
              </w:rPr>
            </w:pPr>
            <w:r w:rsidRPr="005817FA">
              <w:rPr>
                <w:rFonts w:cs="Arial"/>
                <w:szCs w:val="20"/>
              </w:rPr>
              <w:t>48.1</w:t>
            </w:r>
          </w:p>
        </w:tc>
      </w:tr>
      <w:tr w:rsidR="00170E72" w:rsidRPr="005A3AFE" w14:paraId="10B71D20" w14:textId="77777777" w:rsidTr="007253FC">
        <w:trPr>
          <w:trHeight w:val="501"/>
        </w:trPr>
        <w:tc>
          <w:tcPr>
            <w:tcW w:w="3964" w:type="dxa"/>
            <w:tcBorders>
              <w:bottom w:val="single" w:sz="4" w:space="0" w:color="0D0D0D" w:themeColor="text1" w:themeTint="F2"/>
            </w:tcBorders>
          </w:tcPr>
          <w:p w14:paraId="7E45DF0B" w14:textId="57A55CAE" w:rsidR="00170E72" w:rsidRPr="005817FA" w:rsidRDefault="00170E72" w:rsidP="00170E72">
            <w:pPr>
              <w:spacing w:before="40" w:after="40"/>
              <w:ind w:left="57" w:right="57"/>
              <w:rPr>
                <w:rFonts w:cs="Arial"/>
                <w:szCs w:val="20"/>
              </w:rPr>
            </w:pPr>
            <w:r w:rsidRPr="008E3305">
              <w:rPr>
                <w:rFonts w:cs="Arial"/>
                <w:b/>
                <w:bCs/>
                <w:szCs w:val="20"/>
              </w:rPr>
              <w:t>Labour market factors</w:t>
            </w:r>
            <w:r>
              <w:rPr>
                <w:rFonts w:cs="Arial"/>
                <w:szCs w:val="20"/>
              </w:rPr>
              <w:t xml:space="preserve">: </w:t>
            </w:r>
            <w:r w:rsidRPr="005817FA">
              <w:rPr>
                <w:rFonts w:cs="Arial"/>
                <w:szCs w:val="20"/>
              </w:rPr>
              <w:t>Other labour market factors</w:t>
            </w:r>
          </w:p>
        </w:tc>
        <w:tc>
          <w:tcPr>
            <w:tcW w:w="1843" w:type="dxa"/>
            <w:tcBorders>
              <w:bottom w:val="single" w:sz="4" w:space="0" w:color="0D0D0D" w:themeColor="text1" w:themeTint="F2"/>
            </w:tcBorders>
            <w:noWrap/>
            <w:vAlign w:val="center"/>
          </w:tcPr>
          <w:p w14:paraId="598AA274" w14:textId="347FAB5B" w:rsidR="00170E72" w:rsidRPr="005817FA" w:rsidRDefault="00170E72" w:rsidP="00170E72">
            <w:pPr>
              <w:spacing w:before="40" w:after="40"/>
              <w:ind w:left="57" w:right="57"/>
              <w:jc w:val="center"/>
              <w:rPr>
                <w:rFonts w:cs="Arial"/>
                <w:szCs w:val="20"/>
              </w:rPr>
            </w:pPr>
            <w:r w:rsidRPr="005817FA">
              <w:rPr>
                <w:rFonts w:cs="Arial"/>
                <w:color w:val="3A3A3A"/>
                <w:szCs w:val="20"/>
              </w:rPr>
              <w:t>2.7</w:t>
            </w:r>
          </w:p>
        </w:tc>
        <w:tc>
          <w:tcPr>
            <w:tcW w:w="2126" w:type="dxa"/>
            <w:tcBorders>
              <w:bottom w:val="single" w:sz="4" w:space="0" w:color="0D0D0D" w:themeColor="text1" w:themeTint="F2"/>
            </w:tcBorders>
            <w:noWrap/>
            <w:vAlign w:val="center"/>
          </w:tcPr>
          <w:p w14:paraId="368726EA" w14:textId="6CF84329" w:rsidR="00170E72" w:rsidRPr="005817FA" w:rsidRDefault="00170E72" w:rsidP="00170E72">
            <w:pPr>
              <w:spacing w:before="40" w:after="40"/>
              <w:ind w:left="57" w:right="57"/>
              <w:jc w:val="center"/>
              <w:rPr>
                <w:rFonts w:cs="Arial"/>
                <w:szCs w:val="20"/>
              </w:rPr>
            </w:pPr>
            <w:r w:rsidRPr="005817FA">
              <w:rPr>
                <w:rFonts w:cs="Arial"/>
                <w:color w:val="3A3A3A"/>
                <w:szCs w:val="20"/>
              </w:rPr>
              <w:t>0.3</w:t>
            </w:r>
          </w:p>
        </w:tc>
        <w:tc>
          <w:tcPr>
            <w:tcW w:w="1985" w:type="dxa"/>
            <w:tcBorders>
              <w:bottom w:val="single" w:sz="4" w:space="0" w:color="0D0D0D" w:themeColor="text1" w:themeTint="F2"/>
            </w:tcBorders>
            <w:noWrap/>
            <w:vAlign w:val="center"/>
          </w:tcPr>
          <w:p w14:paraId="79ECB2A0" w14:textId="1BE6F3DA" w:rsidR="00170E72" w:rsidRPr="005817FA" w:rsidRDefault="00170E72" w:rsidP="00170E72">
            <w:pPr>
              <w:spacing w:before="40" w:after="40"/>
              <w:ind w:left="57" w:right="57"/>
              <w:jc w:val="center"/>
              <w:rPr>
                <w:rFonts w:cs="Arial"/>
                <w:szCs w:val="20"/>
              </w:rPr>
            </w:pPr>
            <w:r w:rsidRPr="005817FA">
              <w:rPr>
                <w:rFonts w:cs="Arial"/>
                <w:color w:val="3A3A3A"/>
                <w:szCs w:val="20"/>
              </w:rPr>
              <w:t>3.2</w:t>
            </w:r>
          </w:p>
        </w:tc>
        <w:tc>
          <w:tcPr>
            <w:tcW w:w="2268" w:type="dxa"/>
            <w:tcBorders>
              <w:bottom w:val="single" w:sz="4" w:space="0" w:color="0D0D0D" w:themeColor="text1" w:themeTint="F2"/>
            </w:tcBorders>
            <w:noWrap/>
            <w:vAlign w:val="center"/>
          </w:tcPr>
          <w:p w14:paraId="088D993E" w14:textId="418679AD" w:rsidR="00170E72" w:rsidRPr="005817FA" w:rsidRDefault="00170E72" w:rsidP="00170E72">
            <w:pPr>
              <w:spacing w:before="40" w:after="40"/>
              <w:ind w:left="57" w:right="57"/>
              <w:jc w:val="center"/>
              <w:rPr>
                <w:rFonts w:cs="Arial"/>
                <w:szCs w:val="20"/>
              </w:rPr>
            </w:pPr>
            <w:r w:rsidRPr="005817FA">
              <w:rPr>
                <w:rFonts w:cs="Arial"/>
                <w:color w:val="3A3A3A"/>
                <w:szCs w:val="20"/>
              </w:rPr>
              <w:t>0.0</w:t>
            </w:r>
          </w:p>
        </w:tc>
        <w:tc>
          <w:tcPr>
            <w:tcW w:w="2026" w:type="dxa"/>
            <w:tcBorders>
              <w:bottom w:val="single" w:sz="4" w:space="0" w:color="0D0D0D" w:themeColor="text1" w:themeTint="F2"/>
            </w:tcBorders>
            <w:noWrap/>
            <w:vAlign w:val="center"/>
          </w:tcPr>
          <w:p w14:paraId="3B3C8F67" w14:textId="66868652" w:rsidR="00170E72" w:rsidRPr="005817FA" w:rsidRDefault="00170E72" w:rsidP="00170E72">
            <w:pPr>
              <w:spacing w:before="40" w:after="40"/>
              <w:ind w:left="57" w:right="57"/>
              <w:jc w:val="center"/>
              <w:rPr>
                <w:rFonts w:cs="Arial"/>
                <w:szCs w:val="20"/>
              </w:rPr>
            </w:pPr>
            <w:r w:rsidRPr="005817FA">
              <w:rPr>
                <w:rFonts w:cs="Arial"/>
                <w:color w:val="3A3A3A"/>
                <w:szCs w:val="20"/>
              </w:rPr>
              <w:t>3.7</w:t>
            </w:r>
          </w:p>
        </w:tc>
        <w:tc>
          <w:tcPr>
            <w:tcW w:w="2050" w:type="dxa"/>
            <w:tcBorders>
              <w:bottom w:val="single" w:sz="4" w:space="0" w:color="0D0D0D" w:themeColor="text1" w:themeTint="F2"/>
            </w:tcBorders>
            <w:noWrap/>
            <w:vAlign w:val="center"/>
          </w:tcPr>
          <w:p w14:paraId="1D563EE2" w14:textId="38593C9E" w:rsidR="00170E72" w:rsidRPr="005817FA" w:rsidRDefault="00170E72" w:rsidP="00170E72">
            <w:pPr>
              <w:spacing w:before="40" w:after="40"/>
              <w:ind w:left="57" w:right="57"/>
              <w:jc w:val="center"/>
              <w:rPr>
                <w:rFonts w:cs="Arial"/>
                <w:szCs w:val="20"/>
              </w:rPr>
            </w:pPr>
            <w:r w:rsidRPr="005817FA">
              <w:rPr>
                <w:rFonts w:cs="Arial"/>
                <w:color w:val="3A3A3A"/>
                <w:szCs w:val="20"/>
              </w:rPr>
              <w:t>0.0</w:t>
            </w:r>
          </w:p>
        </w:tc>
      </w:tr>
      <w:tr w:rsidR="00170E72" w:rsidRPr="005A3AFE" w14:paraId="2D607551" w14:textId="77777777" w:rsidTr="007253FC">
        <w:trPr>
          <w:trHeight w:val="398"/>
        </w:trPr>
        <w:tc>
          <w:tcPr>
            <w:tcW w:w="3964" w:type="dxa"/>
            <w:tcBorders>
              <w:bottom w:val="single" w:sz="4" w:space="0" w:color="0D0D0D" w:themeColor="text1" w:themeTint="F2"/>
            </w:tcBorders>
            <w:shd w:val="clear" w:color="auto" w:fill="F2F2F2" w:themeFill="background1" w:themeFillShade="F2"/>
          </w:tcPr>
          <w:p w14:paraId="088E90C1" w14:textId="4DCA59C0" w:rsidR="00170E72" w:rsidRPr="00A50552" w:rsidRDefault="00170E72" w:rsidP="00A50552">
            <w:pPr>
              <w:spacing w:before="120" w:after="120"/>
              <w:ind w:left="57" w:right="57"/>
              <w:rPr>
                <w:rFonts w:cs="Arial"/>
                <w:b/>
                <w:bCs/>
                <w:sz w:val="21"/>
                <w:szCs w:val="21"/>
              </w:rPr>
            </w:pPr>
            <w:r w:rsidRPr="00A50552">
              <w:rPr>
                <w:rFonts w:cs="Arial"/>
                <w:b/>
                <w:bCs/>
                <w:sz w:val="21"/>
                <w:szCs w:val="21"/>
              </w:rPr>
              <w:t>Sub-total:</w:t>
            </w:r>
            <w:r w:rsidRPr="00A50552">
              <w:rPr>
                <w:rFonts w:cs="Arial"/>
                <w:b/>
                <w:bCs/>
                <w:sz w:val="21"/>
                <w:szCs w:val="21"/>
              </w:rPr>
              <w:br/>
              <w:t>Labour market factors</w:t>
            </w:r>
          </w:p>
        </w:tc>
        <w:tc>
          <w:tcPr>
            <w:tcW w:w="1843" w:type="dxa"/>
            <w:tcBorders>
              <w:bottom w:val="single" w:sz="4" w:space="0" w:color="0D0D0D" w:themeColor="text1" w:themeTint="F2"/>
            </w:tcBorders>
            <w:shd w:val="clear" w:color="auto" w:fill="F2F2F2" w:themeFill="background1" w:themeFillShade="F2"/>
            <w:noWrap/>
            <w:vAlign w:val="center"/>
            <w:hideMark/>
          </w:tcPr>
          <w:p w14:paraId="6053FAE7" w14:textId="18882CCC" w:rsidR="00170E72" w:rsidRPr="00170E72" w:rsidRDefault="00170E72" w:rsidP="00170E72">
            <w:pPr>
              <w:spacing w:before="80" w:after="80"/>
              <w:ind w:left="57" w:right="57"/>
              <w:jc w:val="center"/>
              <w:rPr>
                <w:rFonts w:cs="Arial"/>
                <w:b/>
                <w:bCs/>
                <w:szCs w:val="20"/>
              </w:rPr>
            </w:pPr>
            <w:r w:rsidRPr="00170E72">
              <w:rPr>
                <w:rFonts w:cs="Arial"/>
                <w:b/>
                <w:bCs/>
                <w:color w:val="000000"/>
                <w:szCs w:val="20"/>
              </w:rPr>
              <w:t>67.3</w:t>
            </w:r>
          </w:p>
        </w:tc>
        <w:tc>
          <w:tcPr>
            <w:tcW w:w="2126" w:type="dxa"/>
            <w:tcBorders>
              <w:bottom w:val="single" w:sz="4" w:space="0" w:color="0D0D0D" w:themeColor="text1" w:themeTint="F2"/>
            </w:tcBorders>
            <w:shd w:val="clear" w:color="auto" w:fill="F2F2F2" w:themeFill="background1" w:themeFillShade="F2"/>
            <w:noWrap/>
            <w:vAlign w:val="center"/>
            <w:hideMark/>
          </w:tcPr>
          <w:p w14:paraId="10CD5201" w14:textId="0959DCCF" w:rsidR="00170E72" w:rsidRPr="00170E72" w:rsidRDefault="00170E72" w:rsidP="00170E72">
            <w:pPr>
              <w:spacing w:before="80" w:after="80"/>
              <w:ind w:left="57" w:right="57"/>
              <w:jc w:val="center"/>
              <w:rPr>
                <w:rFonts w:cs="Arial"/>
                <w:b/>
                <w:bCs/>
                <w:szCs w:val="20"/>
              </w:rPr>
            </w:pPr>
            <w:r w:rsidRPr="00170E72">
              <w:rPr>
                <w:rFonts w:cs="Arial"/>
                <w:b/>
                <w:bCs/>
                <w:color w:val="000000"/>
                <w:szCs w:val="20"/>
              </w:rPr>
              <w:t>62.9</w:t>
            </w:r>
          </w:p>
        </w:tc>
        <w:tc>
          <w:tcPr>
            <w:tcW w:w="1985" w:type="dxa"/>
            <w:tcBorders>
              <w:bottom w:val="single" w:sz="4" w:space="0" w:color="0D0D0D" w:themeColor="text1" w:themeTint="F2"/>
            </w:tcBorders>
            <w:shd w:val="clear" w:color="auto" w:fill="F2F2F2" w:themeFill="background1" w:themeFillShade="F2"/>
            <w:noWrap/>
            <w:vAlign w:val="center"/>
            <w:hideMark/>
          </w:tcPr>
          <w:p w14:paraId="2FCF9AED" w14:textId="4B242914" w:rsidR="00170E72" w:rsidRPr="00170E72" w:rsidRDefault="00170E72" w:rsidP="00170E72">
            <w:pPr>
              <w:spacing w:before="80" w:after="80"/>
              <w:ind w:left="57" w:right="57"/>
              <w:jc w:val="center"/>
              <w:rPr>
                <w:rFonts w:cs="Arial"/>
                <w:b/>
                <w:bCs/>
                <w:szCs w:val="20"/>
              </w:rPr>
            </w:pPr>
            <w:r w:rsidRPr="00170E72">
              <w:rPr>
                <w:rFonts w:cs="Arial"/>
                <w:b/>
                <w:bCs/>
                <w:color w:val="000000"/>
                <w:szCs w:val="20"/>
              </w:rPr>
              <w:t>62.1</w:t>
            </w:r>
          </w:p>
        </w:tc>
        <w:tc>
          <w:tcPr>
            <w:tcW w:w="2268" w:type="dxa"/>
            <w:tcBorders>
              <w:bottom w:val="single" w:sz="4" w:space="0" w:color="0D0D0D" w:themeColor="text1" w:themeTint="F2"/>
            </w:tcBorders>
            <w:shd w:val="clear" w:color="auto" w:fill="F2F2F2" w:themeFill="background1" w:themeFillShade="F2"/>
            <w:noWrap/>
            <w:vAlign w:val="center"/>
            <w:hideMark/>
          </w:tcPr>
          <w:p w14:paraId="4A77302B" w14:textId="138979C9" w:rsidR="00170E72" w:rsidRPr="00170E72" w:rsidRDefault="00170E72" w:rsidP="00170E72">
            <w:pPr>
              <w:spacing w:before="80" w:after="80"/>
              <w:ind w:left="57" w:right="57"/>
              <w:jc w:val="center"/>
              <w:rPr>
                <w:rFonts w:cs="Arial"/>
                <w:b/>
                <w:bCs/>
                <w:szCs w:val="20"/>
              </w:rPr>
            </w:pPr>
            <w:r w:rsidRPr="00170E72">
              <w:rPr>
                <w:rFonts w:cs="Arial"/>
                <w:b/>
                <w:bCs/>
                <w:color w:val="000000"/>
                <w:szCs w:val="20"/>
              </w:rPr>
              <w:t>60.2</w:t>
            </w:r>
          </w:p>
        </w:tc>
        <w:tc>
          <w:tcPr>
            <w:tcW w:w="2026" w:type="dxa"/>
            <w:tcBorders>
              <w:bottom w:val="single" w:sz="4" w:space="0" w:color="0D0D0D" w:themeColor="text1" w:themeTint="F2"/>
            </w:tcBorders>
            <w:shd w:val="clear" w:color="auto" w:fill="F2F2F2" w:themeFill="background1" w:themeFillShade="F2"/>
            <w:noWrap/>
            <w:vAlign w:val="center"/>
            <w:hideMark/>
          </w:tcPr>
          <w:p w14:paraId="597FB2B1" w14:textId="70BA8955" w:rsidR="00170E72" w:rsidRPr="00170E72" w:rsidRDefault="00170E72" w:rsidP="00170E72">
            <w:pPr>
              <w:spacing w:before="80" w:after="80"/>
              <w:ind w:left="57" w:right="57"/>
              <w:jc w:val="center"/>
              <w:rPr>
                <w:rFonts w:cs="Arial"/>
                <w:b/>
                <w:bCs/>
                <w:szCs w:val="20"/>
              </w:rPr>
            </w:pPr>
            <w:r w:rsidRPr="00170E72">
              <w:rPr>
                <w:rFonts w:cs="Arial"/>
                <w:b/>
                <w:bCs/>
                <w:color w:val="000000"/>
                <w:szCs w:val="20"/>
              </w:rPr>
              <w:t>83.3</w:t>
            </w:r>
          </w:p>
        </w:tc>
        <w:tc>
          <w:tcPr>
            <w:tcW w:w="2050" w:type="dxa"/>
            <w:tcBorders>
              <w:bottom w:val="single" w:sz="4" w:space="0" w:color="0D0D0D" w:themeColor="text1" w:themeTint="F2"/>
            </w:tcBorders>
            <w:shd w:val="clear" w:color="auto" w:fill="F2F2F2" w:themeFill="background1" w:themeFillShade="F2"/>
            <w:noWrap/>
            <w:vAlign w:val="center"/>
            <w:hideMark/>
          </w:tcPr>
          <w:p w14:paraId="12F71EAC" w14:textId="349F6222" w:rsidR="00170E72" w:rsidRPr="00170E72" w:rsidRDefault="00170E72" w:rsidP="00170E72">
            <w:pPr>
              <w:spacing w:before="80" w:after="80"/>
              <w:ind w:left="57" w:right="57"/>
              <w:jc w:val="center"/>
              <w:rPr>
                <w:rFonts w:cs="Arial"/>
                <w:b/>
                <w:bCs/>
                <w:szCs w:val="20"/>
              </w:rPr>
            </w:pPr>
            <w:r w:rsidRPr="00170E72">
              <w:rPr>
                <w:rFonts w:cs="Arial"/>
                <w:b/>
                <w:bCs/>
                <w:color w:val="000000"/>
                <w:szCs w:val="20"/>
              </w:rPr>
              <w:t>74.5</w:t>
            </w:r>
          </w:p>
        </w:tc>
      </w:tr>
      <w:tr w:rsidR="007305B4" w:rsidRPr="005A3AFE" w14:paraId="7E3BE8FC" w14:textId="77777777" w:rsidTr="00170E72">
        <w:trPr>
          <w:trHeight w:val="398"/>
        </w:trPr>
        <w:tc>
          <w:tcPr>
            <w:tcW w:w="3964" w:type="dxa"/>
            <w:shd w:val="clear" w:color="auto" w:fill="FFFFFF" w:themeFill="background1"/>
            <w:vAlign w:val="center"/>
          </w:tcPr>
          <w:p w14:paraId="625B4768" w14:textId="22B11383" w:rsidR="007305B4" w:rsidRPr="008E3305" w:rsidRDefault="007305B4" w:rsidP="00170E72">
            <w:pPr>
              <w:spacing w:before="40" w:after="40"/>
              <w:ind w:left="113" w:right="57"/>
              <w:rPr>
                <w:rFonts w:cs="Arial"/>
                <w:b/>
                <w:bCs/>
                <w:szCs w:val="20"/>
              </w:rPr>
            </w:pPr>
            <w:r w:rsidRPr="008E3305">
              <w:rPr>
                <w:rFonts w:cs="Arial"/>
                <w:b/>
                <w:bCs/>
                <w:szCs w:val="20"/>
              </w:rPr>
              <w:t>Other factors</w:t>
            </w:r>
          </w:p>
        </w:tc>
        <w:tc>
          <w:tcPr>
            <w:tcW w:w="1843" w:type="dxa"/>
            <w:shd w:val="clear" w:color="auto" w:fill="FFFFFF" w:themeFill="background1"/>
            <w:noWrap/>
            <w:vAlign w:val="center"/>
            <w:hideMark/>
          </w:tcPr>
          <w:p w14:paraId="62CF555E" w14:textId="0D2843BB" w:rsidR="007305B4" w:rsidRPr="005817FA" w:rsidRDefault="007305B4" w:rsidP="00170E72">
            <w:pPr>
              <w:spacing w:before="40" w:after="40"/>
              <w:ind w:left="57" w:right="57"/>
              <w:jc w:val="center"/>
              <w:rPr>
                <w:rFonts w:cs="Arial"/>
                <w:b/>
                <w:bCs/>
                <w:szCs w:val="20"/>
              </w:rPr>
            </w:pPr>
            <w:r w:rsidRPr="005817FA">
              <w:rPr>
                <w:rFonts w:cs="Arial"/>
                <w:color w:val="000000"/>
                <w:szCs w:val="20"/>
              </w:rPr>
              <w:t>9.9</w:t>
            </w:r>
          </w:p>
        </w:tc>
        <w:tc>
          <w:tcPr>
            <w:tcW w:w="2126" w:type="dxa"/>
            <w:shd w:val="clear" w:color="auto" w:fill="FFFFFF" w:themeFill="background1"/>
            <w:noWrap/>
            <w:vAlign w:val="center"/>
            <w:hideMark/>
          </w:tcPr>
          <w:p w14:paraId="470AE944" w14:textId="5CBB0B50" w:rsidR="007305B4" w:rsidRPr="005817FA" w:rsidRDefault="007305B4" w:rsidP="00170E72">
            <w:pPr>
              <w:spacing w:before="40" w:after="40"/>
              <w:ind w:left="57" w:right="57"/>
              <w:jc w:val="center"/>
              <w:rPr>
                <w:rFonts w:cs="Arial"/>
                <w:b/>
                <w:bCs/>
                <w:szCs w:val="20"/>
              </w:rPr>
            </w:pPr>
            <w:r w:rsidRPr="005817FA">
              <w:rPr>
                <w:rFonts w:cs="Arial"/>
                <w:color w:val="000000"/>
                <w:szCs w:val="20"/>
              </w:rPr>
              <w:t>3.8</w:t>
            </w:r>
          </w:p>
        </w:tc>
        <w:tc>
          <w:tcPr>
            <w:tcW w:w="1985" w:type="dxa"/>
            <w:shd w:val="clear" w:color="auto" w:fill="FFFFFF" w:themeFill="background1"/>
            <w:noWrap/>
            <w:vAlign w:val="center"/>
            <w:hideMark/>
          </w:tcPr>
          <w:p w14:paraId="08A3A1AF" w14:textId="0EADE69D" w:rsidR="007305B4" w:rsidRPr="005817FA" w:rsidRDefault="007305B4" w:rsidP="00170E72">
            <w:pPr>
              <w:spacing w:before="40" w:after="40"/>
              <w:ind w:left="57" w:right="57"/>
              <w:jc w:val="center"/>
              <w:rPr>
                <w:rFonts w:cs="Arial"/>
                <w:b/>
                <w:bCs/>
                <w:szCs w:val="20"/>
              </w:rPr>
            </w:pPr>
            <w:r w:rsidRPr="005817FA">
              <w:rPr>
                <w:rFonts w:cs="Arial"/>
                <w:color w:val="000000"/>
                <w:szCs w:val="20"/>
              </w:rPr>
              <w:t>14.0</w:t>
            </w:r>
          </w:p>
        </w:tc>
        <w:tc>
          <w:tcPr>
            <w:tcW w:w="2268" w:type="dxa"/>
            <w:shd w:val="clear" w:color="auto" w:fill="FFFFFF" w:themeFill="background1"/>
            <w:noWrap/>
            <w:vAlign w:val="center"/>
            <w:hideMark/>
          </w:tcPr>
          <w:p w14:paraId="087E7119" w14:textId="4074D3C0" w:rsidR="007305B4" w:rsidRPr="005817FA" w:rsidRDefault="007305B4" w:rsidP="00170E72">
            <w:pPr>
              <w:spacing w:before="40" w:after="40"/>
              <w:ind w:left="57" w:right="57"/>
              <w:jc w:val="center"/>
              <w:rPr>
                <w:rFonts w:cs="Arial"/>
                <w:b/>
                <w:bCs/>
                <w:szCs w:val="20"/>
              </w:rPr>
            </w:pPr>
            <w:r w:rsidRPr="005817FA">
              <w:rPr>
                <w:rFonts w:cs="Arial"/>
                <w:color w:val="000000"/>
                <w:szCs w:val="20"/>
              </w:rPr>
              <w:t>7.3</w:t>
            </w:r>
          </w:p>
        </w:tc>
        <w:tc>
          <w:tcPr>
            <w:tcW w:w="2026" w:type="dxa"/>
            <w:shd w:val="clear" w:color="auto" w:fill="FFFFFF" w:themeFill="background1"/>
            <w:noWrap/>
            <w:vAlign w:val="center"/>
            <w:hideMark/>
          </w:tcPr>
          <w:p w14:paraId="75C57A3C" w14:textId="5CEC47DD" w:rsidR="007305B4" w:rsidRPr="005817FA" w:rsidRDefault="007305B4" w:rsidP="00170E72">
            <w:pPr>
              <w:spacing w:before="40" w:after="40"/>
              <w:ind w:left="57" w:right="57"/>
              <w:jc w:val="center"/>
              <w:rPr>
                <w:rFonts w:cs="Arial"/>
                <w:b/>
                <w:bCs/>
                <w:szCs w:val="20"/>
              </w:rPr>
            </w:pPr>
            <w:r w:rsidRPr="005817FA">
              <w:rPr>
                <w:rFonts w:cs="Arial"/>
                <w:color w:val="000000"/>
                <w:szCs w:val="20"/>
              </w:rPr>
              <w:t>7.4</w:t>
            </w:r>
          </w:p>
        </w:tc>
        <w:tc>
          <w:tcPr>
            <w:tcW w:w="2050" w:type="dxa"/>
            <w:shd w:val="clear" w:color="auto" w:fill="FFFFFF" w:themeFill="background1"/>
            <w:noWrap/>
            <w:vAlign w:val="center"/>
            <w:hideMark/>
          </w:tcPr>
          <w:p w14:paraId="33EF4BCE" w14:textId="6F8DBE54" w:rsidR="007305B4" w:rsidRPr="005817FA" w:rsidRDefault="007305B4" w:rsidP="00170E72">
            <w:pPr>
              <w:spacing w:before="40" w:after="40"/>
              <w:ind w:left="57" w:right="57"/>
              <w:jc w:val="center"/>
              <w:rPr>
                <w:rFonts w:cs="Arial"/>
                <w:b/>
                <w:bCs/>
                <w:szCs w:val="20"/>
              </w:rPr>
            </w:pPr>
            <w:r w:rsidRPr="005817FA">
              <w:rPr>
                <w:rFonts w:cs="Arial"/>
                <w:color w:val="000000"/>
                <w:szCs w:val="20"/>
              </w:rPr>
              <w:t>2.8</w:t>
            </w:r>
          </w:p>
        </w:tc>
      </w:tr>
      <w:tr w:rsidR="007305B4" w:rsidRPr="005A3AFE" w14:paraId="757A855E" w14:textId="77777777" w:rsidTr="007253FC">
        <w:trPr>
          <w:trHeight w:val="398"/>
        </w:trPr>
        <w:tc>
          <w:tcPr>
            <w:tcW w:w="3964" w:type="dxa"/>
            <w:tcBorders>
              <w:bottom w:val="single" w:sz="4" w:space="0" w:color="0D0D0D" w:themeColor="text1" w:themeTint="F2"/>
            </w:tcBorders>
            <w:vAlign w:val="center"/>
          </w:tcPr>
          <w:p w14:paraId="5A8A56F7" w14:textId="04AFFC6D" w:rsidR="007305B4" w:rsidRPr="007C2C04" w:rsidRDefault="007305B4" w:rsidP="00170E72">
            <w:pPr>
              <w:spacing w:before="40" w:after="40"/>
              <w:ind w:left="113" w:right="57"/>
              <w:rPr>
                <w:rFonts w:cs="Arial"/>
                <w:b/>
                <w:bCs/>
                <w:szCs w:val="20"/>
              </w:rPr>
            </w:pPr>
            <w:r w:rsidRPr="007C2C04">
              <w:rPr>
                <w:rFonts w:cs="Arial"/>
                <w:b/>
                <w:bCs/>
                <w:szCs w:val="20"/>
              </w:rPr>
              <w:t>Total</w:t>
            </w:r>
          </w:p>
        </w:tc>
        <w:tc>
          <w:tcPr>
            <w:tcW w:w="1843" w:type="dxa"/>
            <w:tcBorders>
              <w:bottom w:val="single" w:sz="4" w:space="0" w:color="0D0D0D" w:themeColor="text1" w:themeTint="F2"/>
            </w:tcBorders>
            <w:noWrap/>
            <w:vAlign w:val="center"/>
            <w:hideMark/>
          </w:tcPr>
          <w:p w14:paraId="083730DA" w14:textId="21C8AE65" w:rsidR="007305B4" w:rsidRPr="007C2C04" w:rsidRDefault="007305B4" w:rsidP="00170E72">
            <w:pPr>
              <w:spacing w:before="40" w:after="40"/>
              <w:ind w:left="57" w:right="57"/>
              <w:jc w:val="center"/>
              <w:rPr>
                <w:rFonts w:cs="Arial"/>
                <w:szCs w:val="20"/>
              </w:rPr>
            </w:pPr>
            <w:r w:rsidRPr="007C2C04">
              <w:rPr>
                <w:rFonts w:cs="Arial"/>
                <w:szCs w:val="20"/>
              </w:rPr>
              <w:t>100.0</w:t>
            </w:r>
          </w:p>
        </w:tc>
        <w:tc>
          <w:tcPr>
            <w:tcW w:w="2126" w:type="dxa"/>
            <w:tcBorders>
              <w:bottom w:val="single" w:sz="4" w:space="0" w:color="0D0D0D" w:themeColor="text1" w:themeTint="F2"/>
            </w:tcBorders>
            <w:noWrap/>
            <w:vAlign w:val="center"/>
            <w:hideMark/>
          </w:tcPr>
          <w:p w14:paraId="4859DCFB" w14:textId="2AD72558" w:rsidR="007305B4" w:rsidRPr="007C2C04" w:rsidRDefault="007305B4" w:rsidP="00170E72">
            <w:pPr>
              <w:spacing w:before="40" w:after="40"/>
              <w:ind w:left="57" w:right="57"/>
              <w:jc w:val="center"/>
              <w:rPr>
                <w:rFonts w:cs="Arial"/>
                <w:szCs w:val="20"/>
              </w:rPr>
            </w:pPr>
            <w:r w:rsidRPr="007C2C04">
              <w:rPr>
                <w:rFonts w:cs="Arial"/>
                <w:szCs w:val="20"/>
              </w:rPr>
              <w:t>100.0</w:t>
            </w:r>
          </w:p>
        </w:tc>
        <w:tc>
          <w:tcPr>
            <w:tcW w:w="1985" w:type="dxa"/>
            <w:tcBorders>
              <w:bottom w:val="single" w:sz="4" w:space="0" w:color="0D0D0D" w:themeColor="text1" w:themeTint="F2"/>
            </w:tcBorders>
            <w:noWrap/>
            <w:vAlign w:val="center"/>
            <w:hideMark/>
          </w:tcPr>
          <w:p w14:paraId="3A7F7575" w14:textId="1AC073D8" w:rsidR="007305B4" w:rsidRPr="007C2C04" w:rsidRDefault="007305B4" w:rsidP="00170E72">
            <w:pPr>
              <w:spacing w:before="40" w:after="40"/>
              <w:ind w:left="57" w:right="57"/>
              <w:jc w:val="center"/>
              <w:rPr>
                <w:rFonts w:cs="Arial"/>
                <w:szCs w:val="20"/>
              </w:rPr>
            </w:pPr>
            <w:r w:rsidRPr="007C2C04">
              <w:rPr>
                <w:rFonts w:cs="Arial"/>
                <w:szCs w:val="20"/>
              </w:rPr>
              <w:t>100.0</w:t>
            </w:r>
          </w:p>
        </w:tc>
        <w:tc>
          <w:tcPr>
            <w:tcW w:w="2268" w:type="dxa"/>
            <w:tcBorders>
              <w:bottom w:val="single" w:sz="4" w:space="0" w:color="0D0D0D" w:themeColor="text1" w:themeTint="F2"/>
            </w:tcBorders>
            <w:noWrap/>
            <w:vAlign w:val="center"/>
            <w:hideMark/>
          </w:tcPr>
          <w:p w14:paraId="46C9CF0A" w14:textId="6428D4E5" w:rsidR="007305B4" w:rsidRPr="007C2C04" w:rsidRDefault="007305B4" w:rsidP="00170E72">
            <w:pPr>
              <w:spacing w:before="40" w:after="40"/>
              <w:ind w:left="57" w:right="57"/>
              <w:jc w:val="center"/>
              <w:rPr>
                <w:rFonts w:cs="Arial"/>
                <w:szCs w:val="20"/>
              </w:rPr>
            </w:pPr>
            <w:r w:rsidRPr="007C2C04">
              <w:rPr>
                <w:rFonts w:cs="Arial"/>
                <w:szCs w:val="20"/>
              </w:rPr>
              <w:t>100.0</w:t>
            </w:r>
          </w:p>
        </w:tc>
        <w:tc>
          <w:tcPr>
            <w:tcW w:w="2026" w:type="dxa"/>
            <w:tcBorders>
              <w:bottom w:val="single" w:sz="4" w:space="0" w:color="0D0D0D" w:themeColor="text1" w:themeTint="F2"/>
            </w:tcBorders>
            <w:noWrap/>
            <w:vAlign w:val="center"/>
            <w:hideMark/>
          </w:tcPr>
          <w:p w14:paraId="47187BB0" w14:textId="0D7C5493" w:rsidR="007305B4" w:rsidRPr="007C2C04" w:rsidRDefault="007305B4" w:rsidP="00170E72">
            <w:pPr>
              <w:spacing w:before="40" w:after="40"/>
              <w:ind w:left="57" w:right="57"/>
              <w:jc w:val="center"/>
              <w:rPr>
                <w:rFonts w:cs="Arial"/>
                <w:szCs w:val="20"/>
              </w:rPr>
            </w:pPr>
            <w:r w:rsidRPr="007C2C04">
              <w:rPr>
                <w:rFonts w:cs="Arial"/>
                <w:szCs w:val="20"/>
              </w:rPr>
              <w:t>100.0</w:t>
            </w:r>
          </w:p>
        </w:tc>
        <w:tc>
          <w:tcPr>
            <w:tcW w:w="2050" w:type="dxa"/>
            <w:tcBorders>
              <w:bottom w:val="single" w:sz="4" w:space="0" w:color="0D0D0D" w:themeColor="text1" w:themeTint="F2"/>
            </w:tcBorders>
            <w:noWrap/>
            <w:vAlign w:val="center"/>
            <w:hideMark/>
          </w:tcPr>
          <w:p w14:paraId="114DEC9A" w14:textId="75C536C8" w:rsidR="007305B4" w:rsidRPr="007C2C04" w:rsidRDefault="007305B4" w:rsidP="00170E72">
            <w:pPr>
              <w:spacing w:before="40" w:after="40"/>
              <w:ind w:left="57" w:right="57"/>
              <w:jc w:val="center"/>
              <w:rPr>
                <w:rFonts w:cs="Arial"/>
                <w:szCs w:val="20"/>
              </w:rPr>
            </w:pPr>
            <w:r w:rsidRPr="007C2C04">
              <w:rPr>
                <w:rFonts w:cs="Arial"/>
                <w:szCs w:val="20"/>
              </w:rPr>
              <w:t>100.0</w:t>
            </w:r>
          </w:p>
        </w:tc>
      </w:tr>
      <w:tr w:rsidR="007305B4" w:rsidRPr="00170E72" w14:paraId="1B369AF9" w14:textId="77777777" w:rsidTr="007253FC">
        <w:trPr>
          <w:trHeight w:val="589"/>
        </w:trPr>
        <w:tc>
          <w:tcPr>
            <w:tcW w:w="3964" w:type="dxa"/>
            <w:shd w:val="clear" w:color="auto" w:fill="D9D9D9" w:themeFill="background1" w:themeFillShade="D9"/>
            <w:vAlign w:val="center"/>
          </w:tcPr>
          <w:p w14:paraId="450AE98F" w14:textId="418B9DC4" w:rsidR="007305B4" w:rsidRPr="00681913" w:rsidRDefault="007305B4" w:rsidP="00A50552">
            <w:pPr>
              <w:spacing w:before="120" w:after="120"/>
              <w:ind w:left="57" w:right="57"/>
              <w:rPr>
                <w:rFonts w:cs="Arial"/>
                <w:b/>
                <w:bCs/>
                <w:color w:val="000000" w:themeColor="text1"/>
                <w:sz w:val="21"/>
                <w:szCs w:val="21"/>
              </w:rPr>
            </w:pPr>
            <w:r w:rsidRPr="00681913">
              <w:rPr>
                <w:rFonts w:cs="Arial"/>
                <w:b/>
                <w:bCs/>
                <w:color w:val="000000" w:themeColor="text1"/>
                <w:sz w:val="21"/>
                <w:szCs w:val="21"/>
              </w:rPr>
              <w:t>Employed part-time, would prefer more hours (% of those employed)</w:t>
            </w:r>
          </w:p>
        </w:tc>
        <w:tc>
          <w:tcPr>
            <w:tcW w:w="1843" w:type="dxa"/>
            <w:shd w:val="clear" w:color="auto" w:fill="D9D9D9" w:themeFill="background1" w:themeFillShade="D9"/>
            <w:noWrap/>
            <w:vAlign w:val="center"/>
          </w:tcPr>
          <w:p w14:paraId="4EAEF601" w14:textId="67C0F981" w:rsidR="007305B4" w:rsidRPr="00170E72" w:rsidRDefault="007305B4" w:rsidP="00170E72">
            <w:pPr>
              <w:spacing w:before="120" w:after="120"/>
              <w:ind w:left="57" w:right="57"/>
              <w:jc w:val="center"/>
              <w:rPr>
                <w:rFonts w:cs="Arial"/>
                <w:b/>
                <w:bCs/>
                <w:color w:val="000000" w:themeColor="text1"/>
                <w:sz w:val="21"/>
                <w:szCs w:val="21"/>
              </w:rPr>
            </w:pPr>
            <w:r w:rsidRPr="00170E72">
              <w:rPr>
                <w:rFonts w:cs="Arial"/>
                <w:b/>
                <w:bCs/>
                <w:color w:val="000000" w:themeColor="text1"/>
                <w:sz w:val="21"/>
                <w:szCs w:val="21"/>
              </w:rPr>
              <w:t>14.4</w:t>
            </w:r>
          </w:p>
        </w:tc>
        <w:tc>
          <w:tcPr>
            <w:tcW w:w="2126" w:type="dxa"/>
            <w:shd w:val="clear" w:color="auto" w:fill="D9D9D9" w:themeFill="background1" w:themeFillShade="D9"/>
            <w:noWrap/>
            <w:vAlign w:val="center"/>
          </w:tcPr>
          <w:p w14:paraId="29206326" w14:textId="74D0C1DC" w:rsidR="007305B4" w:rsidRPr="00170E72" w:rsidRDefault="007305B4" w:rsidP="00170E72">
            <w:pPr>
              <w:spacing w:before="120" w:after="120"/>
              <w:ind w:left="57" w:right="57"/>
              <w:jc w:val="center"/>
              <w:rPr>
                <w:rFonts w:cs="Arial"/>
                <w:b/>
                <w:bCs/>
                <w:color w:val="000000" w:themeColor="text1"/>
                <w:sz w:val="21"/>
                <w:szCs w:val="21"/>
              </w:rPr>
            </w:pPr>
            <w:r w:rsidRPr="00170E72">
              <w:rPr>
                <w:rFonts w:cs="Arial"/>
                <w:b/>
                <w:bCs/>
                <w:color w:val="000000" w:themeColor="text1"/>
                <w:sz w:val="21"/>
                <w:szCs w:val="21"/>
              </w:rPr>
              <w:t>7.5</w:t>
            </w:r>
          </w:p>
        </w:tc>
        <w:tc>
          <w:tcPr>
            <w:tcW w:w="1985" w:type="dxa"/>
            <w:shd w:val="clear" w:color="auto" w:fill="D9D9D9" w:themeFill="background1" w:themeFillShade="D9"/>
            <w:noWrap/>
            <w:vAlign w:val="center"/>
          </w:tcPr>
          <w:p w14:paraId="5A887A07" w14:textId="1E9DF08D" w:rsidR="007305B4" w:rsidRPr="00170E72" w:rsidRDefault="007305B4" w:rsidP="00170E72">
            <w:pPr>
              <w:spacing w:before="120" w:after="120"/>
              <w:ind w:left="57" w:right="57"/>
              <w:jc w:val="center"/>
              <w:rPr>
                <w:rFonts w:cs="Arial"/>
                <w:b/>
                <w:bCs/>
                <w:color w:val="000000" w:themeColor="text1"/>
                <w:sz w:val="21"/>
                <w:szCs w:val="21"/>
              </w:rPr>
            </w:pPr>
            <w:r w:rsidRPr="00170E72">
              <w:rPr>
                <w:rFonts w:cs="Arial"/>
                <w:b/>
                <w:bCs/>
                <w:color w:val="000000" w:themeColor="text1"/>
                <w:sz w:val="21"/>
                <w:szCs w:val="21"/>
              </w:rPr>
              <w:t>7.4</w:t>
            </w:r>
          </w:p>
        </w:tc>
        <w:tc>
          <w:tcPr>
            <w:tcW w:w="2268" w:type="dxa"/>
            <w:shd w:val="clear" w:color="auto" w:fill="D9D9D9" w:themeFill="background1" w:themeFillShade="D9"/>
            <w:noWrap/>
            <w:vAlign w:val="center"/>
          </w:tcPr>
          <w:p w14:paraId="40BE347C" w14:textId="34FD8072" w:rsidR="007305B4" w:rsidRPr="00170E72" w:rsidRDefault="007305B4" w:rsidP="00170E72">
            <w:pPr>
              <w:spacing w:before="120" w:after="120"/>
              <w:ind w:left="57" w:right="57"/>
              <w:jc w:val="center"/>
              <w:rPr>
                <w:rFonts w:cs="Arial"/>
                <w:b/>
                <w:bCs/>
                <w:color w:val="000000" w:themeColor="text1"/>
                <w:sz w:val="21"/>
                <w:szCs w:val="21"/>
              </w:rPr>
            </w:pPr>
            <w:r w:rsidRPr="00170E72">
              <w:rPr>
                <w:rFonts w:cs="Arial"/>
                <w:b/>
                <w:bCs/>
                <w:color w:val="000000" w:themeColor="text1"/>
                <w:sz w:val="21"/>
                <w:szCs w:val="21"/>
              </w:rPr>
              <w:t>4.7</w:t>
            </w:r>
          </w:p>
        </w:tc>
        <w:tc>
          <w:tcPr>
            <w:tcW w:w="2026" w:type="dxa"/>
            <w:shd w:val="clear" w:color="auto" w:fill="D9D9D9" w:themeFill="background1" w:themeFillShade="D9"/>
            <w:noWrap/>
            <w:vAlign w:val="center"/>
          </w:tcPr>
          <w:p w14:paraId="5BF05FFF" w14:textId="24B8734D" w:rsidR="007305B4" w:rsidRPr="00170E72" w:rsidRDefault="007305B4" w:rsidP="00170E72">
            <w:pPr>
              <w:spacing w:before="120" w:after="120"/>
              <w:ind w:left="57" w:right="57"/>
              <w:jc w:val="center"/>
              <w:rPr>
                <w:rFonts w:cs="Arial"/>
                <w:b/>
                <w:bCs/>
                <w:color w:val="000000" w:themeColor="text1"/>
                <w:sz w:val="21"/>
                <w:szCs w:val="21"/>
              </w:rPr>
            </w:pPr>
            <w:r w:rsidRPr="00170E72">
              <w:rPr>
                <w:rFonts w:cs="Arial"/>
                <w:b/>
                <w:bCs/>
                <w:color w:val="000000" w:themeColor="text1"/>
                <w:sz w:val="21"/>
                <w:szCs w:val="21"/>
              </w:rPr>
              <w:t>9.1</w:t>
            </w:r>
          </w:p>
        </w:tc>
        <w:tc>
          <w:tcPr>
            <w:tcW w:w="2050" w:type="dxa"/>
            <w:shd w:val="clear" w:color="auto" w:fill="D9D9D9" w:themeFill="background1" w:themeFillShade="D9"/>
            <w:noWrap/>
            <w:vAlign w:val="center"/>
          </w:tcPr>
          <w:p w14:paraId="2F9FA982" w14:textId="5EBE52E4" w:rsidR="007305B4" w:rsidRPr="00170E72" w:rsidRDefault="007305B4" w:rsidP="00170E72">
            <w:pPr>
              <w:spacing w:before="120" w:after="120"/>
              <w:ind w:left="57" w:right="57"/>
              <w:jc w:val="center"/>
              <w:rPr>
                <w:rFonts w:cs="Arial"/>
                <w:b/>
                <w:bCs/>
                <w:color w:val="000000" w:themeColor="text1"/>
                <w:sz w:val="21"/>
                <w:szCs w:val="21"/>
              </w:rPr>
            </w:pPr>
            <w:r w:rsidRPr="00170E72">
              <w:rPr>
                <w:rFonts w:cs="Arial"/>
                <w:b/>
                <w:bCs/>
                <w:color w:val="000000" w:themeColor="text1"/>
                <w:sz w:val="21"/>
                <w:szCs w:val="21"/>
              </w:rPr>
              <w:t>6.1</w:t>
            </w:r>
          </w:p>
        </w:tc>
      </w:tr>
    </w:tbl>
    <w:p w14:paraId="3450CC9B" w14:textId="580D816F" w:rsidR="00B77417" w:rsidRDefault="00B77417" w:rsidP="00B77417">
      <w:pPr>
        <w:pStyle w:val="Body"/>
        <w:sectPr w:rsidR="00B77417" w:rsidSect="00A11753">
          <w:footerReference w:type="default" r:id="rId43"/>
          <w:pgSz w:w="16840" w:h="11900" w:orient="landscape"/>
          <w:pgMar w:top="709" w:right="284" w:bottom="709" w:left="284" w:header="567" w:footer="567" w:gutter="0"/>
          <w:cols w:space="708"/>
          <w:docGrid w:linePitch="360"/>
        </w:sectPr>
      </w:pPr>
      <w:bookmarkStart w:id="86" w:name="_Toc207707321"/>
      <w:bookmarkStart w:id="87" w:name="_Domestic_graduate_skills"/>
      <w:bookmarkStart w:id="88" w:name="_Toc75794927"/>
      <w:bookmarkStart w:id="89" w:name="_Toc79687691"/>
      <w:bookmarkStart w:id="90" w:name="_Ref140606077"/>
      <w:bookmarkStart w:id="91" w:name="_Ref140606086"/>
      <w:bookmarkStart w:id="92" w:name="_Ref140606091"/>
      <w:bookmarkStart w:id="93" w:name="_Toc192179855"/>
      <w:bookmarkEnd w:id="86"/>
      <w:bookmarkEnd w:id="87"/>
    </w:p>
    <w:p w14:paraId="604E33B7" w14:textId="7B317EFD" w:rsidR="00244416" w:rsidRPr="005A3AFE" w:rsidRDefault="00244416" w:rsidP="00CE4B18">
      <w:pPr>
        <w:pStyle w:val="Heading2"/>
      </w:pPr>
      <w:bookmarkStart w:id="94" w:name="_Toc243492332"/>
      <w:r w:rsidRPr="005A3AFE">
        <w:lastRenderedPageBreak/>
        <w:t>Domestic graduate skills utilisation</w:t>
      </w:r>
      <w:bookmarkEnd w:id="88"/>
      <w:bookmarkEnd w:id="89"/>
      <w:bookmarkEnd w:id="90"/>
      <w:bookmarkEnd w:id="91"/>
      <w:bookmarkEnd w:id="92"/>
      <w:bookmarkEnd w:id="93"/>
      <w:bookmarkEnd w:id="94"/>
    </w:p>
    <w:p w14:paraId="3322D82F" w14:textId="254DE620" w:rsidR="00244416" w:rsidRPr="005A3AFE" w:rsidRDefault="00244416" w:rsidP="00244416">
      <w:pPr>
        <w:widowControl w:val="0"/>
        <w:suppressAutoHyphens/>
        <w:autoSpaceDE w:val="0"/>
        <w:autoSpaceDN w:val="0"/>
        <w:adjustRightInd w:val="0"/>
        <w:spacing w:before="142" w:line="290" w:lineRule="atLeast"/>
        <w:textAlignment w:val="center"/>
        <w:rPr>
          <w:rFonts w:eastAsia="Arial" w:cs="Arial"/>
          <w:lang w:val="en-GB"/>
        </w:rPr>
      </w:pPr>
      <w:r w:rsidRPr="005A3AFE">
        <w:rPr>
          <w:rFonts w:eastAsia="Arial" w:cs="Arial"/>
          <w:lang w:val="en-GB"/>
        </w:rPr>
        <w:t>This section focuses on measures of ‘skills utilisation’</w:t>
      </w:r>
      <w:r w:rsidR="005430B5" w:rsidRPr="005A3AFE">
        <w:rPr>
          <w:rFonts w:eastAsia="Arial" w:cs="Arial"/>
          <w:lang w:val="en-GB"/>
        </w:rPr>
        <w:t>, which</w:t>
      </w:r>
      <w:r w:rsidRPr="005A3AFE">
        <w:rPr>
          <w:rFonts w:eastAsia="Arial" w:cs="Arial"/>
          <w:lang w:val="en-GB"/>
        </w:rPr>
        <w:t xml:space="preserve"> </w:t>
      </w:r>
      <w:r w:rsidR="007E681B" w:rsidRPr="005A3AFE">
        <w:rPr>
          <w:rFonts w:eastAsia="Arial" w:cs="Arial"/>
          <w:lang w:val="en-GB"/>
        </w:rPr>
        <w:t>to an extent reflects</w:t>
      </w:r>
      <w:r w:rsidRPr="005A3AFE">
        <w:rPr>
          <w:rFonts w:eastAsia="Arial" w:cs="Arial"/>
          <w:lang w:val="en-GB"/>
        </w:rPr>
        <w:t xml:space="preserve"> the ‘quality’ of graduate jobs. These include the proportion of graduates employed in managerial or professional occupations, and whether graduates believe they are utilising their skills and education in their current role.</w:t>
      </w:r>
    </w:p>
    <w:p w14:paraId="0977AD76" w14:textId="62838E6D" w:rsidR="00DB0C8E" w:rsidRPr="005A3AFE" w:rsidRDefault="00244416" w:rsidP="00DB0C8E">
      <w:pPr>
        <w:pStyle w:val="Body"/>
      </w:pPr>
      <w:r w:rsidRPr="005A3AFE">
        <w:rPr>
          <w:rFonts w:eastAsia="Arial"/>
          <w:lang w:val="en-GB"/>
        </w:rPr>
        <w:t>These measures provide useful information about how well graduates' skills are matched with employment, and how these change from the short-</w:t>
      </w:r>
      <w:r w:rsidR="005F2D65" w:rsidRPr="005A3AFE">
        <w:rPr>
          <w:rFonts w:eastAsia="Arial"/>
          <w:lang w:val="en-GB"/>
        </w:rPr>
        <w:t>term</w:t>
      </w:r>
      <w:r w:rsidR="00C47C7E" w:rsidRPr="005A3AFE">
        <w:rPr>
          <w:rFonts w:eastAsia="Arial"/>
          <w:lang w:val="en-GB"/>
        </w:rPr>
        <w:t xml:space="preserve"> </w:t>
      </w:r>
      <w:r w:rsidRPr="005A3AFE">
        <w:rPr>
          <w:rFonts w:eastAsia="Arial"/>
          <w:lang w:val="en-GB"/>
        </w:rPr>
        <w:t>to medium-term.</w:t>
      </w:r>
      <w:r w:rsidR="00091677" w:rsidRPr="005A3AFE">
        <w:rPr>
          <w:rFonts w:eastAsia="Arial"/>
          <w:lang w:val="en-GB"/>
        </w:rPr>
        <w:t xml:space="preserve"> </w:t>
      </w:r>
      <w:r w:rsidR="001254D7" w:rsidRPr="005A3AFE">
        <w:rPr>
          <w:rFonts w:eastAsia="Arial"/>
          <w:lang w:val="en-GB"/>
        </w:rPr>
        <w:t>I</w:t>
      </w:r>
      <w:r w:rsidR="00DB0C8E" w:rsidRPr="005A3AFE">
        <w:rPr>
          <w:rFonts w:eastAsia="Arial"/>
          <w:lang w:val="en-GB"/>
        </w:rPr>
        <w:t xml:space="preserve">t is important to note that </w:t>
      </w:r>
      <w:r w:rsidR="00DB0C8E" w:rsidRPr="005A3AFE">
        <w:rPr>
          <w:rFonts w:eastAsia="Arial"/>
        </w:rPr>
        <w:t xml:space="preserve">there are a range of factors, beyond the quality of educational experience, that may influence occupational outcomes. </w:t>
      </w:r>
      <w:r w:rsidR="00DB0C8E" w:rsidRPr="005A3AFE">
        <w:t xml:space="preserve">This includes the proportion of graduates undertaking further full-time study, </w:t>
      </w:r>
      <w:r w:rsidR="004925A6" w:rsidRPr="005A3AFE">
        <w:t xml:space="preserve">and </w:t>
      </w:r>
      <w:r w:rsidR="00DB0C8E" w:rsidRPr="005A3AFE">
        <w:t>registration or professional accreditation timelines.</w:t>
      </w:r>
    </w:p>
    <w:p w14:paraId="04EB9B6E" w14:textId="516DB7F3" w:rsidR="007C528D" w:rsidRPr="005A3AFE" w:rsidRDefault="007F7135" w:rsidP="00CE4B18">
      <w:pPr>
        <w:pStyle w:val="Heading3"/>
        <w:rPr>
          <w:lang w:val="en-GB"/>
        </w:rPr>
      </w:pPr>
      <w:bookmarkStart w:id="95" w:name="_Toc243492333"/>
      <w:r w:rsidRPr="005A3AFE">
        <w:rPr>
          <w:lang w:val="en-GB"/>
        </w:rPr>
        <w:t>O</w:t>
      </w:r>
      <w:r w:rsidR="0090006F" w:rsidRPr="005A3AFE">
        <w:rPr>
          <w:lang w:val="en-GB"/>
        </w:rPr>
        <w:t>ccupation</w:t>
      </w:r>
      <w:r w:rsidRPr="005A3AFE">
        <w:rPr>
          <w:lang w:val="en-GB"/>
        </w:rPr>
        <w:t xml:space="preserve"> type</w:t>
      </w:r>
      <w:bookmarkEnd w:id="95"/>
    </w:p>
    <w:p w14:paraId="258E80CC" w14:textId="04179CCD" w:rsidR="007D59C1" w:rsidRPr="005A3AFE" w:rsidRDefault="007D59C1" w:rsidP="007D59C1">
      <w:pPr>
        <w:pStyle w:val="Body"/>
      </w:pPr>
      <w:r w:rsidRPr="005A3AFE">
        <w:t>The proportion of</w:t>
      </w:r>
      <w:r w:rsidR="00387E86" w:rsidRPr="005A3AFE">
        <w:t xml:space="preserve"> </w:t>
      </w:r>
      <w:r w:rsidRPr="005A3AFE">
        <w:t xml:space="preserve">graduates working in managerial and professional occupations </w:t>
      </w:r>
      <w:r w:rsidR="00410A0C" w:rsidRPr="005A3AFE">
        <w:t>can be used as</w:t>
      </w:r>
      <w:r w:rsidRPr="005A3AFE">
        <w:t xml:space="preserve"> a proxy measure of skills utilisation. </w:t>
      </w:r>
      <w:bookmarkStart w:id="96" w:name="_Hlk153963760"/>
      <w:r w:rsidRPr="005A3AFE">
        <w:t>This is because the classification of occupations used by the ABS suggests that most managerial and professional occupations have a skill level commensurate with qualifications at the bachelor level or higher.</w:t>
      </w:r>
      <w:bookmarkEnd w:id="96"/>
      <w:r w:rsidR="00C71CF2" w:rsidRPr="00E17B1D">
        <w:rPr>
          <w:rStyle w:val="FootnoteReference"/>
          <w:rFonts w:eastAsiaTheme="majorEastAsia"/>
          <w:sz w:val="20"/>
        </w:rPr>
        <w:footnoteReference w:id="11"/>
      </w:r>
    </w:p>
    <w:p w14:paraId="3337F8AC" w14:textId="7D163BE9" w:rsidR="00BD1A6B" w:rsidRPr="005A3AFE" w:rsidRDefault="00244416" w:rsidP="00244416">
      <w:pPr>
        <w:widowControl w:val="0"/>
        <w:suppressAutoHyphens/>
        <w:autoSpaceDE w:val="0"/>
        <w:autoSpaceDN w:val="0"/>
        <w:adjustRightInd w:val="0"/>
        <w:spacing w:before="142" w:line="290" w:lineRule="atLeast"/>
        <w:textAlignment w:val="center"/>
        <w:rPr>
          <w:rFonts w:ascii="ArialMT" w:hAnsi="ArialMT" w:cs="ArialMT"/>
          <w:b/>
          <w:lang w:val="en-GB"/>
        </w:rPr>
      </w:pPr>
      <w:r w:rsidRPr="005A3AFE">
        <w:rPr>
          <w:rFonts w:ascii="ArialMT" w:hAnsi="ArialMT" w:cs="ArialMT"/>
          <w:lang w:val="en-GB"/>
        </w:rPr>
        <w:t>The 202</w:t>
      </w:r>
      <w:r w:rsidR="00604B4A" w:rsidRPr="005A3AFE">
        <w:rPr>
          <w:rFonts w:ascii="ArialMT" w:hAnsi="ArialMT" w:cs="ArialMT"/>
          <w:lang w:val="en-GB"/>
        </w:rPr>
        <w:t>6</w:t>
      </w:r>
      <w:r w:rsidRPr="005A3AFE">
        <w:rPr>
          <w:rFonts w:ascii="ArialMT" w:hAnsi="ArialMT" w:cs="ArialMT"/>
          <w:lang w:val="en-GB"/>
        </w:rPr>
        <w:t xml:space="preserve"> GOS-L </w:t>
      </w:r>
      <w:r w:rsidR="000237CC" w:rsidRPr="005A3AFE">
        <w:rPr>
          <w:rFonts w:ascii="ArialMT" w:hAnsi="ArialMT" w:cs="ArialMT"/>
          <w:lang w:val="en-GB"/>
        </w:rPr>
        <w:t>reaffirms</w:t>
      </w:r>
      <w:r w:rsidR="00135243" w:rsidRPr="005A3AFE">
        <w:rPr>
          <w:rFonts w:ascii="ArialMT" w:hAnsi="ArialMT" w:cs="ArialMT"/>
          <w:lang w:val="en-GB"/>
        </w:rPr>
        <w:t xml:space="preserve"> previous findings</w:t>
      </w:r>
      <w:r w:rsidRPr="005A3AFE">
        <w:rPr>
          <w:rFonts w:ascii="ArialMT" w:hAnsi="ArialMT" w:cs="ArialMT"/>
          <w:lang w:val="en-GB"/>
        </w:rPr>
        <w:t xml:space="preserve"> that undergraduates </w:t>
      </w:r>
      <w:r w:rsidR="00095708" w:rsidRPr="005A3AFE">
        <w:rPr>
          <w:rFonts w:ascii="ArialMT" w:hAnsi="ArialMT" w:cs="ArialMT"/>
          <w:lang w:val="en-GB"/>
        </w:rPr>
        <w:t xml:space="preserve">may take longer to </w:t>
      </w:r>
      <w:r w:rsidRPr="005A3AFE">
        <w:rPr>
          <w:rFonts w:ascii="ArialMT" w:hAnsi="ArialMT" w:cs="ArialMT"/>
          <w:lang w:val="en-GB"/>
        </w:rPr>
        <w:t>find work in managerial or professional occupations</w:t>
      </w:r>
      <w:r w:rsidR="00F85CF6" w:rsidRPr="005A3AFE">
        <w:rPr>
          <w:rFonts w:ascii="ArialMT" w:hAnsi="ArialMT" w:cs="ArialMT"/>
          <w:lang w:val="en-GB"/>
        </w:rPr>
        <w:t xml:space="preserve">, while </w:t>
      </w:r>
      <w:r w:rsidR="00A447AD" w:rsidRPr="005A3AFE">
        <w:rPr>
          <w:rFonts w:ascii="ArialMT" w:hAnsi="ArialMT" w:cs="ArialMT"/>
          <w:lang w:val="en-GB"/>
        </w:rPr>
        <w:t>d</w:t>
      </w:r>
      <w:r w:rsidRPr="005A3AFE">
        <w:rPr>
          <w:rFonts w:ascii="ArialMT" w:hAnsi="ArialMT" w:cs="ArialMT"/>
          <w:lang w:val="en-GB"/>
        </w:rPr>
        <w:t xml:space="preserve">omestic graduates </w:t>
      </w:r>
      <w:r w:rsidR="00A447AD" w:rsidRPr="005A3AFE">
        <w:rPr>
          <w:rFonts w:ascii="ArialMT" w:hAnsi="ArialMT" w:cs="ArialMT"/>
          <w:lang w:val="en-GB"/>
        </w:rPr>
        <w:t>with</w:t>
      </w:r>
      <w:r w:rsidRPr="005A3AFE">
        <w:rPr>
          <w:rFonts w:ascii="ArialMT" w:hAnsi="ArialMT" w:cs="ArialMT"/>
          <w:lang w:val="en-GB"/>
        </w:rPr>
        <w:t xml:space="preserve"> postgraduate qualifications are more likely </w:t>
      </w:r>
      <w:r w:rsidR="00CB228B" w:rsidRPr="005A3AFE">
        <w:rPr>
          <w:rFonts w:ascii="ArialMT" w:hAnsi="ArialMT" w:cs="ArialMT"/>
          <w:lang w:val="en-GB"/>
        </w:rPr>
        <w:t>to be employed in managerial</w:t>
      </w:r>
      <w:r w:rsidR="00207B09" w:rsidRPr="005A3AFE">
        <w:rPr>
          <w:rFonts w:ascii="ArialMT" w:hAnsi="ArialMT" w:cs="ArialMT"/>
          <w:lang w:val="en-GB"/>
        </w:rPr>
        <w:t xml:space="preserve"> or professional occupations 4 to 6 months after course completion</w:t>
      </w:r>
      <w:r w:rsidR="00FA45B5" w:rsidRPr="005A3AFE">
        <w:rPr>
          <w:rFonts w:ascii="ArialMT" w:hAnsi="ArialMT" w:cs="ArialMT"/>
          <w:lang w:val="en-GB"/>
        </w:rPr>
        <w:t>,</w:t>
      </w:r>
      <w:r w:rsidR="009E3774" w:rsidRPr="005A3AFE">
        <w:rPr>
          <w:rFonts w:ascii="ArialMT" w:hAnsi="ArialMT" w:cs="ArialMT"/>
          <w:lang w:val="en-GB"/>
        </w:rPr>
        <w:t xml:space="preserve"> and this</w:t>
      </w:r>
      <w:r w:rsidR="00E023BC" w:rsidRPr="005A3AFE">
        <w:rPr>
          <w:rFonts w:ascii="ArialMT" w:hAnsi="ArialMT" w:cs="ArialMT"/>
          <w:lang w:val="en-GB"/>
        </w:rPr>
        <w:t xml:space="preserve"> continues to rise</w:t>
      </w:r>
      <w:r w:rsidR="00A125F6" w:rsidRPr="005A3AFE">
        <w:rPr>
          <w:rFonts w:ascii="ArialMT" w:hAnsi="ArialMT" w:cs="ArialMT"/>
          <w:lang w:val="en-GB"/>
        </w:rPr>
        <w:t xml:space="preserve"> over </w:t>
      </w:r>
      <w:r w:rsidR="00286939" w:rsidRPr="005A3AFE">
        <w:rPr>
          <w:rFonts w:ascii="ArialMT" w:hAnsi="ArialMT" w:cs="ArialMT"/>
          <w:lang w:val="en-GB"/>
        </w:rPr>
        <w:t>the 3</w:t>
      </w:r>
      <w:r w:rsidR="00E17B1D">
        <w:rPr>
          <w:rFonts w:ascii="ArialMT" w:hAnsi="ArialMT" w:cs="ArialMT"/>
          <w:lang w:val="en-GB"/>
        </w:rPr>
        <w:noBreakHyphen/>
      </w:r>
      <w:r w:rsidR="00286939" w:rsidRPr="005A3AFE">
        <w:rPr>
          <w:rFonts w:ascii="ArialMT" w:hAnsi="ArialMT" w:cs="ArialMT"/>
          <w:lang w:val="en-GB"/>
        </w:rPr>
        <w:t>year</w:t>
      </w:r>
      <w:r w:rsidR="00CA4308" w:rsidRPr="005A3AFE">
        <w:rPr>
          <w:rFonts w:ascii="ArialMT" w:hAnsi="ArialMT" w:cs="ArialMT"/>
          <w:lang w:val="en-GB"/>
        </w:rPr>
        <w:t xml:space="preserve"> </w:t>
      </w:r>
      <w:r w:rsidR="00286939" w:rsidRPr="005A3AFE">
        <w:rPr>
          <w:rFonts w:ascii="ArialMT" w:hAnsi="ArialMT" w:cs="ArialMT"/>
          <w:lang w:val="en-GB"/>
        </w:rPr>
        <w:t>period</w:t>
      </w:r>
      <w:r w:rsidRPr="005A3AFE">
        <w:rPr>
          <w:rFonts w:ascii="ArialMT" w:hAnsi="ArialMT" w:cs="ArialMT"/>
          <w:lang w:val="en-GB"/>
        </w:rPr>
        <w:t xml:space="preserve"> (</w:t>
      </w:r>
      <w:r w:rsidRPr="005A3AFE">
        <w:rPr>
          <w:rFonts w:ascii="ArialMT" w:hAnsi="ArialMT" w:cs="ArialMT"/>
          <w:b/>
          <w:lang w:val="en-GB"/>
        </w:rPr>
        <w:fldChar w:fldCharType="begin"/>
      </w:r>
      <w:r w:rsidRPr="005A3AFE">
        <w:rPr>
          <w:rFonts w:ascii="ArialMT" w:hAnsi="ArialMT" w:cs="ArialMT"/>
          <w:b/>
          <w:lang w:val="en-GB"/>
        </w:rPr>
        <w:instrText xml:space="preserve"> REF _Ref135596505 \h  \* MERGEFORMAT </w:instrText>
      </w:r>
      <w:r w:rsidRPr="005A3AFE">
        <w:rPr>
          <w:rFonts w:ascii="ArialMT" w:hAnsi="ArialMT" w:cs="ArialMT"/>
          <w:b/>
          <w:lang w:val="en-GB"/>
        </w:rPr>
      </w:r>
      <w:r w:rsidRPr="005A3AFE">
        <w:rPr>
          <w:rFonts w:ascii="ArialMT" w:hAnsi="ArialMT" w:cs="ArialMT"/>
          <w:b/>
          <w:lang w:val="en-GB"/>
        </w:rPr>
        <w:fldChar w:fldCharType="separate"/>
      </w:r>
      <w:r w:rsidR="00FB6AC8" w:rsidRPr="005A3AFE">
        <w:rPr>
          <w:b/>
        </w:rPr>
        <w:t>Table 2</w:t>
      </w:r>
      <w:r w:rsidRPr="005A3AFE">
        <w:rPr>
          <w:rFonts w:ascii="ArialMT" w:hAnsi="ArialMT" w:cs="ArialMT"/>
          <w:b/>
          <w:lang w:val="en-GB"/>
        </w:rPr>
        <w:fldChar w:fldCharType="end"/>
      </w:r>
      <w:r w:rsidRPr="005A3AFE">
        <w:rPr>
          <w:rFonts w:ascii="ArialMT" w:hAnsi="ArialMT" w:cs="ArialMT"/>
          <w:lang w:val="en-GB"/>
        </w:rPr>
        <w:t>)</w:t>
      </w:r>
      <w:r w:rsidRPr="005A3AFE">
        <w:rPr>
          <w:rFonts w:ascii="ArialMT" w:hAnsi="ArialMT" w:cs="ArialMT"/>
          <w:b/>
          <w:lang w:val="en-GB"/>
        </w:rPr>
        <w:t>.</w:t>
      </w:r>
    </w:p>
    <w:p w14:paraId="63336A32" w14:textId="7302D026" w:rsidR="002852D8" w:rsidRPr="0014536F" w:rsidRDefault="004B2F79" w:rsidP="0014536F">
      <w:pPr>
        <w:widowControl w:val="0"/>
        <w:suppressAutoHyphens/>
        <w:autoSpaceDE w:val="0"/>
        <w:autoSpaceDN w:val="0"/>
        <w:adjustRightInd w:val="0"/>
        <w:spacing w:before="120" w:after="240" w:line="290" w:lineRule="atLeast"/>
        <w:textAlignment w:val="center"/>
        <w:rPr>
          <w:rFonts w:ascii="ArialMT" w:hAnsi="ArialMT" w:cs="ArialMT"/>
          <w:lang w:val="en-GB"/>
        </w:rPr>
      </w:pPr>
      <w:r w:rsidRPr="005A3AFE">
        <w:rPr>
          <w:rFonts w:ascii="ArialMT" w:hAnsi="ArialMT" w:cs="ArialMT"/>
          <w:lang w:val="en-GB"/>
        </w:rPr>
        <w:t xml:space="preserve">The </w:t>
      </w:r>
      <w:r w:rsidR="00B5273B" w:rsidRPr="005A3AFE">
        <w:rPr>
          <w:rFonts w:ascii="ArialMT" w:hAnsi="ArialMT" w:cs="ArialMT"/>
          <w:lang w:val="en-GB"/>
        </w:rPr>
        <w:t>high</w:t>
      </w:r>
      <w:r w:rsidR="00BD1A6B" w:rsidRPr="005A3AFE">
        <w:rPr>
          <w:rFonts w:ascii="ArialMT" w:hAnsi="ArialMT" w:cs="ArialMT"/>
          <w:lang w:val="en-GB"/>
        </w:rPr>
        <w:t>er</w:t>
      </w:r>
      <w:r w:rsidR="00B5273B" w:rsidRPr="005A3AFE">
        <w:rPr>
          <w:rFonts w:ascii="ArialMT" w:hAnsi="ArialMT" w:cs="ArialMT"/>
          <w:lang w:val="en-GB"/>
        </w:rPr>
        <w:t xml:space="preserve"> </w:t>
      </w:r>
      <w:r w:rsidRPr="005A3AFE">
        <w:rPr>
          <w:rFonts w:ascii="ArialMT" w:hAnsi="ArialMT" w:cs="ArialMT"/>
          <w:lang w:val="en-GB"/>
        </w:rPr>
        <w:t>rates of postgraduate</w:t>
      </w:r>
      <w:r w:rsidR="0030686D" w:rsidRPr="005A3AFE">
        <w:rPr>
          <w:rFonts w:ascii="ArialMT" w:hAnsi="ArialMT" w:cs="ArialMT"/>
          <w:lang w:val="en-GB"/>
        </w:rPr>
        <w:t xml:space="preserve"> coursework</w:t>
      </w:r>
      <w:r w:rsidRPr="005A3AFE">
        <w:rPr>
          <w:rFonts w:ascii="ArialMT" w:hAnsi="ArialMT" w:cs="ArialMT"/>
          <w:lang w:val="en-GB"/>
        </w:rPr>
        <w:t xml:space="preserve"> graduates</w:t>
      </w:r>
      <w:r w:rsidR="00B5273B" w:rsidRPr="005A3AFE">
        <w:rPr>
          <w:rFonts w:ascii="ArialMT" w:hAnsi="ArialMT" w:cs="ArialMT"/>
          <w:lang w:val="en-GB"/>
        </w:rPr>
        <w:t xml:space="preserve"> employed in managerial or professional occupations shortly after</w:t>
      </w:r>
      <w:r w:rsidR="000367E9" w:rsidRPr="005A3AFE">
        <w:rPr>
          <w:rFonts w:ascii="ArialMT" w:hAnsi="ArialMT" w:cs="ArialMT"/>
          <w:lang w:val="en-GB"/>
        </w:rPr>
        <w:t xml:space="preserve"> course completion reflect the older</w:t>
      </w:r>
      <w:r w:rsidR="00B577AE" w:rsidRPr="005A3AFE">
        <w:rPr>
          <w:rFonts w:ascii="ArialMT" w:hAnsi="ArialMT" w:cs="ArialMT"/>
          <w:lang w:val="en-GB"/>
        </w:rPr>
        <w:t xml:space="preserve"> profile of these graduates and their establishment in the labour</w:t>
      </w:r>
      <w:r w:rsidR="006410E0" w:rsidRPr="005A3AFE">
        <w:rPr>
          <w:rFonts w:ascii="ArialMT" w:hAnsi="ArialMT" w:cs="ArialMT"/>
          <w:lang w:val="en-GB"/>
        </w:rPr>
        <w:t xml:space="preserve"> market</w:t>
      </w:r>
      <w:r w:rsidR="00272B07" w:rsidRPr="005A3AFE">
        <w:rPr>
          <w:rFonts w:ascii="ArialMT" w:hAnsi="ArialMT" w:cs="ArialMT"/>
          <w:lang w:val="en-GB"/>
        </w:rPr>
        <w:t>. These</w:t>
      </w:r>
      <w:r w:rsidR="00025760">
        <w:rPr>
          <w:rFonts w:ascii="ArialMT" w:hAnsi="ArialMT" w:cs="ArialMT"/>
          <w:lang w:val="en-GB"/>
        </w:rPr>
        <w:t> </w:t>
      </w:r>
      <w:r w:rsidR="00272B07" w:rsidRPr="005A3AFE">
        <w:rPr>
          <w:rFonts w:ascii="ArialMT" w:hAnsi="ArialMT" w:cs="ArialMT"/>
          <w:lang w:val="en-GB"/>
        </w:rPr>
        <w:t xml:space="preserve">differences in occupation type </w:t>
      </w:r>
      <w:r w:rsidR="00E702FB" w:rsidRPr="005A3AFE">
        <w:rPr>
          <w:rFonts w:ascii="ArialMT" w:hAnsi="ArialMT" w:cs="ArialMT"/>
          <w:lang w:val="en-GB"/>
        </w:rPr>
        <w:t>across study levels also correspond w</w:t>
      </w:r>
      <w:r w:rsidR="00BE3636" w:rsidRPr="005A3AFE">
        <w:rPr>
          <w:rFonts w:ascii="ArialMT" w:hAnsi="ArialMT" w:cs="ArialMT"/>
          <w:lang w:val="en-GB"/>
        </w:rPr>
        <w:t>ith differences in median salaries</w:t>
      </w:r>
      <w:r w:rsidR="00B1410F">
        <w:rPr>
          <w:rFonts w:ascii="ArialMT" w:hAnsi="ArialMT" w:cs="ArialMT"/>
          <w:lang w:val="en-GB"/>
        </w:rPr>
        <w:t xml:space="preserve"> (s</w:t>
      </w:r>
      <w:r w:rsidR="0077299E" w:rsidRPr="005A3AFE">
        <w:rPr>
          <w:rFonts w:ascii="ArialMT" w:hAnsi="ArialMT" w:cs="ArialMT"/>
          <w:lang w:val="en-GB"/>
        </w:rPr>
        <w:t>ee</w:t>
      </w:r>
      <w:r w:rsidR="00025760">
        <w:rPr>
          <w:rFonts w:ascii="ArialMT" w:hAnsi="ArialMT" w:cs="ArialMT"/>
          <w:lang w:val="en-GB"/>
        </w:rPr>
        <w:t> </w:t>
      </w:r>
      <w:hyperlink w:anchor="_Median__annual" w:history="1">
        <w:r w:rsidR="0077299E" w:rsidRPr="005A3AFE">
          <w:rPr>
            <w:rStyle w:val="Hyperlink"/>
            <w:rFonts w:ascii="ArialMT" w:hAnsi="ArialMT" w:cs="ArialMT"/>
            <w:lang w:val="en-GB"/>
          </w:rPr>
          <w:t>Median annual full-time salary</w:t>
        </w:r>
      </w:hyperlink>
      <w:r w:rsidR="00B1410F" w:rsidRPr="007946BE">
        <w:rPr>
          <w:u w:val="single"/>
        </w:rPr>
        <w:t>)</w:t>
      </w:r>
      <w:r w:rsidR="00E225A8" w:rsidRPr="005A3AFE">
        <w:rPr>
          <w:rFonts w:ascii="ArialMT" w:hAnsi="ArialMT" w:cs="ArialMT"/>
          <w:lang w:val="en-GB"/>
        </w:rPr>
        <w:t>.</w:t>
      </w:r>
      <w:bookmarkStart w:id="97" w:name="_Ref135596505"/>
    </w:p>
    <w:p w14:paraId="6F847710" w14:textId="258F02D1" w:rsidR="00E80377" w:rsidRPr="005A3AFE" w:rsidRDefault="00244416" w:rsidP="00373D3A">
      <w:pPr>
        <w:pStyle w:val="Caption"/>
        <w:spacing w:after="240"/>
      </w:pPr>
      <w:bookmarkStart w:id="98" w:name="_Toc243492094"/>
      <w:r w:rsidRPr="005A3AFE">
        <w:t xml:space="preserve">Table </w:t>
      </w:r>
      <w:fldSimple w:instr=" SEQ Table \* ARABIC ">
        <w:r w:rsidR="00C4459D">
          <w:rPr>
            <w:noProof/>
          </w:rPr>
          <w:t>2</w:t>
        </w:r>
      </w:fldSimple>
      <w:bookmarkEnd w:id="97"/>
      <w:r w:rsidRPr="005A3AFE">
        <w:t xml:space="preserve"> </w:t>
      </w:r>
      <w:r w:rsidR="0014536F">
        <w:tab/>
      </w:r>
      <w:r w:rsidRPr="005A3AFE">
        <w:t>Domestic graduates employed in managerial and professional occupations by employment type and study level (% of those employed)</w:t>
      </w:r>
      <w:bookmarkEnd w:id="98"/>
    </w:p>
    <w:tbl>
      <w:tblPr>
        <w:tblW w:w="5000" w:type="pct"/>
        <w:tblLayout w:type="fixed"/>
        <w:tblCellMar>
          <w:left w:w="0" w:type="dxa"/>
          <w:right w:w="0" w:type="dxa"/>
        </w:tblCellMar>
        <w:tblLook w:val="0000" w:firstRow="0" w:lastRow="0" w:firstColumn="0" w:lastColumn="0" w:noHBand="0" w:noVBand="0"/>
      </w:tblPr>
      <w:tblGrid>
        <w:gridCol w:w="1413"/>
        <w:gridCol w:w="1701"/>
        <w:gridCol w:w="1558"/>
        <w:gridCol w:w="1418"/>
        <w:gridCol w:w="1418"/>
        <w:gridCol w:w="1418"/>
        <w:gridCol w:w="1546"/>
      </w:tblGrid>
      <w:tr w:rsidR="00A43A47" w:rsidRPr="005A3AFE" w14:paraId="5D0EC46B" w14:textId="77777777" w:rsidTr="00295610">
        <w:trPr>
          <w:trHeight w:val="1134"/>
        </w:trPr>
        <w:tc>
          <w:tcPr>
            <w:tcW w:w="675" w:type="pct"/>
            <w:tcBorders>
              <w:top w:val="single" w:sz="4" w:space="0" w:color="000000" w:themeColor="text1"/>
              <w:left w:val="single" w:sz="4" w:space="0" w:color="auto"/>
              <w:right w:val="single" w:sz="4" w:space="0" w:color="000000" w:themeColor="text1"/>
            </w:tcBorders>
          </w:tcPr>
          <w:p w14:paraId="19AFD56A" w14:textId="691FCF1D" w:rsidR="00A43A47" w:rsidRPr="00295610" w:rsidRDefault="00A43A47" w:rsidP="00681913">
            <w:pPr>
              <w:pStyle w:val="TablecolumnheadTABLES"/>
              <w:keepNext/>
              <w:spacing w:before="240" w:after="120"/>
              <w:ind w:left="57" w:right="57"/>
              <w:jc w:val="left"/>
              <w:rPr>
                <w:rFonts w:ascii="Arial" w:hAnsi="Arial" w:cs="Arial"/>
                <w:b/>
                <w:color w:val="auto"/>
                <w:sz w:val="20"/>
                <w:szCs w:val="20"/>
              </w:rPr>
            </w:pPr>
            <w:bookmarkStart w:id="99" w:name="_Hlk109652119"/>
            <w:r w:rsidRPr="00295610">
              <w:rPr>
                <w:rFonts w:ascii="Arial" w:hAnsi="Arial" w:cs="Arial"/>
                <w:b/>
                <w:color w:val="auto"/>
                <w:sz w:val="20"/>
                <w:szCs w:val="20"/>
              </w:rPr>
              <w:t>Employment type</w:t>
            </w:r>
          </w:p>
        </w:tc>
        <w:tc>
          <w:tcPr>
            <w:tcW w:w="812" w:type="pct"/>
            <w:tcBorders>
              <w:top w:val="single" w:sz="4" w:space="0" w:color="000000" w:themeColor="text1"/>
              <w:left w:val="single" w:sz="4" w:space="0" w:color="000000" w:themeColor="text1"/>
              <w:right w:val="single" w:sz="4" w:space="0" w:color="000000" w:themeColor="text1"/>
            </w:tcBorders>
            <w:tcMar>
              <w:top w:w="57" w:type="dxa"/>
              <w:left w:w="57" w:type="dxa"/>
              <w:bottom w:w="57" w:type="dxa"/>
              <w:right w:w="57" w:type="dxa"/>
            </w:tcMar>
            <w:vAlign w:val="center"/>
          </w:tcPr>
          <w:p w14:paraId="756A69EA" w14:textId="77777777" w:rsidR="008A657F" w:rsidRPr="002C5980" w:rsidRDefault="00A43A47" w:rsidP="002C5980">
            <w:pPr>
              <w:keepNext/>
              <w:spacing w:after="60"/>
              <w:ind w:left="85" w:right="28"/>
              <w:rPr>
                <w:rFonts w:cs="Arial"/>
                <w:b/>
                <w:spacing w:val="-2"/>
                <w:szCs w:val="20"/>
              </w:rPr>
            </w:pPr>
            <w:r w:rsidRPr="002C5980">
              <w:rPr>
                <w:rFonts w:cs="Arial"/>
                <w:b/>
                <w:spacing w:val="-2"/>
                <w:szCs w:val="20"/>
              </w:rPr>
              <w:t>Undergraduate:</w:t>
            </w:r>
          </w:p>
          <w:p w14:paraId="0A68FCDB" w14:textId="25411D96" w:rsidR="00A43A47" w:rsidRPr="002C5980" w:rsidRDefault="00A43A47" w:rsidP="002C5980">
            <w:pPr>
              <w:keepNext/>
              <w:spacing w:before="60" w:after="60"/>
              <w:ind w:left="85" w:right="28"/>
              <w:rPr>
                <w:rFonts w:cs="Arial"/>
                <w:bCs/>
                <w:szCs w:val="20"/>
                <w:lang w:val="en-GB"/>
              </w:rPr>
            </w:pPr>
            <w:r w:rsidRPr="002C5980">
              <w:rPr>
                <w:rFonts w:cs="Arial"/>
                <w:bCs/>
                <w:szCs w:val="20"/>
                <w:lang w:val="en-GB"/>
              </w:rPr>
              <w:t>Short-term</w:t>
            </w:r>
            <w:r w:rsidR="008A657F" w:rsidRPr="002C5980">
              <w:rPr>
                <w:rFonts w:cs="Arial"/>
                <w:bCs/>
                <w:szCs w:val="20"/>
                <w:lang w:val="en-GB"/>
              </w:rPr>
              <w:t xml:space="preserve"> </w:t>
            </w:r>
            <w:r w:rsidRPr="002C5980">
              <w:rPr>
                <w:rFonts w:cs="Arial"/>
                <w:bCs/>
                <w:szCs w:val="20"/>
              </w:rPr>
              <w:t>(2023)</w:t>
            </w:r>
          </w:p>
        </w:tc>
        <w:tc>
          <w:tcPr>
            <w:tcW w:w="744" w:type="pct"/>
            <w:tcBorders>
              <w:top w:val="single" w:sz="4" w:space="0" w:color="000000" w:themeColor="text1"/>
              <w:left w:val="single" w:sz="4" w:space="0" w:color="000000" w:themeColor="text1"/>
              <w:right w:val="single" w:sz="4" w:space="0" w:color="000000" w:themeColor="text1"/>
            </w:tcBorders>
            <w:vAlign w:val="center"/>
          </w:tcPr>
          <w:p w14:paraId="1E9490B4" w14:textId="77777777" w:rsidR="008A657F" w:rsidRPr="002C5980" w:rsidRDefault="00A43A47" w:rsidP="002C5980">
            <w:pPr>
              <w:keepNext/>
              <w:spacing w:after="60"/>
              <w:ind w:left="85" w:right="28"/>
              <w:rPr>
                <w:rFonts w:ascii="Arial Bold" w:hAnsi="Arial Bold" w:cs="Arial"/>
                <w:b/>
                <w:spacing w:val="-4"/>
                <w:szCs w:val="20"/>
              </w:rPr>
            </w:pPr>
            <w:r w:rsidRPr="002C5980">
              <w:rPr>
                <w:rFonts w:ascii="Arial Bold" w:hAnsi="Arial Bold" w:cs="Arial"/>
                <w:b/>
                <w:spacing w:val="-4"/>
                <w:szCs w:val="20"/>
              </w:rPr>
              <w:t>Undergraduate:</w:t>
            </w:r>
          </w:p>
          <w:p w14:paraId="78B9068B" w14:textId="1FCFBE48" w:rsidR="00A43A47" w:rsidRPr="002C5980" w:rsidRDefault="00A43A47" w:rsidP="002C5980">
            <w:pPr>
              <w:keepNext/>
              <w:spacing w:before="60" w:after="60"/>
              <w:ind w:left="85" w:right="28"/>
              <w:rPr>
                <w:rFonts w:cs="Arial"/>
                <w:bCs/>
                <w:spacing w:val="-2"/>
                <w:szCs w:val="20"/>
                <w:lang w:val="en-GB"/>
              </w:rPr>
            </w:pPr>
            <w:r w:rsidRPr="002C5980">
              <w:rPr>
                <w:rFonts w:cs="Arial"/>
                <w:bCs/>
                <w:spacing w:val="-2"/>
                <w:szCs w:val="20"/>
                <w:lang w:val="en-GB"/>
              </w:rPr>
              <w:t>Medium-term</w:t>
            </w:r>
            <w:r w:rsidR="008A657F" w:rsidRPr="002C5980">
              <w:rPr>
                <w:rFonts w:cs="Arial"/>
                <w:bCs/>
                <w:spacing w:val="-2"/>
                <w:szCs w:val="20"/>
                <w:lang w:val="en-GB"/>
              </w:rPr>
              <w:t xml:space="preserve"> </w:t>
            </w:r>
            <w:r w:rsidRPr="002C5980">
              <w:rPr>
                <w:rFonts w:cs="Arial"/>
                <w:bCs/>
                <w:spacing w:val="-2"/>
                <w:szCs w:val="20"/>
              </w:rPr>
              <w:t>(2026)</w:t>
            </w:r>
          </w:p>
        </w:tc>
        <w:tc>
          <w:tcPr>
            <w:tcW w:w="677" w:type="pct"/>
            <w:tcBorders>
              <w:top w:val="single" w:sz="4" w:space="0" w:color="000000" w:themeColor="text1"/>
              <w:left w:val="single" w:sz="4" w:space="0" w:color="000000" w:themeColor="text1"/>
              <w:right w:val="single" w:sz="4" w:space="0" w:color="000000" w:themeColor="text1"/>
            </w:tcBorders>
            <w:vAlign w:val="center"/>
          </w:tcPr>
          <w:p w14:paraId="7D096358" w14:textId="77777777" w:rsidR="008A657F" w:rsidRPr="002C5980" w:rsidRDefault="00A43A47" w:rsidP="002C5980">
            <w:pPr>
              <w:keepNext/>
              <w:spacing w:before="240" w:after="60"/>
              <w:ind w:left="85" w:right="28"/>
              <w:rPr>
                <w:rFonts w:cs="Arial"/>
                <w:b/>
                <w:szCs w:val="20"/>
              </w:rPr>
            </w:pPr>
            <w:r w:rsidRPr="002C5980">
              <w:rPr>
                <w:rFonts w:cs="Arial"/>
                <w:b/>
                <w:szCs w:val="20"/>
              </w:rPr>
              <w:t>Postgraduate coursework:</w:t>
            </w:r>
          </w:p>
          <w:p w14:paraId="6D3CEA0B" w14:textId="1F0DA48D" w:rsidR="00A43A47" w:rsidRPr="002C5980" w:rsidRDefault="00A43A47" w:rsidP="002C5980">
            <w:pPr>
              <w:keepNext/>
              <w:spacing w:before="60" w:after="60"/>
              <w:ind w:left="85" w:right="28"/>
              <w:rPr>
                <w:rFonts w:cs="Arial"/>
                <w:bCs/>
                <w:spacing w:val="-2"/>
                <w:szCs w:val="20"/>
                <w:lang w:val="en-GB"/>
              </w:rPr>
            </w:pPr>
            <w:r w:rsidRPr="002C5980">
              <w:rPr>
                <w:rFonts w:cs="Arial"/>
                <w:bCs/>
                <w:spacing w:val="-2"/>
                <w:szCs w:val="20"/>
                <w:lang w:val="en-GB"/>
              </w:rPr>
              <w:t>Short-term</w:t>
            </w:r>
            <w:r w:rsidR="008A657F" w:rsidRPr="002C5980">
              <w:rPr>
                <w:rFonts w:cs="Arial"/>
                <w:bCs/>
                <w:spacing w:val="-2"/>
                <w:szCs w:val="20"/>
                <w:lang w:val="en-GB"/>
              </w:rPr>
              <w:t xml:space="preserve"> </w:t>
            </w:r>
            <w:r w:rsidRPr="002C5980">
              <w:rPr>
                <w:rFonts w:cs="Arial"/>
                <w:bCs/>
                <w:spacing w:val="-2"/>
                <w:szCs w:val="20"/>
              </w:rPr>
              <w:t>(2023)</w:t>
            </w:r>
          </w:p>
        </w:tc>
        <w:tc>
          <w:tcPr>
            <w:tcW w:w="677" w:type="pct"/>
            <w:tcBorders>
              <w:top w:val="single" w:sz="4" w:space="0" w:color="000000" w:themeColor="text1"/>
              <w:left w:val="single" w:sz="4" w:space="0" w:color="000000" w:themeColor="text1"/>
              <w:right w:val="single" w:sz="4" w:space="0" w:color="000000" w:themeColor="text1"/>
            </w:tcBorders>
            <w:vAlign w:val="center"/>
          </w:tcPr>
          <w:p w14:paraId="6A28C7E8" w14:textId="77777777" w:rsidR="008A657F" w:rsidRPr="002C5980" w:rsidRDefault="00A43A47" w:rsidP="002C5980">
            <w:pPr>
              <w:keepNext/>
              <w:spacing w:before="240" w:after="60"/>
              <w:ind w:left="85" w:right="28"/>
              <w:rPr>
                <w:rFonts w:cs="Arial"/>
                <w:b/>
                <w:szCs w:val="20"/>
              </w:rPr>
            </w:pPr>
            <w:r w:rsidRPr="002C5980">
              <w:rPr>
                <w:rFonts w:cs="Arial"/>
                <w:b/>
                <w:szCs w:val="20"/>
              </w:rPr>
              <w:t>Postgraduate coursework:</w:t>
            </w:r>
          </w:p>
          <w:p w14:paraId="54EBA965" w14:textId="57EA8EE9" w:rsidR="00A43A47" w:rsidRPr="002C5980" w:rsidRDefault="00A43A47" w:rsidP="002C5980">
            <w:pPr>
              <w:keepNext/>
              <w:spacing w:before="60" w:after="60"/>
              <w:ind w:left="85" w:right="28"/>
              <w:rPr>
                <w:rFonts w:cs="Arial"/>
                <w:bCs/>
                <w:spacing w:val="-2"/>
                <w:szCs w:val="20"/>
                <w:lang w:val="en-GB"/>
              </w:rPr>
            </w:pPr>
            <w:r w:rsidRPr="002C5980">
              <w:rPr>
                <w:rFonts w:cs="Arial"/>
                <w:bCs/>
                <w:spacing w:val="-2"/>
                <w:szCs w:val="20"/>
                <w:lang w:val="en-GB"/>
              </w:rPr>
              <w:t>Medium-term</w:t>
            </w:r>
            <w:r w:rsidR="008A657F" w:rsidRPr="002C5980">
              <w:rPr>
                <w:rFonts w:cs="Arial"/>
                <w:bCs/>
                <w:spacing w:val="-2"/>
                <w:szCs w:val="20"/>
                <w:lang w:val="en-GB"/>
              </w:rPr>
              <w:t xml:space="preserve"> </w:t>
            </w:r>
            <w:r w:rsidRPr="002C5980">
              <w:rPr>
                <w:rFonts w:cs="Arial"/>
                <w:bCs/>
                <w:spacing w:val="-2"/>
                <w:szCs w:val="20"/>
              </w:rPr>
              <w:t>(2026)</w:t>
            </w:r>
          </w:p>
        </w:tc>
        <w:tc>
          <w:tcPr>
            <w:tcW w:w="677" w:type="pct"/>
            <w:tcBorders>
              <w:top w:val="single" w:sz="4" w:space="0" w:color="000000" w:themeColor="text1"/>
              <w:left w:val="single" w:sz="4" w:space="0" w:color="000000" w:themeColor="text1"/>
              <w:right w:val="single" w:sz="4" w:space="0" w:color="000000" w:themeColor="text1"/>
            </w:tcBorders>
            <w:vAlign w:val="center"/>
          </w:tcPr>
          <w:p w14:paraId="48FE5066" w14:textId="77777777" w:rsidR="008A657F" w:rsidRPr="002C5980" w:rsidRDefault="00A43A47" w:rsidP="002C5980">
            <w:pPr>
              <w:keepNext/>
              <w:spacing w:before="240" w:after="60"/>
              <w:ind w:left="85" w:right="28"/>
              <w:rPr>
                <w:rFonts w:cs="Arial"/>
                <w:b/>
                <w:szCs w:val="20"/>
              </w:rPr>
            </w:pPr>
            <w:r w:rsidRPr="002C5980">
              <w:rPr>
                <w:rFonts w:cs="Arial"/>
                <w:b/>
                <w:szCs w:val="20"/>
              </w:rPr>
              <w:t>Postgraduate research:</w:t>
            </w:r>
          </w:p>
          <w:p w14:paraId="6FCE7C34" w14:textId="7594B117" w:rsidR="00A43A47" w:rsidRPr="002C5980" w:rsidRDefault="00A43A47" w:rsidP="002C5980">
            <w:pPr>
              <w:keepNext/>
              <w:spacing w:before="60" w:after="60"/>
              <w:ind w:left="85" w:right="28"/>
              <w:rPr>
                <w:rFonts w:cs="Arial"/>
                <w:bCs/>
                <w:spacing w:val="-2"/>
                <w:szCs w:val="20"/>
                <w:lang w:val="en-GB"/>
              </w:rPr>
            </w:pPr>
            <w:r w:rsidRPr="002C5980">
              <w:rPr>
                <w:rFonts w:cs="Arial"/>
                <w:bCs/>
                <w:spacing w:val="-2"/>
                <w:szCs w:val="20"/>
                <w:lang w:val="en-GB"/>
              </w:rPr>
              <w:t>Short</w:t>
            </w:r>
            <w:r w:rsidRPr="002C5980">
              <w:rPr>
                <w:rFonts w:cs="Arial"/>
                <w:bCs/>
                <w:spacing w:val="-2"/>
                <w:szCs w:val="20"/>
                <w:lang w:val="en-GB"/>
              </w:rPr>
              <w:noBreakHyphen/>
              <w:t>term</w:t>
            </w:r>
            <w:r w:rsidR="008A657F" w:rsidRPr="002C5980">
              <w:rPr>
                <w:rFonts w:cs="Arial"/>
                <w:bCs/>
                <w:spacing w:val="-2"/>
                <w:szCs w:val="20"/>
                <w:lang w:val="en-GB"/>
              </w:rPr>
              <w:t xml:space="preserve"> </w:t>
            </w:r>
            <w:r w:rsidRPr="002C5980">
              <w:rPr>
                <w:rFonts w:cs="Arial"/>
                <w:bCs/>
                <w:spacing w:val="-2"/>
                <w:szCs w:val="20"/>
              </w:rPr>
              <w:t>(2023)</w:t>
            </w:r>
          </w:p>
        </w:tc>
        <w:tc>
          <w:tcPr>
            <w:tcW w:w="738" w:type="pct"/>
            <w:tcBorders>
              <w:top w:val="single" w:sz="4" w:space="0" w:color="000000" w:themeColor="text1"/>
              <w:left w:val="single" w:sz="4" w:space="0" w:color="000000" w:themeColor="text1"/>
              <w:right w:val="single" w:sz="4" w:space="0" w:color="000000" w:themeColor="text1"/>
            </w:tcBorders>
            <w:vAlign w:val="center"/>
          </w:tcPr>
          <w:p w14:paraId="211C527E" w14:textId="77777777" w:rsidR="008A657F" w:rsidRPr="002C5980" w:rsidRDefault="00A43A47" w:rsidP="002C5980">
            <w:pPr>
              <w:keepNext/>
              <w:spacing w:before="240" w:after="60"/>
              <w:ind w:left="85" w:right="28"/>
              <w:rPr>
                <w:rFonts w:cs="Arial"/>
                <w:b/>
                <w:szCs w:val="20"/>
              </w:rPr>
            </w:pPr>
            <w:r w:rsidRPr="002C5980">
              <w:rPr>
                <w:rFonts w:cs="Arial"/>
                <w:b/>
                <w:szCs w:val="20"/>
              </w:rPr>
              <w:t>Postgraduate research:</w:t>
            </w:r>
          </w:p>
          <w:p w14:paraId="009130EE" w14:textId="5FE8BEDC" w:rsidR="00A43A47" w:rsidRPr="002C5980" w:rsidRDefault="00A43A47" w:rsidP="002C5980">
            <w:pPr>
              <w:keepNext/>
              <w:spacing w:before="60" w:after="60"/>
              <w:ind w:left="85" w:right="28"/>
              <w:rPr>
                <w:rFonts w:cs="Arial"/>
                <w:bCs/>
                <w:spacing w:val="-2"/>
                <w:szCs w:val="20"/>
                <w:lang w:val="en-GB"/>
              </w:rPr>
            </w:pPr>
            <w:r w:rsidRPr="002C5980">
              <w:rPr>
                <w:rFonts w:cs="Arial"/>
                <w:bCs/>
                <w:spacing w:val="-2"/>
                <w:szCs w:val="20"/>
                <w:lang w:val="en-GB"/>
              </w:rPr>
              <w:t>Medium-term</w:t>
            </w:r>
            <w:r w:rsidR="008A657F" w:rsidRPr="002C5980">
              <w:rPr>
                <w:rFonts w:cs="Arial"/>
                <w:bCs/>
                <w:spacing w:val="-2"/>
                <w:szCs w:val="20"/>
                <w:lang w:val="en-GB"/>
              </w:rPr>
              <w:t xml:space="preserve"> </w:t>
            </w:r>
            <w:r w:rsidRPr="002C5980">
              <w:rPr>
                <w:rFonts w:cs="Arial"/>
                <w:bCs/>
                <w:spacing w:val="-2"/>
                <w:szCs w:val="20"/>
              </w:rPr>
              <w:t>(2026)</w:t>
            </w:r>
          </w:p>
        </w:tc>
      </w:tr>
      <w:tr w:rsidR="00A63D6A" w:rsidRPr="005A3AFE" w14:paraId="01653DD2" w14:textId="77777777" w:rsidTr="00295610">
        <w:trPr>
          <w:trHeight w:val="86"/>
        </w:trPr>
        <w:tc>
          <w:tcPr>
            <w:tcW w:w="675" w:type="pct"/>
            <w:tcBorders>
              <w:top w:val="single" w:sz="4" w:space="0" w:color="000000" w:themeColor="text1"/>
              <w:left w:val="single" w:sz="4" w:space="0" w:color="auto"/>
              <w:bottom w:val="single" w:sz="4" w:space="0" w:color="000000" w:themeColor="text1"/>
              <w:right w:val="single" w:sz="4" w:space="0" w:color="000000" w:themeColor="text1"/>
            </w:tcBorders>
          </w:tcPr>
          <w:p w14:paraId="70729D12" w14:textId="77777777" w:rsidR="00A63D6A" w:rsidRPr="007C2C04" w:rsidRDefault="00A63D6A" w:rsidP="00025760">
            <w:pPr>
              <w:pStyle w:val="TablecolumnheadTABLES"/>
              <w:spacing w:before="120" w:after="120"/>
              <w:ind w:left="113"/>
              <w:jc w:val="left"/>
              <w:rPr>
                <w:rFonts w:ascii="Arial" w:hAnsi="Arial" w:cs="Arial"/>
                <w:bCs/>
                <w:color w:val="auto"/>
                <w:sz w:val="20"/>
                <w:szCs w:val="20"/>
              </w:rPr>
            </w:pPr>
            <w:r w:rsidRPr="007C2C04">
              <w:rPr>
                <w:rFonts w:ascii="Arial" w:hAnsi="Arial" w:cs="Arial"/>
                <w:bCs/>
                <w:color w:val="auto"/>
                <w:sz w:val="20"/>
                <w:szCs w:val="20"/>
              </w:rPr>
              <w:t>Full-time employed</w:t>
            </w:r>
          </w:p>
        </w:tc>
        <w:tc>
          <w:tcPr>
            <w:tcW w:w="81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left w:w="57" w:type="dxa"/>
              <w:bottom w:w="57" w:type="dxa"/>
              <w:right w:w="57" w:type="dxa"/>
            </w:tcMar>
            <w:vAlign w:val="center"/>
          </w:tcPr>
          <w:p w14:paraId="7800AF00" w14:textId="2BE1FB4A" w:rsidR="00A63D6A" w:rsidRPr="007C2C04" w:rsidRDefault="004A4E56" w:rsidP="00A43A47">
            <w:pPr>
              <w:spacing w:before="120" w:after="120"/>
              <w:ind w:left="57" w:right="57"/>
              <w:jc w:val="center"/>
              <w:rPr>
                <w:rFonts w:cs="Arial"/>
                <w:bCs/>
                <w:color w:val="000000"/>
                <w:szCs w:val="20"/>
              </w:rPr>
            </w:pPr>
            <w:r w:rsidRPr="007C2C04">
              <w:rPr>
                <w:rFonts w:cs="Arial"/>
                <w:bCs/>
                <w:color w:val="000000"/>
                <w:szCs w:val="20"/>
              </w:rPr>
              <w:t>70.</w:t>
            </w:r>
            <w:r w:rsidR="00DF6C85" w:rsidRPr="007C2C04">
              <w:rPr>
                <w:rFonts w:cs="Arial"/>
                <w:bCs/>
                <w:color w:val="000000"/>
                <w:szCs w:val="20"/>
              </w:rPr>
              <w:t>6</w:t>
            </w:r>
          </w:p>
        </w:tc>
        <w:tc>
          <w:tcPr>
            <w:tcW w:w="74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68FC1" w14:textId="17720DF7" w:rsidR="00A63D6A" w:rsidRPr="007C2C04" w:rsidRDefault="004A4E56" w:rsidP="00025760">
            <w:pPr>
              <w:spacing w:before="120" w:after="120"/>
              <w:ind w:left="113"/>
              <w:jc w:val="center"/>
              <w:rPr>
                <w:rFonts w:cs="Arial"/>
                <w:bCs/>
                <w:color w:val="000000"/>
                <w:szCs w:val="20"/>
              </w:rPr>
            </w:pPr>
            <w:r w:rsidRPr="007C2C04">
              <w:rPr>
                <w:rFonts w:cs="Arial"/>
                <w:bCs/>
                <w:color w:val="000000"/>
                <w:szCs w:val="20"/>
              </w:rPr>
              <w:t>78.</w:t>
            </w:r>
            <w:r w:rsidR="00DF6C85" w:rsidRPr="007C2C04">
              <w:rPr>
                <w:rFonts w:cs="Arial"/>
                <w:bCs/>
                <w:color w:val="000000"/>
                <w:szCs w:val="20"/>
              </w:rPr>
              <w:t>7</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5C997" w14:textId="0D8E8C88" w:rsidR="00A63D6A" w:rsidRPr="007C2C04" w:rsidRDefault="00DF6C85" w:rsidP="00A43A47">
            <w:pPr>
              <w:pStyle w:val="TablecolumnheadTABLES"/>
              <w:spacing w:before="120" w:after="120"/>
              <w:ind w:left="57" w:right="57"/>
              <w:rPr>
                <w:rFonts w:ascii="Arial" w:hAnsi="Arial" w:cs="Arial"/>
                <w:bCs/>
                <w:sz w:val="20"/>
                <w:szCs w:val="20"/>
              </w:rPr>
            </w:pPr>
            <w:r w:rsidRPr="007C2C04">
              <w:rPr>
                <w:rFonts w:ascii="Arial" w:hAnsi="Arial" w:cs="Arial"/>
                <w:bCs/>
                <w:sz w:val="20"/>
                <w:szCs w:val="20"/>
              </w:rPr>
              <w:t>85.7</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left w:w="57" w:type="dxa"/>
              <w:bottom w:w="57" w:type="dxa"/>
              <w:right w:w="57" w:type="dxa"/>
            </w:tcMar>
            <w:vAlign w:val="center"/>
          </w:tcPr>
          <w:p w14:paraId="24135D9B" w14:textId="30B2020B" w:rsidR="00A63D6A" w:rsidRPr="007C2C04" w:rsidRDefault="00664223" w:rsidP="00A43A47">
            <w:pPr>
              <w:spacing w:before="120" w:after="120"/>
              <w:ind w:left="57" w:right="57"/>
              <w:jc w:val="center"/>
              <w:rPr>
                <w:rFonts w:cs="Arial"/>
                <w:bCs/>
                <w:color w:val="000000"/>
                <w:szCs w:val="20"/>
              </w:rPr>
            </w:pPr>
            <w:r w:rsidRPr="007C2C04">
              <w:rPr>
                <w:rFonts w:cs="Arial"/>
                <w:bCs/>
                <w:color w:val="000000"/>
                <w:szCs w:val="20"/>
              </w:rPr>
              <w:t>89.</w:t>
            </w:r>
            <w:r w:rsidR="00DF6C85" w:rsidRPr="007C2C04">
              <w:rPr>
                <w:rFonts w:cs="Arial"/>
                <w:bCs/>
                <w:color w:val="000000"/>
                <w:szCs w:val="20"/>
              </w:rPr>
              <w:t>1</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left w:w="57" w:type="dxa"/>
              <w:bottom w:w="57" w:type="dxa"/>
              <w:right w:w="57" w:type="dxa"/>
            </w:tcMar>
            <w:vAlign w:val="center"/>
          </w:tcPr>
          <w:p w14:paraId="15FABC2F" w14:textId="38052229" w:rsidR="00A63D6A" w:rsidRPr="007C2C04" w:rsidRDefault="00DF6C85" w:rsidP="00A43A47">
            <w:pPr>
              <w:spacing w:before="120" w:after="120"/>
              <w:ind w:left="57" w:right="57"/>
              <w:jc w:val="center"/>
              <w:rPr>
                <w:rFonts w:cs="Arial"/>
                <w:bCs/>
                <w:color w:val="000000"/>
                <w:szCs w:val="20"/>
              </w:rPr>
            </w:pPr>
            <w:r w:rsidRPr="007C2C04">
              <w:rPr>
                <w:rFonts w:cs="Arial"/>
                <w:bCs/>
                <w:color w:val="000000"/>
                <w:szCs w:val="20"/>
              </w:rPr>
              <w:t>90.5</w:t>
            </w:r>
          </w:p>
        </w:tc>
        <w:tc>
          <w:tcPr>
            <w:tcW w:w="7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120561" w14:textId="37FC4148" w:rsidR="00A63D6A" w:rsidRPr="007C2C04" w:rsidRDefault="00DF6C85" w:rsidP="00A43A47">
            <w:pPr>
              <w:spacing w:before="120" w:after="120"/>
              <w:ind w:left="57" w:right="57"/>
              <w:jc w:val="center"/>
              <w:rPr>
                <w:rFonts w:cs="Arial"/>
                <w:bCs/>
                <w:color w:val="000000"/>
                <w:szCs w:val="20"/>
              </w:rPr>
            </w:pPr>
            <w:r w:rsidRPr="007C2C04">
              <w:rPr>
                <w:rFonts w:cs="Arial"/>
                <w:bCs/>
                <w:color w:val="000000"/>
                <w:szCs w:val="20"/>
              </w:rPr>
              <w:t>93.6</w:t>
            </w:r>
          </w:p>
        </w:tc>
      </w:tr>
      <w:tr w:rsidR="00782896" w:rsidRPr="005A3AFE" w14:paraId="5EE92774" w14:textId="77777777" w:rsidTr="00295610">
        <w:trPr>
          <w:trHeight w:val="86"/>
        </w:trPr>
        <w:tc>
          <w:tcPr>
            <w:tcW w:w="675" w:type="pct"/>
            <w:tcBorders>
              <w:top w:val="single" w:sz="4" w:space="0" w:color="000000" w:themeColor="text1"/>
              <w:left w:val="single" w:sz="4" w:space="0" w:color="auto"/>
              <w:bottom w:val="single" w:sz="4" w:space="0" w:color="000000" w:themeColor="text1"/>
              <w:right w:val="single" w:sz="4" w:space="0" w:color="000000" w:themeColor="text1"/>
            </w:tcBorders>
          </w:tcPr>
          <w:p w14:paraId="0EC060AC" w14:textId="32143EB0" w:rsidR="00782896" w:rsidRPr="007C2C04" w:rsidRDefault="00782896" w:rsidP="00025760">
            <w:pPr>
              <w:pStyle w:val="TablecolumnheadTABLES"/>
              <w:spacing w:before="120" w:after="120"/>
              <w:ind w:left="113"/>
              <w:jc w:val="left"/>
              <w:rPr>
                <w:rFonts w:ascii="Arial" w:hAnsi="Arial" w:cs="Arial"/>
                <w:bCs/>
                <w:color w:val="auto"/>
                <w:sz w:val="20"/>
                <w:szCs w:val="20"/>
              </w:rPr>
            </w:pPr>
            <w:r w:rsidRPr="007C2C04">
              <w:rPr>
                <w:rFonts w:ascii="Arial" w:hAnsi="Arial" w:cs="Arial"/>
                <w:bCs/>
                <w:color w:val="auto"/>
                <w:sz w:val="20"/>
                <w:szCs w:val="20"/>
              </w:rPr>
              <w:t>Overall employed</w:t>
            </w:r>
          </w:p>
        </w:tc>
        <w:tc>
          <w:tcPr>
            <w:tcW w:w="81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left w:w="57" w:type="dxa"/>
              <w:bottom w:w="57" w:type="dxa"/>
              <w:right w:w="57" w:type="dxa"/>
            </w:tcMar>
            <w:vAlign w:val="center"/>
          </w:tcPr>
          <w:p w14:paraId="05496487" w14:textId="63613E72" w:rsidR="00782896" w:rsidRPr="007C2C04" w:rsidRDefault="00DF6C85" w:rsidP="00A43A47">
            <w:pPr>
              <w:spacing w:before="120" w:after="120"/>
              <w:ind w:left="57" w:right="57"/>
              <w:jc w:val="center"/>
              <w:rPr>
                <w:rFonts w:cs="Arial"/>
                <w:bCs/>
                <w:color w:val="000000"/>
                <w:szCs w:val="20"/>
              </w:rPr>
            </w:pPr>
            <w:r w:rsidRPr="007C2C04">
              <w:rPr>
                <w:rFonts w:cs="Arial"/>
                <w:bCs/>
                <w:color w:val="000000"/>
                <w:szCs w:val="20"/>
              </w:rPr>
              <w:t>61.3</w:t>
            </w:r>
          </w:p>
        </w:tc>
        <w:tc>
          <w:tcPr>
            <w:tcW w:w="74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A251CD" w14:textId="775AFB70" w:rsidR="00782896" w:rsidRPr="007C2C04" w:rsidRDefault="007E0EE1" w:rsidP="00A43A47">
            <w:pPr>
              <w:spacing w:before="120" w:after="120"/>
              <w:ind w:left="57" w:right="57"/>
              <w:jc w:val="center"/>
              <w:rPr>
                <w:rFonts w:cs="Arial"/>
                <w:bCs/>
                <w:color w:val="000000"/>
                <w:szCs w:val="20"/>
              </w:rPr>
            </w:pPr>
            <w:r w:rsidRPr="007C2C04">
              <w:rPr>
                <w:rFonts w:cs="Arial"/>
                <w:bCs/>
                <w:color w:val="000000"/>
                <w:szCs w:val="20"/>
              </w:rPr>
              <w:t>74.6</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291F9B" w14:textId="02441355" w:rsidR="00782896" w:rsidRPr="007C2C04" w:rsidRDefault="006E6DC9" w:rsidP="00A43A47">
            <w:pPr>
              <w:pStyle w:val="TablecolumnheadTABLES"/>
              <w:spacing w:before="120" w:after="120"/>
              <w:ind w:left="57" w:right="57"/>
              <w:rPr>
                <w:rFonts w:ascii="Arial" w:hAnsi="Arial" w:cs="Arial"/>
                <w:bCs/>
                <w:sz w:val="20"/>
                <w:szCs w:val="20"/>
              </w:rPr>
            </w:pPr>
            <w:r w:rsidRPr="007C2C04">
              <w:rPr>
                <w:rFonts w:ascii="Arial" w:hAnsi="Arial" w:cs="Arial"/>
                <w:bCs/>
                <w:sz w:val="20"/>
                <w:szCs w:val="20"/>
              </w:rPr>
              <w:t>84.0</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left w:w="57" w:type="dxa"/>
              <w:bottom w:w="57" w:type="dxa"/>
              <w:right w:w="57" w:type="dxa"/>
            </w:tcMar>
            <w:vAlign w:val="center"/>
          </w:tcPr>
          <w:p w14:paraId="3DAE5A25" w14:textId="1902EB2C" w:rsidR="00782896" w:rsidRPr="007C2C04" w:rsidRDefault="006E6DC9" w:rsidP="00A43A47">
            <w:pPr>
              <w:spacing w:before="120" w:after="120"/>
              <w:ind w:left="57" w:right="57"/>
              <w:jc w:val="center"/>
              <w:rPr>
                <w:rFonts w:cs="Arial"/>
                <w:bCs/>
                <w:color w:val="000000"/>
                <w:szCs w:val="20"/>
              </w:rPr>
            </w:pPr>
            <w:r w:rsidRPr="007C2C04">
              <w:rPr>
                <w:rFonts w:cs="Arial"/>
                <w:bCs/>
                <w:color w:val="000000"/>
                <w:szCs w:val="20"/>
              </w:rPr>
              <w:t>88.3</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left w:w="57" w:type="dxa"/>
              <w:bottom w:w="57" w:type="dxa"/>
              <w:right w:w="57" w:type="dxa"/>
            </w:tcMar>
            <w:vAlign w:val="center"/>
          </w:tcPr>
          <w:p w14:paraId="64C5194D" w14:textId="09E45D7D" w:rsidR="00782896" w:rsidRPr="007C2C04" w:rsidRDefault="00DF6C85" w:rsidP="00A43A47">
            <w:pPr>
              <w:spacing w:before="120" w:after="120"/>
              <w:ind w:left="57" w:right="57"/>
              <w:jc w:val="center"/>
              <w:rPr>
                <w:rFonts w:cs="Arial"/>
                <w:bCs/>
                <w:color w:val="000000"/>
                <w:szCs w:val="20"/>
              </w:rPr>
            </w:pPr>
            <w:r w:rsidRPr="007C2C04">
              <w:rPr>
                <w:rFonts w:cs="Arial"/>
                <w:bCs/>
                <w:color w:val="000000"/>
                <w:szCs w:val="20"/>
              </w:rPr>
              <w:t>89.7</w:t>
            </w:r>
          </w:p>
        </w:tc>
        <w:tc>
          <w:tcPr>
            <w:tcW w:w="7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689355" w14:textId="18E34201" w:rsidR="00782896" w:rsidRPr="007C2C04" w:rsidRDefault="00DF6C85" w:rsidP="00A43A47">
            <w:pPr>
              <w:spacing w:before="120" w:after="120"/>
              <w:ind w:left="57" w:right="57"/>
              <w:jc w:val="center"/>
              <w:rPr>
                <w:rFonts w:cs="Arial"/>
                <w:bCs/>
                <w:color w:val="000000"/>
                <w:szCs w:val="20"/>
              </w:rPr>
            </w:pPr>
            <w:r w:rsidRPr="007C2C04">
              <w:rPr>
                <w:rFonts w:cs="Arial"/>
                <w:bCs/>
                <w:color w:val="000000"/>
                <w:szCs w:val="20"/>
              </w:rPr>
              <w:t>92.8</w:t>
            </w:r>
          </w:p>
        </w:tc>
      </w:tr>
    </w:tbl>
    <w:bookmarkEnd w:id="99"/>
    <w:p w14:paraId="32478E73" w14:textId="4DEC3F65" w:rsidR="007E1079" w:rsidRPr="005A3AFE" w:rsidRDefault="006311A2" w:rsidP="0014536F">
      <w:pPr>
        <w:spacing w:before="240" w:after="240" w:line="290" w:lineRule="atLeast"/>
        <w:rPr>
          <w:rFonts w:ascii="ArialMT" w:hAnsi="ArialMT" w:cs="ArialMT"/>
          <w:lang w:val="en-GB"/>
        </w:rPr>
      </w:pPr>
      <w:r w:rsidRPr="00452453">
        <w:rPr>
          <w:rFonts w:ascii="ArialMT" w:hAnsi="ArialMT" w:cs="ArialMT"/>
          <w:lang w:val="en-GB"/>
        </w:rPr>
        <w:t xml:space="preserve">Four to six months after course completion, </w:t>
      </w:r>
      <w:r w:rsidR="0067106C" w:rsidRPr="00452453">
        <w:rPr>
          <w:rFonts w:ascii="ArialMT" w:hAnsi="ArialMT" w:cs="ArialMT"/>
          <w:lang w:val="en-GB"/>
        </w:rPr>
        <w:t>29</w:t>
      </w:r>
      <w:r w:rsidRPr="00452453">
        <w:rPr>
          <w:rFonts w:ascii="ArialMT" w:hAnsi="ArialMT" w:cs="ArialMT"/>
          <w:lang w:val="en-GB"/>
        </w:rPr>
        <w:t>.</w:t>
      </w:r>
      <w:r w:rsidR="0067106C" w:rsidRPr="00452453">
        <w:rPr>
          <w:rFonts w:ascii="ArialMT" w:hAnsi="ArialMT" w:cs="ArialMT"/>
          <w:lang w:val="en-GB"/>
        </w:rPr>
        <w:t>4</w:t>
      </w:r>
      <w:r w:rsidRPr="00452453">
        <w:rPr>
          <w:rFonts w:ascii="ArialMT" w:hAnsi="ArialMT" w:cs="ArialMT"/>
          <w:lang w:val="en-GB"/>
        </w:rPr>
        <w:t xml:space="preserve"> per cent</w:t>
      </w:r>
      <w:r w:rsidR="00391285" w:rsidRPr="00452453">
        <w:rPr>
          <w:rFonts w:ascii="ArialMT" w:hAnsi="ArialMT" w:cs="ArialMT"/>
          <w:lang w:val="en-GB"/>
        </w:rPr>
        <w:t xml:space="preserve"> of </w:t>
      </w:r>
      <w:r w:rsidR="001B42F6" w:rsidRPr="00452453">
        <w:rPr>
          <w:rFonts w:ascii="ArialMT" w:hAnsi="ArialMT" w:cs="ArialMT"/>
          <w:lang w:val="en-GB"/>
        </w:rPr>
        <w:t>undergraduates in full-time employment</w:t>
      </w:r>
      <w:r w:rsidR="00FD4A8C" w:rsidRPr="00452453">
        <w:rPr>
          <w:rFonts w:ascii="ArialMT" w:hAnsi="ArialMT" w:cs="ArialMT"/>
          <w:lang w:val="en-GB"/>
        </w:rPr>
        <w:t xml:space="preserve"> were not working in</w:t>
      </w:r>
      <w:r w:rsidR="001335BC" w:rsidRPr="00452453">
        <w:rPr>
          <w:rFonts w:ascii="ArialMT" w:hAnsi="ArialMT" w:cs="ArialMT"/>
          <w:lang w:val="en-GB"/>
        </w:rPr>
        <w:t xml:space="preserve"> </w:t>
      </w:r>
      <w:r w:rsidR="00FD4A8C" w:rsidRPr="00452453">
        <w:rPr>
          <w:rFonts w:ascii="ArialMT" w:hAnsi="ArialMT" w:cs="ArialMT"/>
          <w:lang w:val="en-GB"/>
        </w:rPr>
        <w:t>managerial or professional roles</w:t>
      </w:r>
      <w:r w:rsidRPr="00452453">
        <w:rPr>
          <w:rFonts w:ascii="ArialMT" w:hAnsi="ArialMT" w:cs="ArialMT"/>
          <w:lang w:val="en-GB"/>
        </w:rPr>
        <w:t>.</w:t>
      </w:r>
      <w:r w:rsidR="00791740" w:rsidRPr="00452453">
        <w:rPr>
          <w:rFonts w:ascii="ArialMT" w:hAnsi="ArialMT" w:cs="ArialMT"/>
          <w:lang w:val="en-GB"/>
        </w:rPr>
        <w:t xml:space="preserve"> </w:t>
      </w:r>
      <w:r w:rsidRPr="00452453">
        <w:rPr>
          <w:rFonts w:ascii="ArialMT" w:hAnsi="ArialMT" w:cs="ArialMT"/>
          <w:lang w:val="en-GB"/>
        </w:rPr>
        <w:t>Of those</w:t>
      </w:r>
      <w:r w:rsidR="00B921B4" w:rsidRPr="00452453">
        <w:rPr>
          <w:rFonts w:ascii="ArialMT" w:hAnsi="ArialMT" w:cs="ArialMT"/>
          <w:lang w:val="en-GB"/>
        </w:rPr>
        <w:t xml:space="preserve"> still</w:t>
      </w:r>
      <w:r w:rsidR="004C7A96" w:rsidRPr="00452453">
        <w:rPr>
          <w:rFonts w:ascii="ArialMT" w:hAnsi="ArialMT" w:cs="ArialMT"/>
          <w:lang w:val="en-GB"/>
        </w:rPr>
        <w:t xml:space="preserve"> working full-time 3</w:t>
      </w:r>
      <w:r w:rsidR="001805F3" w:rsidRPr="00452453">
        <w:rPr>
          <w:rFonts w:ascii="ArialMT" w:hAnsi="ArialMT" w:cs="ArialMT"/>
          <w:lang w:val="en-GB"/>
        </w:rPr>
        <w:t xml:space="preserve"> </w:t>
      </w:r>
      <w:r w:rsidR="004C7A96" w:rsidRPr="00452453">
        <w:rPr>
          <w:rFonts w:ascii="ArialMT" w:hAnsi="ArialMT" w:cs="ArialMT"/>
          <w:lang w:val="en-GB"/>
        </w:rPr>
        <w:t>years later</w:t>
      </w:r>
      <w:r w:rsidRPr="00452453">
        <w:rPr>
          <w:rFonts w:ascii="ArialMT" w:hAnsi="ArialMT" w:cs="ArialMT"/>
          <w:lang w:val="en-GB"/>
        </w:rPr>
        <w:t xml:space="preserve">, </w:t>
      </w:r>
      <w:r w:rsidR="00A054F2" w:rsidRPr="00452453">
        <w:rPr>
          <w:rFonts w:ascii="ArialMT" w:hAnsi="ArialMT" w:cs="ArialMT"/>
          <w:lang w:val="en-GB"/>
        </w:rPr>
        <w:t>54</w:t>
      </w:r>
      <w:r w:rsidR="00937B6A" w:rsidRPr="00452453">
        <w:rPr>
          <w:rFonts w:ascii="ArialMT" w:hAnsi="ArialMT" w:cs="ArialMT"/>
          <w:lang w:val="en-GB"/>
        </w:rPr>
        <w:t>.</w:t>
      </w:r>
      <w:r w:rsidR="00A054F2" w:rsidRPr="00452453">
        <w:rPr>
          <w:rFonts w:ascii="ArialMT" w:hAnsi="ArialMT" w:cs="ArialMT"/>
          <w:lang w:val="en-GB"/>
        </w:rPr>
        <w:t>5</w:t>
      </w:r>
      <w:r w:rsidRPr="00452453">
        <w:rPr>
          <w:rFonts w:ascii="ArialMT" w:hAnsi="ArialMT" w:cs="ArialMT"/>
          <w:lang w:val="en-GB"/>
        </w:rPr>
        <w:t xml:space="preserve"> per cent</w:t>
      </w:r>
      <w:r w:rsidR="004C7A96" w:rsidRPr="00452453">
        <w:rPr>
          <w:rFonts w:ascii="ArialMT" w:hAnsi="ArialMT" w:cs="ArialMT"/>
          <w:lang w:val="en-GB"/>
        </w:rPr>
        <w:t xml:space="preserve"> reported working in </w:t>
      </w:r>
      <w:r w:rsidR="007D4F77" w:rsidRPr="00452453">
        <w:rPr>
          <w:rFonts w:ascii="ArialMT" w:hAnsi="ArialMT" w:cs="ArialMT"/>
          <w:lang w:val="en-GB"/>
        </w:rPr>
        <w:t>managerial and professional occupations</w:t>
      </w:r>
      <w:r w:rsidR="001335BC" w:rsidRPr="00452453">
        <w:rPr>
          <w:rFonts w:ascii="ArialMT" w:hAnsi="ArialMT" w:cs="ArialMT"/>
          <w:lang w:val="en-GB"/>
        </w:rPr>
        <w:t xml:space="preserve"> (</w:t>
      </w:r>
      <w:r w:rsidR="001335BC" w:rsidRPr="00452453">
        <w:rPr>
          <w:rFonts w:ascii="ArialMT" w:hAnsi="ArialMT" w:cs="ArialMT"/>
          <w:b/>
          <w:bCs/>
          <w:lang w:val="en-GB"/>
        </w:rPr>
        <w:fldChar w:fldCharType="begin"/>
      </w:r>
      <w:r w:rsidR="001335BC" w:rsidRPr="00452453">
        <w:rPr>
          <w:rFonts w:ascii="ArialMT" w:hAnsi="ArialMT" w:cs="ArialMT"/>
          <w:b/>
          <w:bCs/>
          <w:lang w:val="en-GB"/>
        </w:rPr>
        <w:instrText xml:space="preserve"> REF _Ref229753080 \h  \* MERGEFORMAT </w:instrText>
      </w:r>
      <w:r w:rsidR="001335BC" w:rsidRPr="00452453">
        <w:rPr>
          <w:rFonts w:ascii="ArialMT" w:hAnsi="ArialMT" w:cs="ArialMT"/>
          <w:b/>
          <w:bCs/>
          <w:lang w:val="en-GB"/>
        </w:rPr>
      </w:r>
      <w:r w:rsidR="001335BC" w:rsidRPr="00452453">
        <w:rPr>
          <w:rFonts w:ascii="ArialMT" w:hAnsi="ArialMT" w:cs="ArialMT"/>
          <w:b/>
          <w:bCs/>
          <w:lang w:val="en-GB"/>
        </w:rPr>
        <w:fldChar w:fldCharType="separate"/>
      </w:r>
      <w:r w:rsidR="00487685" w:rsidRPr="00452453">
        <w:rPr>
          <w:rFonts w:ascii="ArialMT" w:hAnsi="ArialMT" w:cs="ArialMT"/>
          <w:b/>
          <w:bCs/>
          <w:lang w:val="en-GB"/>
        </w:rPr>
        <w:t>Figure 11</w:t>
      </w:r>
      <w:r w:rsidR="001335BC" w:rsidRPr="00452453">
        <w:rPr>
          <w:rFonts w:ascii="ArialMT" w:hAnsi="ArialMT" w:cs="ArialMT"/>
          <w:b/>
          <w:bCs/>
          <w:lang w:val="en-GB"/>
        </w:rPr>
        <w:fldChar w:fldCharType="end"/>
      </w:r>
      <w:r w:rsidR="001335BC" w:rsidRPr="00452453">
        <w:rPr>
          <w:rFonts w:ascii="ArialMT" w:hAnsi="ArialMT" w:cs="ArialMT"/>
          <w:lang w:val="en-GB"/>
        </w:rPr>
        <w:t>)</w:t>
      </w:r>
      <w:r w:rsidR="007D4F77" w:rsidRPr="00452453">
        <w:rPr>
          <w:rFonts w:ascii="ArialMT" w:hAnsi="ArialMT" w:cs="ArialMT"/>
          <w:b/>
          <w:bCs/>
          <w:lang w:val="en-GB"/>
        </w:rPr>
        <w:t>.</w:t>
      </w:r>
      <w:r w:rsidR="007D4F77" w:rsidRPr="00452453">
        <w:rPr>
          <w:rFonts w:ascii="ArialMT" w:hAnsi="ArialMT" w:cs="ArialMT"/>
          <w:lang w:val="en-GB"/>
        </w:rPr>
        <w:t xml:space="preserve"> </w:t>
      </w:r>
      <w:r w:rsidR="00AE05F7" w:rsidRPr="00452453">
        <w:rPr>
          <w:rFonts w:ascii="ArialMT" w:hAnsi="ArialMT" w:cs="ArialMT"/>
          <w:lang w:val="en-GB"/>
        </w:rPr>
        <w:t>Th</w:t>
      </w:r>
      <w:r w:rsidR="00A02074" w:rsidRPr="00452453">
        <w:rPr>
          <w:rFonts w:ascii="ArialMT" w:hAnsi="ArialMT" w:cs="ArialMT"/>
          <w:lang w:val="en-GB"/>
        </w:rPr>
        <w:t>e</w:t>
      </w:r>
      <w:r w:rsidR="00AE05F7" w:rsidRPr="00452453">
        <w:rPr>
          <w:rFonts w:ascii="ArialMT" w:hAnsi="ArialMT" w:cs="ArialMT"/>
          <w:lang w:val="en-GB"/>
        </w:rPr>
        <w:t xml:space="preserve"> proportion</w:t>
      </w:r>
      <w:r w:rsidR="00A02074" w:rsidRPr="00452453">
        <w:rPr>
          <w:rFonts w:ascii="ArialMT" w:hAnsi="ArialMT" w:cs="ArialMT"/>
          <w:lang w:val="en-GB"/>
        </w:rPr>
        <w:t>s</w:t>
      </w:r>
      <w:r w:rsidR="00AE05F7" w:rsidRPr="00452453">
        <w:rPr>
          <w:rFonts w:ascii="ArialMT" w:hAnsi="ArialMT" w:cs="ArialMT"/>
          <w:lang w:val="en-GB"/>
        </w:rPr>
        <w:t xml:space="preserve"> </w:t>
      </w:r>
      <w:r w:rsidR="00A02074" w:rsidRPr="00452453">
        <w:rPr>
          <w:rFonts w:ascii="ArialMT" w:hAnsi="ArialMT" w:cs="ArialMT"/>
          <w:lang w:val="en-GB"/>
        </w:rPr>
        <w:t>transitioning into managerial and professional roles were</w:t>
      </w:r>
      <w:r w:rsidR="00AE05F7" w:rsidRPr="00452453">
        <w:rPr>
          <w:rFonts w:ascii="ArialMT" w:hAnsi="ArialMT" w:cs="ArialMT"/>
          <w:lang w:val="en-GB"/>
        </w:rPr>
        <w:t xml:space="preserve"> even higher for graduates from the </w:t>
      </w:r>
      <w:r w:rsidR="000733C4" w:rsidRPr="00452453">
        <w:rPr>
          <w:rFonts w:ascii="ArialMT" w:hAnsi="ArialMT" w:cs="ArialMT"/>
          <w:lang w:val="en-GB"/>
        </w:rPr>
        <w:t>postgraduate coursework and postgraduate research levels.</w:t>
      </w:r>
      <w:r w:rsidR="004E1FE8" w:rsidRPr="00452453">
        <w:rPr>
          <w:rFonts w:ascii="ArialMT" w:hAnsi="ArialMT" w:cs="ArialMT"/>
          <w:lang w:val="en-GB"/>
        </w:rPr>
        <w:t xml:space="preserve"> As with improvements in outcomes for graduates who were underemployed in the short-term, this result</w:t>
      </w:r>
      <w:r w:rsidR="00082D03" w:rsidRPr="00452453">
        <w:rPr>
          <w:rFonts w:ascii="ArialMT" w:hAnsi="ArialMT" w:cs="ArialMT"/>
          <w:lang w:val="en-GB"/>
        </w:rPr>
        <w:t xml:space="preserve"> suggests that although graduates </w:t>
      </w:r>
      <w:r w:rsidR="00082D03" w:rsidRPr="0036340F">
        <w:rPr>
          <w:rFonts w:ascii="ArialMT" w:hAnsi="ArialMT" w:cs="ArialMT"/>
          <w:lang w:val="en-GB"/>
        </w:rPr>
        <w:t>may not initially</w:t>
      </w:r>
      <w:r w:rsidR="002852D8" w:rsidRPr="0036340F">
        <w:rPr>
          <w:rFonts w:ascii="ArialMT" w:hAnsi="ArialMT" w:cs="ArialMT"/>
          <w:lang w:val="en-GB"/>
        </w:rPr>
        <w:t xml:space="preserve"> </w:t>
      </w:r>
      <w:r w:rsidR="001230CD" w:rsidRPr="0036340F">
        <w:rPr>
          <w:rFonts w:ascii="ArialMT" w:hAnsi="ArialMT" w:cs="ArialMT"/>
          <w:lang w:val="en-GB"/>
        </w:rPr>
        <w:t>find employment</w:t>
      </w:r>
      <w:r w:rsidR="00082D03" w:rsidRPr="0036340F">
        <w:rPr>
          <w:rFonts w:ascii="ArialMT" w:hAnsi="ArialMT" w:cs="ArialMT"/>
          <w:lang w:val="en-GB"/>
        </w:rPr>
        <w:t xml:space="preserve"> </w:t>
      </w:r>
      <w:r w:rsidR="00617B66" w:rsidRPr="0036340F">
        <w:rPr>
          <w:rFonts w:ascii="ArialMT" w:hAnsi="ArialMT" w:cs="ArialMT"/>
          <w:lang w:val="en-GB"/>
        </w:rPr>
        <w:t xml:space="preserve">that </w:t>
      </w:r>
      <w:r w:rsidR="00082D03" w:rsidRPr="0036340F">
        <w:rPr>
          <w:rFonts w:ascii="ArialMT" w:hAnsi="ArialMT" w:cs="ArialMT"/>
          <w:lang w:val="en-GB"/>
        </w:rPr>
        <w:t>match</w:t>
      </w:r>
      <w:r w:rsidR="001230CD" w:rsidRPr="0036340F">
        <w:rPr>
          <w:rFonts w:ascii="ArialMT" w:hAnsi="ArialMT" w:cs="ArialMT"/>
          <w:lang w:val="en-GB"/>
        </w:rPr>
        <w:t>es</w:t>
      </w:r>
      <w:r w:rsidR="00082D03" w:rsidRPr="0036340F">
        <w:rPr>
          <w:rFonts w:ascii="ArialMT" w:hAnsi="ArialMT" w:cs="ArialMT"/>
          <w:lang w:val="en-GB"/>
        </w:rPr>
        <w:t xml:space="preserve"> their skills and education in the short-term, </w:t>
      </w:r>
      <w:r w:rsidR="006021EA" w:rsidRPr="0036340F">
        <w:rPr>
          <w:rFonts w:ascii="ArialMT" w:hAnsi="ArialMT" w:cs="ArialMT"/>
          <w:lang w:val="en-GB"/>
        </w:rPr>
        <w:t xml:space="preserve">a large proportion </w:t>
      </w:r>
      <w:r w:rsidR="00B921B4" w:rsidRPr="0036340F">
        <w:rPr>
          <w:rFonts w:ascii="ArialMT" w:hAnsi="ArialMT" w:cs="ArialMT"/>
          <w:lang w:val="en-GB"/>
        </w:rPr>
        <w:t xml:space="preserve">are able to find more suitable employment </w:t>
      </w:r>
      <w:r w:rsidR="00DD00B1" w:rsidRPr="0036340F">
        <w:rPr>
          <w:rFonts w:ascii="ArialMT" w:hAnsi="ArialMT" w:cs="ArialMT"/>
          <w:lang w:val="en-GB"/>
        </w:rPr>
        <w:t>in the medium-term</w:t>
      </w:r>
      <w:r w:rsidR="00B921B4" w:rsidRPr="0036340F">
        <w:rPr>
          <w:rFonts w:ascii="ArialMT" w:hAnsi="ArialMT" w:cs="ArialMT"/>
          <w:lang w:val="en-GB"/>
        </w:rPr>
        <w:t>.</w:t>
      </w:r>
    </w:p>
    <w:p w14:paraId="0CECF5FC" w14:textId="0B32C1E6" w:rsidR="00016E5F" w:rsidRPr="005A3AFE" w:rsidRDefault="00E47553" w:rsidP="0050646C">
      <w:pPr>
        <w:pStyle w:val="Caption"/>
        <w:rPr>
          <w:rFonts w:ascii="ArialMT" w:hAnsi="ArialMT" w:cs="ArialMT"/>
          <w:lang w:val="en-GB"/>
        </w:rPr>
      </w:pPr>
      <w:bookmarkStart w:id="100" w:name="_Ref229753080"/>
      <w:bookmarkStart w:id="101" w:name="_Toc243492117"/>
      <w:r w:rsidRPr="005A3AFE">
        <w:lastRenderedPageBreak/>
        <w:t xml:space="preserve">Figure </w:t>
      </w:r>
      <w:fldSimple w:instr=" SEQ Figure \* ARABIC ">
        <w:r w:rsidR="008E1916">
          <w:rPr>
            <w:noProof/>
          </w:rPr>
          <w:t>11</w:t>
        </w:r>
      </w:fldSimple>
      <w:bookmarkEnd w:id="100"/>
      <w:r w:rsidR="0014536F">
        <w:tab/>
      </w:r>
      <w:r w:rsidR="003C1E2A" w:rsidRPr="005A3AFE">
        <w:t xml:space="preserve">Proportion of </w:t>
      </w:r>
      <w:r w:rsidR="00E93171" w:rsidRPr="005A3AFE">
        <w:t xml:space="preserve">graduates who transitioned </w:t>
      </w:r>
      <w:r w:rsidR="000116BE" w:rsidRPr="005A3AFE">
        <w:t>in</w:t>
      </w:r>
      <w:r w:rsidR="00E93171" w:rsidRPr="005A3AFE">
        <w:t>to a managerial and professional role</w:t>
      </w:r>
      <w:r w:rsidR="00ED5DA4" w:rsidRPr="005A3AFE">
        <w:t xml:space="preserve"> </w:t>
      </w:r>
      <w:r w:rsidR="00786640">
        <w:t xml:space="preserve">in the medium-term </w:t>
      </w:r>
      <w:r w:rsidR="00ED5DA4" w:rsidRPr="005A3AFE">
        <w:t>by study level</w:t>
      </w:r>
      <w:r w:rsidR="00F64FB6">
        <w:t xml:space="preserve"> (% of those employed in other occupations in the short-term)</w:t>
      </w:r>
      <w:bookmarkEnd w:id="101"/>
    </w:p>
    <w:p w14:paraId="368E53BF" w14:textId="76F52F0E" w:rsidR="00A054F2" w:rsidRDefault="00EB032E" w:rsidP="00EB032E">
      <w:pPr>
        <w:rPr>
          <w:rFonts w:cs="Arial"/>
          <w:szCs w:val="20"/>
        </w:rPr>
      </w:pPr>
      <w:r>
        <w:rPr>
          <w:rFonts w:cs="Arial"/>
          <w:noProof/>
          <w:szCs w:val="20"/>
        </w:rPr>
        <w:drawing>
          <wp:inline distT="0" distB="0" distL="0" distR="0" wp14:anchorId="0AF7573B" wp14:editId="28D0E872">
            <wp:extent cx="6657340" cy="2700655"/>
            <wp:effectExtent l="0" t="0" r="0" b="4445"/>
            <wp:docPr id="1082669544" name="Picture 21" descr="Clustered column chart. Proportion of graduates who transitioned into a managerial and professional role in the medium-term by study level (% of those employed in other occupations in the short-term). Bars: Undergraduate; Postgraduate coursework; Postgraduate research. Vertical axis: transitioned into a managerial or professional role in the medium-term (%). Employed in ANZSCO &gt; 300000: Undergraduate: 54.5%; Postgraduate coursework: 63.4%; Postgraduate research: 70.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69544" name="Picture 21" descr="Clustered column chart. Proportion of graduates who transitioned into a managerial and professional role in the medium-term by study level (% of those employed in other occupations in the short-term). Bars: Undergraduate; Postgraduate coursework; Postgraduate research. Vertical axis: transitioned into a managerial or professional role in the medium-term (%). Employed in ANZSCO &gt; 300000: Undergraduate: 54.5%; Postgraduate coursework: 63.4%; Postgraduate research: 70.7%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57340" cy="2700655"/>
                    </a:xfrm>
                    <a:prstGeom prst="rect">
                      <a:avLst/>
                    </a:prstGeom>
                    <a:noFill/>
                  </pic:spPr>
                </pic:pic>
              </a:graphicData>
            </a:graphic>
          </wp:inline>
        </w:drawing>
      </w:r>
    </w:p>
    <w:p w14:paraId="0E4630A4" w14:textId="16C701F2" w:rsidR="00244416" w:rsidRPr="005A3AFE" w:rsidRDefault="00244416" w:rsidP="00280B87">
      <w:pPr>
        <w:pStyle w:val="Heading3"/>
        <w:rPr>
          <w:lang w:val="en-GB"/>
        </w:rPr>
      </w:pPr>
      <w:bookmarkStart w:id="102" w:name="_Toc243492334"/>
      <w:r w:rsidRPr="005A3AFE">
        <w:rPr>
          <w:lang w:val="en-GB"/>
        </w:rPr>
        <w:t>Underutilisation of skills and education</w:t>
      </w:r>
      <w:bookmarkEnd w:id="102"/>
    </w:p>
    <w:p w14:paraId="3CD512A9" w14:textId="5C808D94" w:rsidR="002F55EF" w:rsidRPr="005A3AFE" w:rsidRDefault="00A02074" w:rsidP="00244416">
      <w:pPr>
        <w:widowControl w:val="0"/>
        <w:suppressAutoHyphens/>
        <w:autoSpaceDE w:val="0"/>
        <w:autoSpaceDN w:val="0"/>
        <w:adjustRightInd w:val="0"/>
        <w:spacing w:before="142" w:line="290" w:lineRule="atLeast"/>
        <w:textAlignment w:val="center"/>
        <w:rPr>
          <w:rFonts w:ascii="ArialMT" w:hAnsi="ArialMT" w:cs="ArialMT"/>
          <w:lang w:val="en-GB"/>
        </w:rPr>
      </w:pPr>
      <w:r>
        <w:rPr>
          <w:rFonts w:ascii="ArialMT" w:hAnsi="ArialMT"/>
          <w:lang w:val="en-GB"/>
        </w:rPr>
        <w:t>S</w:t>
      </w:r>
      <w:r w:rsidR="00750C9B" w:rsidRPr="005A3AFE">
        <w:rPr>
          <w:rFonts w:ascii="ArialMT" w:hAnsi="ArialMT" w:cs="ArialMT"/>
          <w:lang w:val="en-GB"/>
        </w:rPr>
        <w:t>hortly after course completion, 28.</w:t>
      </w:r>
      <w:r w:rsidR="00D82C43" w:rsidRPr="005A3AFE">
        <w:rPr>
          <w:rFonts w:ascii="ArialMT" w:hAnsi="ArialMT" w:cs="ArialMT"/>
          <w:lang w:val="en-GB"/>
        </w:rPr>
        <w:t>0</w:t>
      </w:r>
      <w:r w:rsidR="00750C9B" w:rsidRPr="005A3AFE">
        <w:rPr>
          <w:rFonts w:ascii="ArialMT" w:hAnsi="ArialMT" w:cs="ArialMT"/>
          <w:lang w:val="en-GB"/>
        </w:rPr>
        <w:t xml:space="preserve"> per cent of domestic undergraduates </w:t>
      </w:r>
      <w:r w:rsidR="00D82C43" w:rsidRPr="005A3AFE">
        <w:rPr>
          <w:rFonts w:ascii="ArialMT" w:hAnsi="ArialMT" w:cs="ArialMT"/>
          <w:lang w:val="en-GB"/>
        </w:rPr>
        <w:t>employed full-time considered themselves overqualified</w:t>
      </w:r>
      <w:r w:rsidR="00D82C43" w:rsidRPr="00E17B1D">
        <w:rPr>
          <w:rStyle w:val="FootnoteReference"/>
          <w:rFonts w:cs="ArialMT"/>
          <w:sz w:val="20"/>
          <w:szCs w:val="20"/>
          <w:lang w:val="en-GB"/>
        </w:rPr>
        <w:footnoteReference w:id="12"/>
      </w:r>
      <w:r>
        <w:rPr>
          <w:rFonts w:ascii="ArialMT" w:hAnsi="ArialMT" w:cs="ArialMT"/>
          <w:lang w:val="en-GB"/>
        </w:rPr>
        <w:t xml:space="preserve"> (see </w:t>
      </w:r>
      <w:r w:rsidRPr="005A3AFE">
        <w:rPr>
          <w:rFonts w:ascii="ArialMT" w:hAnsi="ArialMT" w:cs="ArialMT"/>
          <w:b/>
          <w:bCs/>
          <w:lang w:val="en-GB"/>
        </w:rPr>
        <w:fldChar w:fldCharType="begin"/>
      </w:r>
      <w:r w:rsidRPr="005A3AFE">
        <w:rPr>
          <w:rFonts w:ascii="ArialMT" w:hAnsi="ArialMT" w:cs="ArialMT"/>
          <w:b/>
          <w:bCs/>
          <w:lang w:val="en-GB"/>
        </w:rPr>
        <w:instrText xml:space="preserve"> REF _Ref229753507 \h  \* MERGEFORMAT </w:instrText>
      </w:r>
      <w:r w:rsidRPr="005A3AFE">
        <w:rPr>
          <w:rFonts w:ascii="ArialMT" w:hAnsi="ArialMT" w:cs="ArialMT"/>
          <w:b/>
          <w:bCs/>
          <w:lang w:val="en-GB"/>
        </w:rPr>
      </w:r>
      <w:r w:rsidRPr="005A3AFE">
        <w:rPr>
          <w:rFonts w:ascii="ArialMT" w:hAnsi="ArialMT" w:cs="ArialMT"/>
          <w:b/>
          <w:bCs/>
          <w:lang w:val="en-GB"/>
        </w:rPr>
        <w:fldChar w:fldCharType="separate"/>
      </w:r>
      <w:r w:rsidR="00487685" w:rsidRPr="00673C2E">
        <w:rPr>
          <w:b/>
          <w:bCs/>
        </w:rPr>
        <w:t xml:space="preserve">Figure </w:t>
      </w:r>
      <w:r w:rsidR="00487685" w:rsidRPr="00673C2E">
        <w:rPr>
          <w:b/>
          <w:bCs/>
          <w:noProof/>
        </w:rPr>
        <w:t>12</w:t>
      </w:r>
      <w:r w:rsidRPr="005A3AFE">
        <w:rPr>
          <w:rFonts w:ascii="ArialMT" w:hAnsi="ArialMT" w:cs="ArialMT"/>
          <w:b/>
          <w:bCs/>
          <w:lang w:val="en-GB"/>
        </w:rPr>
        <w:fldChar w:fldCharType="end"/>
      </w:r>
      <w:r>
        <w:rPr>
          <w:rFonts w:ascii="ArialMT" w:hAnsi="ArialMT" w:cs="ArialMT"/>
          <w:lang w:val="en-GB"/>
        </w:rPr>
        <w:t>)</w:t>
      </w:r>
      <w:r w:rsidR="00D82C43" w:rsidRPr="005A3AFE">
        <w:rPr>
          <w:rFonts w:ascii="ArialMT" w:hAnsi="ArialMT" w:cs="ArialMT"/>
          <w:lang w:val="en-GB"/>
        </w:rPr>
        <w:t>. Th</w:t>
      </w:r>
      <w:r w:rsidR="009541B2" w:rsidRPr="005A3AFE">
        <w:rPr>
          <w:rFonts w:ascii="ArialMT" w:hAnsi="ArialMT" w:cs="ArialMT"/>
          <w:lang w:val="en-GB"/>
        </w:rPr>
        <w:t xml:space="preserve">is decreased to 23.6 per cent 3 years later, </w:t>
      </w:r>
      <w:r w:rsidR="00A200E0" w:rsidRPr="005A3AFE">
        <w:rPr>
          <w:rFonts w:ascii="ArialMT" w:hAnsi="ArialMT" w:cs="ArialMT"/>
          <w:lang w:val="en-GB"/>
        </w:rPr>
        <w:t xml:space="preserve">though the rate remains high, suggesting that </w:t>
      </w:r>
      <w:r w:rsidR="00CD273D" w:rsidRPr="005A3AFE">
        <w:rPr>
          <w:rFonts w:ascii="ArialMT" w:hAnsi="ArialMT" w:cs="ArialMT"/>
          <w:lang w:val="en-GB"/>
        </w:rPr>
        <w:t xml:space="preserve">even </w:t>
      </w:r>
      <w:r>
        <w:rPr>
          <w:rFonts w:ascii="ArialMT" w:hAnsi="ArialMT" w:cs="ArialMT"/>
          <w:lang w:val="en-GB"/>
        </w:rPr>
        <w:t>3</w:t>
      </w:r>
      <w:r w:rsidRPr="005A3AFE">
        <w:rPr>
          <w:rFonts w:ascii="ArialMT" w:hAnsi="ArialMT" w:cs="ArialMT"/>
          <w:lang w:val="en-GB"/>
        </w:rPr>
        <w:t xml:space="preserve"> </w:t>
      </w:r>
      <w:r w:rsidR="00CD273D" w:rsidRPr="005A3AFE">
        <w:rPr>
          <w:rFonts w:ascii="ArialMT" w:hAnsi="ArialMT" w:cs="ArialMT"/>
          <w:lang w:val="en-GB"/>
        </w:rPr>
        <w:t xml:space="preserve">years on, graduates were not fully utilising their skills and education. </w:t>
      </w:r>
      <w:r w:rsidR="00444740" w:rsidRPr="005A3AFE">
        <w:rPr>
          <w:rFonts w:ascii="ArialMT" w:hAnsi="ArialMT" w:cs="ArialMT"/>
          <w:lang w:val="en-GB"/>
        </w:rPr>
        <w:t>Results were similar for postgraduate coursework and postgraduate research graduates despite the higher proportion of these graduates being employed in managerial or professional occupations (</w:t>
      </w:r>
      <w:r w:rsidR="00444740" w:rsidRPr="005A3AFE">
        <w:rPr>
          <w:b/>
          <w:bCs/>
          <w:lang w:val="en-GB"/>
        </w:rPr>
        <w:fldChar w:fldCharType="begin"/>
      </w:r>
      <w:r w:rsidR="00444740" w:rsidRPr="005A3AFE">
        <w:rPr>
          <w:b/>
          <w:bCs/>
          <w:lang w:val="en-GB"/>
        </w:rPr>
        <w:instrText xml:space="preserve"> REF _Ref135596505 \h  \* MERGEFORMAT </w:instrText>
      </w:r>
      <w:r w:rsidR="00444740" w:rsidRPr="005A3AFE">
        <w:rPr>
          <w:b/>
          <w:bCs/>
          <w:lang w:val="en-GB"/>
        </w:rPr>
      </w:r>
      <w:r w:rsidR="00444740" w:rsidRPr="005A3AFE">
        <w:rPr>
          <w:b/>
          <w:bCs/>
          <w:lang w:val="en-GB"/>
        </w:rPr>
        <w:fldChar w:fldCharType="separate"/>
      </w:r>
      <w:r w:rsidR="00444740" w:rsidRPr="005A3AFE">
        <w:rPr>
          <w:b/>
          <w:bCs/>
        </w:rPr>
        <w:t xml:space="preserve">Table </w:t>
      </w:r>
      <w:r w:rsidR="00444740" w:rsidRPr="005A3AFE">
        <w:rPr>
          <w:b/>
          <w:bCs/>
          <w:noProof/>
        </w:rPr>
        <w:t>2</w:t>
      </w:r>
      <w:r w:rsidR="00444740" w:rsidRPr="005A3AFE">
        <w:rPr>
          <w:b/>
          <w:bCs/>
          <w:lang w:val="en-GB"/>
        </w:rPr>
        <w:fldChar w:fldCharType="end"/>
      </w:r>
      <w:r w:rsidR="00444740" w:rsidRPr="005A3AFE">
        <w:rPr>
          <w:lang w:val="en-GB"/>
        </w:rPr>
        <w:t>)</w:t>
      </w:r>
      <w:r w:rsidR="00707654" w:rsidRPr="005A3AFE">
        <w:rPr>
          <w:b/>
          <w:bCs/>
          <w:lang w:val="en-GB"/>
        </w:rPr>
        <w:t>.</w:t>
      </w:r>
    </w:p>
    <w:p w14:paraId="5744DF08" w14:textId="195CA65F" w:rsidR="00244416" w:rsidRPr="005A3AFE" w:rsidRDefault="00244416" w:rsidP="007F6B22">
      <w:pPr>
        <w:widowControl w:val="0"/>
        <w:suppressAutoHyphens/>
        <w:autoSpaceDE w:val="0"/>
        <w:autoSpaceDN w:val="0"/>
        <w:adjustRightInd w:val="0"/>
        <w:spacing w:before="120" w:after="240" w:line="290" w:lineRule="atLeast"/>
        <w:textAlignment w:val="center"/>
        <w:rPr>
          <w:rFonts w:eastAsia="Arial" w:cs="Arial"/>
          <w:lang w:val="en-GB"/>
        </w:rPr>
      </w:pPr>
      <w:r w:rsidRPr="005A3AFE">
        <w:rPr>
          <w:rFonts w:eastAsia="Arial" w:cs="Arial"/>
          <w:lang w:val="en-GB"/>
        </w:rPr>
        <w:t xml:space="preserve">Of those who were employed overall, </w:t>
      </w:r>
      <w:r w:rsidR="00BA69A9" w:rsidRPr="005A3AFE">
        <w:rPr>
          <w:rFonts w:eastAsia="Arial" w:cs="Arial"/>
          <w:lang w:val="en-GB"/>
        </w:rPr>
        <w:t>38.</w:t>
      </w:r>
      <w:r w:rsidR="00C06BCB" w:rsidRPr="005A3AFE">
        <w:rPr>
          <w:rFonts w:eastAsia="Arial" w:cs="Arial"/>
          <w:lang w:val="en-GB"/>
        </w:rPr>
        <w:t>0</w:t>
      </w:r>
      <w:r w:rsidRPr="005A3AFE">
        <w:rPr>
          <w:rFonts w:eastAsia="Arial" w:cs="Arial"/>
          <w:lang w:val="en-GB"/>
        </w:rPr>
        <w:t xml:space="preserve"> per cent </w:t>
      </w:r>
      <w:r w:rsidR="00905E66" w:rsidRPr="005A3AFE">
        <w:rPr>
          <w:rFonts w:eastAsia="Arial" w:cs="Arial"/>
          <w:lang w:val="en-GB"/>
        </w:rPr>
        <w:t>of undergraduates</w:t>
      </w:r>
      <w:r w:rsidRPr="005A3AFE">
        <w:rPr>
          <w:rFonts w:eastAsia="Arial" w:cs="Arial"/>
          <w:lang w:val="en-GB"/>
        </w:rPr>
        <w:t xml:space="preserve"> reported </w:t>
      </w:r>
      <w:r w:rsidR="00A004AC" w:rsidRPr="005A3AFE">
        <w:rPr>
          <w:rFonts w:eastAsia="Arial" w:cs="Arial"/>
          <w:lang w:val="en-GB"/>
        </w:rPr>
        <w:t xml:space="preserve">feeling overqualified </w:t>
      </w:r>
      <w:r w:rsidR="00020509">
        <w:rPr>
          <w:rFonts w:eastAsia="Arial" w:cs="Arial"/>
          <w:lang w:val="en-GB"/>
        </w:rPr>
        <w:t>in the short-term</w:t>
      </w:r>
      <w:r w:rsidRPr="005A3AFE">
        <w:rPr>
          <w:rFonts w:eastAsia="Arial" w:cs="Arial"/>
          <w:lang w:val="en-GB"/>
        </w:rPr>
        <w:t xml:space="preserve">, </w:t>
      </w:r>
      <w:r w:rsidR="00D62111" w:rsidRPr="005A3AFE">
        <w:rPr>
          <w:rFonts w:eastAsia="Arial" w:cs="Arial"/>
          <w:lang w:val="en-GB"/>
        </w:rPr>
        <w:t>which decreased</w:t>
      </w:r>
      <w:r w:rsidR="00905E66" w:rsidRPr="005A3AFE">
        <w:rPr>
          <w:rFonts w:eastAsia="Arial" w:cs="Arial"/>
          <w:lang w:val="en-GB"/>
        </w:rPr>
        <w:t xml:space="preserve"> to 28.0</w:t>
      </w:r>
      <w:r w:rsidR="37ADDF30" w:rsidRPr="005A3AFE">
        <w:rPr>
          <w:rFonts w:eastAsia="Arial" w:cs="Arial"/>
          <w:lang w:val="en-GB"/>
        </w:rPr>
        <w:t xml:space="preserve"> per cent</w:t>
      </w:r>
      <w:r w:rsidRPr="005A3AFE">
        <w:rPr>
          <w:rFonts w:eastAsia="Arial" w:cs="Arial"/>
          <w:lang w:val="en-GB"/>
        </w:rPr>
        <w:t xml:space="preserve"> 3 years </w:t>
      </w:r>
      <w:r w:rsidR="00020509">
        <w:rPr>
          <w:rFonts w:eastAsia="Arial" w:cs="Arial"/>
          <w:lang w:val="en-GB"/>
        </w:rPr>
        <w:t>later</w:t>
      </w:r>
      <w:r w:rsidRPr="005A3AFE">
        <w:rPr>
          <w:rFonts w:eastAsia="Arial" w:cs="Arial"/>
          <w:lang w:val="en-GB"/>
        </w:rPr>
        <w:t>.</w:t>
      </w:r>
      <w:r w:rsidR="00905E66" w:rsidRPr="005A3AFE">
        <w:rPr>
          <w:rFonts w:eastAsia="Arial" w:cs="Arial"/>
          <w:lang w:val="en-GB"/>
        </w:rPr>
        <w:t xml:space="preserve"> This may reflect that </w:t>
      </w:r>
      <w:r w:rsidR="00BC4019" w:rsidRPr="005A3AFE">
        <w:rPr>
          <w:rFonts w:eastAsia="Arial" w:cs="Arial"/>
          <w:lang w:val="en-GB"/>
        </w:rPr>
        <w:t>a sizeable proportion of</w:t>
      </w:r>
      <w:r w:rsidR="00905E66" w:rsidRPr="005A3AFE">
        <w:rPr>
          <w:rFonts w:eastAsia="Arial" w:cs="Arial"/>
          <w:lang w:val="en-GB"/>
        </w:rPr>
        <w:t xml:space="preserve"> undergraduates employed overall in the </w:t>
      </w:r>
      <w:r w:rsidR="00283FC4">
        <w:rPr>
          <w:rFonts w:eastAsia="Arial" w:cs="Arial"/>
          <w:lang w:val="en-GB"/>
        </w:rPr>
        <w:t>short-term</w:t>
      </w:r>
      <w:r w:rsidR="00DF0CAD" w:rsidRPr="005A3AFE">
        <w:rPr>
          <w:rFonts w:eastAsia="Arial" w:cs="Arial"/>
          <w:lang w:val="en-GB"/>
        </w:rPr>
        <w:t xml:space="preserve"> were </w:t>
      </w:r>
      <w:r w:rsidR="00C5452D" w:rsidRPr="005A3AFE">
        <w:rPr>
          <w:rFonts w:eastAsia="Arial" w:cs="Arial"/>
          <w:lang w:val="en-GB"/>
        </w:rPr>
        <w:t xml:space="preserve">pursuing full-time study and thus would be </w:t>
      </w:r>
      <w:r w:rsidR="00DF0CAD" w:rsidRPr="005A3AFE">
        <w:rPr>
          <w:rFonts w:eastAsia="Arial" w:cs="Arial"/>
          <w:lang w:val="en-GB"/>
        </w:rPr>
        <w:t xml:space="preserve">more likely to be working </w:t>
      </w:r>
      <w:r w:rsidR="00A02074">
        <w:rPr>
          <w:rFonts w:eastAsia="Arial" w:cs="Arial"/>
          <w:lang w:val="en-GB"/>
        </w:rPr>
        <w:t xml:space="preserve">in </w:t>
      </w:r>
      <w:r w:rsidR="00DF0CAD" w:rsidRPr="005A3AFE">
        <w:rPr>
          <w:rFonts w:eastAsia="Arial" w:cs="Arial"/>
          <w:lang w:val="en-GB"/>
        </w:rPr>
        <w:t xml:space="preserve">jobs </w:t>
      </w:r>
      <w:r w:rsidR="00A02074">
        <w:rPr>
          <w:rFonts w:eastAsia="Arial" w:cs="Arial"/>
          <w:lang w:val="en-GB"/>
        </w:rPr>
        <w:t>that allow them to balance work with their study commitments</w:t>
      </w:r>
      <w:r w:rsidR="00DF0CAD" w:rsidRPr="005A3AFE">
        <w:rPr>
          <w:rFonts w:eastAsia="Arial" w:cs="Arial"/>
          <w:lang w:val="en-GB"/>
        </w:rPr>
        <w:t>.</w:t>
      </w:r>
    </w:p>
    <w:p w14:paraId="62999A8B" w14:textId="1E8E0FBB" w:rsidR="00E46702" w:rsidRDefault="00244416" w:rsidP="0013580C">
      <w:pPr>
        <w:pStyle w:val="Caption"/>
      </w:pPr>
      <w:bookmarkStart w:id="103" w:name="_Ref178071818"/>
      <w:bookmarkStart w:id="104" w:name="_Ref229753507"/>
      <w:bookmarkStart w:id="105" w:name="_Toc243492118"/>
      <w:bookmarkStart w:id="106" w:name="_Ref137595137"/>
      <w:bookmarkStart w:id="107" w:name="_Toc75794928"/>
      <w:bookmarkStart w:id="108" w:name="_Toc79687692"/>
      <w:r w:rsidRPr="00EB7186">
        <w:t xml:space="preserve">Figure </w:t>
      </w:r>
      <w:bookmarkEnd w:id="103"/>
      <w:r w:rsidR="00377B08" w:rsidRPr="00EB7186">
        <w:fldChar w:fldCharType="begin"/>
      </w:r>
      <w:r w:rsidR="00377B08" w:rsidRPr="00EB7186">
        <w:instrText xml:space="preserve"> SEQ Figure \* ARABIC </w:instrText>
      </w:r>
      <w:r w:rsidR="00377B08" w:rsidRPr="00EB7186">
        <w:fldChar w:fldCharType="separate"/>
      </w:r>
      <w:r w:rsidR="008E1916" w:rsidRPr="00EB7186">
        <w:rPr>
          <w:noProof/>
        </w:rPr>
        <w:t>12</w:t>
      </w:r>
      <w:r w:rsidR="00377B08" w:rsidRPr="00EB7186">
        <w:fldChar w:fldCharType="end"/>
      </w:r>
      <w:bookmarkEnd w:id="104"/>
      <w:r w:rsidRPr="00EB7186">
        <w:t xml:space="preserve"> </w:t>
      </w:r>
      <w:r w:rsidR="001B285B" w:rsidRPr="00EB7186">
        <w:tab/>
      </w:r>
      <w:r w:rsidR="00161261" w:rsidRPr="00EB7186">
        <w:t>Perceived overqualification</w:t>
      </w:r>
      <w:r w:rsidRPr="00EB7186">
        <w:t xml:space="preserve"> by employment type and study level, all occupations (% of those</w:t>
      </w:r>
      <w:r w:rsidR="00A869B4" w:rsidRPr="00EB7186">
        <w:t> </w:t>
      </w:r>
      <w:r w:rsidRPr="00EB7186">
        <w:t>employed)</w:t>
      </w:r>
      <w:bookmarkEnd w:id="105"/>
      <w:r w:rsidR="00173A7F" w:rsidRPr="00173A7F">
        <w:rPr>
          <w:noProof/>
        </w:rPr>
        <w:t xml:space="preserve"> </w:t>
      </w:r>
    </w:p>
    <w:p w14:paraId="287775A3" w14:textId="49B2920B" w:rsidR="00E46702" w:rsidRDefault="00E46702" w:rsidP="002949F8">
      <w:pPr>
        <w:pStyle w:val="Body"/>
        <w:spacing w:before="0"/>
      </w:pPr>
      <w:r w:rsidRPr="00E34430">
        <w:rPr>
          <w:noProof/>
        </w:rPr>
        <w:drawing>
          <wp:inline distT="0" distB="0" distL="0" distR="0" wp14:anchorId="2CEDA904" wp14:editId="10B6A3B2">
            <wp:extent cx="6545655" cy="2694305"/>
            <wp:effectExtent l="0" t="0" r="7620" b="0"/>
            <wp:docPr id="897912019" name="Picture 1" descr="Composite chart. Perceived overqualification by employment type and study level, all occupations (% of those employed). Three panels, left to right: Undergraduate; Postgraduate coursework; Postgraduate research. Legend in each panel: Full-time employed; Overall employed. Categories: Short-term (2023); Medium-term (2026). Vertical axis: perceived overqualification (% of those employed). Undergraduate: Short-term (2023): Full-time employed: 28.0%; Overall employed: 38.0% Medium-term (2026): Full-time employed: 23.6%; Overall employed: 28.0% | Postgraduate coursework: Short-term (2023): Full-time employed: 30.5%; Overall employed: 32.1% Medium-term (2026): Full-time employed: 27.5%; Overall employed: 28.1% | Postgraduate research: Short-term (2023): Full-time employed: 28.3%; Overall employed: 30.2% Medium-term (2026): Full-time employed: 25.6%; Overall employed: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12019" name="Picture 1" descr="Composite chart. Perceived overqualification by employment type and study level, all occupations (% of those employed). Three panels, left to right: Undergraduate; Postgraduate coursework; Postgraduate research. Legend in each panel: Full-time employed; Overall employed. Categories: Short-term (2023); Medium-term (2026). Vertical axis: perceived overqualification (% of those employed). Undergraduate: Short-term (2023): Full-time employed: 28.0%; Overall employed: 38.0% Medium-term (2026): Full-time employed: 23.6%; Overall employed: 28.0% | Postgraduate coursework: Short-term (2023): Full-time employed: 30.5%; Overall employed: 32.1% Medium-term (2026): Full-time employed: 27.5%; Overall employed: 28.1% | Postgraduate research: Short-term (2023): Full-time employed: 28.3%; Overall employed: 30.2% Medium-term (2026): Full-time employed: 25.6%; Overall employed: 28.0%"/>
                    <pic:cNvPicPr/>
                  </pic:nvPicPr>
                  <pic:blipFill rotWithShape="1">
                    <a:blip r:embed="rId45"/>
                    <a:srcRect r="634"/>
                    <a:stretch>
                      <a:fillRect/>
                    </a:stretch>
                  </pic:blipFill>
                  <pic:spPr bwMode="auto">
                    <a:xfrm>
                      <a:off x="0" y="0"/>
                      <a:ext cx="6546199" cy="2694529"/>
                    </a:xfrm>
                    <a:prstGeom prst="rect">
                      <a:avLst/>
                    </a:prstGeom>
                    <a:ln>
                      <a:noFill/>
                    </a:ln>
                    <a:extLst>
                      <a:ext uri="{53640926-AAD7-44D8-BBD7-CCE9431645EC}">
                        <a14:shadowObscured xmlns:a14="http://schemas.microsoft.com/office/drawing/2010/main"/>
                      </a:ext>
                    </a:extLst>
                  </pic:spPr>
                </pic:pic>
              </a:graphicData>
            </a:graphic>
          </wp:inline>
        </w:drawing>
      </w:r>
    </w:p>
    <w:p w14:paraId="507B0A68" w14:textId="77777777" w:rsidR="002B54C5" w:rsidRPr="002B54C5" w:rsidRDefault="002B54C5" w:rsidP="002B54C5">
      <w:pPr>
        <w:framePr w:wrap="notBeside" w:vAnchor="text" w:hAnchor="text" w:y="1"/>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ind w:left="1134" w:right="1134"/>
        <w:rPr>
          <w:rFonts w:cs="Arial"/>
          <w:sz w:val="8"/>
          <w:szCs w:val="8"/>
          <w:shd w:val="clear" w:color="auto" w:fill="F5F5F5"/>
        </w:rPr>
      </w:pPr>
    </w:p>
    <w:p w14:paraId="35CFDED2" w14:textId="531B117F" w:rsidR="0024373A" w:rsidRPr="0051436E" w:rsidRDefault="0024373A" w:rsidP="002B54C5">
      <w:pPr>
        <w:framePr w:wrap="notBeside" w:vAnchor="text" w:hAnchor="text" w:y="1"/>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shd w:val="clear" w:color="auto" w:fill="FFFFFF" w:themeFill="background1"/>
        <w:spacing w:after="120"/>
        <w:ind w:left="1134" w:right="1134"/>
        <w:rPr>
          <w:rFonts w:cs="Arial"/>
        </w:rPr>
      </w:pPr>
      <w:r w:rsidRPr="002B54C5">
        <w:rPr>
          <w:rFonts w:cs="Arial"/>
          <w:shd w:val="clear" w:color="auto" w:fill="F5F5F5"/>
        </w:rPr>
        <w:t xml:space="preserve">Although perceived overqualification persists in the medium-term, satisfaction with their current job was the </w:t>
      </w:r>
      <w:proofErr w:type="gramStart"/>
      <w:r w:rsidRPr="002B54C5">
        <w:rPr>
          <w:rFonts w:cs="Arial"/>
          <w:shd w:val="clear" w:color="auto" w:fill="F5F5F5"/>
        </w:rPr>
        <w:t>most commonly cited</w:t>
      </w:r>
      <w:proofErr w:type="gramEnd"/>
      <w:r w:rsidRPr="002B54C5">
        <w:rPr>
          <w:rFonts w:cs="Arial"/>
          <w:shd w:val="clear" w:color="auto" w:fill="F5F5F5"/>
        </w:rPr>
        <w:t xml:space="preserve"> reason for working in a job that did not fully utilise graduates’ skills and education across all study levels. This suggests that not fully utilising skills and knowledge does not necessarily indicate an unsuccessful outcome for graduates.</w:t>
      </w:r>
    </w:p>
    <w:p w14:paraId="161D4E07" w14:textId="4A3628F8" w:rsidR="00D948DB" w:rsidRPr="005A3AFE" w:rsidRDefault="009A25EF" w:rsidP="0024373A">
      <w:pPr>
        <w:widowControl w:val="0"/>
        <w:suppressAutoHyphens/>
        <w:autoSpaceDE w:val="0"/>
        <w:autoSpaceDN w:val="0"/>
        <w:adjustRightInd w:val="0"/>
        <w:spacing w:before="240" w:after="120" w:line="290" w:lineRule="atLeast"/>
        <w:textAlignment w:val="center"/>
        <w:rPr>
          <w:rFonts w:ascii="ArialMT" w:hAnsi="ArialMT" w:cs="ArialMT"/>
          <w:lang w:val="en-GB"/>
        </w:rPr>
      </w:pPr>
      <w:r w:rsidRPr="005A3AFE">
        <w:rPr>
          <w:rFonts w:ascii="ArialMT" w:hAnsi="ArialMT" w:cs="ArialMT"/>
          <w:lang w:val="en-GB"/>
        </w:rPr>
        <w:t>Graduates were asked to provide their main reason for working in a job that did not fully utilise their skills and education</w:t>
      </w:r>
      <w:r w:rsidR="00D463F1" w:rsidRPr="005A3AFE">
        <w:rPr>
          <w:rFonts w:ascii="ArialMT" w:hAnsi="ArialMT" w:cs="ArialMT"/>
          <w:lang w:val="en-GB"/>
        </w:rPr>
        <w:t xml:space="preserve">; these reasons are presented in </w:t>
      </w:r>
      <w:r w:rsidR="00D463F1" w:rsidRPr="005A3AFE">
        <w:rPr>
          <w:rFonts w:ascii="ArialMT" w:hAnsi="ArialMT" w:cs="ArialMT"/>
          <w:b/>
          <w:lang w:val="en-GB"/>
        </w:rPr>
        <w:fldChar w:fldCharType="begin"/>
      </w:r>
      <w:r w:rsidR="00D463F1" w:rsidRPr="005A3AFE">
        <w:rPr>
          <w:rFonts w:ascii="ArialMT" w:hAnsi="ArialMT" w:cs="ArialMT"/>
          <w:b/>
          <w:lang w:val="en-GB"/>
        </w:rPr>
        <w:instrText xml:space="preserve"> REF _Ref202292709 \h  \* MERGEFORMAT </w:instrText>
      </w:r>
      <w:r w:rsidR="00D463F1" w:rsidRPr="005A3AFE">
        <w:rPr>
          <w:rFonts w:ascii="ArialMT" w:hAnsi="ArialMT" w:cs="ArialMT"/>
          <w:b/>
          <w:lang w:val="en-GB"/>
        </w:rPr>
      </w:r>
      <w:r w:rsidR="00D463F1" w:rsidRPr="005A3AFE">
        <w:rPr>
          <w:rFonts w:ascii="ArialMT" w:hAnsi="ArialMT" w:cs="ArialMT"/>
          <w:b/>
          <w:lang w:val="en-GB"/>
        </w:rPr>
        <w:fldChar w:fldCharType="separate"/>
      </w:r>
      <w:r w:rsidR="00FB6AC8" w:rsidRPr="005A3AFE">
        <w:rPr>
          <w:b/>
        </w:rPr>
        <w:t>Table 3</w:t>
      </w:r>
      <w:r w:rsidR="00D463F1" w:rsidRPr="005A3AFE">
        <w:rPr>
          <w:rFonts w:ascii="ArialMT" w:hAnsi="ArialMT" w:cs="ArialMT"/>
          <w:b/>
          <w:lang w:val="en-GB"/>
        </w:rPr>
        <w:fldChar w:fldCharType="end"/>
      </w:r>
      <w:r w:rsidR="00D463F1" w:rsidRPr="005A3AFE">
        <w:rPr>
          <w:rFonts w:ascii="ArialMT" w:hAnsi="ArialMT" w:cs="ArialMT"/>
          <w:lang w:val="en-GB"/>
        </w:rPr>
        <w:t>.</w:t>
      </w:r>
      <w:r w:rsidR="009E05E2">
        <w:rPr>
          <w:rFonts w:ascii="ArialMT" w:hAnsi="ArialMT" w:cs="ArialMT"/>
          <w:lang w:val="en-GB"/>
        </w:rPr>
        <w:t xml:space="preserve"> </w:t>
      </w:r>
      <w:r w:rsidR="009E05E2" w:rsidRPr="009E05E2">
        <w:rPr>
          <w:rFonts w:ascii="ArialMT" w:hAnsi="ArialMT" w:cs="ArialMT"/>
          <w:lang w:val="en-US"/>
        </w:rPr>
        <w:t>38.0%</w:t>
      </w:r>
    </w:p>
    <w:p w14:paraId="46F35F72" w14:textId="54CA6507" w:rsidR="00EE4AA6" w:rsidRPr="005A3AFE" w:rsidRDefault="005D5B8A" w:rsidP="000E5988">
      <w:pPr>
        <w:widowControl w:val="0"/>
        <w:suppressAutoHyphens/>
        <w:autoSpaceDE w:val="0"/>
        <w:autoSpaceDN w:val="0"/>
        <w:adjustRightInd w:val="0"/>
        <w:spacing w:before="120" w:after="120" w:line="290" w:lineRule="atLeast"/>
        <w:textAlignment w:val="center"/>
        <w:rPr>
          <w:rFonts w:eastAsia="Arial" w:cs="Arial"/>
          <w:lang w:val="en-GB"/>
        </w:rPr>
      </w:pPr>
      <w:r w:rsidRPr="005A3AFE">
        <w:rPr>
          <w:rFonts w:eastAsia="Arial" w:cs="Arial"/>
          <w:lang w:val="en-GB"/>
        </w:rPr>
        <w:t>After recently graduating, undergraduates cited that t</w:t>
      </w:r>
      <w:r w:rsidR="00EE4AA6" w:rsidRPr="005A3AFE">
        <w:rPr>
          <w:rFonts w:eastAsia="Arial" w:cs="Arial"/>
          <w:lang w:val="en-GB"/>
        </w:rPr>
        <w:t xml:space="preserve">he main reason for working in a job that did not fully utilise their skills and education was </w:t>
      </w:r>
      <w:r w:rsidRPr="005A3AFE">
        <w:rPr>
          <w:rFonts w:eastAsia="Arial" w:cs="Arial"/>
          <w:lang w:val="en-GB"/>
        </w:rPr>
        <w:t>'entry level job/career stepping stone'</w:t>
      </w:r>
      <w:r w:rsidR="00174590" w:rsidRPr="005A3AFE">
        <w:rPr>
          <w:rFonts w:eastAsia="Arial" w:cs="Arial"/>
          <w:lang w:val="en-GB"/>
        </w:rPr>
        <w:t xml:space="preserve"> </w:t>
      </w:r>
      <w:r w:rsidR="00D92B28">
        <w:rPr>
          <w:rFonts w:eastAsia="Arial" w:cs="Arial"/>
          <w:lang w:val="en-GB"/>
        </w:rPr>
        <w:t xml:space="preserve">(29.1 per cent). Three years later, this reason notably decreased to 0.8 per cent, </w:t>
      </w:r>
      <w:r w:rsidR="00174590" w:rsidRPr="005A3AFE">
        <w:rPr>
          <w:rFonts w:eastAsia="Arial" w:cs="Arial"/>
          <w:lang w:val="en-GB"/>
        </w:rPr>
        <w:t>reflect</w:t>
      </w:r>
      <w:r w:rsidR="00D92B28">
        <w:rPr>
          <w:rFonts w:eastAsia="Arial" w:cs="Arial"/>
          <w:lang w:val="en-GB"/>
        </w:rPr>
        <w:t>ing</w:t>
      </w:r>
      <w:r w:rsidR="00174590" w:rsidRPr="005A3AFE">
        <w:rPr>
          <w:rFonts w:eastAsia="Arial" w:cs="Arial"/>
          <w:lang w:val="en-GB"/>
        </w:rPr>
        <w:t xml:space="preserve"> graduates get</w:t>
      </w:r>
      <w:r w:rsidR="00D92B28">
        <w:rPr>
          <w:rFonts w:eastAsia="Arial" w:cs="Arial"/>
          <w:lang w:val="en-GB"/>
        </w:rPr>
        <w:t>ting</w:t>
      </w:r>
      <w:r w:rsidR="00174590" w:rsidRPr="005A3AFE">
        <w:rPr>
          <w:rFonts w:eastAsia="Arial" w:cs="Arial"/>
          <w:lang w:val="en-GB"/>
        </w:rPr>
        <w:t xml:space="preserve"> </w:t>
      </w:r>
      <w:r w:rsidR="000C0F06" w:rsidRPr="005A3AFE">
        <w:rPr>
          <w:rFonts w:eastAsia="Arial" w:cs="Arial"/>
          <w:lang w:val="en-GB"/>
        </w:rPr>
        <w:t>a</w:t>
      </w:r>
      <w:r w:rsidR="00174590" w:rsidRPr="005A3AFE">
        <w:rPr>
          <w:rFonts w:eastAsia="Arial" w:cs="Arial"/>
          <w:lang w:val="en-GB"/>
        </w:rPr>
        <w:t xml:space="preserve"> foothold into the job market.</w:t>
      </w:r>
    </w:p>
    <w:p w14:paraId="64F482E5" w14:textId="0834A0B5" w:rsidR="00306C76" w:rsidRPr="005A3AFE" w:rsidRDefault="001F608B" w:rsidP="000E5988">
      <w:pPr>
        <w:widowControl w:val="0"/>
        <w:suppressAutoHyphens/>
        <w:autoSpaceDE w:val="0"/>
        <w:autoSpaceDN w:val="0"/>
        <w:adjustRightInd w:val="0"/>
        <w:spacing w:before="120" w:after="120" w:line="290" w:lineRule="atLeast"/>
        <w:textAlignment w:val="center"/>
        <w:rPr>
          <w:rFonts w:eastAsia="Arial" w:cs="Arial"/>
          <w:lang w:val="en-GB"/>
        </w:rPr>
      </w:pPr>
      <w:r w:rsidRPr="005A3AFE">
        <w:rPr>
          <w:rFonts w:eastAsia="Arial" w:cs="Arial"/>
          <w:lang w:val="en-GB"/>
        </w:rPr>
        <w:t xml:space="preserve">For postgraduate coursework </w:t>
      </w:r>
      <w:r w:rsidR="001D6504" w:rsidRPr="005A3AFE">
        <w:rPr>
          <w:rFonts w:eastAsia="Arial" w:cs="Arial"/>
          <w:lang w:val="en-GB"/>
        </w:rPr>
        <w:t>g</w:t>
      </w:r>
      <w:r w:rsidRPr="005A3AFE">
        <w:rPr>
          <w:rFonts w:eastAsia="Arial" w:cs="Arial"/>
          <w:lang w:val="en-GB"/>
        </w:rPr>
        <w:t xml:space="preserve">raduates, </w:t>
      </w:r>
      <w:r w:rsidR="00B07C99" w:rsidRPr="005A3AFE">
        <w:rPr>
          <w:rFonts w:eastAsia="Arial" w:cs="Arial"/>
          <w:lang w:val="en-GB"/>
        </w:rPr>
        <w:t xml:space="preserve">'I'm satisfied with my current job' was the main reason cited, with </w:t>
      </w:r>
      <w:r w:rsidR="00C2639B" w:rsidRPr="005A3AFE">
        <w:rPr>
          <w:rFonts w:eastAsia="Arial" w:cs="Arial"/>
          <w:lang w:val="en-GB"/>
        </w:rPr>
        <w:t>20.2 per cent</w:t>
      </w:r>
      <w:r w:rsidR="00B07C99" w:rsidRPr="005A3AFE">
        <w:rPr>
          <w:rFonts w:eastAsia="Arial" w:cs="Arial"/>
          <w:lang w:val="en-GB"/>
        </w:rPr>
        <w:t xml:space="preserve"> </w:t>
      </w:r>
      <w:r w:rsidR="00CB5602" w:rsidRPr="005A3AFE">
        <w:rPr>
          <w:rFonts w:eastAsia="Arial" w:cs="Arial"/>
          <w:lang w:val="en-GB"/>
        </w:rPr>
        <w:t xml:space="preserve">citing this reason </w:t>
      </w:r>
      <w:r w:rsidR="00DB3186" w:rsidRPr="005A3AFE">
        <w:rPr>
          <w:rFonts w:eastAsia="Arial" w:cs="Arial"/>
          <w:lang w:val="en-GB"/>
        </w:rPr>
        <w:t>in the short-term</w:t>
      </w:r>
      <w:r w:rsidR="00CB5602" w:rsidRPr="005A3AFE">
        <w:rPr>
          <w:rFonts w:eastAsia="Arial" w:cs="Arial"/>
          <w:lang w:val="en-GB"/>
        </w:rPr>
        <w:t xml:space="preserve">, </w:t>
      </w:r>
      <w:r w:rsidR="00D62111" w:rsidRPr="005A3AFE">
        <w:rPr>
          <w:rFonts w:eastAsia="Arial" w:cs="Arial"/>
          <w:lang w:val="en-GB"/>
        </w:rPr>
        <w:t>and increased</w:t>
      </w:r>
      <w:r w:rsidR="00CB5602" w:rsidRPr="005A3AFE">
        <w:rPr>
          <w:rFonts w:eastAsia="Arial" w:cs="Arial"/>
          <w:lang w:val="en-GB"/>
        </w:rPr>
        <w:t xml:space="preserve"> to </w:t>
      </w:r>
      <w:r w:rsidR="000446F4" w:rsidRPr="005A3AFE">
        <w:rPr>
          <w:rFonts w:eastAsia="Arial" w:cs="Arial"/>
          <w:lang w:val="en-GB"/>
        </w:rPr>
        <w:t>29.3 per cent</w:t>
      </w:r>
      <w:r w:rsidR="00DB3186" w:rsidRPr="005A3AFE">
        <w:rPr>
          <w:rFonts w:eastAsia="Arial" w:cs="Arial"/>
          <w:lang w:val="en-GB"/>
        </w:rPr>
        <w:t xml:space="preserve"> in the medium-term</w:t>
      </w:r>
      <w:r w:rsidR="00D63783" w:rsidRPr="005A3AFE">
        <w:rPr>
          <w:rFonts w:eastAsia="Arial" w:cs="Arial"/>
          <w:lang w:val="en-GB"/>
        </w:rPr>
        <w:t xml:space="preserve">. </w:t>
      </w:r>
      <w:r w:rsidR="00D63783" w:rsidRPr="000E5988">
        <w:rPr>
          <w:rFonts w:eastAsia="Arial" w:cs="Arial"/>
          <w:spacing w:val="-2"/>
          <w:lang w:val="en-GB"/>
        </w:rPr>
        <w:t xml:space="preserve">The </w:t>
      </w:r>
      <w:r w:rsidR="00D921AE" w:rsidRPr="000E5988">
        <w:rPr>
          <w:rFonts w:eastAsia="Arial" w:cs="Arial"/>
          <w:spacing w:val="-2"/>
          <w:lang w:val="en-GB"/>
        </w:rPr>
        <w:t xml:space="preserve">growth in </w:t>
      </w:r>
      <w:r w:rsidR="00BC6070" w:rsidRPr="000E5988">
        <w:rPr>
          <w:rFonts w:eastAsia="Arial" w:cs="Arial"/>
          <w:spacing w:val="-2"/>
          <w:lang w:val="en-GB"/>
        </w:rPr>
        <w:t>graduates citing this reason for perceived overqualification</w:t>
      </w:r>
      <w:r w:rsidR="00D63783" w:rsidRPr="000E5988">
        <w:rPr>
          <w:rFonts w:eastAsia="Arial" w:cs="Arial"/>
          <w:spacing w:val="-2"/>
          <w:lang w:val="en-GB"/>
        </w:rPr>
        <w:t xml:space="preserve"> is consistent across </w:t>
      </w:r>
      <w:r w:rsidR="00EA4B58" w:rsidRPr="000E5988">
        <w:rPr>
          <w:rFonts w:eastAsia="Arial" w:cs="Arial"/>
          <w:spacing w:val="-2"/>
          <w:lang w:val="en-GB"/>
        </w:rPr>
        <w:t>all study levels</w:t>
      </w:r>
      <w:r w:rsidR="00D63783" w:rsidRPr="000E5988">
        <w:rPr>
          <w:rFonts w:eastAsia="Arial" w:cs="Arial"/>
          <w:spacing w:val="-2"/>
          <w:lang w:val="en-GB"/>
        </w:rPr>
        <w:t xml:space="preserve"> </w:t>
      </w:r>
      <w:r w:rsidR="002A75D7" w:rsidRPr="000E5988">
        <w:rPr>
          <w:rFonts w:eastAsia="Arial" w:cs="Arial"/>
          <w:spacing w:val="-2"/>
          <w:lang w:val="en-GB"/>
        </w:rPr>
        <w:t xml:space="preserve">in </w:t>
      </w:r>
      <w:r w:rsidR="00D63783" w:rsidRPr="000E5988">
        <w:rPr>
          <w:rFonts w:eastAsia="Arial" w:cs="Arial"/>
          <w:spacing w:val="-2"/>
          <w:lang w:val="en-GB"/>
        </w:rPr>
        <w:t>the medium-term, suggesting that not fully utilising skills and knowledge acquired in a course does not necessarily equate to an unsuccessful outcome.</w:t>
      </w:r>
    </w:p>
    <w:p w14:paraId="7C594F6B" w14:textId="656509AE" w:rsidR="002C3608" w:rsidRDefault="00651936" w:rsidP="000E5988">
      <w:pPr>
        <w:widowControl w:val="0"/>
        <w:suppressAutoHyphens/>
        <w:autoSpaceDE w:val="0"/>
        <w:autoSpaceDN w:val="0"/>
        <w:adjustRightInd w:val="0"/>
        <w:spacing w:before="120" w:after="120" w:line="290" w:lineRule="atLeast"/>
        <w:textAlignment w:val="center"/>
        <w:rPr>
          <w:rFonts w:ascii="ArialMT" w:hAnsi="ArialMT" w:cs="ArialMT"/>
          <w:lang w:val="en-GB"/>
        </w:rPr>
      </w:pPr>
      <w:r w:rsidRPr="005A3AFE">
        <w:rPr>
          <w:rFonts w:ascii="ArialMT" w:hAnsi="ArialMT" w:cs="ArialMT"/>
          <w:lang w:val="en-GB"/>
        </w:rPr>
        <w:t>P</w:t>
      </w:r>
      <w:r w:rsidR="002C3608" w:rsidRPr="005A3AFE">
        <w:rPr>
          <w:rFonts w:ascii="ArialMT" w:hAnsi="ArialMT" w:cs="ArialMT"/>
          <w:lang w:val="en-GB"/>
        </w:rPr>
        <w:t>ostgraduate research graduates</w:t>
      </w:r>
      <w:r w:rsidR="005320D1" w:rsidRPr="005A3AFE">
        <w:rPr>
          <w:rFonts w:ascii="ArialMT" w:hAnsi="ArialMT" w:cs="ArialMT"/>
          <w:lang w:val="en-GB"/>
        </w:rPr>
        <w:t xml:space="preserve"> were much more likely to cite </w:t>
      </w:r>
      <w:r w:rsidR="002C3608" w:rsidRPr="005A3AFE">
        <w:rPr>
          <w:rFonts w:ascii="ArialMT" w:hAnsi="ArialMT" w:cs="ArialMT"/>
          <w:lang w:val="en-GB"/>
        </w:rPr>
        <w:t>'No suitable jobs in my area of expertise'</w:t>
      </w:r>
      <w:r w:rsidR="005320D1" w:rsidRPr="005A3AFE">
        <w:rPr>
          <w:rFonts w:ascii="ArialMT" w:hAnsi="ArialMT" w:cs="ArialMT"/>
          <w:lang w:val="en-GB"/>
        </w:rPr>
        <w:t xml:space="preserve"> as their main reason</w:t>
      </w:r>
      <w:r w:rsidR="002C3608" w:rsidRPr="005A3AFE">
        <w:rPr>
          <w:rFonts w:ascii="ArialMT" w:hAnsi="ArialMT" w:cs="ArialMT"/>
          <w:lang w:val="en-GB"/>
        </w:rPr>
        <w:t xml:space="preserve"> in the short</w:t>
      </w:r>
      <w:r w:rsidR="00F76EEE" w:rsidRPr="005A3AFE">
        <w:rPr>
          <w:rFonts w:ascii="ArialMT" w:hAnsi="ArialMT" w:cs="ArialMT"/>
          <w:lang w:val="en-GB"/>
        </w:rPr>
        <w:t>-term</w:t>
      </w:r>
      <w:r w:rsidR="005320D1" w:rsidRPr="005A3AFE">
        <w:rPr>
          <w:rFonts w:ascii="ArialMT" w:hAnsi="ArialMT" w:cs="ArialMT"/>
          <w:lang w:val="en-GB"/>
        </w:rPr>
        <w:t xml:space="preserve"> </w:t>
      </w:r>
      <w:r w:rsidR="00961319" w:rsidRPr="005A3AFE">
        <w:rPr>
          <w:rFonts w:ascii="ArialMT" w:hAnsi="ArialMT" w:cs="ArialMT"/>
          <w:lang w:val="en-GB"/>
        </w:rPr>
        <w:t>(</w:t>
      </w:r>
      <w:r w:rsidR="0061732E" w:rsidRPr="005A3AFE">
        <w:rPr>
          <w:rFonts w:ascii="ArialMT" w:hAnsi="ArialMT" w:cs="ArialMT"/>
          <w:lang w:val="en-GB"/>
        </w:rPr>
        <w:t>19.3</w:t>
      </w:r>
      <w:r w:rsidR="00961319" w:rsidRPr="005A3AFE">
        <w:rPr>
          <w:rFonts w:ascii="ArialMT" w:hAnsi="ArialMT" w:cs="ArialMT"/>
          <w:lang w:val="en-GB"/>
        </w:rPr>
        <w:t xml:space="preserve"> per cent) </w:t>
      </w:r>
      <w:r w:rsidR="005320D1" w:rsidRPr="005A3AFE">
        <w:rPr>
          <w:rFonts w:ascii="ArialMT" w:hAnsi="ArialMT" w:cs="ArialMT"/>
          <w:lang w:val="en-GB"/>
        </w:rPr>
        <w:t xml:space="preserve">compared to undergraduates </w:t>
      </w:r>
      <w:r w:rsidR="00295DAC" w:rsidRPr="005A3AFE">
        <w:rPr>
          <w:rFonts w:ascii="ArialMT" w:hAnsi="ArialMT" w:cs="ArialMT"/>
          <w:lang w:val="en-GB"/>
        </w:rPr>
        <w:t>(7.1 per cent)</w:t>
      </w:r>
      <w:r w:rsidR="005320D1" w:rsidRPr="005A3AFE">
        <w:rPr>
          <w:rFonts w:ascii="ArialMT" w:hAnsi="ArialMT" w:cs="ArialMT"/>
          <w:lang w:val="en-GB"/>
        </w:rPr>
        <w:t xml:space="preserve"> and postgraduate coursework </w:t>
      </w:r>
      <w:r w:rsidR="00295DAC" w:rsidRPr="005A3AFE">
        <w:rPr>
          <w:rFonts w:ascii="ArialMT" w:hAnsi="ArialMT" w:cs="ArialMT"/>
          <w:lang w:val="en-GB"/>
        </w:rPr>
        <w:t>graduates (9.0 per cent)</w:t>
      </w:r>
      <w:r w:rsidR="0081677C" w:rsidRPr="005A3AFE">
        <w:rPr>
          <w:rFonts w:ascii="ArialMT" w:hAnsi="ArialMT" w:cs="ArialMT"/>
          <w:lang w:val="en-GB"/>
        </w:rPr>
        <w:t xml:space="preserve">, </w:t>
      </w:r>
      <w:r w:rsidR="00D62111" w:rsidRPr="005A3AFE">
        <w:rPr>
          <w:rFonts w:ascii="ArialMT" w:hAnsi="ArialMT" w:cs="ArialMT"/>
          <w:lang w:val="en-GB"/>
        </w:rPr>
        <w:t>increas</w:t>
      </w:r>
      <w:r w:rsidR="0075443F">
        <w:rPr>
          <w:rFonts w:ascii="ArialMT" w:hAnsi="ArialMT" w:cs="ArialMT"/>
          <w:lang w:val="en-GB"/>
        </w:rPr>
        <w:t>ing</w:t>
      </w:r>
      <w:r w:rsidR="00D62111" w:rsidRPr="005A3AFE">
        <w:rPr>
          <w:rFonts w:ascii="ArialMT" w:hAnsi="ArialMT" w:cs="ArialMT"/>
          <w:lang w:val="en-GB"/>
        </w:rPr>
        <w:t xml:space="preserve"> </w:t>
      </w:r>
      <w:r w:rsidR="0075443F">
        <w:rPr>
          <w:rFonts w:ascii="ArialMT" w:hAnsi="ArialMT" w:cs="ArialMT"/>
          <w:lang w:val="en-GB"/>
        </w:rPr>
        <w:t xml:space="preserve">to 25.1 per cent </w:t>
      </w:r>
      <w:r w:rsidR="002C630B" w:rsidRPr="005A3AFE">
        <w:rPr>
          <w:rFonts w:ascii="ArialMT" w:hAnsi="ArialMT" w:cs="ArialMT"/>
          <w:lang w:val="en-GB"/>
        </w:rPr>
        <w:t>in the medium-term.</w:t>
      </w:r>
      <w:r w:rsidR="00461194" w:rsidRPr="005A3AFE">
        <w:rPr>
          <w:rFonts w:ascii="ArialMT" w:hAnsi="ArialMT" w:cs="ArialMT"/>
          <w:lang w:val="en-GB"/>
        </w:rPr>
        <w:t xml:space="preserve"> This</w:t>
      </w:r>
      <w:r w:rsidR="002A46A2" w:rsidRPr="005A3AFE">
        <w:rPr>
          <w:rFonts w:ascii="ArialMT" w:hAnsi="ArialMT" w:cs="ArialMT"/>
          <w:lang w:val="en-GB"/>
        </w:rPr>
        <w:t xml:space="preserve"> is consistent</w:t>
      </w:r>
      <w:r w:rsidR="00461194" w:rsidRPr="005A3AFE">
        <w:rPr>
          <w:rFonts w:ascii="ArialMT" w:hAnsi="ArialMT" w:cs="ArialMT"/>
          <w:lang w:val="en-GB"/>
        </w:rPr>
        <w:t xml:space="preserve"> with </w:t>
      </w:r>
      <w:r w:rsidR="001A648B" w:rsidRPr="005A3AFE">
        <w:rPr>
          <w:rFonts w:ascii="ArialMT" w:hAnsi="ArialMT" w:cs="ArialMT"/>
          <w:lang w:val="en-GB"/>
        </w:rPr>
        <w:t>the reasons cited by</w:t>
      </w:r>
      <w:r w:rsidR="00461194" w:rsidRPr="005A3AFE">
        <w:rPr>
          <w:rFonts w:ascii="ArialMT" w:hAnsi="ArialMT" w:cs="ArialMT"/>
          <w:lang w:val="en-GB"/>
        </w:rPr>
        <w:t xml:space="preserve"> this cohort </w:t>
      </w:r>
      <w:r w:rsidR="001A648B" w:rsidRPr="005A3AFE">
        <w:rPr>
          <w:rFonts w:ascii="ArialMT" w:hAnsi="ArialMT" w:cs="ArialMT"/>
          <w:lang w:val="en-GB"/>
        </w:rPr>
        <w:t>who were</w:t>
      </w:r>
      <w:r w:rsidR="00461194" w:rsidRPr="005A3AFE">
        <w:rPr>
          <w:rFonts w:ascii="ArialMT" w:hAnsi="ArialMT" w:cs="ArialMT"/>
          <w:lang w:val="en-GB"/>
        </w:rPr>
        <w:t xml:space="preserve"> underemployed (see </w:t>
      </w:r>
      <w:hyperlink w:anchor="_Reasons_for_not" w:history="1">
        <w:r w:rsidR="00461194" w:rsidRPr="005A3AFE">
          <w:rPr>
            <w:rStyle w:val="Hyperlink"/>
            <w:rFonts w:ascii="ArialMT" w:hAnsi="ArialMT" w:cs="ArialMT"/>
            <w:lang w:val="en-GB"/>
          </w:rPr>
          <w:t>Reasons for not working more hours</w:t>
        </w:r>
      </w:hyperlink>
      <w:r w:rsidR="00A157CD" w:rsidRPr="005A3AFE">
        <w:rPr>
          <w:rFonts w:ascii="ArialMT" w:hAnsi="ArialMT" w:cs="ArialMT"/>
          <w:lang w:val="en-GB"/>
        </w:rPr>
        <w:t>)</w:t>
      </w:r>
      <w:r w:rsidR="002C630B" w:rsidRPr="005A3AFE">
        <w:rPr>
          <w:rFonts w:ascii="ArialMT" w:hAnsi="ArialMT" w:cs="ArialMT"/>
          <w:lang w:val="en-GB"/>
        </w:rPr>
        <w:t>,</w:t>
      </w:r>
      <w:r w:rsidR="00A157CD" w:rsidRPr="005A3AFE">
        <w:rPr>
          <w:rFonts w:ascii="ArialMT" w:hAnsi="ArialMT" w:cs="ArialMT"/>
          <w:lang w:val="en-GB"/>
        </w:rPr>
        <w:t xml:space="preserve"> highlighting</w:t>
      </w:r>
      <w:r w:rsidR="00461194" w:rsidRPr="005A3AFE">
        <w:rPr>
          <w:rFonts w:ascii="ArialMT" w:hAnsi="ArialMT" w:cs="ArialMT"/>
          <w:lang w:val="en-GB"/>
        </w:rPr>
        <w:t xml:space="preserve"> </w:t>
      </w:r>
      <w:r w:rsidR="00FC0389" w:rsidRPr="005A3AFE">
        <w:rPr>
          <w:rFonts w:ascii="ArialMT" w:hAnsi="ArialMT" w:cs="ArialMT"/>
          <w:lang w:val="en-GB"/>
        </w:rPr>
        <w:t xml:space="preserve">that </w:t>
      </w:r>
      <w:r w:rsidR="008A401D">
        <w:rPr>
          <w:rFonts w:ascii="ArialMT" w:hAnsi="ArialMT" w:cs="ArialMT"/>
          <w:lang w:val="en-GB"/>
        </w:rPr>
        <w:t>these graduates</w:t>
      </w:r>
      <w:r w:rsidR="008A401D" w:rsidRPr="005A3AFE">
        <w:rPr>
          <w:rFonts w:ascii="ArialMT" w:hAnsi="ArialMT" w:cs="ArialMT"/>
          <w:lang w:val="en-GB"/>
        </w:rPr>
        <w:t xml:space="preserve"> </w:t>
      </w:r>
      <w:r w:rsidR="00FC0389" w:rsidRPr="005A3AFE">
        <w:rPr>
          <w:rFonts w:ascii="ArialMT" w:hAnsi="ArialMT" w:cs="ArialMT"/>
          <w:lang w:val="en-GB"/>
        </w:rPr>
        <w:t xml:space="preserve">may </w:t>
      </w:r>
      <w:r w:rsidR="008A401D">
        <w:rPr>
          <w:rFonts w:ascii="ArialMT" w:hAnsi="ArialMT" w:cs="ArialMT"/>
          <w:lang w:val="en-GB"/>
        </w:rPr>
        <w:t xml:space="preserve">benefit from additional </w:t>
      </w:r>
      <w:r w:rsidR="00FC0389" w:rsidRPr="005A3AFE">
        <w:rPr>
          <w:rFonts w:ascii="ArialMT" w:hAnsi="ArialMT" w:cs="ArialMT"/>
          <w:lang w:val="en-GB"/>
        </w:rPr>
        <w:t xml:space="preserve">career support to </w:t>
      </w:r>
      <w:r w:rsidR="008A401D">
        <w:rPr>
          <w:rFonts w:ascii="ArialMT" w:hAnsi="ArialMT" w:cs="ArialMT"/>
          <w:lang w:val="en-GB"/>
        </w:rPr>
        <w:t xml:space="preserve">help them </w:t>
      </w:r>
      <w:r w:rsidR="00FC0389" w:rsidRPr="005A3AFE">
        <w:rPr>
          <w:rFonts w:ascii="ArialMT" w:hAnsi="ArialMT" w:cs="ArialMT"/>
          <w:lang w:val="en-GB"/>
        </w:rPr>
        <w:t>align their highly specialised skills</w:t>
      </w:r>
      <w:r w:rsidR="0081677C" w:rsidRPr="005A3AFE">
        <w:rPr>
          <w:rFonts w:ascii="ArialMT" w:hAnsi="ArialMT" w:cs="ArialMT"/>
          <w:lang w:val="en-GB"/>
        </w:rPr>
        <w:t xml:space="preserve"> with</w:t>
      </w:r>
      <w:r w:rsidR="00A157CD" w:rsidRPr="005A3AFE">
        <w:rPr>
          <w:rFonts w:ascii="ArialMT" w:hAnsi="ArialMT" w:cs="ArialMT"/>
          <w:lang w:val="en-GB"/>
        </w:rPr>
        <w:t xml:space="preserve"> </w:t>
      </w:r>
      <w:r w:rsidR="008A401D">
        <w:rPr>
          <w:rFonts w:ascii="ArialMT" w:hAnsi="ArialMT" w:cs="ArialMT"/>
          <w:lang w:val="en-GB"/>
        </w:rPr>
        <w:t>available roles</w:t>
      </w:r>
      <w:r w:rsidR="00FC0389" w:rsidRPr="005A3AFE">
        <w:rPr>
          <w:rFonts w:ascii="ArialMT" w:hAnsi="ArialMT" w:cs="ArialMT"/>
          <w:lang w:val="en-GB"/>
        </w:rPr>
        <w:t>.</w:t>
      </w:r>
    </w:p>
    <w:p w14:paraId="7E7BB9EB" w14:textId="77777777" w:rsidR="00C44F29" w:rsidRDefault="00D06C56" w:rsidP="000E5988">
      <w:pPr>
        <w:widowControl w:val="0"/>
        <w:suppressAutoHyphens/>
        <w:autoSpaceDE w:val="0"/>
        <w:autoSpaceDN w:val="0"/>
        <w:adjustRightInd w:val="0"/>
        <w:spacing w:before="120" w:after="120" w:line="290" w:lineRule="atLeast"/>
        <w:textAlignment w:val="center"/>
        <w:rPr>
          <w:rFonts w:ascii="ArialMT" w:hAnsi="ArialMT" w:cs="ArialMT"/>
          <w:lang w:val="en-GB"/>
        </w:rPr>
      </w:pPr>
      <w:r>
        <w:rPr>
          <w:rFonts w:ascii="ArialMT" w:hAnsi="ArialMT" w:cs="ArialMT"/>
          <w:lang w:val="en-GB"/>
        </w:rPr>
        <w:t>When looking at the main reason for working in a job that does not fully utilise skills and education, there is a notable growth in personal as opposed to labour market factors in the short- to medium</w:t>
      </w:r>
      <w:r w:rsidR="00F75EFD">
        <w:rPr>
          <w:rFonts w:ascii="ArialMT" w:hAnsi="ArialMT" w:cs="ArialMT"/>
          <w:lang w:val="en-GB"/>
        </w:rPr>
        <w:t>-</w:t>
      </w:r>
      <w:r>
        <w:rPr>
          <w:rFonts w:ascii="ArialMT" w:hAnsi="ArialMT" w:cs="ArialMT"/>
          <w:lang w:val="en-GB"/>
        </w:rPr>
        <w:t xml:space="preserve">term for undergraduates and postgraduate research graduates. This suggests that </w:t>
      </w:r>
      <w:r w:rsidRPr="00D06C56">
        <w:rPr>
          <w:rFonts w:ascii="ArialMT" w:hAnsi="ArialMT" w:cs="ArialMT"/>
          <w:lang w:val="en-GB"/>
        </w:rPr>
        <w:t xml:space="preserve">over time, </w:t>
      </w:r>
      <w:r>
        <w:rPr>
          <w:rFonts w:ascii="ArialMT" w:hAnsi="ArialMT" w:cs="ArialMT"/>
          <w:lang w:val="en-GB"/>
        </w:rPr>
        <w:t xml:space="preserve">as these cohorts establish themselves in the labour market, </w:t>
      </w:r>
      <w:r w:rsidRPr="00D06C56">
        <w:rPr>
          <w:rFonts w:ascii="ArialMT" w:hAnsi="ArialMT" w:cs="ArialMT"/>
          <w:lang w:val="en-GB"/>
        </w:rPr>
        <w:t xml:space="preserve">skill underutilisation </w:t>
      </w:r>
      <w:r>
        <w:rPr>
          <w:rFonts w:ascii="ArialMT" w:hAnsi="ArialMT" w:cs="ArialMT"/>
          <w:lang w:val="en-GB"/>
        </w:rPr>
        <w:t xml:space="preserve">becomes </w:t>
      </w:r>
      <w:r w:rsidRPr="00D06C56">
        <w:rPr>
          <w:rFonts w:ascii="ArialMT" w:hAnsi="ArialMT" w:cs="ArialMT"/>
          <w:lang w:val="en-GB"/>
        </w:rPr>
        <w:t xml:space="preserve">less driven by labour market mismatch and more by </w:t>
      </w:r>
      <w:r w:rsidR="00A05E4B">
        <w:rPr>
          <w:rFonts w:ascii="ArialMT" w:hAnsi="ArialMT" w:cs="ArialMT"/>
          <w:lang w:val="en-GB"/>
        </w:rPr>
        <w:t>personal preferences</w:t>
      </w:r>
      <w:r>
        <w:rPr>
          <w:rFonts w:ascii="ArialMT" w:hAnsi="ArialMT" w:cs="ArialMT"/>
          <w:lang w:val="en-GB"/>
        </w:rPr>
        <w:t>.</w:t>
      </w:r>
    </w:p>
    <w:p w14:paraId="4E25FC34" w14:textId="77777777" w:rsidR="00C44F29" w:rsidRDefault="00C44F29" w:rsidP="000E5988">
      <w:pPr>
        <w:widowControl w:val="0"/>
        <w:suppressAutoHyphens/>
        <w:autoSpaceDE w:val="0"/>
        <w:autoSpaceDN w:val="0"/>
        <w:adjustRightInd w:val="0"/>
        <w:spacing w:before="120" w:after="120" w:line="290" w:lineRule="atLeast"/>
        <w:textAlignment w:val="center"/>
        <w:rPr>
          <w:rFonts w:ascii="ArialMT" w:hAnsi="ArialMT" w:cs="ArialMT"/>
          <w:lang w:val="en-GB"/>
        </w:rPr>
      </w:pPr>
    </w:p>
    <w:p w14:paraId="62684CDB" w14:textId="77777777" w:rsidR="00C44F29" w:rsidRDefault="00C44F29" w:rsidP="000E5988">
      <w:pPr>
        <w:widowControl w:val="0"/>
        <w:suppressAutoHyphens/>
        <w:autoSpaceDE w:val="0"/>
        <w:autoSpaceDN w:val="0"/>
        <w:adjustRightInd w:val="0"/>
        <w:spacing w:before="120" w:after="120" w:line="290" w:lineRule="atLeast"/>
        <w:textAlignment w:val="center"/>
        <w:rPr>
          <w:rFonts w:ascii="ArialMT" w:hAnsi="ArialMT" w:cs="ArialMT"/>
          <w:lang w:val="en-GB"/>
        </w:rPr>
        <w:sectPr w:rsidR="00C44F29" w:rsidSect="00A11753">
          <w:footerReference w:type="default" r:id="rId46"/>
          <w:pgSz w:w="11900" w:h="16840"/>
          <w:pgMar w:top="709" w:right="709" w:bottom="709" w:left="709" w:header="397" w:footer="397" w:gutter="0"/>
          <w:cols w:space="708"/>
          <w:docGrid w:linePitch="360"/>
        </w:sectPr>
      </w:pPr>
    </w:p>
    <w:p w14:paraId="014CA501" w14:textId="7F589195" w:rsidR="00A800DB" w:rsidRPr="005A3AFE" w:rsidRDefault="00365863" w:rsidP="00CC193D">
      <w:pPr>
        <w:pStyle w:val="Caption"/>
        <w:spacing w:before="40" w:after="60"/>
      </w:pPr>
      <w:bookmarkStart w:id="109" w:name="_Ref202292709"/>
      <w:bookmarkStart w:id="110" w:name="_Toc243492095"/>
      <w:r w:rsidRPr="005A3AFE">
        <w:lastRenderedPageBreak/>
        <w:t xml:space="preserve">Table </w:t>
      </w:r>
      <w:fldSimple w:instr=" SEQ Table \* ARABIC ">
        <w:r w:rsidR="00C4459D">
          <w:rPr>
            <w:noProof/>
          </w:rPr>
          <w:t>3</w:t>
        </w:r>
      </w:fldSimple>
      <w:bookmarkEnd w:id="109"/>
      <w:r w:rsidRPr="005A3AFE">
        <w:t xml:space="preserve"> </w:t>
      </w:r>
      <w:r w:rsidR="00084FEF">
        <w:tab/>
      </w:r>
      <w:r w:rsidRPr="005A3AFE">
        <w:t xml:space="preserve">Main reason for working in </w:t>
      </w:r>
      <w:r w:rsidR="00EE78AF" w:rsidRPr="005A3AFE">
        <w:t xml:space="preserve">a </w:t>
      </w:r>
      <w:r w:rsidRPr="005A3AFE">
        <w:t>job that does not fully utilise skills and education, domestic graduates</w:t>
      </w:r>
      <w:r w:rsidR="00C329A1" w:rsidRPr="005A3AFE">
        <w:t xml:space="preserve"> employed full-time</w:t>
      </w:r>
      <w:r w:rsidRPr="005A3AFE">
        <w:t>, all occupations (%)</w:t>
      </w:r>
      <w:bookmarkEnd w:id="110"/>
    </w:p>
    <w:tbl>
      <w:tblPr>
        <w:tblStyle w:val="TableGrid"/>
        <w:tblW w:w="16216" w:type="dxa"/>
        <w:tblLayout w:type="fixed"/>
        <w:tblLook w:val="04A0" w:firstRow="1" w:lastRow="0" w:firstColumn="1" w:lastColumn="0" w:noHBand="0" w:noVBand="1"/>
      </w:tblPr>
      <w:tblGrid>
        <w:gridCol w:w="3823"/>
        <w:gridCol w:w="2065"/>
        <w:gridCol w:w="1904"/>
        <w:gridCol w:w="1984"/>
        <w:gridCol w:w="2126"/>
        <w:gridCol w:w="1985"/>
        <w:gridCol w:w="2329"/>
      </w:tblGrid>
      <w:tr w:rsidR="008A32F5" w:rsidRPr="005A3AFE" w14:paraId="3DAA6128" w14:textId="77777777" w:rsidTr="004415B1">
        <w:trPr>
          <w:cnfStyle w:val="100000000000" w:firstRow="1" w:lastRow="0" w:firstColumn="0" w:lastColumn="0" w:oddVBand="0" w:evenVBand="0" w:oddHBand="0" w:evenHBand="0" w:firstRowFirstColumn="0" w:firstRowLastColumn="0" w:lastRowFirstColumn="0" w:lastRowLastColumn="0"/>
          <w:trHeight w:val="960"/>
        </w:trPr>
        <w:tc>
          <w:tcPr>
            <w:tcW w:w="3823" w:type="dxa"/>
            <w:noWrap/>
            <w:vAlign w:val="center"/>
            <w:hideMark/>
          </w:tcPr>
          <w:bookmarkEnd w:id="106"/>
          <w:p w14:paraId="6677D6F3" w14:textId="4DCEB42E" w:rsidR="008A32F5" w:rsidRPr="00C44F29" w:rsidRDefault="008A32F5" w:rsidP="004415B1">
            <w:pPr>
              <w:spacing w:before="120" w:after="120"/>
              <w:ind w:left="57"/>
              <w:rPr>
                <w:rFonts w:cs="Arial"/>
                <w:szCs w:val="20"/>
              </w:rPr>
            </w:pPr>
            <w:r w:rsidRPr="00C44F29">
              <w:rPr>
                <w:rFonts w:cs="Arial"/>
                <w:szCs w:val="20"/>
              </w:rPr>
              <w:t>Reason type</w:t>
            </w:r>
          </w:p>
        </w:tc>
        <w:tc>
          <w:tcPr>
            <w:tcW w:w="2065" w:type="dxa"/>
            <w:noWrap/>
            <w:vAlign w:val="center"/>
            <w:hideMark/>
          </w:tcPr>
          <w:p w14:paraId="4DAFE9E3" w14:textId="77777777" w:rsidR="008A32F5" w:rsidRDefault="008A32F5" w:rsidP="00295610">
            <w:pPr>
              <w:spacing w:before="120" w:after="60"/>
              <w:ind w:left="113"/>
              <w:rPr>
                <w:rFonts w:cs="Arial"/>
                <w:bCs/>
                <w:szCs w:val="20"/>
              </w:rPr>
            </w:pPr>
            <w:r w:rsidRPr="00C44F29">
              <w:rPr>
                <w:rFonts w:cs="Arial"/>
                <w:szCs w:val="20"/>
              </w:rPr>
              <w:t>Undergraduate:</w:t>
            </w:r>
          </w:p>
          <w:p w14:paraId="2BF384F0" w14:textId="0C41A6FD" w:rsidR="008A32F5" w:rsidRPr="00C44F29" w:rsidRDefault="008A32F5" w:rsidP="004415B1">
            <w:pPr>
              <w:spacing w:before="60" w:after="120"/>
              <w:ind w:left="113"/>
              <w:rPr>
                <w:rFonts w:cs="Arial"/>
                <w:b w:val="0"/>
                <w:bCs/>
                <w:szCs w:val="20"/>
              </w:rPr>
            </w:pPr>
            <w:r w:rsidRPr="00C44F29">
              <w:rPr>
                <w:rFonts w:cs="Arial"/>
                <w:b w:val="0"/>
                <w:bCs/>
                <w:szCs w:val="20"/>
              </w:rPr>
              <w:t>Short-term (2023)</w:t>
            </w:r>
          </w:p>
        </w:tc>
        <w:tc>
          <w:tcPr>
            <w:tcW w:w="1904" w:type="dxa"/>
            <w:vAlign w:val="center"/>
          </w:tcPr>
          <w:p w14:paraId="69CD71B3" w14:textId="77777777" w:rsidR="008A32F5" w:rsidRDefault="008A32F5" w:rsidP="00295610">
            <w:pPr>
              <w:spacing w:before="120" w:after="60"/>
              <w:ind w:left="113"/>
              <w:rPr>
                <w:rFonts w:cs="Arial"/>
                <w:bCs/>
                <w:szCs w:val="20"/>
              </w:rPr>
            </w:pPr>
            <w:r w:rsidRPr="00C44F29">
              <w:rPr>
                <w:rFonts w:cs="Arial"/>
                <w:szCs w:val="20"/>
              </w:rPr>
              <w:t>Undergraduate:</w:t>
            </w:r>
          </w:p>
          <w:p w14:paraId="1E7E0C16" w14:textId="52A6F337" w:rsidR="008A32F5" w:rsidRPr="00C44F29" w:rsidRDefault="008A32F5" w:rsidP="004415B1">
            <w:pPr>
              <w:spacing w:before="60" w:after="120"/>
              <w:ind w:left="113"/>
              <w:rPr>
                <w:rFonts w:cs="Arial"/>
                <w:b w:val="0"/>
                <w:bCs/>
                <w:szCs w:val="20"/>
              </w:rPr>
            </w:pPr>
            <w:r w:rsidRPr="00C44F29">
              <w:rPr>
                <w:rFonts w:cs="Arial"/>
                <w:b w:val="0"/>
                <w:bCs/>
                <w:szCs w:val="20"/>
              </w:rPr>
              <w:t>Medium-term (2026)</w:t>
            </w:r>
          </w:p>
        </w:tc>
        <w:tc>
          <w:tcPr>
            <w:tcW w:w="1984" w:type="dxa"/>
            <w:noWrap/>
            <w:vAlign w:val="center"/>
            <w:hideMark/>
          </w:tcPr>
          <w:p w14:paraId="26192ECB" w14:textId="2F24E88E" w:rsidR="008A32F5" w:rsidRDefault="008A32F5" w:rsidP="00295610">
            <w:pPr>
              <w:spacing w:before="120" w:after="60"/>
              <w:ind w:left="113"/>
              <w:rPr>
                <w:rFonts w:cs="Arial"/>
                <w:bCs/>
                <w:szCs w:val="20"/>
              </w:rPr>
            </w:pPr>
            <w:r w:rsidRPr="00C44F29">
              <w:rPr>
                <w:rFonts w:cs="Arial"/>
                <w:szCs w:val="20"/>
              </w:rPr>
              <w:t>Postgraduate coursework:</w:t>
            </w:r>
          </w:p>
          <w:p w14:paraId="103BE0DE" w14:textId="70AC8938" w:rsidR="008A32F5" w:rsidRPr="00C44F29" w:rsidRDefault="008A32F5" w:rsidP="004415B1">
            <w:pPr>
              <w:spacing w:before="60" w:after="120"/>
              <w:ind w:left="113"/>
              <w:rPr>
                <w:rFonts w:cs="Arial"/>
                <w:b w:val="0"/>
                <w:bCs/>
                <w:szCs w:val="20"/>
              </w:rPr>
            </w:pPr>
            <w:r w:rsidRPr="00C44F29">
              <w:rPr>
                <w:rFonts w:cs="Arial"/>
                <w:b w:val="0"/>
                <w:bCs/>
                <w:szCs w:val="20"/>
              </w:rPr>
              <w:t>Short-term (2023)</w:t>
            </w:r>
          </w:p>
        </w:tc>
        <w:tc>
          <w:tcPr>
            <w:tcW w:w="2126" w:type="dxa"/>
            <w:vAlign w:val="center"/>
          </w:tcPr>
          <w:p w14:paraId="455DC207" w14:textId="77777777" w:rsidR="008A32F5" w:rsidRPr="004415B1" w:rsidRDefault="008A32F5" w:rsidP="00295610">
            <w:pPr>
              <w:spacing w:before="120" w:after="60"/>
              <w:ind w:left="113"/>
              <w:rPr>
                <w:rFonts w:cs="Arial"/>
                <w:b w:val="0"/>
                <w:spacing w:val="-6"/>
                <w:szCs w:val="20"/>
              </w:rPr>
            </w:pPr>
            <w:r w:rsidRPr="004415B1">
              <w:rPr>
                <w:rFonts w:cs="Arial"/>
                <w:spacing w:val="-6"/>
                <w:szCs w:val="20"/>
              </w:rPr>
              <w:t>Postgraduate coursework:</w:t>
            </w:r>
          </w:p>
          <w:p w14:paraId="64A2595E" w14:textId="60A8C36B" w:rsidR="008A32F5" w:rsidRPr="00C44F29" w:rsidRDefault="008A32F5" w:rsidP="004415B1">
            <w:pPr>
              <w:spacing w:before="60" w:after="120"/>
              <w:ind w:left="113"/>
              <w:rPr>
                <w:rFonts w:cs="Arial"/>
                <w:b w:val="0"/>
                <w:bCs/>
                <w:szCs w:val="20"/>
              </w:rPr>
            </w:pPr>
            <w:r w:rsidRPr="004415B1">
              <w:rPr>
                <w:rFonts w:cs="Arial"/>
                <w:b w:val="0"/>
                <w:bCs/>
                <w:spacing w:val="-6"/>
                <w:szCs w:val="20"/>
              </w:rPr>
              <w:t>Medium-term (2026)</w:t>
            </w:r>
          </w:p>
        </w:tc>
        <w:tc>
          <w:tcPr>
            <w:tcW w:w="1985" w:type="dxa"/>
            <w:noWrap/>
            <w:vAlign w:val="center"/>
            <w:hideMark/>
          </w:tcPr>
          <w:p w14:paraId="7130D2A9" w14:textId="77777777" w:rsidR="008A32F5" w:rsidRDefault="008A32F5" w:rsidP="00295610">
            <w:pPr>
              <w:spacing w:before="120" w:after="60"/>
              <w:ind w:left="113"/>
              <w:rPr>
                <w:rFonts w:cs="Arial"/>
                <w:bCs/>
                <w:szCs w:val="20"/>
              </w:rPr>
            </w:pPr>
            <w:r w:rsidRPr="00C44F29">
              <w:rPr>
                <w:rFonts w:cs="Arial"/>
                <w:szCs w:val="20"/>
              </w:rPr>
              <w:t>Postgraduate research:</w:t>
            </w:r>
          </w:p>
          <w:p w14:paraId="172867C7" w14:textId="6BD8A4A2" w:rsidR="008A32F5" w:rsidRPr="00C44F29" w:rsidRDefault="008A32F5" w:rsidP="004415B1">
            <w:pPr>
              <w:spacing w:before="60" w:after="120"/>
              <w:ind w:left="113"/>
              <w:rPr>
                <w:rFonts w:cs="Arial"/>
                <w:b w:val="0"/>
                <w:bCs/>
                <w:szCs w:val="20"/>
              </w:rPr>
            </w:pPr>
            <w:r w:rsidRPr="00C44F29">
              <w:rPr>
                <w:rFonts w:cs="Arial"/>
                <w:b w:val="0"/>
                <w:bCs/>
                <w:szCs w:val="20"/>
              </w:rPr>
              <w:t>Short-term (2023)</w:t>
            </w:r>
          </w:p>
        </w:tc>
        <w:tc>
          <w:tcPr>
            <w:tcW w:w="2329" w:type="dxa"/>
            <w:vAlign w:val="center"/>
          </w:tcPr>
          <w:p w14:paraId="68B4A5FF" w14:textId="77777777" w:rsidR="008A32F5" w:rsidRPr="004415B1" w:rsidRDefault="008A32F5" w:rsidP="00295610">
            <w:pPr>
              <w:spacing w:before="120" w:after="60"/>
              <w:ind w:left="113"/>
              <w:rPr>
                <w:rFonts w:cs="Arial"/>
                <w:b w:val="0"/>
                <w:spacing w:val="-6"/>
                <w:szCs w:val="20"/>
              </w:rPr>
            </w:pPr>
            <w:r w:rsidRPr="004415B1">
              <w:rPr>
                <w:rFonts w:cs="Arial"/>
                <w:spacing w:val="-6"/>
                <w:szCs w:val="20"/>
              </w:rPr>
              <w:t>Postgraduate research:</w:t>
            </w:r>
          </w:p>
          <w:p w14:paraId="434B5FE3" w14:textId="3D906D0F" w:rsidR="008A32F5" w:rsidRPr="00C44F29" w:rsidRDefault="008A32F5" w:rsidP="004415B1">
            <w:pPr>
              <w:spacing w:before="60" w:after="120"/>
              <w:ind w:left="113" w:right="175"/>
              <w:rPr>
                <w:rFonts w:cs="Arial"/>
                <w:b w:val="0"/>
                <w:bCs/>
                <w:szCs w:val="20"/>
              </w:rPr>
            </w:pPr>
            <w:r w:rsidRPr="004415B1">
              <w:rPr>
                <w:rFonts w:cs="Arial"/>
                <w:b w:val="0"/>
                <w:bCs/>
                <w:spacing w:val="-6"/>
                <w:szCs w:val="20"/>
              </w:rPr>
              <w:t>Medium-term (2026)</w:t>
            </w:r>
          </w:p>
        </w:tc>
      </w:tr>
      <w:tr w:rsidR="008A32F5" w:rsidRPr="005A3AFE" w14:paraId="139CB058" w14:textId="77777777" w:rsidTr="004415B1">
        <w:trPr>
          <w:trHeight w:val="960"/>
        </w:trPr>
        <w:tc>
          <w:tcPr>
            <w:tcW w:w="3823" w:type="dxa"/>
            <w:noWrap/>
            <w:vAlign w:val="center"/>
            <w:hideMark/>
          </w:tcPr>
          <w:p w14:paraId="39D96655" w14:textId="161D991F" w:rsidR="008A32F5" w:rsidRPr="007C2C04" w:rsidRDefault="008A32F5" w:rsidP="004415B1">
            <w:pPr>
              <w:spacing w:before="120" w:after="120"/>
              <w:ind w:left="57"/>
              <w:rPr>
                <w:rFonts w:cs="Arial"/>
                <w:szCs w:val="20"/>
              </w:rPr>
            </w:pPr>
            <w:r w:rsidRPr="008A32F5">
              <w:rPr>
                <w:rFonts w:cs="Arial"/>
                <w:b/>
                <w:bCs/>
                <w:szCs w:val="20"/>
              </w:rPr>
              <w:t>Personal factors:</w:t>
            </w:r>
            <w:r w:rsidRPr="007C2C04">
              <w:rPr>
                <w:rFonts w:cs="Arial"/>
                <w:szCs w:val="20"/>
              </w:rPr>
              <w:t xml:space="preserve"> </w:t>
            </w:r>
            <w:r w:rsidR="004415B1">
              <w:rPr>
                <w:rFonts w:cs="Arial"/>
                <w:szCs w:val="20"/>
              </w:rPr>
              <w:br/>
            </w:r>
            <w:r w:rsidRPr="007C2C04">
              <w:rPr>
                <w:rFonts w:cs="Arial"/>
                <w:szCs w:val="20"/>
              </w:rPr>
              <w:t>I'm</w:t>
            </w:r>
            <w:r w:rsidR="004415B1">
              <w:rPr>
                <w:rFonts w:cs="Arial"/>
                <w:szCs w:val="20"/>
              </w:rPr>
              <w:t> </w:t>
            </w:r>
            <w:r w:rsidRPr="007C2C04">
              <w:rPr>
                <w:rFonts w:cs="Arial"/>
                <w:szCs w:val="20"/>
              </w:rPr>
              <w:t>satisfied with my current job</w:t>
            </w:r>
          </w:p>
        </w:tc>
        <w:tc>
          <w:tcPr>
            <w:tcW w:w="2065" w:type="dxa"/>
            <w:noWrap/>
            <w:vAlign w:val="center"/>
          </w:tcPr>
          <w:p w14:paraId="64378E76" w14:textId="4A795EF8" w:rsidR="008A32F5" w:rsidRPr="004415B1" w:rsidRDefault="008A32F5" w:rsidP="004415B1">
            <w:pPr>
              <w:spacing w:before="120" w:after="120"/>
              <w:jc w:val="center"/>
              <w:rPr>
                <w:rFonts w:cs="Arial"/>
                <w:szCs w:val="20"/>
              </w:rPr>
            </w:pPr>
            <w:r w:rsidRPr="004415B1">
              <w:rPr>
                <w:rFonts w:cs="Arial"/>
                <w:color w:val="3A3A3A"/>
                <w:szCs w:val="20"/>
              </w:rPr>
              <w:t>13.9</w:t>
            </w:r>
          </w:p>
        </w:tc>
        <w:tc>
          <w:tcPr>
            <w:tcW w:w="1904" w:type="dxa"/>
            <w:noWrap/>
            <w:vAlign w:val="center"/>
          </w:tcPr>
          <w:p w14:paraId="42613EED" w14:textId="2D3D1EB2" w:rsidR="008A32F5" w:rsidRPr="004415B1" w:rsidRDefault="008A32F5" w:rsidP="004415B1">
            <w:pPr>
              <w:spacing w:before="120" w:after="120"/>
              <w:jc w:val="center"/>
              <w:rPr>
                <w:rFonts w:cs="Arial"/>
                <w:szCs w:val="20"/>
              </w:rPr>
            </w:pPr>
            <w:r w:rsidRPr="004415B1">
              <w:rPr>
                <w:rFonts w:cs="Arial"/>
                <w:color w:val="3A3A3A"/>
                <w:szCs w:val="20"/>
              </w:rPr>
              <w:t>26.8</w:t>
            </w:r>
          </w:p>
        </w:tc>
        <w:tc>
          <w:tcPr>
            <w:tcW w:w="1984" w:type="dxa"/>
            <w:noWrap/>
            <w:vAlign w:val="center"/>
          </w:tcPr>
          <w:p w14:paraId="27B7DFD1" w14:textId="1CCF5AE6" w:rsidR="008A32F5" w:rsidRPr="004415B1" w:rsidRDefault="008A32F5" w:rsidP="004415B1">
            <w:pPr>
              <w:spacing w:before="120" w:after="120"/>
              <w:jc w:val="center"/>
              <w:rPr>
                <w:rFonts w:cs="Arial"/>
                <w:szCs w:val="20"/>
              </w:rPr>
            </w:pPr>
            <w:r w:rsidRPr="004415B1">
              <w:rPr>
                <w:rFonts w:cs="Arial"/>
                <w:color w:val="3A3A3A"/>
                <w:szCs w:val="20"/>
              </w:rPr>
              <w:t>20.2</w:t>
            </w:r>
          </w:p>
        </w:tc>
        <w:tc>
          <w:tcPr>
            <w:tcW w:w="2126" w:type="dxa"/>
            <w:noWrap/>
            <w:vAlign w:val="center"/>
          </w:tcPr>
          <w:p w14:paraId="541226F9" w14:textId="59DEE0ED" w:rsidR="008A32F5" w:rsidRPr="004415B1" w:rsidRDefault="008A32F5" w:rsidP="004415B1">
            <w:pPr>
              <w:spacing w:before="120" w:after="120"/>
              <w:jc w:val="center"/>
              <w:rPr>
                <w:rFonts w:cs="Arial"/>
                <w:szCs w:val="20"/>
              </w:rPr>
            </w:pPr>
            <w:r w:rsidRPr="004415B1">
              <w:rPr>
                <w:rFonts w:cs="Arial"/>
                <w:color w:val="3A3A3A"/>
                <w:szCs w:val="20"/>
              </w:rPr>
              <w:t>29.3</w:t>
            </w:r>
          </w:p>
        </w:tc>
        <w:tc>
          <w:tcPr>
            <w:tcW w:w="1985" w:type="dxa"/>
            <w:noWrap/>
            <w:vAlign w:val="center"/>
          </w:tcPr>
          <w:p w14:paraId="576DF453" w14:textId="5667C6DA" w:rsidR="008A32F5" w:rsidRPr="004415B1" w:rsidRDefault="008A32F5" w:rsidP="004415B1">
            <w:pPr>
              <w:spacing w:before="120" w:after="120"/>
              <w:jc w:val="center"/>
              <w:rPr>
                <w:rFonts w:cs="Arial"/>
                <w:szCs w:val="20"/>
              </w:rPr>
            </w:pPr>
            <w:r w:rsidRPr="004415B1">
              <w:rPr>
                <w:rFonts w:cs="Arial"/>
                <w:color w:val="3A3A3A"/>
                <w:szCs w:val="20"/>
              </w:rPr>
              <w:t>22.0</w:t>
            </w:r>
          </w:p>
        </w:tc>
        <w:tc>
          <w:tcPr>
            <w:tcW w:w="2329" w:type="dxa"/>
            <w:noWrap/>
            <w:vAlign w:val="center"/>
          </w:tcPr>
          <w:p w14:paraId="3042F423" w14:textId="66448278" w:rsidR="008A32F5" w:rsidRPr="004415B1" w:rsidRDefault="008A32F5" w:rsidP="004415B1">
            <w:pPr>
              <w:spacing w:before="120" w:after="120"/>
              <w:jc w:val="center"/>
              <w:rPr>
                <w:rFonts w:cs="Arial"/>
                <w:szCs w:val="20"/>
              </w:rPr>
            </w:pPr>
            <w:r w:rsidRPr="004415B1">
              <w:rPr>
                <w:rFonts w:cs="Arial"/>
                <w:color w:val="3A3A3A"/>
                <w:szCs w:val="20"/>
              </w:rPr>
              <w:t>31.9</w:t>
            </w:r>
          </w:p>
        </w:tc>
      </w:tr>
      <w:tr w:rsidR="008A32F5" w:rsidRPr="005A3AFE" w14:paraId="4FB95E7F" w14:textId="77777777" w:rsidTr="004415B1">
        <w:trPr>
          <w:trHeight w:val="960"/>
        </w:trPr>
        <w:tc>
          <w:tcPr>
            <w:tcW w:w="3823" w:type="dxa"/>
            <w:noWrap/>
            <w:vAlign w:val="center"/>
            <w:hideMark/>
          </w:tcPr>
          <w:p w14:paraId="7D25DA56" w14:textId="64BD7A8B" w:rsidR="008A32F5" w:rsidRPr="007C2C04" w:rsidRDefault="008A32F5" w:rsidP="004415B1">
            <w:pPr>
              <w:spacing w:before="120" w:after="120"/>
              <w:ind w:left="57"/>
              <w:rPr>
                <w:rFonts w:cs="Arial"/>
                <w:szCs w:val="20"/>
              </w:rPr>
            </w:pPr>
            <w:r w:rsidRPr="008A32F5">
              <w:rPr>
                <w:rFonts w:cs="Arial"/>
                <w:b/>
                <w:bCs/>
                <w:szCs w:val="20"/>
              </w:rPr>
              <w:t>Personal factors:</w:t>
            </w:r>
            <w:r w:rsidR="004415B1">
              <w:rPr>
                <w:rFonts w:cs="Arial"/>
                <w:szCs w:val="20"/>
              </w:rPr>
              <w:br/>
            </w:r>
            <w:r w:rsidRPr="007C2C04">
              <w:rPr>
                <w:rFonts w:cs="Arial"/>
                <w:szCs w:val="20"/>
              </w:rPr>
              <w:t>For</w:t>
            </w:r>
            <w:r w:rsidR="004415B1">
              <w:rPr>
                <w:rFonts w:cs="Arial"/>
                <w:szCs w:val="20"/>
              </w:rPr>
              <w:t> </w:t>
            </w:r>
            <w:r w:rsidRPr="007C2C04">
              <w:rPr>
                <w:rFonts w:cs="Arial"/>
                <w:szCs w:val="20"/>
              </w:rPr>
              <w:t>financial reasons</w:t>
            </w:r>
          </w:p>
        </w:tc>
        <w:tc>
          <w:tcPr>
            <w:tcW w:w="2065" w:type="dxa"/>
            <w:noWrap/>
            <w:vAlign w:val="center"/>
          </w:tcPr>
          <w:p w14:paraId="30360230" w14:textId="6D4E174C" w:rsidR="008A32F5" w:rsidRPr="004415B1" w:rsidRDefault="008A32F5" w:rsidP="004415B1">
            <w:pPr>
              <w:spacing w:before="120" w:after="120"/>
              <w:jc w:val="center"/>
              <w:rPr>
                <w:rFonts w:cs="Arial"/>
                <w:szCs w:val="20"/>
              </w:rPr>
            </w:pPr>
            <w:r w:rsidRPr="004415B1">
              <w:rPr>
                <w:rFonts w:cs="Arial"/>
                <w:color w:val="3A3A3A"/>
                <w:szCs w:val="20"/>
              </w:rPr>
              <w:t>8.1</w:t>
            </w:r>
          </w:p>
        </w:tc>
        <w:tc>
          <w:tcPr>
            <w:tcW w:w="1904" w:type="dxa"/>
            <w:noWrap/>
            <w:vAlign w:val="center"/>
          </w:tcPr>
          <w:p w14:paraId="22FEC979" w14:textId="67E0B96A" w:rsidR="008A32F5" w:rsidRPr="004415B1" w:rsidRDefault="008A32F5" w:rsidP="004415B1">
            <w:pPr>
              <w:spacing w:before="120" w:after="120"/>
              <w:jc w:val="center"/>
              <w:rPr>
                <w:rFonts w:cs="Arial"/>
                <w:szCs w:val="20"/>
              </w:rPr>
            </w:pPr>
            <w:r w:rsidRPr="004415B1">
              <w:rPr>
                <w:rFonts w:cs="Arial"/>
                <w:color w:val="3A3A3A"/>
                <w:szCs w:val="20"/>
              </w:rPr>
              <w:t>6.9</w:t>
            </w:r>
          </w:p>
        </w:tc>
        <w:tc>
          <w:tcPr>
            <w:tcW w:w="1984" w:type="dxa"/>
            <w:noWrap/>
            <w:vAlign w:val="center"/>
          </w:tcPr>
          <w:p w14:paraId="2383FF3A" w14:textId="33360C9F" w:rsidR="008A32F5" w:rsidRPr="004415B1" w:rsidRDefault="008A32F5" w:rsidP="004415B1">
            <w:pPr>
              <w:spacing w:before="120" w:after="120"/>
              <w:jc w:val="center"/>
              <w:rPr>
                <w:rFonts w:cs="Arial"/>
                <w:szCs w:val="20"/>
              </w:rPr>
            </w:pPr>
            <w:r w:rsidRPr="004415B1">
              <w:rPr>
                <w:rFonts w:cs="Arial"/>
                <w:color w:val="3A3A3A"/>
                <w:szCs w:val="20"/>
              </w:rPr>
              <w:t>6.4</w:t>
            </w:r>
          </w:p>
        </w:tc>
        <w:tc>
          <w:tcPr>
            <w:tcW w:w="2126" w:type="dxa"/>
            <w:noWrap/>
            <w:vAlign w:val="center"/>
          </w:tcPr>
          <w:p w14:paraId="19E30680" w14:textId="3B8F05EE" w:rsidR="008A32F5" w:rsidRPr="004415B1" w:rsidRDefault="008A32F5" w:rsidP="004415B1">
            <w:pPr>
              <w:spacing w:before="120" w:after="120"/>
              <w:jc w:val="center"/>
              <w:rPr>
                <w:rFonts w:cs="Arial"/>
                <w:szCs w:val="20"/>
              </w:rPr>
            </w:pPr>
            <w:r w:rsidRPr="004415B1">
              <w:rPr>
                <w:rFonts w:cs="Arial"/>
                <w:color w:val="3A3A3A"/>
                <w:szCs w:val="20"/>
              </w:rPr>
              <w:t>5.8</w:t>
            </w:r>
          </w:p>
        </w:tc>
        <w:tc>
          <w:tcPr>
            <w:tcW w:w="1985" w:type="dxa"/>
            <w:noWrap/>
            <w:vAlign w:val="center"/>
          </w:tcPr>
          <w:p w14:paraId="357D1958" w14:textId="78E350F3" w:rsidR="008A32F5" w:rsidRPr="004415B1" w:rsidRDefault="008A32F5" w:rsidP="004415B1">
            <w:pPr>
              <w:spacing w:before="120" w:after="120"/>
              <w:jc w:val="center"/>
              <w:rPr>
                <w:rFonts w:cs="Arial"/>
                <w:szCs w:val="20"/>
              </w:rPr>
            </w:pPr>
            <w:r w:rsidRPr="004415B1">
              <w:rPr>
                <w:rFonts w:cs="Arial"/>
                <w:color w:val="3A3A3A"/>
                <w:szCs w:val="20"/>
              </w:rPr>
              <w:t>6.5</w:t>
            </w:r>
          </w:p>
        </w:tc>
        <w:tc>
          <w:tcPr>
            <w:tcW w:w="2329" w:type="dxa"/>
            <w:noWrap/>
            <w:vAlign w:val="center"/>
          </w:tcPr>
          <w:p w14:paraId="1B420B54" w14:textId="43A58425" w:rsidR="008A32F5" w:rsidRPr="004415B1" w:rsidRDefault="008A32F5" w:rsidP="004415B1">
            <w:pPr>
              <w:spacing w:before="120" w:after="120"/>
              <w:ind w:left="1027" w:right="-1985"/>
              <w:jc w:val="center"/>
              <w:rPr>
                <w:rFonts w:cs="Arial"/>
                <w:szCs w:val="20"/>
              </w:rPr>
            </w:pPr>
            <w:r w:rsidRPr="004415B1">
              <w:rPr>
                <w:rFonts w:cs="Arial"/>
                <w:color w:val="3A3A3A"/>
                <w:szCs w:val="20"/>
              </w:rPr>
              <w:t>4.7</w:t>
            </w:r>
          </w:p>
        </w:tc>
      </w:tr>
      <w:tr w:rsidR="008A32F5" w:rsidRPr="005A3AFE" w14:paraId="599BB325" w14:textId="77777777" w:rsidTr="004415B1">
        <w:trPr>
          <w:trHeight w:val="960"/>
        </w:trPr>
        <w:tc>
          <w:tcPr>
            <w:tcW w:w="3823" w:type="dxa"/>
            <w:noWrap/>
            <w:vAlign w:val="center"/>
            <w:hideMark/>
          </w:tcPr>
          <w:p w14:paraId="156B04D5" w14:textId="541303DB" w:rsidR="008A32F5" w:rsidRPr="007C2C04" w:rsidRDefault="008A32F5" w:rsidP="004415B1">
            <w:pPr>
              <w:spacing w:before="120" w:after="120"/>
              <w:ind w:left="57"/>
              <w:rPr>
                <w:rFonts w:cs="Arial"/>
                <w:szCs w:val="20"/>
              </w:rPr>
            </w:pPr>
            <w:r w:rsidRPr="008A32F5">
              <w:rPr>
                <w:rFonts w:cs="Arial"/>
                <w:b/>
                <w:bCs/>
                <w:szCs w:val="20"/>
              </w:rPr>
              <w:t>Personal factors:</w:t>
            </w:r>
            <w:r w:rsidRPr="007C2C04">
              <w:rPr>
                <w:rFonts w:cs="Arial"/>
                <w:szCs w:val="20"/>
              </w:rPr>
              <w:t xml:space="preserve"> </w:t>
            </w:r>
            <w:r w:rsidR="004415B1">
              <w:rPr>
                <w:rFonts w:cs="Arial"/>
                <w:szCs w:val="20"/>
              </w:rPr>
              <w:br/>
            </w:r>
            <w:r w:rsidRPr="007C2C04">
              <w:rPr>
                <w:rFonts w:cs="Arial"/>
                <w:szCs w:val="20"/>
              </w:rPr>
              <w:t>Changing jobs/careers</w:t>
            </w:r>
          </w:p>
        </w:tc>
        <w:tc>
          <w:tcPr>
            <w:tcW w:w="2065" w:type="dxa"/>
            <w:noWrap/>
            <w:vAlign w:val="center"/>
          </w:tcPr>
          <w:p w14:paraId="45A518EC" w14:textId="3FCB61AC" w:rsidR="008A32F5" w:rsidRPr="004415B1" w:rsidRDefault="008A32F5" w:rsidP="004415B1">
            <w:pPr>
              <w:spacing w:before="120" w:after="120"/>
              <w:jc w:val="center"/>
              <w:rPr>
                <w:rFonts w:cs="Arial"/>
                <w:szCs w:val="20"/>
              </w:rPr>
            </w:pPr>
            <w:r w:rsidRPr="004415B1">
              <w:rPr>
                <w:rFonts w:cs="Arial"/>
                <w:color w:val="3A3A3A"/>
                <w:szCs w:val="20"/>
              </w:rPr>
              <w:t>8.2</w:t>
            </w:r>
          </w:p>
        </w:tc>
        <w:tc>
          <w:tcPr>
            <w:tcW w:w="1904" w:type="dxa"/>
            <w:noWrap/>
            <w:vAlign w:val="center"/>
          </w:tcPr>
          <w:p w14:paraId="69BA02C1" w14:textId="786EE257" w:rsidR="008A32F5" w:rsidRPr="004415B1" w:rsidRDefault="008A32F5" w:rsidP="004415B1">
            <w:pPr>
              <w:spacing w:before="120" w:after="120"/>
              <w:jc w:val="center"/>
              <w:rPr>
                <w:rFonts w:cs="Arial"/>
                <w:szCs w:val="20"/>
              </w:rPr>
            </w:pPr>
            <w:r w:rsidRPr="004415B1">
              <w:rPr>
                <w:rFonts w:cs="Arial"/>
                <w:color w:val="3A3A3A"/>
                <w:szCs w:val="20"/>
              </w:rPr>
              <w:t>1.5</w:t>
            </w:r>
          </w:p>
        </w:tc>
        <w:tc>
          <w:tcPr>
            <w:tcW w:w="1984" w:type="dxa"/>
            <w:noWrap/>
            <w:vAlign w:val="center"/>
          </w:tcPr>
          <w:p w14:paraId="20088AF8" w14:textId="50EE2229" w:rsidR="008A32F5" w:rsidRPr="004415B1" w:rsidRDefault="008A32F5" w:rsidP="004415B1">
            <w:pPr>
              <w:spacing w:before="120" w:after="120"/>
              <w:jc w:val="center"/>
              <w:rPr>
                <w:rFonts w:cs="Arial"/>
                <w:szCs w:val="20"/>
              </w:rPr>
            </w:pPr>
            <w:r w:rsidRPr="004415B1">
              <w:rPr>
                <w:rFonts w:cs="Arial"/>
                <w:color w:val="3A3A3A"/>
                <w:szCs w:val="20"/>
              </w:rPr>
              <w:t>14.4</w:t>
            </w:r>
          </w:p>
        </w:tc>
        <w:tc>
          <w:tcPr>
            <w:tcW w:w="2126" w:type="dxa"/>
            <w:noWrap/>
            <w:vAlign w:val="center"/>
          </w:tcPr>
          <w:p w14:paraId="02C8124E" w14:textId="5AA150CA" w:rsidR="008A32F5" w:rsidRPr="004415B1" w:rsidRDefault="008A32F5" w:rsidP="004415B1">
            <w:pPr>
              <w:spacing w:before="120" w:after="120"/>
              <w:jc w:val="center"/>
              <w:rPr>
                <w:rFonts w:cs="Arial"/>
                <w:szCs w:val="20"/>
              </w:rPr>
            </w:pPr>
            <w:r w:rsidRPr="004415B1">
              <w:rPr>
                <w:rFonts w:cs="Arial"/>
                <w:color w:val="3A3A3A"/>
                <w:szCs w:val="20"/>
              </w:rPr>
              <w:t>2.0</w:t>
            </w:r>
          </w:p>
        </w:tc>
        <w:tc>
          <w:tcPr>
            <w:tcW w:w="1985" w:type="dxa"/>
            <w:noWrap/>
            <w:vAlign w:val="center"/>
          </w:tcPr>
          <w:p w14:paraId="5072F561" w14:textId="79A543AD" w:rsidR="008A32F5" w:rsidRPr="004415B1" w:rsidRDefault="008A32F5" w:rsidP="004415B1">
            <w:pPr>
              <w:spacing w:before="120" w:after="120"/>
              <w:jc w:val="center"/>
              <w:rPr>
                <w:rFonts w:cs="Arial"/>
                <w:szCs w:val="20"/>
              </w:rPr>
            </w:pPr>
            <w:r w:rsidRPr="004415B1">
              <w:rPr>
                <w:rFonts w:cs="Arial"/>
                <w:color w:val="3A3A3A"/>
                <w:szCs w:val="20"/>
              </w:rPr>
              <w:t>8.2</w:t>
            </w:r>
          </w:p>
        </w:tc>
        <w:tc>
          <w:tcPr>
            <w:tcW w:w="2329" w:type="dxa"/>
            <w:noWrap/>
            <w:vAlign w:val="center"/>
          </w:tcPr>
          <w:p w14:paraId="653C692C" w14:textId="54222C12" w:rsidR="008A32F5" w:rsidRPr="004415B1" w:rsidRDefault="008A32F5" w:rsidP="004415B1">
            <w:pPr>
              <w:spacing w:before="120" w:after="120"/>
              <w:jc w:val="center"/>
              <w:rPr>
                <w:rFonts w:cs="Arial"/>
                <w:szCs w:val="20"/>
              </w:rPr>
            </w:pPr>
            <w:r w:rsidRPr="004415B1">
              <w:rPr>
                <w:rFonts w:cs="Arial"/>
                <w:color w:val="3A3A3A"/>
                <w:szCs w:val="20"/>
              </w:rPr>
              <w:t>2.0</w:t>
            </w:r>
          </w:p>
        </w:tc>
      </w:tr>
      <w:tr w:rsidR="008A32F5" w:rsidRPr="005A3AFE" w14:paraId="05ACF6B5" w14:textId="77777777" w:rsidTr="004415B1">
        <w:trPr>
          <w:trHeight w:val="960"/>
        </w:trPr>
        <w:tc>
          <w:tcPr>
            <w:tcW w:w="3823" w:type="dxa"/>
            <w:noWrap/>
            <w:vAlign w:val="center"/>
            <w:hideMark/>
          </w:tcPr>
          <w:p w14:paraId="45347D70" w14:textId="33E4CA80" w:rsidR="008A32F5" w:rsidRPr="007C2C04" w:rsidRDefault="008A32F5" w:rsidP="004415B1">
            <w:pPr>
              <w:spacing w:before="120" w:after="120"/>
              <w:ind w:left="57"/>
              <w:rPr>
                <w:rFonts w:cs="Arial"/>
                <w:szCs w:val="20"/>
              </w:rPr>
            </w:pPr>
            <w:r w:rsidRPr="008A32F5">
              <w:rPr>
                <w:rFonts w:cs="Arial"/>
                <w:b/>
                <w:bCs/>
                <w:szCs w:val="20"/>
              </w:rPr>
              <w:t>Personal factors:</w:t>
            </w:r>
            <w:r w:rsidR="004415B1">
              <w:rPr>
                <w:rFonts w:cs="Arial"/>
                <w:szCs w:val="20"/>
              </w:rPr>
              <w:br/>
            </w:r>
            <w:r w:rsidRPr="007C2C04">
              <w:rPr>
                <w:rFonts w:cs="Arial"/>
                <w:szCs w:val="20"/>
              </w:rPr>
              <w:t>Studying</w:t>
            </w:r>
          </w:p>
        </w:tc>
        <w:tc>
          <w:tcPr>
            <w:tcW w:w="2065" w:type="dxa"/>
            <w:noWrap/>
            <w:vAlign w:val="center"/>
          </w:tcPr>
          <w:p w14:paraId="09BD1A37" w14:textId="3E01A1DB" w:rsidR="008A32F5" w:rsidRPr="004415B1" w:rsidRDefault="008A32F5" w:rsidP="004415B1">
            <w:pPr>
              <w:spacing w:before="120" w:after="120"/>
              <w:jc w:val="center"/>
              <w:rPr>
                <w:rFonts w:cs="Arial"/>
                <w:szCs w:val="20"/>
              </w:rPr>
            </w:pPr>
            <w:r w:rsidRPr="004415B1">
              <w:rPr>
                <w:rFonts w:cs="Arial"/>
                <w:color w:val="3A3A3A"/>
                <w:szCs w:val="20"/>
              </w:rPr>
              <w:t>6.1</w:t>
            </w:r>
          </w:p>
        </w:tc>
        <w:tc>
          <w:tcPr>
            <w:tcW w:w="1904" w:type="dxa"/>
            <w:noWrap/>
            <w:vAlign w:val="center"/>
          </w:tcPr>
          <w:p w14:paraId="36A3725E" w14:textId="5FAB16F0" w:rsidR="008A32F5" w:rsidRPr="004415B1" w:rsidRDefault="008A32F5" w:rsidP="004415B1">
            <w:pPr>
              <w:spacing w:before="120" w:after="120"/>
              <w:jc w:val="center"/>
              <w:rPr>
                <w:rFonts w:cs="Arial"/>
                <w:szCs w:val="20"/>
              </w:rPr>
            </w:pPr>
            <w:r w:rsidRPr="004415B1">
              <w:rPr>
                <w:rFonts w:cs="Arial"/>
                <w:color w:val="3A3A3A"/>
                <w:szCs w:val="20"/>
              </w:rPr>
              <w:t>5.6</w:t>
            </w:r>
          </w:p>
        </w:tc>
        <w:tc>
          <w:tcPr>
            <w:tcW w:w="1984" w:type="dxa"/>
            <w:noWrap/>
            <w:vAlign w:val="center"/>
          </w:tcPr>
          <w:p w14:paraId="37675771" w14:textId="419BE0DC" w:rsidR="008A32F5" w:rsidRPr="004415B1" w:rsidRDefault="008A32F5" w:rsidP="004415B1">
            <w:pPr>
              <w:spacing w:before="120" w:after="120"/>
              <w:jc w:val="center"/>
              <w:rPr>
                <w:rFonts w:cs="Arial"/>
                <w:szCs w:val="20"/>
              </w:rPr>
            </w:pPr>
            <w:r w:rsidRPr="004415B1">
              <w:rPr>
                <w:rFonts w:cs="Arial"/>
                <w:color w:val="3A3A3A"/>
                <w:szCs w:val="20"/>
              </w:rPr>
              <w:t>3.4</w:t>
            </w:r>
          </w:p>
        </w:tc>
        <w:tc>
          <w:tcPr>
            <w:tcW w:w="2126" w:type="dxa"/>
            <w:noWrap/>
            <w:vAlign w:val="center"/>
          </w:tcPr>
          <w:p w14:paraId="129254FB" w14:textId="140E3270" w:rsidR="008A32F5" w:rsidRPr="004415B1" w:rsidRDefault="008A32F5" w:rsidP="004415B1">
            <w:pPr>
              <w:spacing w:before="120" w:after="120"/>
              <w:jc w:val="center"/>
              <w:rPr>
                <w:rFonts w:cs="Arial"/>
                <w:szCs w:val="20"/>
              </w:rPr>
            </w:pPr>
            <w:r w:rsidRPr="004415B1">
              <w:rPr>
                <w:rFonts w:cs="Arial"/>
                <w:color w:val="3A3A3A"/>
                <w:szCs w:val="20"/>
              </w:rPr>
              <w:t>2.4</w:t>
            </w:r>
          </w:p>
        </w:tc>
        <w:tc>
          <w:tcPr>
            <w:tcW w:w="1985" w:type="dxa"/>
            <w:noWrap/>
            <w:vAlign w:val="center"/>
          </w:tcPr>
          <w:p w14:paraId="12D2ED3D" w14:textId="7FB1B658" w:rsidR="008A32F5" w:rsidRPr="004415B1" w:rsidRDefault="008A32F5" w:rsidP="004415B1">
            <w:pPr>
              <w:spacing w:before="120" w:after="120"/>
              <w:jc w:val="center"/>
              <w:rPr>
                <w:rFonts w:cs="Arial"/>
                <w:szCs w:val="20"/>
              </w:rPr>
            </w:pPr>
            <w:r w:rsidRPr="004415B1">
              <w:rPr>
                <w:rFonts w:cs="Arial"/>
                <w:color w:val="3A3A3A"/>
                <w:szCs w:val="20"/>
              </w:rPr>
              <w:t>2.2</w:t>
            </w:r>
          </w:p>
        </w:tc>
        <w:tc>
          <w:tcPr>
            <w:tcW w:w="2329" w:type="dxa"/>
            <w:noWrap/>
            <w:vAlign w:val="center"/>
          </w:tcPr>
          <w:p w14:paraId="40E3FEA6" w14:textId="5FAD4EFE" w:rsidR="008A32F5" w:rsidRPr="004415B1" w:rsidRDefault="008A32F5" w:rsidP="004415B1">
            <w:pPr>
              <w:spacing w:before="120" w:after="120"/>
              <w:jc w:val="center"/>
              <w:rPr>
                <w:rFonts w:cs="Arial"/>
                <w:szCs w:val="20"/>
              </w:rPr>
            </w:pPr>
            <w:r w:rsidRPr="004415B1">
              <w:rPr>
                <w:rFonts w:cs="Arial"/>
                <w:color w:val="3A3A3A"/>
                <w:szCs w:val="20"/>
              </w:rPr>
              <w:t>1.2</w:t>
            </w:r>
          </w:p>
        </w:tc>
      </w:tr>
      <w:tr w:rsidR="008A32F5" w:rsidRPr="005A3AFE" w14:paraId="021AF92C" w14:textId="77777777" w:rsidTr="004415B1">
        <w:trPr>
          <w:trHeight w:val="960"/>
        </w:trPr>
        <w:tc>
          <w:tcPr>
            <w:tcW w:w="3823" w:type="dxa"/>
            <w:noWrap/>
            <w:vAlign w:val="center"/>
          </w:tcPr>
          <w:p w14:paraId="57812D68" w14:textId="61A7A9D8" w:rsidR="008A32F5" w:rsidRPr="007C2C04" w:rsidRDefault="008A32F5" w:rsidP="004415B1">
            <w:pPr>
              <w:spacing w:before="120" w:after="120"/>
              <w:ind w:left="57"/>
              <w:rPr>
                <w:rFonts w:cs="Arial"/>
                <w:szCs w:val="20"/>
              </w:rPr>
            </w:pPr>
            <w:r w:rsidRPr="008A32F5">
              <w:rPr>
                <w:rFonts w:cs="Arial"/>
                <w:b/>
                <w:bCs/>
                <w:szCs w:val="20"/>
              </w:rPr>
              <w:t>Personal factors:</w:t>
            </w:r>
            <w:r w:rsidR="004415B1">
              <w:rPr>
                <w:rFonts w:cs="Arial"/>
                <w:szCs w:val="20"/>
              </w:rPr>
              <w:br/>
            </w:r>
            <w:r w:rsidRPr="007C2C04">
              <w:rPr>
                <w:rFonts w:cs="Arial"/>
                <w:szCs w:val="20"/>
              </w:rPr>
              <w:t>Caring for children or family member</w:t>
            </w:r>
          </w:p>
        </w:tc>
        <w:tc>
          <w:tcPr>
            <w:tcW w:w="2065" w:type="dxa"/>
            <w:noWrap/>
            <w:vAlign w:val="center"/>
          </w:tcPr>
          <w:p w14:paraId="11B7DCB4" w14:textId="16BC5E63" w:rsidR="008A32F5" w:rsidRPr="004415B1" w:rsidRDefault="008A32F5" w:rsidP="004415B1">
            <w:pPr>
              <w:spacing w:before="120" w:after="120"/>
              <w:jc w:val="center"/>
              <w:rPr>
                <w:rFonts w:cs="Arial"/>
                <w:szCs w:val="20"/>
              </w:rPr>
            </w:pPr>
            <w:r w:rsidRPr="004415B1">
              <w:rPr>
                <w:rFonts w:cs="Arial"/>
                <w:color w:val="3A3A3A"/>
                <w:szCs w:val="20"/>
              </w:rPr>
              <w:t>1.3</w:t>
            </w:r>
          </w:p>
        </w:tc>
        <w:tc>
          <w:tcPr>
            <w:tcW w:w="1904" w:type="dxa"/>
            <w:noWrap/>
            <w:vAlign w:val="center"/>
          </w:tcPr>
          <w:p w14:paraId="559AAAC6" w14:textId="537DB5F5" w:rsidR="008A32F5" w:rsidRPr="004415B1" w:rsidRDefault="008A32F5" w:rsidP="004415B1">
            <w:pPr>
              <w:spacing w:before="120" w:after="120"/>
              <w:jc w:val="center"/>
              <w:rPr>
                <w:rFonts w:cs="Arial"/>
                <w:szCs w:val="20"/>
              </w:rPr>
            </w:pPr>
            <w:r w:rsidRPr="004415B1">
              <w:rPr>
                <w:rFonts w:cs="Arial"/>
                <w:color w:val="3A3A3A"/>
                <w:szCs w:val="20"/>
              </w:rPr>
              <w:t>2.1</w:t>
            </w:r>
          </w:p>
        </w:tc>
        <w:tc>
          <w:tcPr>
            <w:tcW w:w="1984" w:type="dxa"/>
            <w:noWrap/>
            <w:vAlign w:val="center"/>
          </w:tcPr>
          <w:p w14:paraId="29964F6A" w14:textId="18BA6879" w:rsidR="008A32F5" w:rsidRPr="004415B1" w:rsidRDefault="008A32F5" w:rsidP="004415B1">
            <w:pPr>
              <w:spacing w:before="120" w:after="120"/>
              <w:jc w:val="center"/>
              <w:rPr>
                <w:rFonts w:cs="Arial"/>
                <w:szCs w:val="20"/>
              </w:rPr>
            </w:pPr>
            <w:r w:rsidRPr="004415B1">
              <w:rPr>
                <w:rFonts w:cs="Arial"/>
                <w:color w:val="3A3A3A"/>
                <w:szCs w:val="20"/>
              </w:rPr>
              <w:t>4.0</w:t>
            </w:r>
          </w:p>
        </w:tc>
        <w:tc>
          <w:tcPr>
            <w:tcW w:w="2126" w:type="dxa"/>
            <w:noWrap/>
            <w:vAlign w:val="center"/>
          </w:tcPr>
          <w:p w14:paraId="0671550D" w14:textId="4246B616" w:rsidR="008A32F5" w:rsidRPr="004415B1" w:rsidRDefault="008A32F5" w:rsidP="004415B1">
            <w:pPr>
              <w:spacing w:before="120" w:after="120"/>
              <w:jc w:val="center"/>
              <w:rPr>
                <w:rFonts w:cs="Arial"/>
                <w:szCs w:val="20"/>
              </w:rPr>
            </w:pPr>
            <w:r w:rsidRPr="004415B1">
              <w:rPr>
                <w:rFonts w:cs="Arial"/>
                <w:color w:val="3A3A3A"/>
                <w:szCs w:val="20"/>
              </w:rPr>
              <w:t>6.6</w:t>
            </w:r>
          </w:p>
        </w:tc>
        <w:tc>
          <w:tcPr>
            <w:tcW w:w="1985" w:type="dxa"/>
            <w:noWrap/>
            <w:vAlign w:val="center"/>
          </w:tcPr>
          <w:p w14:paraId="44D88866" w14:textId="2DC43273" w:rsidR="008A32F5" w:rsidRPr="004415B1" w:rsidRDefault="008A32F5" w:rsidP="004415B1">
            <w:pPr>
              <w:spacing w:before="120" w:after="120"/>
              <w:jc w:val="center"/>
              <w:rPr>
                <w:rFonts w:cs="Arial"/>
                <w:szCs w:val="20"/>
              </w:rPr>
            </w:pPr>
            <w:r w:rsidRPr="004415B1">
              <w:rPr>
                <w:rFonts w:cs="Arial"/>
                <w:color w:val="3A3A3A"/>
                <w:szCs w:val="20"/>
              </w:rPr>
              <w:t>2.4</w:t>
            </w:r>
          </w:p>
        </w:tc>
        <w:tc>
          <w:tcPr>
            <w:tcW w:w="2329" w:type="dxa"/>
            <w:noWrap/>
            <w:vAlign w:val="center"/>
          </w:tcPr>
          <w:p w14:paraId="41F57F21" w14:textId="5AD0320E" w:rsidR="008A32F5" w:rsidRPr="004415B1" w:rsidRDefault="008A32F5" w:rsidP="004415B1">
            <w:pPr>
              <w:spacing w:before="120" w:after="120"/>
              <w:jc w:val="center"/>
              <w:rPr>
                <w:rFonts w:cs="Arial"/>
                <w:szCs w:val="20"/>
              </w:rPr>
            </w:pPr>
            <w:r w:rsidRPr="004415B1">
              <w:rPr>
                <w:rFonts w:cs="Arial"/>
                <w:color w:val="3A3A3A"/>
                <w:szCs w:val="20"/>
              </w:rPr>
              <w:t>5.3</w:t>
            </w:r>
          </w:p>
        </w:tc>
      </w:tr>
      <w:tr w:rsidR="008A32F5" w:rsidRPr="005A3AFE" w14:paraId="532FA1F5" w14:textId="77777777" w:rsidTr="004415B1">
        <w:trPr>
          <w:trHeight w:val="960"/>
        </w:trPr>
        <w:tc>
          <w:tcPr>
            <w:tcW w:w="3823" w:type="dxa"/>
            <w:noWrap/>
            <w:vAlign w:val="center"/>
          </w:tcPr>
          <w:p w14:paraId="25D29F95" w14:textId="0D16BF43" w:rsidR="008A32F5" w:rsidRPr="007C2C04" w:rsidRDefault="008A32F5" w:rsidP="004415B1">
            <w:pPr>
              <w:spacing w:before="120" w:after="120"/>
              <w:ind w:left="57"/>
              <w:rPr>
                <w:rFonts w:cs="Arial"/>
                <w:szCs w:val="20"/>
              </w:rPr>
            </w:pPr>
            <w:r w:rsidRPr="008A32F5">
              <w:rPr>
                <w:rFonts w:cs="Arial"/>
                <w:b/>
                <w:bCs/>
                <w:szCs w:val="20"/>
              </w:rPr>
              <w:t>Personal factors:</w:t>
            </w:r>
            <w:r w:rsidR="004415B1">
              <w:rPr>
                <w:rFonts w:cs="Arial"/>
                <w:szCs w:val="20"/>
              </w:rPr>
              <w:br/>
            </w:r>
            <w:r w:rsidRPr="007C2C04">
              <w:rPr>
                <w:rFonts w:cs="Arial"/>
                <w:szCs w:val="20"/>
              </w:rPr>
              <w:t>Other personal factors</w:t>
            </w:r>
          </w:p>
        </w:tc>
        <w:tc>
          <w:tcPr>
            <w:tcW w:w="2065" w:type="dxa"/>
            <w:noWrap/>
            <w:vAlign w:val="center"/>
          </w:tcPr>
          <w:p w14:paraId="1C40D28D" w14:textId="001D197C" w:rsidR="008A32F5" w:rsidRPr="004415B1" w:rsidRDefault="008A32F5" w:rsidP="004415B1">
            <w:pPr>
              <w:spacing w:before="120" w:after="120"/>
              <w:jc w:val="center"/>
              <w:rPr>
                <w:rFonts w:cs="Arial"/>
                <w:color w:val="0D0D0D"/>
                <w:szCs w:val="20"/>
              </w:rPr>
            </w:pPr>
            <w:r w:rsidRPr="004415B1">
              <w:rPr>
                <w:rFonts w:cs="Arial"/>
                <w:color w:val="3A3A3A"/>
                <w:szCs w:val="20"/>
              </w:rPr>
              <w:t>1.4</w:t>
            </w:r>
          </w:p>
        </w:tc>
        <w:tc>
          <w:tcPr>
            <w:tcW w:w="1904" w:type="dxa"/>
            <w:noWrap/>
            <w:vAlign w:val="center"/>
          </w:tcPr>
          <w:p w14:paraId="7DDA2045" w14:textId="776747B7" w:rsidR="008A32F5" w:rsidRPr="004415B1" w:rsidRDefault="008A32F5" w:rsidP="004415B1">
            <w:pPr>
              <w:spacing w:before="120" w:after="120"/>
              <w:jc w:val="center"/>
              <w:rPr>
                <w:rFonts w:cs="Arial"/>
                <w:color w:val="0D0D0D"/>
                <w:szCs w:val="20"/>
              </w:rPr>
            </w:pPr>
            <w:r w:rsidRPr="004415B1">
              <w:rPr>
                <w:rFonts w:cs="Arial"/>
                <w:color w:val="3A3A3A"/>
                <w:szCs w:val="20"/>
              </w:rPr>
              <w:t>1.6</w:t>
            </w:r>
          </w:p>
        </w:tc>
        <w:tc>
          <w:tcPr>
            <w:tcW w:w="1984" w:type="dxa"/>
            <w:noWrap/>
            <w:vAlign w:val="center"/>
          </w:tcPr>
          <w:p w14:paraId="3414E7FC" w14:textId="503734FC" w:rsidR="008A32F5" w:rsidRPr="004415B1" w:rsidRDefault="008A32F5" w:rsidP="004415B1">
            <w:pPr>
              <w:spacing w:before="120" w:after="120"/>
              <w:jc w:val="center"/>
              <w:rPr>
                <w:rFonts w:cs="Arial"/>
                <w:color w:val="0D0D0D"/>
                <w:szCs w:val="20"/>
              </w:rPr>
            </w:pPr>
            <w:r w:rsidRPr="004415B1">
              <w:rPr>
                <w:rFonts w:cs="Arial"/>
                <w:color w:val="3A3A3A"/>
                <w:szCs w:val="20"/>
              </w:rPr>
              <w:t>0.4</w:t>
            </w:r>
          </w:p>
        </w:tc>
        <w:tc>
          <w:tcPr>
            <w:tcW w:w="2126" w:type="dxa"/>
            <w:noWrap/>
            <w:vAlign w:val="center"/>
          </w:tcPr>
          <w:p w14:paraId="21147E33" w14:textId="70F8995C" w:rsidR="008A32F5" w:rsidRPr="004415B1" w:rsidRDefault="008A32F5" w:rsidP="004415B1">
            <w:pPr>
              <w:spacing w:before="120" w:after="120"/>
              <w:jc w:val="center"/>
              <w:rPr>
                <w:rFonts w:cs="Arial"/>
                <w:color w:val="0D0D0D"/>
                <w:szCs w:val="20"/>
              </w:rPr>
            </w:pPr>
            <w:r w:rsidRPr="004415B1">
              <w:rPr>
                <w:rFonts w:cs="Arial"/>
                <w:color w:val="3A3A3A"/>
                <w:szCs w:val="20"/>
              </w:rPr>
              <w:t>1.6</w:t>
            </w:r>
          </w:p>
        </w:tc>
        <w:tc>
          <w:tcPr>
            <w:tcW w:w="1985" w:type="dxa"/>
            <w:noWrap/>
            <w:vAlign w:val="center"/>
          </w:tcPr>
          <w:p w14:paraId="2A3A213A" w14:textId="0C205B42" w:rsidR="008A32F5" w:rsidRPr="004415B1" w:rsidRDefault="008A32F5" w:rsidP="004415B1">
            <w:pPr>
              <w:spacing w:before="120" w:after="120"/>
              <w:jc w:val="center"/>
              <w:rPr>
                <w:rFonts w:cs="Arial"/>
                <w:color w:val="0D0D0D"/>
                <w:szCs w:val="20"/>
              </w:rPr>
            </w:pPr>
            <w:r w:rsidRPr="004415B1">
              <w:rPr>
                <w:rFonts w:cs="Arial"/>
                <w:color w:val="3A3A3A"/>
                <w:szCs w:val="20"/>
              </w:rPr>
              <w:t>0.3</w:t>
            </w:r>
          </w:p>
        </w:tc>
        <w:tc>
          <w:tcPr>
            <w:tcW w:w="2329" w:type="dxa"/>
            <w:noWrap/>
            <w:vAlign w:val="center"/>
          </w:tcPr>
          <w:p w14:paraId="1319787A" w14:textId="505997C4" w:rsidR="008A32F5" w:rsidRPr="004415B1" w:rsidRDefault="008A32F5" w:rsidP="004415B1">
            <w:pPr>
              <w:spacing w:before="120" w:after="120"/>
              <w:jc w:val="center"/>
              <w:rPr>
                <w:rFonts w:cs="Arial"/>
                <w:color w:val="0D0D0D"/>
                <w:szCs w:val="20"/>
              </w:rPr>
            </w:pPr>
            <w:r w:rsidRPr="004415B1">
              <w:rPr>
                <w:rFonts w:cs="Arial"/>
                <w:color w:val="3A3A3A"/>
                <w:szCs w:val="20"/>
              </w:rPr>
              <w:t>2.3</w:t>
            </w:r>
          </w:p>
        </w:tc>
      </w:tr>
      <w:tr w:rsidR="008A32F5" w:rsidRPr="005A3AFE" w14:paraId="22E7F422" w14:textId="77777777" w:rsidTr="004415B1">
        <w:trPr>
          <w:trHeight w:val="960"/>
        </w:trPr>
        <w:tc>
          <w:tcPr>
            <w:tcW w:w="3823" w:type="dxa"/>
            <w:shd w:val="clear" w:color="auto" w:fill="F2F2F2" w:themeFill="background1" w:themeFillShade="F2"/>
            <w:noWrap/>
            <w:vAlign w:val="center"/>
            <w:hideMark/>
          </w:tcPr>
          <w:p w14:paraId="5FD5BAD7" w14:textId="59E9EDA1" w:rsidR="008A32F5" w:rsidRPr="004415B1" w:rsidRDefault="008A32F5" w:rsidP="004415B1">
            <w:pPr>
              <w:spacing w:before="120" w:after="120"/>
              <w:ind w:left="57"/>
              <w:rPr>
                <w:rFonts w:cs="Arial"/>
                <w:b/>
                <w:bCs/>
                <w:sz w:val="21"/>
                <w:szCs w:val="21"/>
              </w:rPr>
            </w:pPr>
            <w:r w:rsidRPr="004415B1">
              <w:rPr>
                <w:rFonts w:cs="Arial"/>
                <w:b/>
                <w:bCs/>
                <w:sz w:val="21"/>
                <w:szCs w:val="21"/>
              </w:rPr>
              <w:t xml:space="preserve">Sub-total: </w:t>
            </w:r>
            <w:r w:rsidR="004415B1" w:rsidRPr="004415B1">
              <w:rPr>
                <w:rFonts w:cs="Arial"/>
                <w:b/>
                <w:bCs/>
                <w:sz w:val="21"/>
                <w:szCs w:val="21"/>
              </w:rPr>
              <w:br/>
            </w:r>
            <w:r w:rsidRPr="004415B1">
              <w:rPr>
                <w:rFonts w:cs="Arial"/>
                <w:b/>
                <w:bCs/>
                <w:sz w:val="21"/>
                <w:szCs w:val="21"/>
              </w:rPr>
              <w:t>Personal factors</w:t>
            </w:r>
          </w:p>
        </w:tc>
        <w:tc>
          <w:tcPr>
            <w:tcW w:w="2065" w:type="dxa"/>
            <w:shd w:val="clear" w:color="auto" w:fill="F2F2F2" w:themeFill="background1" w:themeFillShade="F2"/>
            <w:noWrap/>
            <w:vAlign w:val="center"/>
          </w:tcPr>
          <w:p w14:paraId="256DAA3E" w14:textId="18201B2A" w:rsidR="008A32F5" w:rsidRPr="004415B1" w:rsidRDefault="008A32F5" w:rsidP="004415B1">
            <w:pPr>
              <w:spacing w:before="120" w:after="120"/>
              <w:jc w:val="center"/>
              <w:rPr>
                <w:rFonts w:cs="Arial"/>
                <w:sz w:val="21"/>
                <w:szCs w:val="21"/>
              </w:rPr>
            </w:pPr>
            <w:r w:rsidRPr="004415B1">
              <w:rPr>
                <w:rFonts w:cs="Arial"/>
                <w:color w:val="3A3A3A"/>
                <w:sz w:val="21"/>
                <w:szCs w:val="21"/>
              </w:rPr>
              <w:t>39.0</w:t>
            </w:r>
          </w:p>
        </w:tc>
        <w:tc>
          <w:tcPr>
            <w:tcW w:w="1904" w:type="dxa"/>
            <w:shd w:val="clear" w:color="auto" w:fill="F2F2F2" w:themeFill="background1" w:themeFillShade="F2"/>
            <w:noWrap/>
            <w:vAlign w:val="center"/>
          </w:tcPr>
          <w:p w14:paraId="7B28D8B9" w14:textId="22BECF62" w:rsidR="008A32F5" w:rsidRPr="004415B1" w:rsidRDefault="008A32F5" w:rsidP="004415B1">
            <w:pPr>
              <w:spacing w:before="120" w:after="120"/>
              <w:jc w:val="center"/>
              <w:rPr>
                <w:rFonts w:cs="Arial"/>
                <w:sz w:val="21"/>
                <w:szCs w:val="21"/>
              </w:rPr>
            </w:pPr>
            <w:r w:rsidRPr="004415B1">
              <w:rPr>
                <w:rFonts w:cs="Arial"/>
                <w:color w:val="3A3A3A"/>
                <w:sz w:val="21"/>
                <w:szCs w:val="21"/>
              </w:rPr>
              <w:t>44.5</w:t>
            </w:r>
          </w:p>
        </w:tc>
        <w:tc>
          <w:tcPr>
            <w:tcW w:w="1984" w:type="dxa"/>
            <w:shd w:val="clear" w:color="auto" w:fill="F2F2F2" w:themeFill="background1" w:themeFillShade="F2"/>
            <w:noWrap/>
            <w:vAlign w:val="center"/>
          </w:tcPr>
          <w:p w14:paraId="690F26FE" w14:textId="0D26B421" w:rsidR="008A32F5" w:rsidRPr="004415B1" w:rsidRDefault="008A32F5" w:rsidP="004415B1">
            <w:pPr>
              <w:spacing w:before="120" w:after="120"/>
              <w:jc w:val="center"/>
              <w:rPr>
                <w:rFonts w:cs="Arial"/>
                <w:sz w:val="21"/>
                <w:szCs w:val="21"/>
              </w:rPr>
            </w:pPr>
            <w:r w:rsidRPr="004415B1">
              <w:rPr>
                <w:rFonts w:cs="Arial"/>
                <w:color w:val="3A3A3A"/>
                <w:sz w:val="21"/>
                <w:szCs w:val="21"/>
              </w:rPr>
              <w:t>48.8</w:t>
            </w:r>
          </w:p>
        </w:tc>
        <w:tc>
          <w:tcPr>
            <w:tcW w:w="2126" w:type="dxa"/>
            <w:shd w:val="clear" w:color="auto" w:fill="F2F2F2" w:themeFill="background1" w:themeFillShade="F2"/>
            <w:noWrap/>
            <w:vAlign w:val="center"/>
          </w:tcPr>
          <w:p w14:paraId="0557CCCC" w14:textId="20D8FB14" w:rsidR="008A32F5" w:rsidRPr="004415B1" w:rsidRDefault="008A32F5" w:rsidP="004415B1">
            <w:pPr>
              <w:spacing w:before="120" w:after="120"/>
              <w:jc w:val="center"/>
              <w:rPr>
                <w:rFonts w:cs="Arial"/>
                <w:sz w:val="21"/>
                <w:szCs w:val="21"/>
              </w:rPr>
            </w:pPr>
            <w:r w:rsidRPr="004415B1">
              <w:rPr>
                <w:rFonts w:cs="Arial"/>
                <w:color w:val="3A3A3A"/>
                <w:sz w:val="21"/>
                <w:szCs w:val="21"/>
              </w:rPr>
              <w:t>47.7</w:t>
            </w:r>
          </w:p>
        </w:tc>
        <w:tc>
          <w:tcPr>
            <w:tcW w:w="1985" w:type="dxa"/>
            <w:shd w:val="clear" w:color="auto" w:fill="F2F2F2" w:themeFill="background1" w:themeFillShade="F2"/>
            <w:noWrap/>
            <w:vAlign w:val="center"/>
          </w:tcPr>
          <w:p w14:paraId="14585E84" w14:textId="3F2504BC" w:rsidR="008A32F5" w:rsidRPr="004415B1" w:rsidRDefault="008A32F5" w:rsidP="004415B1">
            <w:pPr>
              <w:spacing w:before="120" w:after="120"/>
              <w:jc w:val="center"/>
              <w:rPr>
                <w:rFonts w:cs="Arial"/>
                <w:sz w:val="21"/>
                <w:szCs w:val="21"/>
              </w:rPr>
            </w:pPr>
            <w:r w:rsidRPr="004415B1">
              <w:rPr>
                <w:rFonts w:cs="Arial"/>
                <w:color w:val="3A3A3A"/>
                <w:sz w:val="21"/>
                <w:szCs w:val="21"/>
              </w:rPr>
              <w:t>41.6</w:t>
            </w:r>
          </w:p>
        </w:tc>
        <w:tc>
          <w:tcPr>
            <w:tcW w:w="2329" w:type="dxa"/>
            <w:shd w:val="clear" w:color="auto" w:fill="F2F2F2" w:themeFill="background1" w:themeFillShade="F2"/>
            <w:noWrap/>
            <w:vAlign w:val="center"/>
          </w:tcPr>
          <w:p w14:paraId="1D2EAE78" w14:textId="0A336B4E" w:rsidR="008A32F5" w:rsidRPr="004415B1" w:rsidRDefault="008A32F5" w:rsidP="004415B1">
            <w:pPr>
              <w:spacing w:before="120" w:after="120"/>
              <w:jc w:val="center"/>
              <w:rPr>
                <w:rFonts w:cs="Arial"/>
                <w:sz w:val="21"/>
                <w:szCs w:val="21"/>
              </w:rPr>
            </w:pPr>
            <w:r w:rsidRPr="004415B1">
              <w:rPr>
                <w:rFonts w:cs="Arial"/>
                <w:color w:val="3A3A3A"/>
                <w:sz w:val="21"/>
                <w:szCs w:val="21"/>
              </w:rPr>
              <w:t>47.4</w:t>
            </w:r>
          </w:p>
        </w:tc>
      </w:tr>
      <w:tr w:rsidR="008A32F5" w:rsidRPr="005A3AFE" w14:paraId="6BA1DC25" w14:textId="77777777" w:rsidTr="004415B1">
        <w:trPr>
          <w:trHeight w:val="960"/>
        </w:trPr>
        <w:tc>
          <w:tcPr>
            <w:tcW w:w="3823" w:type="dxa"/>
            <w:noWrap/>
            <w:vAlign w:val="center"/>
            <w:hideMark/>
          </w:tcPr>
          <w:p w14:paraId="378D7B38" w14:textId="104D6FD9" w:rsidR="008A32F5" w:rsidRPr="007C2C04" w:rsidRDefault="008A32F5" w:rsidP="004415B1">
            <w:pPr>
              <w:spacing w:before="120" w:after="120"/>
              <w:ind w:left="57"/>
              <w:rPr>
                <w:rFonts w:cs="Arial"/>
                <w:szCs w:val="20"/>
              </w:rPr>
            </w:pPr>
            <w:r w:rsidRPr="008A32F5">
              <w:rPr>
                <w:rFonts w:cs="Arial"/>
                <w:b/>
                <w:bCs/>
                <w:color w:val="000000"/>
                <w:szCs w:val="20"/>
              </w:rPr>
              <w:t>Labour market factors</w:t>
            </w:r>
            <w:r>
              <w:rPr>
                <w:rFonts w:cs="Arial"/>
                <w:b/>
                <w:bCs/>
                <w:color w:val="000000"/>
                <w:szCs w:val="20"/>
              </w:rPr>
              <w:t>:</w:t>
            </w:r>
            <w:r w:rsidR="004415B1">
              <w:rPr>
                <w:rFonts w:cs="Arial"/>
                <w:b/>
                <w:bCs/>
                <w:color w:val="000000"/>
                <w:szCs w:val="20"/>
              </w:rPr>
              <w:br/>
            </w:r>
            <w:r w:rsidRPr="007C2C04">
              <w:rPr>
                <w:rFonts w:cs="Arial"/>
                <w:color w:val="000000"/>
                <w:szCs w:val="20"/>
              </w:rPr>
              <w:t>No suitable jobs in my area of expertise</w:t>
            </w:r>
          </w:p>
        </w:tc>
        <w:tc>
          <w:tcPr>
            <w:tcW w:w="2065" w:type="dxa"/>
            <w:noWrap/>
            <w:vAlign w:val="center"/>
          </w:tcPr>
          <w:p w14:paraId="49BCD608" w14:textId="71A83BFE" w:rsidR="008A32F5" w:rsidRPr="004415B1" w:rsidRDefault="008A32F5" w:rsidP="004415B1">
            <w:pPr>
              <w:spacing w:before="120" w:after="120"/>
              <w:jc w:val="center"/>
              <w:rPr>
                <w:rFonts w:cs="Arial"/>
                <w:szCs w:val="20"/>
              </w:rPr>
            </w:pPr>
            <w:r w:rsidRPr="004415B1">
              <w:rPr>
                <w:rFonts w:cs="Arial"/>
                <w:color w:val="3A3A3A"/>
                <w:szCs w:val="20"/>
              </w:rPr>
              <w:t>7.1</w:t>
            </w:r>
          </w:p>
        </w:tc>
        <w:tc>
          <w:tcPr>
            <w:tcW w:w="1904" w:type="dxa"/>
            <w:noWrap/>
            <w:vAlign w:val="center"/>
          </w:tcPr>
          <w:p w14:paraId="6C6BBDB5" w14:textId="5E126300" w:rsidR="008A32F5" w:rsidRPr="004415B1" w:rsidRDefault="008A32F5" w:rsidP="004415B1">
            <w:pPr>
              <w:spacing w:before="120" w:after="120"/>
              <w:jc w:val="center"/>
              <w:rPr>
                <w:rFonts w:cs="Arial"/>
                <w:szCs w:val="20"/>
              </w:rPr>
            </w:pPr>
            <w:r w:rsidRPr="004415B1">
              <w:rPr>
                <w:rFonts w:cs="Arial"/>
                <w:color w:val="3A3A3A"/>
                <w:szCs w:val="20"/>
              </w:rPr>
              <w:t>12.9</w:t>
            </w:r>
          </w:p>
        </w:tc>
        <w:tc>
          <w:tcPr>
            <w:tcW w:w="1984" w:type="dxa"/>
            <w:noWrap/>
            <w:vAlign w:val="center"/>
          </w:tcPr>
          <w:p w14:paraId="7C59A98F" w14:textId="026CEE37" w:rsidR="008A32F5" w:rsidRPr="004415B1" w:rsidRDefault="008A32F5" w:rsidP="004415B1">
            <w:pPr>
              <w:spacing w:before="120" w:after="120"/>
              <w:jc w:val="center"/>
              <w:rPr>
                <w:rFonts w:cs="Arial"/>
                <w:szCs w:val="20"/>
              </w:rPr>
            </w:pPr>
            <w:r w:rsidRPr="004415B1">
              <w:rPr>
                <w:rFonts w:cs="Arial"/>
                <w:color w:val="3A3A3A"/>
                <w:szCs w:val="20"/>
              </w:rPr>
              <w:t>9.0</w:t>
            </w:r>
          </w:p>
        </w:tc>
        <w:tc>
          <w:tcPr>
            <w:tcW w:w="2126" w:type="dxa"/>
            <w:noWrap/>
            <w:vAlign w:val="center"/>
          </w:tcPr>
          <w:p w14:paraId="16CAC6DE" w14:textId="27FB6715" w:rsidR="008A32F5" w:rsidRPr="004415B1" w:rsidRDefault="008A32F5" w:rsidP="004415B1">
            <w:pPr>
              <w:spacing w:before="120" w:after="120"/>
              <w:jc w:val="center"/>
              <w:rPr>
                <w:rFonts w:cs="Arial"/>
                <w:szCs w:val="20"/>
              </w:rPr>
            </w:pPr>
            <w:r w:rsidRPr="004415B1">
              <w:rPr>
                <w:rFonts w:cs="Arial"/>
                <w:color w:val="3A3A3A"/>
                <w:szCs w:val="20"/>
              </w:rPr>
              <w:t>14.6</w:t>
            </w:r>
          </w:p>
        </w:tc>
        <w:tc>
          <w:tcPr>
            <w:tcW w:w="1985" w:type="dxa"/>
            <w:noWrap/>
            <w:vAlign w:val="center"/>
          </w:tcPr>
          <w:p w14:paraId="7C3BE61F" w14:textId="72AE65D2" w:rsidR="008A32F5" w:rsidRPr="004415B1" w:rsidRDefault="008A32F5" w:rsidP="004415B1">
            <w:pPr>
              <w:spacing w:before="120" w:after="120"/>
              <w:jc w:val="center"/>
              <w:rPr>
                <w:rFonts w:cs="Arial"/>
                <w:szCs w:val="20"/>
              </w:rPr>
            </w:pPr>
            <w:r w:rsidRPr="004415B1">
              <w:rPr>
                <w:rFonts w:cs="Arial"/>
                <w:color w:val="3A3A3A"/>
                <w:szCs w:val="20"/>
              </w:rPr>
              <w:t>19.3</w:t>
            </w:r>
          </w:p>
        </w:tc>
        <w:tc>
          <w:tcPr>
            <w:tcW w:w="2329" w:type="dxa"/>
            <w:noWrap/>
            <w:vAlign w:val="center"/>
          </w:tcPr>
          <w:p w14:paraId="20F82B4D" w14:textId="27852E4A" w:rsidR="008A32F5" w:rsidRPr="004415B1" w:rsidRDefault="008A32F5" w:rsidP="004415B1">
            <w:pPr>
              <w:spacing w:before="120" w:after="120"/>
              <w:jc w:val="center"/>
              <w:rPr>
                <w:rFonts w:cs="Arial"/>
                <w:szCs w:val="20"/>
              </w:rPr>
            </w:pPr>
            <w:r w:rsidRPr="004415B1">
              <w:rPr>
                <w:rFonts w:cs="Arial"/>
                <w:color w:val="3A3A3A"/>
                <w:szCs w:val="20"/>
              </w:rPr>
              <w:t>25.1</w:t>
            </w:r>
          </w:p>
        </w:tc>
      </w:tr>
      <w:tr w:rsidR="008A32F5" w:rsidRPr="005A3AFE" w14:paraId="481B13F6" w14:textId="77777777" w:rsidTr="004415B1">
        <w:trPr>
          <w:trHeight w:val="960"/>
        </w:trPr>
        <w:tc>
          <w:tcPr>
            <w:tcW w:w="3823" w:type="dxa"/>
            <w:noWrap/>
            <w:vAlign w:val="center"/>
            <w:hideMark/>
          </w:tcPr>
          <w:p w14:paraId="3B8779F8" w14:textId="7989A7E3" w:rsidR="008A32F5" w:rsidRPr="007C2C04" w:rsidRDefault="008A32F5" w:rsidP="004415B1">
            <w:pPr>
              <w:spacing w:before="120" w:after="120"/>
              <w:ind w:left="57"/>
              <w:rPr>
                <w:rFonts w:cs="Arial"/>
                <w:szCs w:val="20"/>
              </w:rPr>
            </w:pPr>
            <w:r w:rsidRPr="008A32F5">
              <w:rPr>
                <w:rFonts w:cs="Arial"/>
                <w:b/>
                <w:bCs/>
                <w:color w:val="000000"/>
                <w:szCs w:val="20"/>
              </w:rPr>
              <w:t>Labour market factors</w:t>
            </w:r>
            <w:r>
              <w:rPr>
                <w:rFonts w:cs="Arial"/>
                <w:b/>
                <w:bCs/>
                <w:color w:val="000000"/>
                <w:szCs w:val="20"/>
              </w:rPr>
              <w:t>:</w:t>
            </w:r>
            <w:r w:rsidR="004415B1">
              <w:rPr>
                <w:rFonts w:cs="Arial"/>
                <w:b/>
                <w:bCs/>
                <w:color w:val="000000"/>
                <w:szCs w:val="20"/>
              </w:rPr>
              <w:br/>
            </w:r>
            <w:r w:rsidRPr="007C2C04">
              <w:rPr>
                <w:rFonts w:cs="Arial"/>
                <w:color w:val="000000"/>
                <w:szCs w:val="20"/>
              </w:rPr>
              <w:t>Entry level job/career stepping stone</w:t>
            </w:r>
          </w:p>
        </w:tc>
        <w:tc>
          <w:tcPr>
            <w:tcW w:w="2065" w:type="dxa"/>
            <w:noWrap/>
            <w:vAlign w:val="center"/>
          </w:tcPr>
          <w:p w14:paraId="575EE2C1" w14:textId="3B4D903E" w:rsidR="008A32F5" w:rsidRPr="004415B1" w:rsidRDefault="008A32F5" w:rsidP="004415B1">
            <w:pPr>
              <w:spacing w:before="120" w:after="120"/>
              <w:jc w:val="center"/>
              <w:rPr>
                <w:rFonts w:cs="Arial"/>
                <w:szCs w:val="20"/>
              </w:rPr>
            </w:pPr>
            <w:r w:rsidRPr="004415B1">
              <w:rPr>
                <w:rFonts w:cs="Arial"/>
                <w:color w:val="3A3A3A"/>
                <w:szCs w:val="20"/>
              </w:rPr>
              <w:t>29.1</w:t>
            </w:r>
          </w:p>
        </w:tc>
        <w:tc>
          <w:tcPr>
            <w:tcW w:w="1904" w:type="dxa"/>
            <w:noWrap/>
            <w:vAlign w:val="center"/>
          </w:tcPr>
          <w:p w14:paraId="6E2DE0C6" w14:textId="29A37FAE" w:rsidR="008A32F5" w:rsidRPr="004415B1" w:rsidRDefault="008A32F5" w:rsidP="004415B1">
            <w:pPr>
              <w:spacing w:before="120" w:after="120"/>
              <w:jc w:val="center"/>
              <w:rPr>
                <w:rFonts w:cs="Arial"/>
                <w:szCs w:val="20"/>
              </w:rPr>
            </w:pPr>
            <w:r w:rsidRPr="004415B1">
              <w:rPr>
                <w:rFonts w:cs="Arial"/>
                <w:color w:val="3A3A3A"/>
                <w:szCs w:val="20"/>
              </w:rPr>
              <w:t>0.8</w:t>
            </w:r>
          </w:p>
        </w:tc>
        <w:tc>
          <w:tcPr>
            <w:tcW w:w="1984" w:type="dxa"/>
            <w:noWrap/>
            <w:vAlign w:val="center"/>
          </w:tcPr>
          <w:p w14:paraId="711503E3" w14:textId="0065F1EF" w:rsidR="008A32F5" w:rsidRPr="004415B1" w:rsidRDefault="008A32F5" w:rsidP="004415B1">
            <w:pPr>
              <w:spacing w:before="120" w:after="120"/>
              <w:jc w:val="center"/>
              <w:rPr>
                <w:rFonts w:cs="Arial"/>
                <w:szCs w:val="20"/>
              </w:rPr>
            </w:pPr>
            <w:r w:rsidRPr="004415B1">
              <w:rPr>
                <w:rFonts w:cs="Arial"/>
                <w:color w:val="3A3A3A"/>
                <w:szCs w:val="20"/>
              </w:rPr>
              <w:t>13.5</w:t>
            </w:r>
          </w:p>
        </w:tc>
        <w:tc>
          <w:tcPr>
            <w:tcW w:w="2126" w:type="dxa"/>
            <w:noWrap/>
            <w:vAlign w:val="center"/>
          </w:tcPr>
          <w:p w14:paraId="4E431453" w14:textId="61FF0862" w:rsidR="008A32F5" w:rsidRPr="004415B1" w:rsidRDefault="008A32F5" w:rsidP="004415B1">
            <w:pPr>
              <w:spacing w:before="120" w:after="120"/>
              <w:jc w:val="center"/>
              <w:rPr>
                <w:rFonts w:cs="Arial"/>
                <w:szCs w:val="20"/>
              </w:rPr>
            </w:pPr>
            <w:r w:rsidRPr="004415B1">
              <w:rPr>
                <w:rFonts w:cs="Arial"/>
                <w:color w:val="3A3A3A"/>
                <w:szCs w:val="20"/>
              </w:rPr>
              <w:t>1.0</w:t>
            </w:r>
          </w:p>
        </w:tc>
        <w:tc>
          <w:tcPr>
            <w:tcW w:w="1985" w:type="dxa"/>
            <w:noWrap/>
            <w:vAlign w:val="center"/>
          </w:tcPr>
          <w:p w14:paraId="7E6F8D8A" w14:textId="0FF1780A" w:rsidR="008A32F5" w:rsidRPr="004415B1" w:rsidRDefault="008A32F5" w:rsidP="004415B1">
            <w:pPr>
              <w:spacing w:before="120" w:after="120"/>
              <w:jc w:val="center"/>
              <w:rPr>
                <w:rFonts w:cs="Arial"/>
                <w:szCs w:val="20"/>
              </w:rPr>
            </w:pPr>
            <w:r w:rsidRPr="004415B1">
              <w:rPr>
                <w:rFonts w:cs="Arial"/>
                <w:color w:val="3A3A3A"/>
                <w:szCs w:val="20"/>
              </w:rPr>
              <w:t>14.7</w:t>
            </w:r>
          </w:p>
        </w:tc>
        <w:tc>
          <w:tcPr>
            <w:tcW w:w="2329" w:type="dxa"/>
            <w:noWrap/>
            <w:vAlign w:val="center"/>
          </w:tcPr>
          <w:p w14:paraId="1895DBB9" w14:textId="3D96D0BB" w:rsidR="008A32F5" w:rsidRPr="004415B1" w:rsidRDefault="008A32F5" w:rsidP="004415B1">
            <w:pPr>
              <w:spacing w:before="120" w:after="120"/>
              <w:jc w:val="center"/>
              <w:rPr>
                <w:rFonts w:cs="Arial"/>
                <w:szCs w:val="20"/>
              </w:rPr>
            </w:pPr>
            <w:r w:rsidRPr="004415B1">
              <w:rPr>
                <w:rFonts w:cs="Arial"/>
                <w:color w:val="3A3A3A"/>
                <w:szCs w:val="20"/>
              </w:rPr>
              <w:t>0.9</w:t>
            </w:r>
          </w:p>
        </w:tc>
      </w:tr>
      <w:tr w:rsidR="008A32F5" w:rsidRPr="005A3AFE" w14:paraId="6E555FC2" w14:textId="77777777" w:rsidTr="004415B1">
        <w:trPr>
          <w:trHeight w:val="960"/>
        </w:trPr>
        <w:tc>
          <w:tcPr>
            <w:tcW w:w="3823" w:type="dxa"/>
            <w:noWrap/>
            <w:vAlign w:val="center"/>
            <w:hideMark/>
          </w:tcPr>
          <w:p w14:paraId="51D99058" w14:textId="418DC9C0" w:rsidR="008A32F5" w:rsidRPr="007C2C04" w:rsidRDefault="008A32F5" w:rsidP="004415B1">
            <w:pPr>
              <w:spacing w:before="120" w:after="120"/>
              <w:ind w:left="57"/>
              <w:rPr>
                <w:rFonts w:cs="Arial"/>
                <w:szCs w:val="20"/>
              </w:rPr>
            </w:pPr>
            <w:r w:rsidRPr="008A32F5">
              <w:rPr>
                <w:rFonts w:cs="Arial"/>
                <w:b/>
                <w:bCs/>
                <w:color w:val="000000"/>
                <w:szCs w:val="20"/>
              </w:rPr>
              <w:lastRenderedPageBreak/>
              <w:t>Labour market factors</w:t>
            </w:r>
            <w:r>
              <w:rPr>
                <w:rFonts w:cs="Arial"/>
                <w:b/>
                <w:bCs/>
                <w:color w:val="000000"/>
                <w:szCs w:val="20"/>
              </w:rPr>
              <w:t>:</w:t>
            </w:r>
            <w:r w:rsidR="004415B1">
              <w:rPr>
                <w:rFonts w:cs="Arial"/>
                <w:b/>
                <w:bCs/>
                <w:color w:val="000000"/>
                <w:szCs w:val="20"/>
              </w:rPr>
              <w:t xml:space="preserve"> </w:t>
            </w:r>
            <w:r w:rsidR="004415B1">
              <w:rPr>
                <w:rFonts w:cs="Arial"/>
                <w:b/>
                <w:bCs/>
                <w:color w:val="000000"/>
                <w:szCs w:val="20"/>
              </w:rPr>
              <w:br/>
            </w:r>
            <w:r w:rsidRPr="007C2C04">
              <w:rPr>
                <w:rFonts w:cs="Arial"/>
                <w:color w:val="000000"/>
                <w:szCs w:val="20"/>
              </w:rPr>
              <w:t>Not enough work experience</w:t>
            </w:r>
          </w:p>
        </w:tc>
        <w:tc>
          <w:tcPr>
            <w:tcW w:w="2065" w:type="dxa"/>
            <w:noWrap/>
            <w:vAlign w:val="center"/>
          </w:tcPr>
          <w:p w14:paraId="228360DA" w14:textId="5DD25925" w:rsidR="008A32F5" w:rsidRPr="004415B1" w:rsidRDefault="008A32F5" w:rsidP="004415B1">
            <w:pPr>
              <w:spacing w:before="120" w:after="120"/>
              <w:jc w:val="center"/>
              <w:rPr>
                <w:rFonts w:cs="Arial"/>
                <w:szCs w:val="20"/>
              </w:rPr>
            </w:pPr>
            <w:r w:rsidRPr="004415B1">
              <w:rPr>
                <w:rFonts w:cs="Arial"/>
                <w:color w:val="3A3A3A"/>
                <w:szCs w:val="20"/>
              </w:rPr>
              <w:t>9.6</w:t>
            </w:r>
          </w:p>
        </w:tc>
        <w:tc>
          <w:tcPr>
            <w:tcW w:w="1904" w:type="dxa"/>
            <w:noWrap/>
            <w:vAlign w:val="center"/>
          </w:tcPr>
          <w:p w14:paraId="25275FB7" w14:textId="69B2B7A8" w:rsidR="008A32F5" w:rsidRPr="004415B1" w:rsidRDefault="008A32F5" w:rsidP="004415B1">
            <w:pPr>
              <w:spacing w:before="120" w:after="120"/>
              <w:jc w:val="center"/>
              <w:rPr>
                <w:rFonts w:cs="Arial"/>
                <w:szCs w:val="20"/>
              </w:rPr>
            </w:pPr>
            <w:r w:rsidRPr="004415B1">
              <w:rPr>
                <w:rFonts w:cs="Arial"/>
                <w:color w:val="3A3A3A"/>
                <w:szCs w:val="20"/>
              </w:rPr>
              <w:t>16.6</w:t>
            </w:r>
          </w:p>
        </w:tc>
        <w:tc>
          <w:tcPr>
            <w:tcW w:w="1984" w:type="dxa"/>
            <w:noWrap/>
            <w:vAlign w:val="center"/>
          </w:tcPr>
          <w:p w14:paraId="728FC51F" w14:textId="083C925C" w:rsidR="008A32F5" w:rsidRPr="004415B1" w:rsidRDefault="008A32F5" w:rsidP="004415B1">
            <w:pPr>
              <w:spacing w:before="120" w:after="120"/>
              <w:jc w:val="center"/>
              <w:rPr>
                <w:rFonts w:cs="Arial"/>
                <w:szCs w:val="20"/>
              </w:rPr>
            </w:pPr>
            <w:r w:rsidRPr="004415B1">
              <w:rPr>
                <w:rFonts w:cs="Arial"/>
                <w:color w:val="3A3A3A"/>
                <w:szCs w:val="20"/>
              </w:rPr>
              <w:t>7.3</w:t>
            </w:r>
          </w:p>
        </w:tc>
        <w:tc>
          <w:tcPr>
            <w:tcW w:w="2126" w:type="dxa"/>
            <w:noWrap/>
            <w:vAlign w:val="center"/>
          </w:tcPr>
          <w:p w14:paraId="108A27B5" w14:textId="16C77D3C" w:rsidR="008A32F5" w:rsidRPr="004415B1" w:rsidRDefault="008A32F5" w:rsidP="004415B1">
            <w:pPr>
              <w:spacing w:before="120" w:after="120"/>
              <w:jc w:val="center"/>
              <w:rPr>
                <w:rFonts w:cs="Arial"/>
                <w:szCs w:val="20"/>
              </w:rPr>
            </w:pPr>
            <w:r w:rsidRPr="004415B1">
              <w:rPr>
                <w:rFonts w:cs="Arial"/>
                <w:color w:val="3A3A3A"/>
                <w:szCs w:val="20"/>
              </w:rPr>
              <w:t>8.1</w:t>
            </w:r>
          </w:p>
        </w:tc>
        <w:tc>
          <w:tcPr>
            <w:tcW w:w="1985" w:type="dxa"/>
            <w:noWrap/>
            <w:vAlign w:val="center"/>
          </w:tcPr>
          <w:p w14:paraId="1F21FE88" w14:textId="7E1C27E8" w:rsidR="008A32F5" w:rsidRPr="004415B1" w:rsidRDefault="008A32F5" w:rsidP="004415B1">
            <w:pPr>
              <w:spacing w:before="120" w:after="120"/>
              <w:jc w:val="center"/>
              <w:rPr>
                <w:rFonts w:cs="Arial"/>
                <w:szCs w:val="20"/>
              </w:rPr>
            </w:pPr>
            <w:r w:rsidRPr="004415B1">
              <w:rPr>
                <w:rFonts w:cs="Arial"/>
                <w:color w:val="3A3A3A"/>
                <w:szCs w:val="20"/>
              </w:rPr>
              <w:t>5.7</w:t>
            </w:r>
          </w:p>
        </w:tc>
        <w:tc>
          <w:tcPr>
            <w:tcW w:w="2329" w:type="dxa"/>
            <w:noWrap/>
            <w:vAlign w:val="center"/>
          </w:tcPr>
          <w:p w14:paraId="762E6E96" w14:textId="1933E991" w:rsidR="008A32F5" w:rsidRPr="004415B1" w:rsidRDefault="008A32F5" w:rsidP="004415B1">
            <w:pPr>
              <w:spacing w:before="120" w:after="120"/>
              <w:jc w:val="center"/>
              <w:rPr>
                <w:rFonts w:cs="Arial"/>
                <w:szCs w:val="20"/>
              </w:rPr>
            </w:pPr>
            <w:r w:rsidRPr="004415B1">
              <w:rPr>
                <w:rFonts w:cs="Arial"/>
                <w:color w:val="3A3A3A"/>
                <w:szCs w:val="20"/>
              </w:rPr>
              <w:t>3.2</w:t>
            </w:r>
          </w:p>
        </w:tc>
      </w:tr>
      <w:tr w:rsidR="008A32F5" w:rsidRPr="005A3AFE" w14:paraId="6C2CB357" w14:textId="77777777" w:rsidTr="004415B1">
        <w:trPr>
          <w:trHeight w:val="960"/>
        </w:trPr>
        <w:tc>
          <w:tcPr>
            <w:tcW w:w="3823" w:type="dxa"/>
            <w:noWrap/>
            <w:vAlign w:val="center"/>
            <w:hideMark/>
          </w:tcPr>
          <w:p w14:paraId="5C478BA3" w14:textId="325D54DF" w:rsidR="008A32F5" w:rsidRPr="007C2C04" w:rsidRDefault="008A32F5" w:rsidP="004415B1">
            <w:pPr>
              <w:spacing w:before="120" w:after="120"/>
              <w:ind w:left="57"/>
              <w:rPr>
                <w:rFonts w:cs="Arial"/>
                <w:szCs w:val="20"/>
              </w:rPr>
            </w:pPr>
            <w:r w:rsidRPr="008A32F5">
              <w:rPr>
                <w:rFonts w:cs="Arial"/>
                <w:b/>
                <w:bCs/>
                <w:color w:val="000000"/>
                <w:szCs w:val="20"/>
              </w:rPr>
              <w:t>Labour market factors</w:t>
            </w:r>
            <w:r>
              <w:rPr>
                <w:rFonts w:cs="Arial"/>
                <w:b/>
                <w:bCs/>
                <w:color w:val="000000"/>
                <w:szCs w:val="20"/>
              </w:rPr>
              <w:t>:</w:t>
            </w:r>
            <w:r w:rsidR="004415B1">
              <w:rPr>
                <w:rFonts w:cs="Arial"/>
                <w:b/>
                <w:bCs/>
                <w:color w:val="000000"/>
                <w:szCs w:val="20"/>
              </w:rPr>
              <w:t xml:space="preserve"> </w:t>
            </w:r>
            <w:r w:rsidR="004415B1">
              <w:rPr>
                <w:rFonts w:cs="Arial"/>
                <w:b/>
                <w:bCs/>
                <w:color w:val="000000"/>
                <w:szCs w:val="20"/>
              </w:rPr>
              <w:br/>
            </w:r>
            <w:r w:rsidRPr="007C2C04">
              <w:rPr>
                <w:rFonts w:cs="Arial"/>
                <w:color w:val="000000"/>
                <w:szCs w:val="20"/>
              </w:rPr>
              <w:t>No suitable jobs in my local area</w:t>
            </w:r>
          </w:p>
        </w:tc>
        <w:tc>
          <w:tcPr>
            <w:tcW w:w="2065" w:type="dxa"/>
            <w:noWrap/>
            <w:vAlign w:val="center"/>
          </w:tcPr>
          <w:p w14:paraId="3FC4D74A" w14:textId="779423EF" w:rsidR="008A32F5" w:rsidRPr="004415B1" w:rsidRDefault="008A32F5" w:rsidP="004415B1">
            <w:pPr>
              <w:spacing w:before="120" w:after="120"/>
              <w:jc w:val="center"/>
              <w:rPr>
                <w:rFonts w:cs="Arial"/>
                <w:szCs w:val="20"/>
              </w:rPr>
            </w:pPr>
            <w:r w:rsidRPr="004415B1">
              <w:rPr>
                <w:rFonts w:cs="Arial"/>
                <w:color w:val="3A3A3A"/>
                <w:szCs w:val="20"/>
              </w:rPr>
              <w:t>6.5</w:t>
            </w:r>
          </w:p>
        </w:tc>
        <w:tc>
          <w:tcPr>
            <w:tcW w:w="1904" w:type="dxa"/>
            <w:noWrap/>
            <w:vAlign w:val="center"/>
          </w:tcPr>
          <w:p w14:paraId="7D83FB02" w14:textId="093373E0" w:rsidR="008A32F5" w:rsidRPr="004415B1" w:rsidRDefault="008A32F5" w:rsidP="004415B1">
            <w:pPr>
              <w:spacing w:before="120" w:after="120"/>
              <w:jc w:val="center"/>
              <w:rPr>
                <w:rFonts w:cs="Arial"/>
                <w:szCs w:val="20"/>
              </w:rPr>
            </w:pPr>
            <w:r w:rsidRPr="004415B1">
              <w:rPr>
                <w:rFonts w:cs="Arial"/>
                <w:color w:val="3A3A3A"/>
                <w:szCs w:val="20"/>
              </w:rPr>
              <w:t>10.1</w:t>
            </w:r>
          </w:p>
        </w:tc>
        <w:tc>
          <w:tcPr>
            <w:tcW w:w="1984" w:type="dxa"/>
            <w:noWrap/>
            <w:vAlign w:val="center"/>
          </w:tcPr>
          <w:p w14:paraId="4B4186B8" w14:textId="15F10928" w:rsidR="008A32F5" w:rsidRPr="004415B1" w:rsidRDefault="008A32F5" w:rsidP="004415B1">
            <w:pPr>
              <w:spacing w:before="120" w:after="120"/>
              <w:jc w:val="center"/>
              <w:rPr>
                <w:rFonts w:cs="Arial"/>
                <w:szCs w:val="20"/>
              </w:rPr>
            </w:pPr>
            <w:r w:rsidRPr="004415B1">
              <w:rPr>
                <w:rFonts w:cs="Arial"/>
                <w:color w:val="3A3A3A"/>
                <w:szCs w:val="20"/>
              </w:rPr>
              <w:t>9.0</w:t>
            </w:r>
          </w:p>
        </w:tc>
        <w:tc>
          <w:tcPr>
            <w:tcW w:w="2126" w:type="dxa"/>
            <w:noWrap/>
            <w:vAlign w:val="center"/>
          </w:tcPr>
          <w:p w14:paraId="2BDA1896" w14:textId="5AF90086" w:rsidR="008A32F5" w:rsidRPr="004415B1" w:rsidRDefault="008A32F5" w:rsidP="004415B1">
            <w:pPr>
              <w:spacing w:before="120" w:after="120"/>
              <w:jc w:val="center"/>
              <w:rPr>
                <w:rFonts w:cs="Arial"/>
                <w:szCs w:val="20"/>
              </w:rPr>
            </w:pPr>
            <w:r w:rsidRPr="004415B1">
              <w:rPr>
                <w:rFonts w:cs="Arial"/>
                <w:color w:val="3A3A3A"/>
                <w:szCs w:val="20"/>
              </w:rPr>
              <w:t>12.0</w:t>
            </w:r>
          </w:p>
        </w:tc>
        <w:tc>
          <w:tcPr>
            <w:tcW w:w="1985" w:type="dxa"/>
            <w:noWrap/>
            <w:vAlign w:val="center"/>
          </w:tcPr>
          <w:p w14:paraId="68EE00DD" w14:textId="1D95E8FA" w:rsidR="008A32F5" w:rsidRPr="004415B1" w:rsidRDefault="008A32F5" w:rsidP="004415B1">
            <w:pPr>
              <w:spacing w:before="120" w:after="120"/>
              <w:jc w:val="center"/>
              <w:rPr>
                <w:rFonts w:cs="Arial"/>
                <w:szCs w:val="20"/>
              </w:rPr>
            </w:pPr>
            <w:r w:rsidRPr="004415B1">
              <w:rPr>
                <w:rFonts w:cs="Arial"/>
                <w:color w:val="3A3A3A"/>
                <w:szCs w:val="20"/>
              </w:rPr>
              <w:t>7.1</w:t>
            </w:r>
          </w:p>
        </w:tc>
        <w:tc>
          <w:tcPr>
            <w:tcW w:w="2329" w:type="dxa"/>
            <w:noWrap/>
            <w:vAlign w:val="center"/>
          </w:tcPr>
          <w:p w14:paraId="0DA41E57" w14:textId="1B177F90" w:rsidR="008A32F5" w:rsidRPr="004415B1" w:rsidRDefault="008A32F5" w:rsidP="004415B1">
            <w:pPr>
              <w:spacing w:before="120" w:after="120"/>
              <w:jc w:val="center"/>
              <w:rPr>
                <w:rFonts w:cs="Arial"/>
                <w:szCs w:val="20"/>
              </w:rPr>
            </w:pPr>
            <w:r w:rsidRPr="004415B1">
              <w:rPr>
                <w:rFonts w:cs="Arial"/>
                <w:color w:val="3A3A3A"/>
                <w:szCs w:val="20"/>
              </w:rPr>
              <w:t>11.1</w:t>
            </w:r>
          </w:p>
        </w:tc>
      </w:tr>
      <w:tr w:rsidR="008A32F5" w:rsidRPr="005A3AFE" w14:paraId="7ED796E9" w14:textId="77777777" w:rsidTr="004415B1">
        <w:trPr>
          <w:trHeight w:val="960"/>
        </w:trPr>
        <w:tc>
          <w:tcPr>
            <w:tcW w:w="3823" w:type="dxa"/>
            <w:noWrap/>
            <w:vAlign w:val="center"/>
            <w:hideMark/>
          </w:tcPr>
          <w:p w14:paraId="09E8F23E" w14:textId="7FEC96AD" w:rsidR="008A32F5" w:rsidRPr="007C2C04" w:rsidRDefault="008A32F5" w:rsidP="004415B1">
            <w:pPr>
              <w:spacing w:before="120" w:after="120"/>
              <w:ind w:left="57"/>
              <w:rPr>
                <w:rFonts w:cs="Arial"/>
                <w:szCs w:val="20"/>
              </w:rPr>
            </w:pPr>
            <w:r w:rsidRPr="008A32F5">
              <w:rPr>
                <w:rFonts w:cs="Arial"/>
                <w:b/>
                <w:bCs/>
                <w:color w:val="000000"/>
                <w:szCs w:val="20"/>
              </w:rPr>
              <w:t>Labour market factors</w:t>
            </w:r>
            <w:r>
              <w:rPr>
                <w:rFonts w:cs="Arial"/>
                <w:b/>
                <w:bCs/>
                <w:color w:val="000000"/>
                <w:szCs w:val="20"/>
              </w:rPr>
              <w:t xml:space="preserve">: </w:t>
            </w:r>
            <w:r w:rsidR="004415B1">
              <w:rPr>
                <w:rFonts w:cs="Arial"/>
                <w:b/>
                <w:bCs/>
                <w:color w:val="000000"/>
                <w:szCs w:val="20"/>
              </w:rPr>
              <w:br/>
            </w:r>
            <w:r w:rsidRPr="007C2C04">
              <w:rPr>
                <w:rFonts w:cs="Arial"/>
                <w:color w:val="000000"/>
                <w:szCs w:val="20"/>
              </w:rPr>
              <w:t>Other</w:t>
            </w:r>
          </w:p>
        </w:tc>
        <w:tc>
          <w:tcPr>
            <w:tcW w:w="2065" w:type="dxa"/>
            <w:noWrap/>
            <w:vAlign w:val="center"/>
          </w:tcPr>
          <w:p w14:paraId="48A1DBB6" w14:textId="6F856863" w:rsidR="008A32F5" w:rsidRPr="004415B1" w:rsidRDefault="008A32F5" w:rsidP="004415B1">
            <w:pPr>
              <w:spacing w:before="120" w:after="120"/>
              <w:jc w:val="center"/>
              <w:rPr>
                <w:rFonts w:cs="Arial"/>
                <w:szCs w:val="20"/>
              </w:rPr>
            </w:pPr>
            <w:r w:rsidRPr="004415B1">
              <w:rPr>
                <w:rFonts w:cs="Arial"/>
                <w:color w:val="3A3A3A"/>
                <w:szCs w:val="20"/>
              </w:rPr>
              <w:t>3.5</w:t>
            </w:r>
          </w:p>
        </w:tc>
        <w:tc>
          <w:tcPr>
            <w:tcW w:w="1904" w:type="dxa"/>
            <w:noWrap/>
            <w:vAlign w:val="center"/>
          </w:tcPr>
          <w:p w14:paraId="0476AEE3" w14:textId="6C029D31" w:rsidR="008A32F5" w:rsidRPr="004415B1" w:rsidRDefault="008A32F5" w:rsidP="004415B1">
            <w:pPr>
              <w:spacing w:before="120" w:after="120"/>
              <w:jc w:val="center"/>
              <w:rPr>
                <w:rFonts w:cs="Arial"/>
                <w:szCs w:val="20"/>
              </w:rPr>
            </w:pPr>
            <w:r w:rsidRPr="004415B1">
              <w:rPr>
                <w:rFonts w:cs="Arial"/>
                <w:color w:val="3A3A3A"/>
                <w:szCs w:val="20"/>
              </w:rPr>
              <w:t>7.4</w:t>
            </w:r>
          </w:p>
        </w:tc>
        <w:tc>
          <w:tcPr>
            <w:tcW w:w="1984" w:type="dxa"/>
            <w:noWrap/>
            <w:vAlign w:val="center"/>
          </w:tcPr>
          <w:p w14:paraId="581FDECE" w14:textId="3B554B20" w:rsidR="008A32F5" w:rsidRPr="004415B1" w:rsidRDefault="008A32F5" w:rsidP="004415B1">
            <w:pPr>
              <w:spacing w:before="120" w:after="120"/>
              <w:jc w:val="center"/>
              <w:rPr>
                <w:rFonts w:cs="Arial"/>
                <w:szCs w:val="20"/>
              </w:rPr>
            </w:pPr>
            <w:r w:rsidRPr="004415B1">
              <w:rPr>
                <w:rFonts w:cs="Arial"/>
                <w:color w:val="3A3A3A"/>
                <w:szCs w:val="20"/>
              </w:rPr>
              <w:t>7.1</w:t>
            </w:r>
          </w:p>
        </w:tc>
        <w:tc>
          <w:tcPr>
            <w:tcW w:w="2126" w:type="dxa"/>
            <w:noWrap/>
            <w:vAlign w:val="center"/>
          </w:tcPr>
          <w:p w14:paraId="59B36258" w14:textId="522FDADF" w:rsidR="008A32F5" w:rsidRPr="004415B1" w:rsidRDefault="008A32F5" w:rsidP="004415B1">
            <w:pPr>
              <w:spacing w:before="120" w:after="120"/>
              <w:jc w:val="center"/>
              <w:rPr>
                <w:rFonts w:cs="Arial"/>
                <w:szCs w:val="20"/>
              </w:rPr>
            </w:pPr>
            <w:r w:rsidRPr="004415B1">
              <w:rPr>
                <w:rFonts w:cs="Arial"/>
                <w:color w:val="3A3A3A"/>
                <w:szCs w:val="20"/>
              </w:rPr>
              <w:t>8.4</w:t>
            </w:r>
          </w:p>
        </w:tc>
        <w:tc>
          <w:tcPr>
            <w:tcW w:w="1985" w:type="dxa"/>
            <w:noWrap/>
            <w:vAlign w:val="center"/>
          </w:tcPr>
          <w:p w14:paraId="51D0BE2F" w14:textId="10EC8B76" w:rsidR="008A32F5" w:rsidRPr="004415B1" w:rsidRDefault="008A32F5" w:rsidP="004415B1">
            <w:pPr>
              <w:spacing w:before="120" w:after="120"/>
              <w:jc w:val="center"/>
              <w:rPr>
                <w:rFonts w:cs="Arial"/>
                <w:szCs w:val="20"/>
              </w:rPr>
            </w:pPr>
            <w:r w:rsidRPr="004415B1">
              <w:rPr>
                <w:rFonts w:cs="Arial"/>
                <w:color w:val="3A3A3A"/>
                <w:szCs w:val="20"/>
              </w:rPr>
              <w:t>6.7</w:t>
            </w:r>
          </w:p>
        </w:tc>
        <w:tc>
          <w:tcPr>
            <w:tcW w:w="2329" w:type="dxa"/>
            <w:noWrap/>
            <w:vAlign w:val="center"/>
          </w:tcPr>
          <w:p w14:paraId="501CE059" w14:textId="5DAED74D" w:rsidR="008A32F5" w:rsidRPr="004415B1" w:rsidRDefault="008A32F5" w:rsidP="004415B1">
            <w:pPr>
              <w:spacing w:before="120" w:after="120"/>
              <w:jc w:val="center"/>
              <w:rPr>
                <w:rFonts w:cs="Arial"/>
                <w:szCs w:val="20"/>
              </w:rPr>
            </w:pPr>
            <w:r w:rsidRPr="004415B1">
              <w:rPr>
                <w:rFonts w:cs="Arial"/>
                <w:color w:val="3A3A3A"/>
                <w:szCs w:val="20"/>
              </w:rPr>
              <w:t>4.4</w:t>
            </w:r>
          </w:p>
        </w:tc>
      </w:tr>
      <w:tr w:rsidR="008A32F5" w:rsidRPr="005A3AFE" w14:paraId="27DE1C24" w14:textId="77777777" w:rsidTr="004415B1">
        <w:trPr>
          <w:trHeight w:val="960"/>
        </w:trPr>
        <w:tc>
          <w:tcPr>
            <w:tcW w:w="3823" w:type="dxa"/>
            <w:tcBorders>
              <w:bottom w:val="single" w:sz="4" w:space="0" w:color="0D0D0D" w:themeColor="text1" w:themeTint="F2"/>
            </w:tcBorders>
            <w:shd w:val="clear" w:color="auto" w:fill="F2F2F2" w:themeFill="background1" w:themeFillShade="F2"/>
            <w:noWrap/>
            <w:vAlign w:val="center"/>
            <w:hideMark/>
          </w:tcPr>
          <w:p w14:paraId="55297CB0" w14:textId="436328BA" w:rsidR="008A32F5" w:rsidRPr="004415B1" w:rsidRDefault="008A32F5" w:rsidP="004415B1">
            <w:pPr>
              <w:spacing w:before="120" w:after="120"/>
              <w:ind w:left="57"/>
              <w:rPr>
                <w:rFonts w:cs="Arial"/>
                <w:b/>
                <w:bCs/>
                <w:sz w:val="21"/>
                <w:szCs w:val="21"/>
              </w:rPr>
            </w:pPr>
            <w:r w:rsidRPr="004415B1">
              <w:rPr>
                <w:rFonts w:cs="Arial"/>
                <w:b/>
                <w:bCs/>
                <w:sz w:val="21"/>
                <w:szCs w:val="21"/>
              </w:rPr>
              <w:t>Sub-total:</w:t>
            </w:r>
            <w:r w:rsidR="004415B1" w:rsidRPr="004415B1">
              <w:rPr>
                <w:rFonts w:cs="Arial"/>
                <w:b/>
                <w:bCs/>
                <w:sz w:val="21"/>
                <w:szCs w:val="21"/>
              </w:rPr>
              <w:br/>
            </w:r>
            <w:r w:rsidRPr="004415B1">
              <w:rPr>
                <w:rFonts w:cs="Arial"/>
                <w:b/>
                <w:bCs/>
                <w:sz w:val="21"/>
                <w:szCs w:val="21"/>
              </w:rPr>
              <w:t>Labour market factors</w:t>
            </w:r>
          </w:p>
        </w:tc>
        <w:tc>
          <w:tcPr>
            <w:tcW w:w="2065" w:type="dxa"/>
            <w:tcBorders>
              <w:bottom w:val="single" w:sz="4" w:space="0" w:color="0D0D0D" w:themeColor="text1" w:themeTint="F2"/>
            </w:tcBorders>
            <w:shd w:val="clear" w:color="auto" w:fill="F2F2F2" w:themeFill="background1" w:themeFillShade="F2"/>
            <w:noWrap/>
            <w:vAlign w:val="center"/>
          </w:tcPr>
          <w:p w14:paraId="33A14F38" w14:textId="17868FF9" w:rsidR="008A32F5" w:rsidRPr="004415B1" w:rsidRDefault="008A32F5" w:rsidP="004415B1">
            <w:pPr>
              <w:spacing w:before="120" w:after="120"/>
              <w:jc w:val="center"/>
              <w:rPr>
                <w:rFonts w:cs="Arial"/>
                <w:sz w:val="21"/>
                <w:szCs w:val="21"/>
              </w:rPr>
            </w:pPr>
            <w:r w:rsidRPr="004415B1">
              <w:rPr>
                <w:rFonts w:cs="Arial"/>
                <w:color w:val="3A3A3A"/>
                <w:sz w:val="21"/>
                <w:szCs w:val="21"/>
              </w:rPr>
              <w:t>55.8</w:t>
            </w:r>
          </w:p>
        </w:tc>
        <w:tc>
          <w:tcPr>
            <w:tcW w:w="1904" w:type="dxa"/>
            <w:tcBorders>
              <w:bottom w:val="single" w:sz="4" w:space="0" w:color="0D0D0D" w:themeColor="text1" w:themeTint="F2"/>
            </w:tcBorders>
            <w:shd w:val="clear" w:color="auto" w:fill="F2F2F2" w:themeFill="background1" w:themeFillShade="F2"/>
            <w:noWrap/>
            <w:vAlign w:val="center"/>
          </w:tcPr>
          <w:p w14:paraId="4E68E4AB" w14:textId="204E059F" w:rsidR="008A32F5" w:rsidRPr="004415B1" w:rsidRDefault="008A32F5" w:rsidP="004415B1">
            <w:pPr>
              <w:spacing w:before="120" w:after="120"/>
              <w:jc w:val="center"/>
              <w:rPr>
                <w:rFonts w:cs="Arial"/>
                <w:sz w:val="21"/>
                <w:szCs w:val="21"/>
              </w:rPr>
            </w:pPr>
            <w:r w:rsidRPr="004415B1">
              <w:rPr>
                <w:rFonts w:cs="Arial"/>
                <w:color w:val="3A3A3A"/>
                <w:sz w:val="21"/>
                <w:szCs w:val="21"/>
              </w:rPr>
              <w:t>47.8</w:t>
            </w:r>
          </w:p>
        </w:tc>
        <w:tc>
          <w:tcPr>
            <w:tcW w:w="1984" w:type="dxa"/>
            <w:tcBorders>
              <w:bottom w:val="single" w:sz="4" w:space="0" w:color="0D0D0D" w:themeColor="text1" w:themeTint="F2"/>
            </w:tcBorders>
            <w:shd w:val="clear" w:color="auto" w:fill="F2F2F2" w:themeFill="background1" w:themeFillShade="F2"/>
            <w:noWrap/>
            <w:vAlign w:val="center"/>
          </w:tcPr>
          <w:p w14:paraId="29195F58" w14:textId="6C3A6725" w:rsidR="008A32F5" w:rsidRPr="004415B1" w:rsidRDefault="008A32F5" w:rsidP="004415B1">
            <w:pPr>
              <w:spacing w:before="120" w:after="120"/>
              <w:jc w:val="center"/>
              <w:rPr>
                <w:rFonts w:cs="Arial"/>
                <w:sz w:val="21"/>
                <w:szCs w:val="21"/>
              </w:rPr>
            </w:pPr>
            <w:r w:rsidRPr="004415B1">
              <w:rPr>
                <w:rFonts w:cs="Arial"/>
                <w:color w:val="3A3A3A"/>
                <w:sz w:val="21"/>
                <w:szCs w:val="21"/>
              </w:rPr>
              <w:t>45.9</w:t>
            </w:r>
          </w:p>
        </w:tc>
        <w:tc>
          <w:tcPr>
            <w:tcW w:w="2126" w:type="dxa"/>
            <w:tcBorders>
              <w:bottom w:val="single" w:sz="4" w:space="0" w:color="0D0D0D" w:themeColor="text1" w:themeTint="F2"/>
            </w:tcBorders>
            <w:shd w:val="clear" w:color="auto" w:fill="F2F2F2" w:themeFill="background1" w:themeFillShade="F2"/>
            <w:noWrap/>
            <w:vAlign w:val="center"/>
          </w:tcPr>
          <w:p w14:paraId="4D6B8A09" w14:textId="1793F419" w:rsidR="008A32F5" w:rsidRPr="004415B1" w:rsidRDefault="008A32F5" w:rsidP="004415B1">
            <w:pPr>
              <w:spacing w:before="120" w:after="120"/>
              <w:jc w:val="center"/>
              <w:rPr>
                <w:rFonts w:cs="Arial"/>
                <w:sz w:val="21"/>
                <w:szCs w:val="21"/>
              </w:rPr>
            </w:pPr>
            <w:r w:rsidRPr="004415B1">
              <w:rPr>
                <w:rFonts w:cs="Arial"/>
                <w:color w:val="3A3A3A"/>
                <w:sz w:val="21"/>
                <w:szCs w:val="21"/>
              </w:rPr>
              <w:t>44.1</w:t>
            </w:r>
          </w:p>
        </w:tc>
        <w:tc>
          <w:tcPr>
            <w:tcW w:w="1985" w:type="dxa"/>
            <w:tcBorders>
              <w:bottom w:val="single" w:sz="4" w:space="0" w:color="0D0D0D" w:themeColor="text1" w:themeTint="F2"/>
            </w:tcBorders>
            <w:shd w:val="clear" w:color="auto" w:fill="F2F2F2" w:themeFill="background1" w:themeFillShade="F2"/>
            <w:noWrap/>
            <w:vAlign w:val="center"/>
          </w:tcPr>
          <w:p w14:paraId="319B57A8" w14:textId="22082E16" w:rsidR="008A32F5" w:rsidRPr="004415B1" w:rsidRDefault="008A32F5" w:rsidP="004415B1">
            <w:pPr>
              <w:spacing w:before="120" w:after="120"/>
              <w:jc w:val="center"/>
              <w:rPr>
                <w:rFonts w:cs="Arial"/>
                <w:sz w:val="21"/>
                <w:szCs w:val="21"/>
              </w:rPr>
            </w:pPr>
            <w:r w:rsidRPr="004415B1">
              <w:rPr>
                <w:rFonts w:cs="Arial"/>
                <w:color w:val="3A3A3A"/>
                <w:sz w:val="21"/>
                <w:szCs w:val="21"/>
              </w:rPr>
              <w:t>53.5</w:t>
            </w:r>
          </w:p>
        </w:tc>
        <w:tc>
          <w:tcPr>
            <w:tcW w:w="2329" w:type="dxa"/>
            <w:tcBorders>
              <w:bottom w:val="single" w:sz="4" w:space="0" w:color="0D0D0D" w:themeColor="text1" w:themeTint="F2"/>
            </w:tcBorders>
            <w:shd w:val="clear" w:color="auto" w:fill="F2F2F2" w:themeFill="background1" w:themeFillShade="F2"/>
            <w:noWrap/>
            <w:vAlign w:val="center"/>
          </w:tcPr>
          <w:p w14:paraId="2F7EA073" w14:textId="2EDCD504" w:rsidR="008A32F5" w:rsidRPr="004415B1" w:rsidRDefault="008A32F5" w:rsidP="004415B1">
            <w:pPr>
              <w:spacing w:before="120" w:after="120"/>
              <w:jc w:val="center"/>
              <w:rPr>
                <w:rFonts w:cs="Arial"/>
                <w:sz w:val="21"/>
                <w:szCs w:val="21"/>
              </w:rPr>
            </w:pPr>
            <w:r w:rsidRPr="004415B1">
              <w:rPr>
                <w:rFonts w:cs="Arial"/>
                <w:color w:val="3A3A3A"/>
                <w:sz w:val="21"/>
                <w:szCs w:val="21"/>
              </w:rPr>
              <w:t>44.7</w:t>
            </w:r>
          </w:p>
        </w:tc>
      </w:tr>
      <w:tr w:rsidR="008A32F5" w:rsidRPr="005A3AFE" w14:paraId="6BE0E9BB" w14:textId="77777777" w:rsidTr="004415B1">
        <w:trPr>
          <w:trHeight w:val="960"/>
        </w:trPr>
        <w:tc>
          <w:tcPr>
            <w:tcW w:w="3823" w:type="dxa"/>
            <w:shd w:val="clear" w:color="auto" w:fill="FFFFFF" w:themeFill="background1"/>
            <w:vAlign w:val="center"/>
          </w:tcPr>
          <w:p w14:paraId="0EEA6C0B" w14:textId="3620A635" w:rsidR="008A32F5" w:rsidRPr="007C2C04" w:rsidRDefault="008A32F5" w:rsidP="004415B1">
            <w:pPr>
              <w:spacing w:before="120" w:after="120"/>
              <w:ind w:left="57"/>
              <w:rPr>
                <w:rFonts w:cs="Arial"/>
                <w:szCs w:val="20"/>
              </w:rPr>
            </w:pPr>
            <w:r w:rsidRPr="007C2C04">
              <w:rPr>
                <w:rFonts w:cs="Arial"/>
                <w:szCs w:val="20"/>
              </w:rPr>
              <w:t>Other factors</w:t>
            </w:r>
          </w:p>
        </w:tc>
        <w:tc>
          <w:tcPr>
            <w:tcW w:w="2065" w:type="dxa"/>
            <w:shd w:val="clear" w:color="auto" w:fill="FFFFFF" w:themeFill="background1"/>
            <w:noWrap/>
            <w:vAlign w:val="center"/>
          </w:tcPr>
          <w:p w14:paraId="523FA91A" w14:textId="7FF83193" w:rsidR="008A32F5" w:rsidRPr="004415B1" w:rsidRDefault="008A32F5" w:rsidP="004415B1">
            <w:pPr>
              <w:spacing w:before="120" w:after="120"/>
              <w:jc w:val="center"/>
              <w:rPr>
                <w:rFonts w:cs="Arial"/>
                <w:szCs w:val="20"/>
              </w:rPr>
            </w:pPr>
            <w:r w:rsidRPr="004415B1">
              <w:rPr>
                <w:rFonts w:cs="Arial"/>
                <w:color w:val="3A3A3A"/>
                <w:szCs w:val="20"/>
              </w:rPr>
              <w:t>5.2</w:t>
            </w:r>
          </w:p>
        </w:tc>
        <w:tc>
          <w:tcPr>
            <w:tcW w:w="1904" w:type="dxa"/>
            <w:shd w:val="clear" w:color="auto" w:fill="FFFFFF" w:themeFill="background1"/>
            <w:noWrap/>
            <w:vAlign w:val="center"/>
          </w:tcPr>
          <w:p w14:paraId="6F4732BE" w14:textId="6F92C0F9" w:rsidR="008A32F5" w:rsidRPr="004415B1" w:rsidRDefault="008A32F5" w:rsidP="004415B1">
            <w:pPr>
              <w:spacing w:before="120" w:after="120"/>
              <w:jc w:val="center"/>
              <w:rPr>
                <w:rFonts w:cs="Arial"/>
                <w:szCs w:val="20"/>
              </w:rPr>
            </w:pPr>
            <w:r w:rsidRPr="004415B1">
              <w:rPr>
                <w:rFonts w:cs="Arial"/>
                <w:color w:val="3A3A3A"/>
                <w:szCs w:val="20"/>
              </w:rPr>
              <w:t>7.6</w:t>
            </w:r>
          </w:p>
        </w:tc>
        <w:tc>
          <w:tcPr>
            <w:tcW w:w="1984" w:type="dxa"/>
            <w:shd w:val="clear" w:color="auto" w:fill="FFFFFF" w:themeFill="background1"/>
            <w:noWrap/>
            <w:vAlign w:val="center"/>
          </w:tcPr>
          <w:p w14:paraId="19729D3C" w14:textId="6C01F1F0" w:rsidR="008A32F5" w:rsidRPr="004415B1" w:rsidRDefault="008A32F5" w:rsidP="004415B1">
            <w:pPr>
              <w:spacing w:before="120" w:after="120"/>
              <w:jc w:val="center"/>
              <w:rPr>
                <w:rFonts w:cs="Arial"/>
                <w:szCs w:val="20"/>
              </w:rPr>
            </w:pPr>
            <w:r w:rsidRPr="004415B1">
              <w:rPr>
                <w:rFonts w:cs="Arial"/>
                <w:color w:val="3A3A3A"/>
                <w:szCs w:val="20"/>
              </w:rPr>
              <w:t>5.2</w:t>
            </w:r>
          </w:p>
        </w:tc>
        <w:tc>
          <w:tcPr>
            <w:tcW w:w="2126" w:type="dxa"/>
            <w:shd w:val="clear" w:color="auto" w:fill="FFFFFF" w:themeFill="background1"/>
            <w:noWrap/>
            <w:vAlign w:val="center"/>
          </w:tcPr>
          <w:p w14:paraId="5D06C429" w14:textId="21AB6A2B" w:rsidR="008A32F5" w:rsidRPr="004415B1" w:rsidRDefault="008A32F5" w:rsidP="004415B1">
            <w:pPr>
              <w:spacing w:before="120" w:after="120"/>
              <w:jc w:val="center"/>
              <w:rPr>
                <w:rFonts w:cs="Arial"/>
                <w:szCs w:val="20"/>
              </w:rPr>
            </w:pPr>
            <w:r w:rsidRPr="004415B1">
              <w:rPr>
                <w:rFonts w:cs="Arial"/>
                <w:color w:val="3A3A3A"/>
                <w:szCs w:val="20"/>
              </w:rPr>
              <w:t>8.2</w:t>
            </w:r>
          </w:p>
        </w:tc>
        <w:tc>
          <w:tcPr>
            <w:tcW w:w="1985" w:type="dxa"/>
            <w:shd w:val="clear" w:color="auto" w:fill="FFFFFF" w:themeFill="background1"/>
            <w:noWrap/>
            <w:vAlign w:val="center"/>
          </w:tcPr>
          <w:p w14:paraId="67A05007" w14:textId="4814AF57" w:rsidR="008A32F5" w:rsidRPr="004415B1" w:rsidRDefault="008A32F5" w:rsidP="004415B1">
            <w:pPr>
              <w:spacing w:before="120" w:after="120"/>
              <w:jc w:val="center"/>
              <w:rPr>
                <w:rFonts w:cs="Arial"/>
                <w:szCs w:val="20"/>
              </w:rPr>
            </w:pPr>
            <w:r w:rsidRPr="004415B1">
              <w:rPr>
                <w:rFonts w:cs="Arial"/>
                <w:color w:val="3A3A3A"/>
                <w:szCs w:val="20"/>
              </w:rPr>
              <w:t>4.9</w:t>
            </w:r>
          </w:p>
        </w:tc>
        <w:tc>
          <w:tcPr>
            <w:tcW w:w="2329" w:type="dxa"/>
            <w:shd w:val="clear" w:color="auto" w:fill="FFFFFF" w:themeFill="background1"/>
            <w:noWrap/>
            <w:vAlign w:val="center"/>
          </w:tcPr>
          <w:p w14:paraId="0C2B1568" w14:textId="5C976D87" w:rsidR="008A32F5" w:rsidRPr="004415B1" w:rsidRDefault="008A32F5" w:rsidP="004415B1">
            <w:pPr>
              <w:spacing w:before="120" w:after="120"/>
              <w:jc w:val="center"/>
              <w:rPr>
                <w:rFonts w:cs="Arial"/>
                <w:szCs w:val="20"/>
              </w:rPr>
            </w:pPr>
            <w:r w:rsidRPr="004415B1">
              <w:rPr>
                <w:rFonts w:cs="Arial"/>
                <w:color w:val="3A3A3A"/>
                <w:szCs w:val="20"/>
              </w:rPr>
              <w:t>7.9</w:t>
            </w:r>
          </w:p>
        </w:tc>
      </w:tr>
      <w:tr w:rsidR="008A32F5" w:rsidRPr="005A3AFE" w14:paraId="4BA51F5F" w14:textId="77777777" w:rsidTr="004415B1">
        <w:trPr>
          <w:trHeight w:val="960"/>
        </w:trPr>
        <w:tc>
          <w:tcPr>
            <w:tcW w:w="3823" w:type="dxa"/>
            <w:tcBorders>
              <w:bottom w:val="single" w:sz="4" w:space="0" w:color="0D0D0D" w:themeColor="text1" w:themeTint="F2"/>
            </w:tcBorders>
            <w:vAlign w:val="center"/>
          </w:tcPr>
          <w:p w14:paraId="2E73988E" w14:textId="3974767F" w:rsidR="008A32F5" w:rsidRPr="00CC193D" w:rsidRDefault="008A32F5" w:rsidP="004415B1">
            <w:pPr>
              <w:spacing w:before="120" w:after="120"/>
              <w:ind w:left="57"/>
              <w:rPr>
                <w:rFonts w:cs="Arial"/>
                <w:szCs w:val="20"/>
              </w:rPr>
            </w:pPr>
            <w:r w:rsidRPr="007C2C04">
              <w:rPr>
                <w:rFonts w:cs="Arial"/>
                <w:szCs w:val="20"/>
              </w:rPr>
              <w:t>Total</w:t>
            </w:r>
          </w:p>
        </w:tc>
        <w:tc>
          <w:tcPr>
            <w:tcW w:w="2065" w:type="dxa"/>
            <w:tcBorders>
              <w:bottom w:val="single" w:sz="4" w:space="0" w:color="0D0D0D" w:themeColor="text1" w:themeTint="F2"/>
            </w:tcBorders>
            <w:noWrap/>
            <w:vAlign w:val="center"/>
          </w:tcPr>
          <w:p w14:paraId="23B04F89" w14:textId="3851B47A" w:rsidR="008A32F5" w:rsidRPr="004415B1" w:rsidRDefault="008A32F5" w:rsidP="004415B1">
            <w:pPr>
              <w:spacing w:before="120" w:after="120"/>
              <w:jc w:val="center"/>
              <w:rPr>
                <w:rFonts w:cs="Arial"/>
                <w:szCs w:val="20"/>
              </w:rPr>
            </w:pPr>
            <w:r w:rsidRPr="004415B1">
              <w:rPr>
                <w:rFonts w:cs="Arial"/>
                <w:color w:val="3A3A3A"/>
                <w:szCs w:val="20"/>
              </w:rPr>
              <w:t>100.0</w:t>
            </w:r>
          </w:p>
        </w:tc>
        <w:tc>
          <w:tcPr>
            <w:tcW w:w="1904" w:type="dxa"/>
            <w:tcBorders>
              <w:bottom w:val="single" w:sz="4" w:space="0" w:color="0D0D0D" w:themeColor="text1" w:themeTint="F2"/>
            </w:tcBorders>
            <w:noWrap/>
            <w:vAlign w:val="center"/>
          </w:tcPr>
          <w:p w14:paraId="3DE80D57" w14:textId="44E73D90" w:rsidR="008A32F5" w:rsidRPr="004415B1" w:rsidRDefault="008A32F5" w:rsidP="004415B1">
            <w:pPr>
              <w:spacing w:before="120" w:after="120"/>
              <w:jc w:val="center"/>
              <w:rPr>
                <w:rFonts w:cs="Arial"/>
                <w:szCs w:val="20"/>
              </w:rPr>
            </w:pPr>
            <w:r w:rsidRPr="004415B1">
              <w:rPr>
                <w:rFonts w:cs="Arial"/>
                <w:color w:val="3A3A3A"/>
                <w:szCs w:val="20"/>
              </w:rPr>
              <w:t>100.0</w:t>
            </w:r>
          </w:p>
        </w:tc>
        <w:tc>
          <w:tcPr>
            <w:tcW w:w="1984" w:type="dxa"/>
            <w:tcBorders>
              <w:bottom w:val="single" w:sz="4" w:space="0" w:color="0D0D0D" w:themeColor="text1" w:themeTint="F2"/>
            </w:tcBorders>
            <w:noWrap/>
            <w:vAlign w:val="center"/>
          </w:tcPr>
          <w:p w14:paraId="0A54A2E4" w14:textId="1BFC7DC5" w:rsidR="008A32F5" w:rsidRPr="004415B1" w:rsidRDefault="008A32F5" w:rsidP="004415B1">
            <w:pPr>
              <w:spacing w:before="120" w:after="120"/>
              <w:jc w:val="center"/>
              <w:rPr>
                <w:rFonts w:cs="Arial"/>
                <w:szCs w:val="20"/>
              </w:rPr>
            </w:pPr>
            <w:r w:rsidRPr="004415B1">
              <w:rPr>
                <w:rFonts w:cs="Arial"/>
                <w:color w:val="3A3A3A"/>
                <w:szCs w:val="20"/>
              </w:rPr>
              <w:t>100.0</w:t>
            </w:r>
          </w:p>
        </w:tc>
        <w:tc>
          <w:tcPr>
            <w:tcW w:w="2126" w:type="dxa"/>
            <w:tcBorders>
              <w:bottom w:val="single" w:sz="4" w:space="0" w:color="0D0D0D" w:themeColor="text1" w:themeTint="F2"/>
            </w:tcBorders>
            <w:noWrap/>
            <w:vAlign w:val="center"/>
          </w:tcPr>
          <w:p w14:paraId="6BF9C7F6" w14:textId="4B1FC2DB" w:rsidR="008A32F5" w:rsidRPr="004415B1" w:rsidRDefault="008A32F5" w:rsidP="004415B1">
            <w:pPr>
              <w:spacing w:before="120" w:after="120"/>
              <w:jc w:val="center"/>
              <w:rPr>
                <w:rFonts w:cs="Arial"/>
                <w:szCs w:val="20"/>
              </w:rPr>
            </w:pPr>
            <w:r w:rsidRPr="004415B1">
              <w:rPr>
                <w:rFonts w:cs="Arial"/>
                <w:color w:val="3A3A3A"/>
                <w:szCs w:val="20"/>
              </w:rPr>
              <w:t>100.0</w:t>
            </w:r>
          </w:p>
        </w:tc>
        <w:tc>
          <w:tcPr>
            <w:tcW w:w="1985" w:type="dxa"/>
            <w:tcBorders>
              <w:bottom w:val="single" w:sz="4" w:space="0" w:color="0D0D0D" w:themeColor="text1" w:themeTint="F2"/>
            </w:tcBorders>
            <w:noWrap/>
            <w:vAlign w:val="center"/>
          </w:tcPr>
          <w:p w14:paraId="68791EFA" w14:textId="17544596" w:rsidR="008A32F5" w:rsidRPr="004415B1" w:rsidRDefault="008A32F5" w:rsidP="004415B1">
            <w:pPr>
              <w:spacing w:before="120" w:after="120"/>
              <w:jc w:val="center"/>
              <w:rPr>
                <w:rFonts w:cs="Arial"/>
                <w:szCs w:val="20"/>
              </w:rPr>
            </w:pPr>
            <w:r w:rsidRPr="004415B1">
              <w:rPr>
                <w:rFonts w:cs="Arial"/>
                <w:color w:val="3A3A3A"/>
                <w:szCs w:val="20"/>
              </w:rPr>
              <w:t>100.0</w:t>
            </w:r>
          </w:p>
        </w:tc>
        <w:tc>
          <w:tcPr>
            <w:tcW w:w="2329" w:type="dxa"/>
            <w:tcBorders>
              <w:bottom w:val="single" w:sz="4" w:space="0" w:color="0D0D0D" w:themeColor="text1" w:themeTint="F2"/>
            </w:tcBorders>
            <w:noWrap/>
            <w:vAlign w:val="center"/>
          </w:tcPr>
          <w:p w14:paraId="09A64B58" w14:textId="16FE4C15" w:rsidR="008A32F5" w:rsidRPr="004415B1" w:rsidRDefault="008A32F5" w:rsidP="004415B1">
            <w:pPr>
              <w:spacing w:before="120" w:after="120"/>
              <w:jc w:val="center"/>
              <w:rPr>
                <w:rFonts w:cs="Arial"/>
                <w:szCs w:val="20"/>
              </w:rPr>
            </w:pPr>
            <w:r w:rsidRPr="004415B1">
              <w:rPr>
                <w:rFonts w:cs="Arial"/>
                <w:color w:val="3A3A3A"/>
                <w:szCs w:val="20"/>
              </w:rPr>
              <w:t>100.0</w:t>
            </w:r>
          </w:p>
        </w:tc>
      </w:tr>
      <w:tr w:rsidR="005343D9" w:rsidRPr="005A3AFE" w14:paraId="25001A2C" w14:textId="77777777" w:rsidTr="004415B1">
        <w:trPr>
          <w:trHeight w:val="960"/>
        </w:trPr>
        <w:tc>
          <w:tcPr>
            <w:tcW w:w="3823" w:type="dxa"/>
            <w:shd w:val="clear" w:color="auto" w:fill="BEBEBE"/>
            <w:vAlign w:val="center"/>
          </w:tcPr>
          <w:p w14:paraId="18B16664" w14:textId="669AAFEA" w:rsidR="005343D9" w:rsidRPr="004415B1" w:rsidRDefault="005343D9" w:rsidP="004415B1">
            <w:pPr>
              <w:spacing w:before="120" w:after="120"/>
              <w:ind w:left="57"/>
              <w:rPr>
                <w:rFonts w:cs="Arial"/>
                <w:b/>
                <w:bCs/>
                <w:color w:val="000000" w:themeColor="text1"/>
                <w:sz w:val="21"/>
                <w:szCs w:val="21"/>
              </w:rPr>
            </w:pPr>
            <w:bookmarkStart w:id="111" w:name="_Ref178071825"/>
            <w:r w:rsidRPr="004415B1">
              <w:rPr>
                <w:rFonts w:cs="Arial"/>
                <w:b/>
                <w:bCs/>
                <w:color w:val="000000" w:themeColor="text1"/>
                <w:sz w:val="21"/>
                <w:szCs w:val="21"/>
              </w:rPr>
              <w:t>Perceived overqualification</w:t>
            </w:r>
            <w:r w:rsidR="00CC193D" w:rsidRPr="004415B1">
              <w:rPr>
                <w:rFonts w:cs="Arial"/>
                <w:b/>
                <w:bCs/>
                <w:color w:val="000000" w:themeColor="text1"/>
                <w:sz w:val="21"/>
                <w:szCs w:val="21"/>
              </w:rPr>
              <w:t xml:space="preserve"> </w:t>
            </w:r>
            <w:r w:rsidRPr="004415B1">
              <w:rPr>
                <w:rFonts w:cs="Arial"/>
                <w:b/>
                <w:bCs/>
                <w:color w:val="000000" w:themeColor="text1"/>
                <w:sz w:val="21"/>
                <w:szCs w:val="21"/>
              </w:rPr>
              <w:t>(%</w:t>
            </w:r>
            <w:r w:rsidR="00CC193D" w:rsidRPr="004415B1">
              <w:rPr>
                <w:rFonts w:cs="Arial"/>
                <w:b/>
                <w:bCs/>
                <w:color w:val="000000" w:themeColor="text1"/>
                <w:sz w:val="21"/>
                <w:szCs w:val="21"/>
              </w:rPr>
              <w:t> </w:t>
            </w:r>
            <w:r w:rsidRPr="004415B1">
              <w:rPr>
                <w:rFonts w:cs="Arial"/>
                <w:b/>
                <w:bCs/>
                <w:color w:val="000000" w:themeColor="text1"/>
                <w:sz w:val="21"/>
                <w:szCs w:val="21"/>
              </w:rPr>
              <w:t>of</w:t>
            </w:r>
            <w:r w:rsidR="00CC193D" w:rsidRPr="004415B1">
              <w:rPr>
                <w:rFonts w:cs="Arial"/>
                <w:b/>
                <w:bCs/>
                <w:color w:val="000000" w:themeColor="text1"/>
                <w:sz w:val="21"/>
                <w:szCs w:val="21"/>
              </w:rPr>
              <w:t> </w:t>
            </w:r>
            <w:r w:rsidRPr="004415B1">
              <w:rPr>
                <w:rFonts w:cs="Arial"/>
                <w:b/>
                <w:bCs/>
                <w:color w:val="000000" w:themeColor="text1"/>
                <w:sz w:val="21"/>
                <w:szCs w:val="21"/>
              </w:rPr>
              <w:t>those employed full-time)</w:t>
            </w:r>
          </w:p>
        </w:tc>
        <w:tc>
          <w:tcPr>
            <w:tcW w:w="2065" w:type="dxa"/>
            <w:shd w:val="clear" w:color="auto" w:fill="BEBEBE"/>
            <w:noWrap/>
            <w:vAlign w:val="center"/>
          </w:tcPr>
          <w:p w14:paraId="68B1CCDD" w14:textId="46A0B0E8" w:rsidR="005343D9" w:rsidRPr="004415B1" w:rsidRDefault="005343D9" w:rsidP="004415B1">
            <w:pPr>
              <w:spacing w:before="120" w:after="120"/>
              <w:jc w:val="center"/>
              <w:rPr>
                <w:rFonts w:cs="Arial"/>
                <w:b/>
                <w:bCs/>
                <w:color w:val="000000" w:themeColor="text1"/>
                <w:sz w:val="21"/>
                <w:szCs w:val="21"/>
              </w:rPr>
            </w:pPr>
            <w:r w:rsidRPr="004415B1">
              <w:rPr>
                <w:rFonts w:cs="Arial"/>
                <w:b/>
                <w:bCs/>
                <w:color w:val="000000" w:themeColor="text1"/>
                <w:sz w:val="21"/>
                <w:szCs w:val="21"/>
              </w:rPr>
              <w:t>28.0</w:t>
            </w:r>
          </w:p>
        </w:tc>
        <w:tc>
          <w:tcPr>
            <w:tcW w:w="1904" w:type="dxa"/>
            <w:shd w:val="clear" w:color="auto" w:fill="BEBEBE"/>
            <w:noWrap/>
            <w:vAlign w:val="center"/>
          </w:tcPr>
          <w:p w14:paraId="080D1F84" w14:textId="1DAFA041" w:rsidR="005343D9" w:rsidRPr="004415B1" w:rsidRDefault="005343D9" w:rsidP="004415B1">
            <w:pPr>
              <w:spacing w:before="120" w:after="120"/>
              <w:jc w:val="center"/>
              <w:rPr>
                <w:rFonts w:cs="Arial"/>
                <w:b/>
                <w:bCs/>
                <w:color w:val="000000" w:themeColor="text1"/>
                <w:sz w:val="21"/>
                <w:szCs w:val="21"/>
              </w:rPr>
            </w:pPr>
            <w:r w:rsidRPr="004415B1">
              <w:rPr>
                <w:rFonts w:cs="Arial"/>
                <w:b/>
                <w:bCs/>
                <w:color w:val="000000" w:themeColor="text1"/>
                <w:sz w:val="21"/>
                <w:szCs w:val="21"/>
              </w:rPr>
              <w:t>23.6</w:t>
            </w:r>
          </w:p>
        </w:tc>
        <w:tc>
          <w:tcPr>
            <w:tcW w:w="1984" w:type="dxa"/>
            <w:shd w:val="clear" w:color="auto" w:fill="BEBEBE"/>
            <w:noWrap/>
            <w:vAlign w:val="center"/>
          </w:tcPr>
          <w:p w14:paraId="7A7ECDA3" w14:textId="75A3ADA2" w:rsidR="005343D9" w:rsidRPr="004415B1" w:rsidRDefault="005343D9" w:rsidP="004415B1">
            <w:pPr>
              <w:spacing w:before="120" w:after="120"/>
              <w:jc w:val="center"/>
              <w:rPr>
                <w:rFonts w:cs="Arial"/>
                <w:b/>
                <w:bCs/>
                <w:color w:val="000000" w:themeColor="text1"/>
                <w:sz w:val="21"/>
                <w:szCs w:val="21"/>
              </w:rPr>
            </w:pPr>
            <w:r w:rsidRPr="004415B1">
              <w:rPr>
                <w:rFonts w:cs="Arial"/>
                <w:b/>
                <w:bCs/>
                <w:color w:val="000000" w:themeColor="text1"/>
                <w:sz w:val="21"/>
                <w:szCs w:val="21"/>
              </w:rPr>
              <w:t>30.5</w:t>
            </w:r>
          </w:p>
        </w:tc>
        <w:tc>
          <w:tcPr>
            <w:tcW w:w="2126" w:type="dxa"/>
            <w:shd w:val="clear" w:color="auto" w:fill="BEBEBE"/>
            <w:noWrap/>
            <w:vAlign w:val="center"/>
          </w:tcPr>
          <w:p w14:paraId="6DA3D961" w14:textId="23491FC2" w:rsidR="005343D9" w:rsidRPr="004415B1" w:rsidRDefault="005343D9" w:rsidP="004415B1">
            <w:pPr>
              <w:spacing w:before="120" w:after="120"/>
              <w:jc w:val="center"/>
              <w:rPr>
                <w:rFonts w:cs="Arial"/>
                <w:b/>
                <w:bCs/>
                <w:color w:val="000000" w:themeColor="text1"/>
                <w:sz w:val="21"/>
                <w:szCs w:val="21"/>
              </w:rPr>
            </w:pPr>
            <w:r w:rsidRPr="004415B1">
              <w:rPr>
                <w:rFonts w:cs="Arial"/>
                <w:b/>
                <w:bCs/>
                <w:color w:val="000000" w:themeColor="text1"/>
                <w:sz w:val="21"/>
                <w:szCs w:val="21"/>
              </w:rPr>
              <w:t>27.5</w:t>
            </w:r>
          </w:p>
        </w:tc>
        <w:tc>
          <w:tcPr>
            <w:tcW w:w="1985" w:type="dxa"/>
            <w:shd w:val="clear" w:color="auto" w:fill="BEBEBE"/>
            <w:noWrap/>
            <w:vAlign w:val="center"/>
          </w:tcPr>
          <w:p w14:paraId="41D73F1F" w14:textId="47540B5A" w:rsidR="005343D9" w:rsidRPr="004415B1" w:rsidRDefault="005343D9" w:rsidP="004415B1">
            <w:pPr>
              <w:spacing w:before="120" w:after="120"/>
              <w:jc w:val="center"/>
              <w:rPr>
                <w:rFonts w:cs="Arial"/>
                <w:b/>
                <w:bCs/>
                <w:color w:val="000000" w:themeColor="text1"/>
                <w:sz w:val="21"/>
                <w:szCs w:val="21"/>
              </w:rPr>
            </w:pPr>
            <w:r w:rsidRPr="004415B1">
              <w:rPr>
                <w:rFonts w:cs="Arial"/>
                <w:b/>
                <w:bCs/>
                <w:color w:val="000000" w:themeColor="text1"/>
                <w:sz w:val="21"/>
                <w:szCs w:val="21"/>
              </w:rPr>
              <w:t>28.3</w:t>
            </w:r>
          </w:p>
        </w:tc>
        <w:tc>
          <w:tcPr>
            <w:tcW w:w="2329" w:type="dxa"/>
            <w:shd w:val="clear" w:color="auto" w:fill="BEBEBE"/>
            <w:noWrap/>
            <w:vAlign w:val="center"/>
          </w:tcPr>
          <w:p w14:paraId="799D5CDA" w14:textId="7E44462C" w:rsidR="005343D9" w:rsidRPr="004415B1" w:rsidRDefault="005343D9" w:rsidP="004415B1">
            <w:pPr>
              <w:spacing w:before="120" w:after="120"/>
              <w:jc w:val="center"/>
              <w:rPr>
                <w:rFonts w:cs="Arial"/>
                <w:b/>
                <w:bCs/>
                <w:color w:val="000000" w:themeColor="text1"/>
                <w:sz w:val="21"/>
                <w:szCs w:val="21"/>
              </w:rPr>
            </w:pPr>
            <w:r w:rsidRPr="004415B1">
              <w:rPr>
                <w:rFonts w:cs="Arial"/>
                <w:b/>
                <w:bCs/>
                <w:color w:val="000000" w:themeColor="text1"/>
                <w:sz w:val="21"/>
                <w:szCs w:val="21"/>
              </w:rPr>
              <w:t>25.6</w:t>
            </w:r>
          </w:p>
        </w:tc>
      </w:tr>
      <w:bookmarkEnd w:id="111"/>
    </w:tbl>
    <w:p w14:paraId="22076C9D" w14:textId="77777777" w:rsidR="00C44F29" w:rsidRDefault="00C44F29" w:rsidP="00C44F29">
      <w:pPr>
        <w:pStyle w:val="BodyText"/>
        <w:rPr>
          <w:rStyle w:val="cf01"/>
          <w:rFonts w:ascii="Arial" w:hAnsi="Arial" w:cs="Arial"/>
          <w:b/>
          <w:bCs/>
          <w:color w:val="005A5D" w:themeColor="text2" w:themeShade="BF"/>
          <w:sz w:val="20"/>
          <w:szCs w:val="20"/>
          <w:lang w:eastAsia="en-AU"/>
        </w:rPr>
        <w:sectPr w:rsidR="00C44F29" w:rsidSect="008A32F5">
          <w:footerReference w:type="default" r:id="rId47"/>
          <w:pgSz w:w="16840" w:h="11900" w:orient="landscape"/>
          <w:pgMar w:top="709" w:right="284" w:bottom="709" w:left="284" w:header="397" w:footer="397" w:gutter="0"/>
          <w:cols w:space="708"/>
          <w:docGrid w:linePitch="360"/>
        </w:sectPr>
      </w:pPr>
    </w:p>
    <w:p w14:paraId="6B09C79E" w14:textId="0092A151" w:rsidR="0051436E" w:rsidRPr="00AA0B58" w:rsidRDefault="0051436E" w:rsidP="004B0E69">
      <w:pPr>
        <w:pStyle w:val="Infographictitle"/>
      </w:pPr>
      <w:bookmarkStart w:id="112" w:name="_Toc244083896"/>
      <w:r w:rsidRPr="00AA0B58">
        <w:rPr>
          <w:rStyle w:val="cf01"/>
          <w:rFonts w:ascii="Arial" w:hAnsi="Arial" w:cs="Arial"/>
          <w:sz w:val="22"/>
          <w:szCs w:val="26"/>
        </w:rPr>
        <w:lastRenderedPageBreak/>
        <w:t>Infographic</w:t>
      </w:r>
      <w:r w:rsidR="00937DE6" w:rsidRPr="00AA0B58">
        <w:rPr>
          <w:rStyle w:val="cf01"/>
          <w:rFonts w:ascii="Arial" w:hAnsi="Arial" w:cs="Arial"/>
          <w:sz w:val="22"/>
          <w:szCs w:val="26"/>
        </w:rPr>
        <w:t xml:space="preserve"> 1</w:t>
      </w:r>
      <w:r w:rsidR="0013580C" w:rsidRPr="00AA0B58">
        <w:rPr>
          <w:rStyle w:val="cf01"/>
          <w:rFonts w:ascii="Arial" w:hAnsi="Arial" w:cs="Arial"/>
          <w:sz w:val="22"/>
          <w:szCs w:val="26"/>
        </w:rPr>
        <w:t xml:space="preserve">: </w:t>
      </w:r>
      <w:r w:rsidR="004D36B0" w:rsidRPr="00AA0B58">
        <w:rPr>
          <w:rStyle w:val="cf01"/>
          <w:rFonts w:ascii="Arial" w:hAnsi="Arial" w:cs="Arial"/>
          <w:sz w:val="22"/>
          <w:szCs w:val="26"/>
        </w:rPr>
        <w:t>Reasons associated with skill underutilisation in the short- to medium-term</w:t>
      </w:r>
      <w:bookmarkEnd w:id="112"/>
    </w:p>
    <w:p w14:paraId="2DDDC541" w14:textId="7A5D30DE" w:rsidR="004D36B0" w:rsidRPr="0036340F" w:rsidRDefault="00B345A7" w:rsidP="007D285B">
      <w:pPr>
        <w:spacing w:after="120" w:line="300" w:lineRule="atLeast"/>
        <w:ind w:left="709"/>
        <w:rPr>
          <w:rStyle w:val="cf01"/>
          <w:rFonts w:ascii="Arial" w:eastAsia="Times New Roman" w:hAnsi="Arial" w:cs="Arial"/>
          <w:sz w:val="20"/>
          <w:szCs w:val="20"/>
          <w:lang w:eastAsia="en-AU"/>
        </w:rPr>
      </w:pPr>
      <w:r>
        <w:rPr>
          <w:rFonts w:eastAsia="Times New Roman" w:cs="Arial"/>
          <w:szCs w:val="20"/>
          <w:lang w:eastAsia="en-AU"/>
        </w:rPr>
        <w:fldChar w:fldCharType="begin"/>
      </w:r>
      <w:r>
        <w:rPr>
          <w:rFonts w:eastAsia="Times New Roman" w:cs="Arial"/>
          <w:szCs w:val="20"/>
          <w:lang w:eastAsia="en-AU"/>
        </w:rPr>
        <w:instrText xml:space="preserve"> TC "</w:instrText>
      </w:r>
      <w:bookmarkStart w:id="113" w:name="_Toc244083277"/>
      <w:r>
        <w:rPr>
          <w:rFonts w:eastAsia="Times New Roman" w:cs="Arial"/>
          <w:szCs w:val="20"/>
          <w:lang w:eastAsia="en-AU"/>
        </w:rPr>
        <w:instrText>Infographic 1: Reasons associated with skill underutilisation in the short- to medium-term</w:instrText>
      </w:r>
      <w:bookmarkEnd w:id="113"/>
      <w:r>
        <w:rPr>
          <w:rFonts w:eastAsia="Times New Roman" w:cs="Arial"/>
          <w:szCs w:val="20"/>
          <w:lang w:eastAsia="en-AU"/>
        </w:rPr>
        <w:instrText xml:space="preserve">" \f I </w:instrText>
      </w:r>
      <w:r>
        <w:rPr>
          <w:rFonts w:eastAsia="Times New Roman" w:cs="Arial"/>
          <w:szCs w:val="20"/>
          <w:lang w:eastAsia="en-AU"/>
        </w:rPr>
        <w:fldChar w:fldCharType="end"/>
      </w:r>
      <w:r w:rsidR="004D36B0" w:rsidRPr="0036340F">
        <w:rPr>
          <w:rFonts w:eastAsia="Times New Roman" w:cs="Arial"/>
          <w:szCs w:val="20"/>
          <w:lang w:eastAsia="en-AU"/>
        </w:rPr>
        <w:t>For undergraduates and postgraduate research graduates, reasons for working in jobs that do not fully utilise their skills and</w:t>
      </w:r>
      <w:r w:rsidR="007D285B">
        <w:rPr>
          <w:rFonts w:eastAsia="Times New Roman" w:cs="Arial"/>
          <w:szCs w:val="20"/>
          <w:lang w:eastAsia="en-AU"/>
        </w:rPr>
        <w:t> </w:t>
      </w:r>
      <w:r w:rsidR="004D36B0" w:rsidRPr="0036340F">
        <w:rPr>
          <w:rFonts w:eastAsia="Times New Roman" w:cs="Arial"/>
          <w:szCs w:val="20"/>
          <w:lang w:eastAsia="en-AU"/>
        </w:rPr>
        <w:t>education shift from labour market factors to personal factors over the short- to medium-term.</w:t>
      </w:r>
    </w:p>
    <w:p w14:paraId="57A4D346" w14:textId="7F44FBA6" w:rsidR="0013580C" w:rsidRDefault="0090004D" w:rsidP="00244416">
      <w:pPr>
        <w:spacing w:after="160" w:line="259" w:lineRule="auto"/>
        <w:rPr>
          <w:rStyle w:val="cf01"/>
        </w:rPr>
      </w:pPr>
      <w:r w:rsidRPr="0090004D">
        <w:rPr>
          <w:rStyle w:val="cf01"/>
          <w:noProof/>
        </w:rPr>
        <w:drawing>
          <wp:inline distT="0" distB="0" distL="0" distR="0" wp14:anchorId="5958A8EB" wp14:editId="1EA39FAA">
            <wp:extent cx="7488000" cy="8295237"/>
            <wp:effectExtent l="0" t="0" r="0" b="0"/>
            <wp:docPr id="1227575256" name="Picture 1" descr="Six 100% stacked column charts showing reasons associated with skill underutilisation in the short- and medium-term, arranged in three study-level panels: Undergraduate, Postgraduate coursework and Postgraduate research. Legend: pink dotted fill, Personal factors; teal dotted fill, Labour market factors; orange fill, Other factors. Each panel contains a Short-term (2023) column and a Medium-term (2026) column. Undergraduate: Short-term (2023), Personal factors 39.0%, Labour market factors 55.8%, Other factors 5.2%; Medium-term (2026), Personal factors 44.5%, Labour market factors 47.8%, Other factors 7.6%. Postgraduate coursework: Short-term (2023), Personal factors 48.8%, Labour market factors 45.9%, Other factors 5.2%; Medium-term (2026), Personal factors 47.7%, Labour market factors 44.1%, Other factors 8.2%. Postgraduate research: Short-term (2023), Personal factors 41.6%, Labour market factors 53.5%, Other factors 4.9%; Medium-term (2026), Personal factors 47.4%, Labour market factors 44.7%, Other factor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75256" name="Picture 1" descr="Six 100% stacked column charts showing reasons associated with skill underutilisation in the short- and medium-term, arranged in three study-level panels: Undergraduate, Postgraduate coursework and Postgraduate research. Legend: pink dotted fill, Personal factors; teal dotted fill, Labour market factors; orange fill, Other factors. Each panel contains a Short-term (2023) column and a Medium-term (2026) column. Undergraduate: Short-term (2023), Personal factors 39.0%, Labour market factors 55.8%, Other factors 5.2%; Medium-term (2026), Personal factors 44.5%, Labour market factors 47.8%, Other factors 7.6%. Postgraduate coursework: Short-term (2023), Personal factors 48.8%, Labour market factors 45.9%, Other factors 5.2%; Medium-term (2026), Personal factors 47.7%, Labour market factors 44.1%, Other factors 8.2%. Postgraduate research: Short-term (2023), Personal factors 41.6%, Labour market factors 53.5%, Other factors 4.9%; Medium-term (2026), Personal factors 47.4%, Labour market factors 44.7%, Other factors 7.9%"/>
                    <pic:cNvPicPr/>
                  </pic:nvPicPr>
                  <pic:blipFill>
                    <a:blip r:embed="rId48"/>
                    <a:stretch>
                      <a:fillRect/>
                    </a:stretch>
                  </pic:blipFill>
                  <pic:spPr>
                    <a:xfrm>
                      <a:off x="0" y="0"/>
                      <a:ext cx="7488000" cy="8295237"/>
                    </a:xfrm>
                    <a:prstGeom prst="rect">
                      <a:avLst/>
                    </a:prstGeom>
                  </pic:spPr>
                </pic:pic>
              </a:graphicData>
            </a:graphic>
          </wp:inline>
        </w:drawing>
      </w:r>
    </w:p>
    <w:p w14:paraId="3B18042E" w14:textId="77777777" w:rsidR="0013580C" w:rsidRDefault="0013580C" w:rsidP="0013580C">
      <w:pPr>
        <w:pStyle w:val="BodyText"/>
        <w:rPr>
          <w:rStyle w:val="cf01"/>
        </w:rPr>
      </w:pPr>
    </w:p>
    <w:p w14:paraId="2646AD52" w14:textId="77777777" w:rsidR="0013580C" w:rsidRDefault="0013580C" w:rsidP="0013580C">
      <w:pPr>
        <w:pStyle w:val="BodyText"/>
        <w:rPr>
          <w:rStyle w:val="cf01"/>
        </w:rPr>
        <w:sectPr w:rsidR="0013580C" w:rsidSect="0013580C">
          <w:footerReference w:type="default" r:id="rId49"/>
          <w:pgSz w:w="11900" w:h="16840"/>
          <w:pgMar w:top="57" w:right="57" w:bottom="57" w:left="57" w:header="397" w:footer="397" w:gutter="0"/>
          <w:cols w:space="708"/>
          <w:docGrid w:linePitch="360"/>
        </w:sectPr>
      </w:pPr>
    </w:p>
    <w:p w14:paraId="5FF78983" w14:textId="2F28CB7E" w:rsidR="00244416" w:rsidRPr="005A3AFE" w:rsidRDefault="00244416" w:rsidP="00C24FE6">
      <w:pPr>
        <w:pStyle w:val="Heading2"/>
      </w:pPr>
      <w:bookmarkStart w:id="114" w:name="_Domestic__graduates"/>
      <w:bookmarkStart w:id="115" w:name="_Toc192179856"/>
      <w:bookmarkStart w:id="116" w:name="_Ref231395493"/>
      <w:bookmarkStart w:id="117" w:name="_Ref231395498"/>
      <w:bookmarkStart w:id="118" w:name="_Ref231395501"/>
      <w:bookmarkStart w:id="119" w:name="_Toc243492335"/>
      <w:bookmarkEnd w:id="114"/>
      <w:r w:rsidRPr="005A3AFE">
        <w:lastRenderedPageBreak/>
        <w:t>Domestic graduates in further full-time study</w:t>
      </w:r>
      <w:bookmarkEnd w:id="107"/>
      <w:bookmarkEnd w:id="108"/>
      <w:bookmarkEnd w:id="115"/>
      <w:bookmarkEnd w:id="116"/>
      <w:bookmarkEnd w:id="117"/>
      <w:bookmarkEnd w:id="118"/>
      <w:bookmarkEnd w:id="119"/>
    </w:p>
    <w:p w14:paraId="366343BA" w14:textId="13B1057E" w:rsidR="00244416" w:rsidRPr="005A3AFE" w:rsidRDefault="00507CEA" w:rsidP="0024373A">
      <w:pPr>
        <w:pStyle w:val="Bodycopy"/>
      </w:pPr>
      <w:r w:rsidRPr="005A3AFE">
        <w:rPr>
          <w:b/>
        </w:rPr>
        <w:fldChar w:fldCharType="begin"/>
      </w:r>
      <w:r w:rsidRPr="005A3AFE">
        <w:rPr>
          <w:b/>
        </w:rPr>
        <w:instrText xml:space="preserve"> REF _Ref229753572 \h  \* MERGEFORMAT </w:instrText>
      </w:r>
      <w:r w:rsidRPr="005A3AFE">
        <w:rPr>
          <w:b/>
        </w:rPr>
      </w:r>
      <w:r w:rsidRPr="005A3AFE">
        <w:rPr>
          <w:b/>
        </w:rPr>
        <w:fldChar w:fldCharType="separate"/>
      </w:r>
      <w:r w:rsidR="00487685" w:rsidRPr="00673C2E">
        <w:rPr>
          <w:b/>
        </w:rPr>
        <w:t xml:space="preserve">Figure </w:t>
      </w:r>
      <w:r w:rsidR="00487685" w:rsidRPr="00673C2E">
        <w:rPr>
          <w:b/>
          <w:noProof/>
        </w:rPr>
        <w:t>13</w:t>
      </w:r>
      <w:r w:rsidRPr="005A3AFE">
        <w:rPr>
          <w:b/>
        </w:rPr>
        <w:fldChar w:fldCharType="end"/>
      </w:r>
      <w:r w:rsidRPr="005A3AFE">
        <w:rPr>
          <w:b/>
        </w:rPr>
        <w:t xml:space="preserve"> </w:t>
      </w:r>
      <w:r w:rsidR="00CB0034">
        <w:t>shows</w:t>
      </w:r>
      <w:r w:rsidR="00CB0034" w:rsidRPr="005A3AFE">
        <w:t xml:space="preserve"> </w:t>
      </w:r>
      <w:r w:rsidR="00244416" w:rsidRPr="005A3AFE">
        <w:t>the proportion of graduates who were enrolled in a full-time course at the time of the GOS</w:t>
      </w:r>
      <w:r w:rsidR="004243F6" w:rsidRPr="005A3AFE">
        <w:t xml:space="preserve"> in 202</w:t>
      </w:r>
      <w:r w:rsidR="00C43337" w:rsidRPr="005A3AFE">
        <w:t>3</w:t>
      </w:r>
      <w:r w:rsidR="00244416" w:rsidRPr="005A3AFE">
        <w:t xml:space="preserve"> and the proportion enrolled at the time of the GOS-L</w:t>
      </w:r>
      <w:r w:rsidR="004243F6" w:rsidRPr="005A3AFE">
        <w:t xml:space="preserve"> in 202</w:t>
      </w:r>
      <w:r w:rsidR="00C43337" w:rsidRPr="005A3AFE">
        <w:t>6</w:t>
      </w:r>
      <w:r w:rsidR="00244416" w:rsidRPr="005A3AFE">
        <w:t xml:space="preserve">. It should be noted that graduates may have completed </w:t>
      </w:r>
      <w:r w:rsidR="004B7327" w:rsidRPr="005A3AFE">
        <w:t>additional</w:t>
      </w:r>
      <w:r w:rsidR="00244416" w:rsidRPr="005A3AFE">
        <w:t xml:space="preserve"> qualification</w:t>
      </w:r>
      <w:r w:rsidR="00111EE5" w:rsidRPr="005A3AFE">
        <w:t>s</w:t>
      </w:r>
      <w:r w:rsidR="00244416" w:rsidRPr="005A3AFE">
        <w:t xml:space="preserve"> during the </w:t>
      </w:r>
      <w:r w:rsidR="00F22BF8" w:rsidRPr="005A3AFE">
        <w:t>3-year</w:t>
      </w:r>
      <w:r w:rsidR="00244416" w:rsidRPr="005A3AFE">
        <w:t xml:space="preserve"> period between the GOS and the GOS-L.</w:t>
      </w:r>
    </w:p>
    <w:p w14:paraId="192A07F2" w14:textId="676ED867" w:rsidR="00244416" w:rsidRPr="005A3AFE" w:rsidRDefault="007B7615" w:rsidP="0024373A">
      <w:pPr>
        <w:pStyle w:val="Bodycopy"/>
      </w:pPr>
      <w:r w:rsidRPr="005A3AFE">
        <w:t>G</w:t>
      </w:r>
      <w:r w:rsidR="001D41B9" w:rsidRPr="005A3AFE">
        <w:t xml:space="preserve">raduates who completed an undergraduate qualification </w:t>
      </w:r>
      <w:r w:rsidR="00D21C19" w:rsidRPr="005A3AFE">
        <w:t>ha</w:t>
      </w:r>
      <w:r w:rsidR="00E01C4C" w:rsidRPr="005A3AFE">
        <w:t>d</w:t>
      </w:r>
      <w:r w:rsidR="00D21C19" w:rsidRPr="005A3AFE">
        <w:t xml:space="preserve"> the greatest propensity to </w:t>
      </w:r>
      <w:r w:rsidR="00E01C4C" w:rsidRPr="005A3AFE">
        <w:t xml:space="preserve">continue </w:t>
      </w:r>
      <w:r w:rsidR="00990AC8" w:rsidRPr="005A3AFE">
        <w:t>straight</w:t>
      </w:r>
      <w:r w:rsidR="00E01C4C" w:rsidRPr="005A3AFE">
        <w:t xml:space="preserve"> to further f</w:t>
      </w:r>
      <w:r w:rsidR="00867463" w:rsidRPr="005A3AFE">
        <w:t>ull-time study</w:t>
      </w:r>
      <w:r w:rsidR="001C4C9F" w:rsidRPr="005A3AFE">
        <w:t xml:space="preserve"> following completion of their course</w:t>
      </w:r>
      <w:r w:rsidR="00C6297A" w:rsidRPr="005A3AFE">
        <w:t xml:space="preserve"> </w:t>
      </w:r>
      <w:r w:rsidR="000A601B" w:rsidRPr="005A3AFE">
        <w:t xml:space="preserve">– </w:t>
      </w:r>
      <w:r w:rsidR="00126EE5" w:rsidRPr="005A3AFE">
        <w:t>almost 3 times more likely than graduates who completed postgraduate level qualifications.</w:t>
      </w:r>
      <w:r w:rsidR="0057767F">
        <w:t xml:space="preserve"> In the medium-term, undergraduates</w:t>
      </w:r>
      <w:r w:rsidR="00C86817" w:rsidRPr="005A3AFE">
        <w:t xml:space="preserve"> </w:t>
      </w:r>
      <w:r w:rsidR="00545046" w:rsidRPr="005A3AFE">
        <w:t xml:space="preserve">were </w:t>
      </w:r>
      <w:r w:rsidR="00C86817" w:rsidRPr="005A3AFE">
        <w:t xml:space="preserve">still much more likely to be </w:t>
      </w:r>
      <w:r w:rsidR="00545046" w:rsidRPr="005A3AFE">
        <w:t>undertaking full-time study</w:t>
      </w:r>
      <w:r w:rsidR="00C86817" w:rsidRPr="005A3AFE">
        <w:t xml:space="preserve"> compared to </w:t>
      </w:r>
      <w:r w:rsidR="00353803" w:rsidRPr="005A3AFE">
        <w:t>graduates from</w:t>
      </w:r>
      <w:r w:rsidR="007C5F39" w:rsidRPr="005A3AFE">
        <w:t xml:space="preserve"> postgrad</w:t>
      </w:r>
      <w:r w:rsidR="00C75FD6" w:rsidRPr="005A3AFE">
        <w:t>uate</w:t>
      </w:r>
      <w:r w:rsidR="00353803" w:rsidRPr="005A3AFE">
        <w:t xml:space="preserve"> </w:t>
      </w:r>
      <w:r w:rsidR="00C75FD6" w:rsidRPr="005A3AFE">
        <w:t xml:space="preserve">level </w:t>
      </w:r>
      <w:r w:rsidR="00353803" w:rsidRPr="005A3AFE">
        <w:t>qualifications</w:t>
      </w:r>
      <w:r w:rsidR="008A401D">
        <w:t>. Th</w:t>
      </w:r>
      <w:r w:rsidR="00312E98">
        <w:t>is sustained pattern suggests that the educational journey for undergraduates commonly extends beyond the medium-term.</w:t>
      </w:r>
    </w:p>
    <w:p w14:paraId="443B36AC" w14:textId="76978DD3" w:rsidR="00244416" w:rsidRPr="005A3AFE" w:rsidRDefault="00244416" w:rsidP="00E57178">
      <w:pPr>
        <w:pStyle w:val="Caption"/>
        <w:spacing w:before="240"/>
      </w:pPr>
      <w:bookmarkStart w:id="120" w:name="_Ref182491290"/>
      <w:bookmarkStart w:id="121" w:name="_Ref229753572"/>
      <w:bookmarkStart w:id="122" w:name="_Toc243492119"/>
      <w:r w:rsidRPr="005A3AFE">
        <w:t xml:space="preserve">Figure </w:t>
      </w:r>
      <w:bookmarkEnd w:id="120"/>
      <w:r w:rsidR="00377B08" w:rsidRPr="005A3AFE">
        <w:fldChar w:fldCharType="begin"/>
      </w:r>
      <w:r w:rsidR="00377B08" w:rsidRPr="005A3AFE">
        <w:instrText xml:space="preserve"> SEQ Figure \* ARABIC </w:instrText>
      </w:r>
      <w:r w:rsidR="00377B08" w:rsidRPr="005A3AFE">
        <w:fldChar w:fldCharType="separate"/>
      </w:r>
      <w:r w:rsidR="008E1916">
        <w:rPr>
          <w:noProof/>
        </w:rPr>
        <w:t>13</w:t>
      </w:r>
      <w:r w:rsidR="00377B08" w:rsidRPr="005A3AFE">
        <w:fldChar w:fldCharType="end"/>
      </w:r>
      <w:bookmarkEnd w:id="121"/>
      <w:r w:rsidR="00084FEF">
        <w:tab/>
      </w:r>
      <w:r w:rsidRPr="005A3AFE">
        <w:t xml:space="preserve">Proportion of domestic graduates </w:t>
      </w:r>
      <w:r w:rsidR="00820790" w:rsidRPr="005A3AFE">
        <w:t>engaged in</w:t>
      </w:r>
      <w:r w:rsidRPr="005A3AFE">
        <w:t xml:space="preserve"> further full-time study by study level</w:t>
      </w:r>
      <w:bookmarkEnd w:id="122"/>
    </w:p>
    <w:p w14:paraId="4935CF37" w14:textId="4322F96E" w:rsidR="00BC504F" w:rsidRDefault="00EB032E" w:rsidP="0024373A">
      <w:pPr>
        <w:pStyle w:val="Bodycopy"/>
      </w:pPr>
      <w:r>
        <w:rPr>
          <w:noProof/>
        </w:rPr>
        <w:drawing>
          <wp:inline distT="0" distB="0" distL="0" distR="0" wp14:anchorId="438CD783" wp14:editId="31D689A2">
            <wp:extent cx="6657340" cy="2877820"/>
            <wp:effectExtent l="0" t="0" r="0" b="0"/>
            <wp:docPr id="779452988" name="Picture 22" descr="Clustered column chart. Proportion of domestic graduates engaged in further full-time study by study level. Legend: Short-term (2023); Medium-term (2026). Categories: Undergraduate; Postgraduate coursework; Postgraduate research. Vertical axis: engaged in further full-time study (%). Short-term (2023): Undergraduate: 16.5%; Postgraduate coursework: 6.2%; Postgraduate research: 5.7% Medium-term (2026): Undergraduate: 13.7%; Postgraduate coursework: 4.9%; Postgraduate research: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52988" name="Picture 22" descr="Clustered column chart. Proportion of domestic graduates engaged in further full-time study by study level. Legend: Short-term (2023); Medium-term (2026). Categories: Undergraduate; Postgraduate coursework; Postgraduate research. Vertical axis: engaged in further full-time study (%). Short-term (2023): Undergraduate: 16.5%; Postgraduate coursework: 6.2%; Postgraduate research: 5.7% Medium-term (2026): Undergraduate: 13.7%; Postgraduate coursework: 4.9%; Postgraduate research: 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57340" cy="2877820"/>
                    </a:xfrm>
                    <a:prstGeom prst="rect">
                      <a:avLst/>
                    </a:prstGeom>
                    <a:noFill/>
                  </pic:spPr>
                </pic:pic>
              </a:graphicData>
            </a:graphic>
          </wp:inline>
        </w:drawing>
      </w:r>
    </w:p>
    <w:p w14:paraId="5F1CC3C2" w14:textId="559F56F1" w:rsidR="00CB22A0" w:rsidRPr="00CB22A0" w:rsidRDefault="00CB22A0" w:rsidP="0024373A">
      <w:pPr>
        <w:pStyle w:val="Bodycopy"/>
      </w:pPr>
      <w:r w:rsidRPr="005A3AFE">
        <w:t>Rates of further full-time study differed by field of education.</w:t>
      </w:r>
      <w:r w:rsidRPr="00E17B1D">
        <w:rPr>
          <w:rStyle w:val="FootnoteReference"/>
          <w:rFonts w:cs="Arial"/>
          <w:sz w:val="20"/>
        </w:rPr>
        <w:footnoteReference w:id="13"/>
      </w:r>
      <w:r w:rsidRPr="00E17B1D">
        <w:rPr>
          <w:rFonts w:ascii="Arial" w:hAnsi="Arial" w:cs="Arial"/>
          <w:vertAlign w:val="superscript"/>
        </w:rPr>
        <w:t>,</w:t>
      </w:r>
      <w:r w:rsidRPr="00E17B1D">
        <w:rPr>
          <w:rStyle w:val="FootnoteReference"/>
          <w:rFonts w:cs="Arial"/>
          <w:sz w:val="20"/>
        </w:rPr>
        <w:footnoteReference w:id="14"/>
      </w:r>
      <w:r w:rsidRPr="00E17B1D">
        <w:rPr>
          <w:rFonts w:ascii="Arial" w:hAnsi="Arial" w:cs="Arial"/>
        </w:rPr>
        <w:t xml:space="preserve"> </w:t>
      </w:r>
      <w:r w:rsidRPr="005A3AFE">
        <w:t>As with previous years, undergraduates from Natural and physical sciences reported the highest further full-time study rates in the short-term, which is up to 3 times higher than other study areas. Notably, this remains high in the medium-term (</w:t>
      </w:r>
      <w:r w:rsidRPr="005A3AFE">
        <w:rPr>
          <w:b/>
          <w:bCs/>
        </w:rPr>
        <w:fldChar w:fldCharType="begin"/>
      </w:r>
      <w:r w:rsidRPr="005A3AFE">
        <w:rPr>
          <w:b/>
          <w:bCs/>
        </w:rPr>
        <w:instrText xml:space="preserve"> REF _Ref229753615 \h  \* MERGEFORMAT </w:instrText>
      </w:r>
      <w:r w:rsidRPr="005A3AFE">
        <w:rPr>
          <w:b/>
          <w:bCs/>
        </w:rPr>
      </w:r>
      <w:r w:rsidRPr="005A3AFE">
        <w:rPr>
          <w:b/>
          <w:bCs/>
        </w:rPr>
        <w:fldChar w:fldCharType="separate"/>
      </w:r>
      <w:r w:rsidRPr="00673C2E">
        <w:rPr>
          <w:b/>
          <w:bCs/>
        </w:rPr>
        <w:t xml:space="preserve">Figure </w:t>
      </w:r>
      <w:r w:rsidRPr="00673C2E">
        <w:rPr>
          <w:b/>
          <w:bCs/>
          <w:noProof/>
        </w:rPr>
        <w:t>14</w:t>
      </w:r>
      <w:r w:rsidRPr="005A3AFE">
        <w:rPr>
          <w:b/>
          <w:bCs/>
        </w:rPr>
        <w:fldChar w:fldCharType="end"/>
      </w:r>
      <w:r w:rsidRPr="005A3AFE">
        <w:t xml:space="preserve">) reflecting the long academic trajectory for students in this field of education. The further full-time study rate for undergraduates from Society and culture was also relatively high in the </w:t>
      </w:r>
      <w:r>
        <w:t>short-term</w:t>
      </w:r>
      <w:r w:rsidRPr="005A3AFE">
        <w:t xml:space="preserve"> (22.7 per cent) but this dropped considerably in the medium-term (15.1 per cent). </w:t>
      </w:r>
      <w:r w:rsidRPr="004E5A65">
        <w:t>Rates of further full-time study for other broad fields of education remained stable or decreased slightly from the short- to medium-term.</w:t>
      </w:r>
    </w:p>
    <w:p w14:paraId="19C80203" w14:textId="77777777" w:rsidR="00CB22A0" w:rsidRDefault="00CB22A0" w:rsidP="0024373A">
      <w:pPr>
        <w:pStyle w:val="Bodycopy"/>
      </w:pPr>
    </w:p>
    <w:p w14:paraId="2EAD2EBD" w14:textId="3FA4C025" w:rsidR="00CB22A0" w:rsidRPr="005A3AFE" w:rsidRDefault="00CB22A0" w:rsidP="0024373A">
      <w:pPr>
        <w:pStyle w:val="Bodycopy"/>
        <w:sectPr w:rsidR="00CB22A0" w:rsidRPr="005A3AFE" w:rsidSect="00A11753">
          <w:footerReference w:type="default" r:id="rId51"/>
          <w:pgSz w:w="11900" w:h="16840"/>
          <w:pgMar w:top="709" w:right="709" w:bottom="709" w:left="709" w:header="397" w:footer="397" w:gutter="0"/>
          <w:cols w:space="708"/>
          <w:docGrid w:linePitch="360"/>
        </w:sectPr>
      </w:pPr>
    </w:p>
    <w:p w14:paraId="6894B9C8" w14:textId="339F8297" w:rsidR="00244416" w:rsidRPr="005A3AFE" w:rsidRDefault="00244416" w:rsidP="00244416">
      <w:pPr>
        <w:pStyle w:val="Caption"/>
      </w:pPr>
      <w:bookmarkStart w:id="123" w:name="_Ref188524853"/>
      <w:bookmarkStart w:id="124" w:name="_Ref229753615"/>
      <w:bookmarkStart w:id="125" w:name="_Toc243492120"/>
      <w:r w:rsidRPr="005A3AFE">
        <w:lastRenderedPageBreak/>
        <w:t xml:space="preserve">Figure </w:t>
      </w:r>
      <w:bookmarkEnd w:id="123"/>
      <w:r w:rsidR="00377B08" w:rsidRPr="005A3AFE">
        <w:fldChar w:fldCharType="begin"/>
      </w:r>
      <w:r w:rsidR="00377B08" w:rsidRPr="005A3AFE">
        <w:instrText xml:space="preserve"> SEQ Figure \* ARABIC </w:instrText>
      </w:r>
      <w:r w:rsidR="00377B08" w:rsidRPr="005A3AFE">
        <w:fldChar w:fldCharType="separate"/>
      </w:r>
      <w:r w:rsidR="008E1916">
        <w:rPr>
          <w:noProof/>
        </w:rPr>
        <w:t>14</w:t>
      </w:r>
      <w:r w:rsidR="00377B08" w:rsidRPr="005A3AFE">
        <w:fldChar w:fldCharType="end"/>
      </w:r>
      <w:bookmarkEnd w:id="124"/>
      <w:r w:rsidR="00CB22A0">
        <w:tab/>
      </w:r>
      <w:r w:rsidRPr="005A3AFE">
        <w:t>Domestic undergraduates undertaking further full-time study by original broad field of education (%)</w:t>
      </w:r>
      <w:bookmarkEnd w:id="125"/>
    </w:p>
    <w:p w14:paraId="0C545598" w14:textId="2DC397E2" w:rsidR="00553FC7" w:rsidRPr="005A3AFE" w:rsidRDefault="00EB032E" w:rsidP="00CB22A0">
      <w:pPr>
        <w:pStyle w:val="Body"/>
        <w:spacing w:after="240"/>
        <w:rPr>
          <w:noProof/>
        </w:rPr>
      </w:pPr>
      <w:r>
        <w:rPr>
          <w:noProof/>
        </w:rPr>
        <w:drawing>
          <wp:inline distT="0" distB="0" distL="0" distR="0" wp14:anchorId="42524772" wp14:editId="7D87CD3D">
            <wp:extent cx="9720000" cy="5065823"/>
            <wp:effectExtent l="0" t="0" r="0" b="1905"/>
            <wp:docPr id="578025192" name="Picture 23" descr="Clustered column chart. Domestic undergraduates undertaking further full-time study by original broad field of education (%). Legend: Short-term (2023); Medium-term (2026). Horizontal axis: original broad field of education. Vertical axis: undertaking further full-time study (%). Short-term (2023): Natural &amp; physical sciences: 33.4%; Society &amp; culture: 22.7%; Total: 16.5%; Creative arts: 13.2%; Health: 10.7%; Agriculture, environmental &amp; related studies: 10.4%; Architecture &amp; building: 8.9%; Engineering &amp; related technologies: 8.8%; Management &amp; commerce: 8.7%; Information technology: 7.4%; Education: 7.4% Medium-term (2026): Natural &amp; physical sciences: 33.4%; Society &amp; culture: 15.1%; Total: 13.7%; Creative arts: 11.9%; Health: 10.7%; Agriculture, environmental &amp; related studies: 8.8%; Architecture &amp; building: 7.8%; Engineering &amp; related technologies: 6.8%; Management &amp; commerce: 6.3%; Information technology: 5.2%; Education: 4.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25192" name="Picture 23" descr="Clustered column chart. Domestic undergraduates undertaking further full-time study by original broad field of education (%). Legend: Short-term (2023); Medium-term (2026). Horizontal axis: original broad field of education. Vertical axis: undertaking further full-time study (%). Short-term (2023): Natural &amp; physical sciences: 33.4%; Society &amp; culture: 22.7%; Total: 16.5%; Creative arts: 13.2%; Health: 10.7%; Agriculture, environmental &amp; related studies: 10.4%; Architecture &amp; building: 8.9%; Engineering &amp; related technologies: 8.8%; Management &amp; commerce: 8.7%; Information technology: 7.4%; Education: 7.4% Medium-term (2026): Natural &amp; physical sciences: 33.4%; Society &amp; culture: 15.1%; Total: 13.7%; Creative arts: 11.9%; Health: 10.7%; Agriculture, environmental &amp; related studies: 8.8%; Architecture &amp; building: 7.8%; Engineering &amp; related technologies: 6.8%; Management &amp; commerce: 6.3%; Information technology: 5.2%; Education: 4.7% "/>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720000" cy="5065823"/>
                    </a:xfrm>
                    <a:prstGeom prst="rect">
                      <a:avLst/>
                    </a:prstGeom>
                    <a:noFill/>
                  </pic:spPr>
                </pic:pic>
              </a:graphicData>
            </a:graphic>
          </wp:inline>
        </w:drawing>
      </w:r>
      <w:r w:rsidR="00522D3D" w:rsidRPr="005A3AFE">
        <w:t>For both the short</w:t>
      </w:r>
      <w:r w:rsidR="00241689" w:rsidRPr="005A3AFE">
        <w:t>-term</w:t>
      </w:r>
      <w:r w:rsidR="00522D3D" w:rsidRPr="005A3AFE">
        <w:t xml:space="preserve"> and medium-term</w:t>
      </w:r>
      <w:r w:rsidR="00DC04F0" w:rsidRPr="005A3AFE">
        <w:t>,</w:t>
      </w:r>
      <w:r w:rsidR="00522D3D" w:rsidRPr="005A3AFE">
        <w:t xml:space="preserve"> </w:t>
      </w:r>
      <w:r w:rsidR="00031774" w:rsidRPr="005A3AFE">
        <w:t>over 70 per cent of</w:t>
      </w:r>
      <w:r w:rsidR="00D40BA4" w:rsidRPr="005A3AFE">
        <w:t xml:space="preserve"> undergraduates in further full-time study moved </w:t>
      </w:r>
      <w:r w:rsidR="00D4442C" w:rsidRPr="005A3AFE">
        <w:t>into</w:t>
      </w:r>
      <w:r w:rsidR="00D40BA4" w:rsidRPr="005A3AFE">
        <w:t xml:space="preserve"> </w:t>
      </w:r>
      <w:r w:rsidR="00031774" w:rsidRPr="005A3AFE">
        <w:t>one of</w:t>
      </w:r>
      <w:r w:rsidR="00244416" w:rsidRPr="005A3AFE">
        <w:t xml:space="preserve"> 3 broad fields of education: Health, </w:t>
      </w:r>
      <w:r w:rsidR="000721A7" w:rsidRPr="005A3AFE">
        <w:t>s</w:t>
      </w:r>
      <w:r w:rsidR="00031774" w:rsidRPr="005A3AFE">
        <w:t>ociety</w:t>
      </w:r>
      <w:r w:rsidR="00244416" w:rsidRPr="005A3AFE">
        <w:t xml:space="preserve"> and culture, and Natural and physical sciences</w:t>
      </w:r>
      <w:r w:rsidR="00507CEA" w:rsidRPr="005A3AFE">
        <w:t xml:space="preserve"> </w:t>
      </w:r>
      <w:r w:rsidR="00507CEA" w:rsidRPr="006708F2">
        <w:t>(</w:t>
      </w:r>
      <w:r w:rsidR="00507CEA" w:rsidRPr="005A3AFE">
        <w:rPr>
          <w:b/>
          <w:bCs/>
        </w:rPr>
        <w:fldChar w:fldCharType="begin"/>
      </w:r>
      <w:r w:rsidR="00507CEA" w:rsidRPr="005A3AFE">
        <w:rPr>
          <w:b/>
          <w:bCs/>
        </w:rPr>
        <w:instrText xml:space="preserve"> REF _Ref229753669 \h  \* MERGEFORMAT </w:instrText>
      </w:r>
      <w:r w:rsidR="00507CEA" w:rsidRPr="005A3AFE">
        <w:rPr>
          <w:b/>
          <w:bCs/>
        </w:rPr>
      </w:r>
      <w:r w:rsidR="00507CEA" w:rsidRPr="005A3AFE">
        <w:rPr>
          <w:b/>
          <w:bCs/>
        </w:rPr>
        <w:fldChar w:fldCharType="separate"/>
      </w:r>
      <w:r w:rsidR="00487685" w:rsidRPr="0036340F">
        <w:rPr>
          <w:b/>
          <w:bCs/>
        </w:rPr>
        <w:t xml:space="preserve">Figure </w:t>
      </w:r>
      <w:r w:rsidR="00487685" w:rsidRPr="0036340F">
        <w:rPr>
          <w:b/>
          <w:bCs/>
          <w:noProof/>
        </w:rPr>
        <w:t>15</w:t>
      </w:r>
      <w:r w:rsidR="00507CEA" w:rsidRPr="005A3AFE">
        <w:rPr>
          <w:b/>
          <w:bCs/>
        </w:rPr>
        <w:fldChar w:fldCharType="end"/>
      </w:r>
      <w:r w:rsidR="00507CEA" w:rsidRPr="006708F2">
        <w:t>)</w:t>
      </w:r>
      <w:r w:rsidR="00244416" w:rsidRPr="005A3AFE">
        <w:t xml:space="preserve">. Within these 3 broad fields of education, the proportion studying Health increased in the </w:t>
      </w:r>
      <w:r w:rsidR="00A9285F" w:rsidRPr="005A3AFE">
        <w:t>s</w:t>
      </w:r>
      <w:r w:rsidR="00612E2F" w:rsidRPr="005A3AFE">
        <w:t>hort- to</w:t>
      </w:r>
      <w:r w:rsidR="00ED2214" w:rsidRPr="005A3AFE">
        <w:t xml:space="preserve"> </w:t>
      </w:r>
      <w:r w:rsidR="00244416" w:rsidRPr="005A3AFE">
        <w:t>medium-term</w:t>
      </w:r>
      <w:r w:rsidR="00ED2214" w:rsidRPr="005A3AFE">
        <w:t xml:space="preserve"> </w:t>
      </w:r>
      <w:r w:rsidR="00C55428" w:rsidRPr="005A3AFE">
        <w:t>from</w:t>
      </w:r>
      <w:r w:rsidR="008B1B44" w:rsidRPr="005A3AFE">
        <w:t xml:space="preserve"> 24.0 per cent to 33.5 per cent</w:t>
      </w:r>
      <w:r w:rsidR="00244416" w:rsidRPr="005A3AFE">
        <w:t xml:space="preserve">, while the proportion </w:t>
      </w:r>
      <w:r w:rsidR="00ED2214" w:rsidRPr="005A3AFE">
        <w:t>of those studying</w:t>
      </w:r>
      <w:r w:rsidR="00244416" w:rsidRPr="005A3AFE">
        <w:t xml:space="preserve"> Society and culture declined</w:t>
      </w:r>
      <w:r w:rsidR="00CD5285" w:rsidRPr="005A3AFE">
        <w:t xml:space="preserve"> </w:t>
      </w:r>
      <w:r w:rsidR="008B1B44" w:rsidRPr="005A3AFE">
        <w:t xml:space="preserve">from </w:t>
      </w:r>
      <w:r w:rsidR="0016068A" w:rsidRPr="005A3AFE">
        <w:t>31.9 per cent to 24.1 per cent</w:t>
      </w:r>
      <w:r w:rsidR="00FA7A30" w:rsidRPr="005A3AFE">
        <w:t xml:space="preserve">. The proportion of </w:t>
      </w:r>
      <w:r w:rsidR="00EB1A67" w:rsidRPr="005A3AFE">
        <w:t>under</w:t>
      </w:r>
      <w:r w:rsidR="00FA7A30" w:rsidRPr="005A3AFE">
        <w:t xml:space="preserve">graduates in further full-time study in </w:t>
      </w:r>
      <w:r w:rsidR="00E661EA" w:rsidRPr="005A3AFE">
        <w:t>N</w:t>
      </w:r>
      <w:r w:rsidR="00FA7A30" w:rsidRPr="005A3AFE">
        <w:t>atural and physical science</w:t>
      </w:r>
      <w:r w:rsidR="00276112" w:rsidRPr="005A3AFE">
        <w:t>s</w:t>
      </w:r>
      <w:r w:rsidR="00FA7A30" w:rsidRPr="005A3AFE">
        <w:t xml:space="preserve"> remained steady.</w:t>
      </w:r>
      <w:bookmarkStart w:id="126" w:name="_Ref140531712"/>
      <w:bookmarkStart w:id="127" w:name="_Ref140528628"/>
    </w:p>
    <w:p w14:paraId="1B65B232" w14:textId="11F0DCB6" w:rsidR="00244416" w:rsidRPr="005A3AFE" w:rsidRDefault="00244416" w:rsidP="000E45F6">
      <w:pPr>
        <w:pStyle w:val="Caption"/>
      </w:pPr>
      <w:bookmarkStart w:id="128" w:name="_Ref210983099"/>
      <w:bookmarkStart w:id="129" w:name="_Ref229753669"/>
      <w:bookmarkStart w:id="130" w:name="_Toc243492121"/>
      <w:r w:rsidRPr="005A3AFE">
        <w:lastRenderedPageBreak/>
        <w:t xml:space="preserve">Figure </w:t>
      </w:r>
      <w:bookmarkEnd w:id="126"/>
      <w:bookmarkEnd w:id="127"/>
      <w:bookmarkEnd w:id="128"/>
      <w:r w:rsidR="00377B08" w:rsidRPr="005A3AFE">
        <w:fldChar w:fldCharType="begin"/>
      </w:r>
      <w:r w:rsidR="00377B08" w:rsidRPr="005A3AFE">
        <w:instrText xml:space="preserve"> SEQ Figure \* ARABIC </w:instrText>
      </w:r>
      <w:r w:rsidR="00377B08" w:rsidRPr="005A3AFE">
        <w:fldChar w:fldCharType="separate"/>
      </w:r>
      <w:r w:rsidR="008E1916">
        <w:rPr>
          <w:noProof/>
        </w:rPr>
        <w:t>15</w:t>
      </w:r>
      <w:r w:rsidR="00377B08" w:rsidRPr="005A3AFE">
        <w:fldChar w:fldCharType="end"/>
      </w:r>
      <w:bookmarkStart w:id="131" w:name="OLE_LINK2"/>
      <w:bookmarkEnd w:id="129"/>
      <w:r w:rsidR="00084FEF">
        <w:tab/>
      </w:r>
      <w:r w:rsidRPr="005A3AFE">
        <w:t>Broad field of education destinations of domestic undergraduates undertaking further full-time study (%)</w:t>
      </w:r>
      <w:bookmarkEnd w:id="130"/>
      <w:bookmarkEnd w:id="131"/>
    </w:p>
    <w:p w14:paraId="33DAB3D3" w14:textId="012E8310" w:rsidR="00AC39FF" w:rsidRPr="005A3AFE" w:rsidRDefault="00EB032E" w:rsidP="0024373A">
      <w:pPr>
        <w:pStyle w:val="Bodycopy"/>
      </w:pPr>
      <w:bookmarkStart w:id="132" w:name="_Toc343449019"/>
      <w:bookmarkStart w:id="133" w:name="_Toc515594300"/>
      <w:r>
        <w:rPr>
          <w:noProof/>
        </w:rPr>
        <w:drawing>
          <wp:inline distT="0" distB="0" distL="0" distR="0" wp14:anchorId="23845AC6" wp14:editId="13E7D262">
            <wp:extent cx="9720000" cy="4248836"/>
            <wp:effectExtent l="0" t="0" r="0" b="0"/>
            <wp:docPr id="2034323413" name="Picture 24" descr="100% stacked bar chart. Broad field of education destinations of domestic undergraduates undertaking further full-time study (%). Bars: Short-term (2023); Medium-term (2026). Legend segments: Health; Society and culture; Natural and physical sciences; Education; Creative arts; Engineering and related technologies; Management and commerce; Other. Horizontal axis: percentage. Health: Short-term (2023): 24.0%; Medium-term (2026): 33.5% Society &amp; culture: Short-term (2023): 31.9%; Medium-term (2026): 24.1% Natural &amp; physical sciences: Short-term (2023): 16.8%; Medium-term (2026): 16.5% Education: Short-term (2023): 6.5%; Medium-term (2026): 7.9% Creative arts: Short-term (2023): 5.3%; Medium-term (2026): 3.4% Engineering &amp; related technologies: Short-term (2023): 3.6%; Medium-term (2026): 3.4% Management &amp; commerce: Short-term (2023): 4.1%; Medium-term (2026): 3.4% Other: Short-term (2023): 7.8%; Medium-term (2026):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23413" name="Picture 24" descr="100% stacked bar chart. Broad field of education destinations of domestic undergraduates undertaking further full-time study (%). Bars: Short-term (2023); Medium-term (2026). Legend segments: Health; Society and culture; Natural and physical sciences; Education; Creative arts; Engineering and related technologies; Management and commerce; Other. Horizontal axis: percentage. Health: Short-term (2023): 24.0%; Medium-term (2026): 33.5% Society &amp; culture: Short-term (2023): 31.9%; Medium-term (2026): 24.1% Natural &amp; physical sciences: Short-term (2023): 16.8%; Medium-term (2026): 16.5% Education: Short-term (2023): 6.5%; Medium-term (2026): 7.9% Creative arts: Short-term (2023): 5.3%; Medium-term (2026): 3.4% Engineering &amp; related technologies: Short-term (2023): 3.6%; Medium-term (2026): 3.4% Management &amp; commerce: Short-term (2023): 4.1%; Medium-term (2026): 3.4% Other: Short-term (2023): 7.8%; Medium-term (2026): 7.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720000" cy="4248836"/>
                    </a:xfrm>
                    <a:prstGeom prst="rect">
                      <a:avLst/>
                    </a:prstGeom>
                    <a:noFill/>
                  </pic:spPr>
                </pic:pic>
              </a:graphicData>
            </a:graphic>
          </wp:inline>
        </w:drawing>
      </w:r>
    </w:p>
    <w:p w14:paraId="057D144F" w14:textId="421F7E0E" w:rsidR="00084FEF" w:rsidRDefault="00EE1CB5" w:rsidP="00562BBB">
      <w:pPr>
        <w:pStyle w:val="BaseFigureNotes"/>
        <w:spacing w:before="120"/>
        <w:ind w:left="567" w:hanging="567"/>
      </w:pPr>
      <w:r w:rsidRPr="007148CF">
        <w:rPr>
          <w:b/>
          <w:bCs/>
        </w:rPr>
        <w:t>Note</w:t>
      </w:r>
      <w:r w:rsidRPr="007148CF">
        <w:t>: 'Other' includes Agriculture, environmental &amp; related studies</w:t>
      </w:r>
      <w:r w:rsidR="00CE0738" w:rsidRPr="007148CF">
        <w:t xml:space="preserve"> and</w:t>
      </w:r>
      <w:r w:rsidRPr="007148CF">
        <w:t xml:space="preserve"> Architecture &amp; Building, Information Technology. For a full-breakdown, please refer to the</w:t>
      </w:r>
      <w:r w:rsidR="00F75EFD" w:rsidRPr="007148CF">
        <w:t xml:space="preserve"> 2026 GOS-L</w:t>
      </w:r>
      <w:r w:rsidRPr="007148CF">
        <w:t xml:space="preserve"> National Report Tables on the QILT website.</w:t>
      </w:r>
    </w:p>
    <w:p w14:paraId="5DE89761" w14:textId="77777777" w:rsidR="00562BBB" w:rsidRPr="00562BBB" w:rsidRDefault="00562BBB" w:rsidP="00562BBB"/>
    <w:p w14:paraId="78C76941" w14:textId="7AC259E1" w:rsidR="00084FEF" w:rsidRPr="00673C2E" w:rsidRDefault="00084FEF" w:rsidP="0024373A">
      <w:pPr>
        <w:pStyle w:val="Bodycopy"/>
        <w:sectPr w:rsidR="00084FEF" w:rsidRPr="00673C2E" w:rsidSect="00A11753">
          <w:footerReference w:type="default" r:id="rId54"/>
          <w:pgSz w:w="16840" w:h="11900" w:orient="landscape"/>
          <w:pgMar w:top="709" w:right="709" w:bottom="709" w:left="709" w:header="397" w:footer="397" w:gutter="0"/>
          <w:cols w:space="708"/>
          <w:docGrid w:linePitch="360"/>
        </w:sectPr>
      </w:pPr>
    </w:p>
    <w:p w14:paraId="79A6295B" w14:textId="77777777" w:rsidR="00910822" w:rsidRPr="005A3AFE" w:rsidRDefault="00910822" w:rsidP="00910822">
      <w:pPr>
        <w:pStyle w:val="Heading2"/>
      </w:pPr>
      <w:bookmarkStart w:id="134" w:name="_Toc192179852"/>
      <w:bookmarkStart w:id="135" w:name="_Ref229691879"/>
      <w:bookmarkStart w:id="136" w:name="_Ref229691887"/>
      <w:bookmarkStart w:id="137" w:name="_Ref229691908"/>
      <w:bookmarkStart w:id="138" w:name="_Ref229691915"/>
      <w:bookmarkStart w:id="139" w:name="_Toc243492336"/>
      <w:r w:rsidRPr="005A3AFE">
        <w:lastRenderedPageBreak/>
        <w:t>Demographic and equity groups</w:t>
      </w:r>
      <w:bookmarkEnd w:id="134"/>
      <w:bookmarkEnd w:id="135"/>
      <w:bookmarkEnd w:id="136"/>
      <w:bookmarkEnd w:id="137"/>
      <w:bookmarkEnd w:id="138"/>
      <w:bookmarkEnd w:id="139"/>
    </w:p>
    <w:p w14:paraId="768D6F02" w14:textId="77777777" w:rsidR="00910822" w:rsidRPr="007360CE" w:rsidRDefault="00910822" w:rsidP="004E5A65">
      <w:pPr>
        <w:widowControl w:val="0"/>
        <w:suppressAutoHyphens/>
        <w:autoSpaceDE w:val="0"/>
        <w:autoSpaceDN w:val="0"/>
        <w:adjustRightInd w:val="0"/>
        <w:spacing w:before="142" w:after="240" w:line="290" w:lineRule="atLeast"/>
        <w:textAlignment w:val="center"/>
        <w:rPr>
          <w:spacing w:val="-2"/>
        </w:rPr>
      </w:pPr>
      <w:r w:rsidRPr="007360CE">
        <w:rPr>
          <w:spacing w:val="-2"/>
        </w:rPr>
        <w:t>Outcomes varied among different sub-groups of graduates at all levels of study. This section describes results for undergraduates. Sub-group outcomes for postgraduate coursework and postgraduate research graduates follow similar patterns to undergraduates and are available in supplementary tables on the QILT website.</w:t>
      </w:r>
      <w:r w:rsidRPr="00E17B1D">
        <w:rPr>
          <w:rStyle w:val="FootnoteReference"/>
          <w:spacing w:val="-2"/>
          <w:sz w:val="20"/>
          <w:szCs w:val="20"/>
        </w:rPr>
        <w:footnoteReference w:id="15"/>
      </w:r>
    </w:p>
    <w:p w14:paraId="2AE88FBF" w14:textId="523BE488" w:rsidR="00910822" w:rsidRPr="00221CDE" w:rsidRDefault="00FC3DC9" w:rsidP="004E5A65">
      <w:pPr>
        <w:pStyle w:val="Heading3nonumbers"/>
        <w:rPr>
          <w:color w:val="883807" w:themeColor="accent3" w:themeShade="80"/>
        </w:rPr>
      </w:pPr>
      <w:bookmarkStart w:id="142" w:name="_Toc243492337"/>
      <w:r w:rsidRPr="00221CDE">
        <w:rPr>
          <w:color w:val="883807" w:themeColor="accent3" w:themeShade="80"/>
        </w:rPr>
        <w:t>D</w:t>
      </w:r>
      <w:r w:rsidR="00910822" w:rsidRPr="00221CDE">
        <w:rPr>
          <w:color w:val="883807" w:themeColor="accent3" w:themeShade="80"/>
        </w:rPr>
        <w:t>isability</w:t>
      </w:r>
      <w:bookmarkEnd w:id="142"/>
    </w:p>
    <w:p w14:paraId="36DF5B25" w14:textId="3D487D02" w:rsidR="00910822" w:rsidRPr="005A3AFE" w:rsidRDefault="00910822" w:rsidP="00910822">
      <w:pPr>
        <w:widowControl w:val="0"/>
        <w:suppressAutoHyphens/>
        <w:autoSpaceDE w:val="0"/>
        <w:autoSpaceDN w:val="0"/>
        <w:adjustRightInd w:val="0"/>
        <w:spacing w:before="142" w:line="290" w:lineRule="atLeast"/>
        <w:textAlignment w:val="center"/>
      </w:pPr>
      <w:r w:rsidRPr="005A3AFE">
        <w:t xml:space="preserve">As seen in </w:t>
      </w:r>
      <w:r w:rsidRPr="005A3AFE">
        <w:rPr>
          <w:b/>
        </w:rPr>
        <w:t xml:space="preserve">Table </w:t>
      </w:r>
      <w:r w:rsidR="00504E57" w:rsidRPr="005A3AFE">
        <w:rPr>
          <w:b/>
        </w:rPr>
        <w:t>4</w:t>
      </w:r>
      <w:r w:rsidRPr="005A3AFE">
        <w:t xml:space="preserve">, domestic undergraduates with disability </w:t>
      </w:r>
      <w:r w:rsidR="00F819F6" w:rsidRPr="005A3AFE">
        <w:t xml:space="preserve">in 2023 </w:t>
      </w:r>
      <w:r w:rsidRPr="005A3AFE">
        <w:t>were less likely to be employed 4 to 6 months after completing their course than their counterparts</w:t>
      </w:r>
      <w:r w:rsidR="00E07A7C" w:rsidRPr="005A3AFE">
        <w:t xml:space="preserve"> without</w:t>
      </w:r>
      <w:r w:rsidR="00276112" w:rsidRPr="005A3AFE">
        <w:t xml:space="preserve"> </w:t>
      </w:r>
      <w:r w:rsidR="00E07A7C" w:rsidRPr="005A3AFE">
        <w:t>disability</w:t>
      </w:r>
      <w:r w:rsidRPr="005A3AFE">
        <w:t xml:space="preserve">, and even less likely to be in full-time employment. Three years later, the difference in full-time employment </w:t>
      </w:r>
      <w:r w:rsidR="00971C47">
        <w:t xml:space="preserve">rates </w:t>
      </w:r>
      <w:r w:rsidR="003E6851" w:rsidRPr="005A3AFE">
        <w:t xml:space="preserve">narrowed </w:t>
      </w:r>
      <w:r w:rsidRPr="005A3AFE">
        <w:t xml:space="preserve">from </w:t>
      </w:r>
      <w:r w:rsidR="003515BD" w:rsidRPr="005A3AFE">
        <w:t>10.6</w:t>
      </w:r>
      <w:r w:rsidRPr="005A3AFE">
        <w:t xml:space="preserve"> percentage points to 5.</w:t>
      </w:r>
      <w:r w:rsidR="006F6A55" w:rsidRPr="005A3AFE">
        <w:t>6</w:t>
      </w:r>
      <w:r w:rsidRPr="005A3AFE">
        <w:t xml:space="preserve"> percentage points, suggesting that it takes longer for these graduates to secure full-time employment</w:t>
      </w:r>
      <w:r w:rsidR="00971C47">
        <w:t>. It is worth noting</w:t>
      </w:r>
      <w:r w:rsidR="006F6A55" w:rsidRPr="005A3AFE">
        <w:t xml:space="preserve"> </w:t>
      </w:r>
      <w:r w:rsidR="00500DD8" w:rsidRPr="005A3AFE">
        <w:t xml:space="preserve">that </w:t>
      </w:r>
      <w:r w:rsidR="00971C47">
        <w:t xml:space="preserve">despite the rates narrowing, </w:t>
      </w:r>
      <w:r w:rsidR="00500DD8" w:rsidRPr="005A3AFE">
        <w:t xml:space="preserve">the </w:t>
      </w:r>
      <w:r w:rsidR="00971C47">
        <w:t>difference</w:t>
      </w:r>
      <w:r w:rsidR="00971C47" w:rsidRPr="005A3AFE">
        <w:t xml:space="preserve"> </w:t>
      </w:r>
      <w:r w:rsidR="00D62111" w:rsidRPr="005A3AFE">
        <w:t xml:space="preserve">remained </w:t>
      </w:r>
      <w:r w:rsidR="00500DD8" w:rsidRPr="005A3AFE">
        <w:t xml:space="preserve">substantial even </w:t>
      </w:r>
      <w:r w:rsidR="00971C47">
        <w:t xml:space="preserve">after </w:t>
      </w:r>
      <w:r w:rsidR="00086A46" w:rsidRPr="005A3AFE">
        <w:t>3</w:t>
      </w:r>
      <w:r w:rsidR="00971C47">
        <w:t xml:space="preserve"> </w:t>
      </w:r>
      <w:r w:rsidR="00500DD8" w:rsidRPr="005A3AFE">
        <w:t>year</w:t>
      </w:r>
      <w:r w:rsidR="00971C47">
        <w:t>s</w:t>
      </w:r>
      <w:r w:rsidR="00500DD8" w:rsidRPr="005A3AFE">
        <w:t>.</w:t>
      </w:r>
    </w:p>
    <w:p w14:paraId="70423CAB" w14:textId="14FB0219" w:rsidR="00952F3B" w:rsidRPr="005A3AFE" w:rsidRDefault="0010343E" w:rsidP="00910822">
      <w:pPr>
        <w:widowControl w:val="0"/>
        <w:suppressAutoHyphens/>
        <w:autoSpaceDE w:val="0"/>
        <w:autoSpaceDN w:val="0"/>
        <w:adjustRightInd w:val="0"/>
        <w:spacing w:before="142" w:line="290" w:lineRule="atLeast"/>
        <w:textAlignment w:val="center"/>
      </w:pPr>
      <w:r w:rsidRPr="005A3AFE">
        <w:t>For those who were able to secure full-time employment, s</w:t>
      </w:r>
      <w:r w:rsidR="00952F3B" w:rsidRPr="005A3AFE">
        <w:t>kills utilisation, as measured by those working in professional and managerial occupations, was broadly comparable across undergraduates with and without disability over the s</w:t>
      </w:r>
      <w:r w:rsidR="00612E2F" w:rsidRPr="005A3AFE">
        <w:t>hort- and</w:t>
      </w:r>
      <w:r w:rsidR="00952F3B" w:rsidRPr="005A3AFE">
        <w:t xml:space="preserve"> medium-term.</w:t>
      </w:r>
    </w:p>
    <w:p w14:paraId="76DEE4BD" w14:textId="1E579D59" w:rsidR="00983571" w:rsidRPr="005A3AFE" w:rsidRDefault="00983571" w:rsidP="004E5A65">
      <w:pPr>
        <w:widowControl w:val="0"/>
        <w:suppressAutoHyphens/>
        <w:autoSpaceDE w:val="0"/>
        <w:autoSpaceDN w:val="0"/>
        <w:adjustRightInd w:val="0"/>
        <w:spacing w:before="142" w:after="240" w:line="290" w:lineRule="atLeast"/>
        <w:textAlignment w:val="center"/>
      </w:pPr>
      <w:r w:rsidRPr="005A3AFE">
        <w:t xml:space="preserve">Notably, the median salary for domestic undergraduates with disability in the short-term was comparable to </w:t>
      </w:r>
      <w:r w:rsidR="0074372A" w:rsidRPr="005A3AFE">
        <w:t>graduates without disability, with a difference of only $400</w:t>
      </w:r>
      <w:r w:rsidR="00D13117" w:rsidRPr="005A3AFE">
        <w:t xml:space="preserve">, but this gap increased to </w:t>
      </w:r>
      <w:r w:rsidR="00BA27E9" w:rsidRPr="005A3AFE">
        <w:t>$2,700 over the medium</w:t>
      </w:r>
      <w:r w:rsidR="00077E88" w:rsidRPr="005A3AFE">
        <w:t>-</w:t>
      </w:r>
      <w:r w:rsidR="00BA27E9" w:rsidRPr="005A3AFE">
        <w:t>term. This widening gap in median salaries may be due to the slower start for graduates with</w:t>
      </w:r>
      <w:r w:rsidR="00276112" w:rsidRPr="005A3AFE">
        <w:t xml:space="preserve"> </w:t>
      </w:r>
      <w:r w:rsidR="00BA27E9" w:rsidRPr="005A3AFE">
        <w:t>disability</w:t>
      </w:r>
      <w:r w:rsidR="001453EA" w:rsidRPr="005A3AFE">
        <w:t xml:space="preserve">. As graduates with a disability take longer to secure full-time employment, they </w:t>
      </w:r>
      <w:r w:rsidR="00F75EFD">
        <w:t>would</w:t>
      </w:r>
      <w:r w:rsidR="00F75EFD" w:rsidRPr="005A3AFE">
        <w:t xml:space="preserve"> </w:t>
      </w:r>
      <w:r w:rsidR="001453EA" w:rsidRPr="005A3AFE">
        <w:t xml:space="preserve">on average have less experience in the labour market in the </w:t>
      </w:r>
      <w:r w:rsidR="00077E88" w:rsidRPr="005A3AFE">
        <w:t>medium-</w:t>
      </w:r>
      <w:r w:rsidR="001453EA" w:rsidRPr="005A3AFE">
        <w:t>term.</w:t>
      </w:r>
    </w:p>
    <w:p w14:paraId="08B70958" w14:textId="03AEA2F2" w:rsidR="00910822" w:rsidRPr="00221CDE" w:rsidRDefault="00910822" w:rsidP="00B65B5A">
      <w:pPr>
        <w:pStyle w:val="Heading3nonumbers"/>
        <w:rPr>
          <w:color w:val="883807" w:themeColor="accent3" w:themeShade="80"/>
        </w:rPr>
      </w:pPr>
      <w:bookmarkStart w:id="143" w:name="_Toc243492338"/>
      <w:r w:rsidRPr="00221CDE">
        <w:rPr>
          <w:color w:val="883807" w:themeColor="accent3" w:themeShade="80"/>
        </w:rPr>
        <w:t>Graduates from regional and remote areas</w:t>
      </w:r>
      <w:bookmarkEnd w:id="143"/>
    </w:p>
    <w:p w14:paraId="2922CFE4" w14:textId="4710116E" w:rsidR="00E83E3B" w:rsidRPr="005A3AFE" w:rsidRDefault="00024CCF" w:rsidP="00910822">
      <w:pPr>
        <w:widowControl w:val="0"/>
        <w:suppressAutoHyphens/>
        <w:autoSpaceDE w:val="0"/>
        <w:autoSpaceDN w:val="0"/>
        <w:adjustRightInd w:val="0"/>
        <w:spacing w:before="142" w:line="290" w:lineRule="atLeast"/>
        <w:textAlignment w:val="center"/>
      </w:pPr>
      <w:bookmarkStart w:id="144" w:name="_Hlk207209457"/>
      <w:r>
        <w:t>D</w:t>
      </w:r>
      <w:r w:rsidRPr="005A3AFE">
        <w:t xml:space="preserve">omestic </w:t>
      </w:r>
      <w:r w:rsidR="00367E20" w:rsidRPr="005A3AFE">
        <w:t>undergraduates originally from regional and remote areas</w:t>
      </w:r>
      <w:r w:rsidR="003A376D" w:rsidRPr="005A3AFE">
        <w:t xml:space="preserve"> </w:t>
      </w:r>
      <w:r w:rsidR="00367E20" w:rsidRPr="005A3AFE">
        <w:t>had</w:t>
      </w:r>
      <w:r w:rsidR="009E2C26" w:rsidRPr="005A3AFE">
        <w:t xml:space="preserve"> much</w:t>
      </w:r>
      <w:r w:rsidR="00367E20" w:rsidRPr="005A3AFE">
        <w:t xml:space="preserve"> higher rates of full-time employment</w:t>
      </w:r>
      <w:r w:rsidR="009E2C26" w:rsidRPr="005A3AFE">
        <w:t xml:space="preserve"> in the </w:t>
      </w:r>
      <w:r w:rsidR="00283FC4">
        <w:t>short-term</w:t>
      </w:r>
      <w:r w:rsidR="009E2C26" w:rsidRPr="005A3AFE">
        <w:t xml:space="preserve"> (</w:t>
      </w:r>
      <w:r w:rsidR="001637B4" w:rsidRPr="005A3AFE">
        <w:t>by 6</w:t>
      </w:r>
      <w:r w:rsidR="00EB7F1A" w:rsidRPr="005A3AFE">
        <w:t>.0</w:t>
      </w:r>
      <w:r w:rsidR="001637B4" w:rsidRPr="005A3AFE">
        <w:t xml:space="preserve"> percentage points). </w:t>
      </w:r>
      <w:r w:rsidR="00B9149D" w:rsidRPr="005A3AFE">
        <w:t>Their</w:t>
      </w:r>
      <w:r w:rsidR="005631D3" w:rsidRPr="005A3AFE">
        <w:t xml:space="preserve"> rates </w:t>
      </w:r>
      <w:r>
        <w:t xml:space="preserve">also </w:t>
      </w:r>
      <w:r w:rsidR="005631D3" w:rsidRPr="005A3AFE">
        <w:t>remained higher</w:t>
      </w:r>
      <w:r w:rsidR="00B9149D" w:rsidRPr="005A3AFE">
        <w:t xml:space="preserve"> </w:t>
      </w:r>
      <w:r w:rsidR="00F75EFD">
        <w:t>3</w:t>
      </w:r>
      <w:r w:rsidR="00F75EFD" w:rsidRPr="005A3AFE">
        <w:t xml:space="preserve"> </w:t>
      </w:r>
      <w:r w:rsidR="00B9149D" w:rsidRPr="005A3AFE">
        <w:t>years later</w:t>
      </w:r>
      <w:r w:rsidR="005631D3" w:rsidRPr="005A3AFE">
        <w:t>, albeit with the gap narrowing to 3</w:t>
      </w:r>
      <w:r w:rsidR="00EB7F1A" w:rsidRPr="005A3AFE">
        <w:t>.0</w:t>
      </w:r>
      <w:r w:rsidR="005631D3" w:rsidRPr="005A3AFE">
        <w:t xml:space="preserve"> percentage points.</w:t>
      </w:r>
    </w:p>
    <w:p w14:paraId="685F8605" w14:textId="259679CD" w:rsidR="00845438" w:rsidRPr="005A3AFE" w:rsidRDefault="00845438" w:rsidP="004E5A65">
      <w:pPr>
        <w:widowControl w:val="0"/>
        <w:suppressAutoHyphens/>
        <w:autoSpaceDE w:val="0"/>
        <w:autoSpaceDN w:val="0"/>
        <w:adjustRightInd w:val="0"/>
        <w:spacing w:before="142" w:after="240" w:line="290" w:lineRule="atLeast"/>
        <w:textAlignment w:val="center"/>
      </w:pPr>
      <w:r w:rsidRPr="005A3AFE">
        <w:t>Notably, domestic undergraduates originally from regional and remote areas reported</w:t>
      </w:r>
      <w:r w:rsidR="003808FA" w:rsidRPr="005A3AFE">
        <w:t xml:space="preserve"> slightly</w:t>
      </w:r>
      <w:r w:rsidRPr="005A3AFE">
        <w:t xml:space="preserve"> higher median salaries, </w:t>
      </w:r>
      <w:r w:rsidR="004318E6" w:rsidRPr="005A3AFE">
        <w:t>and</w:t>
      </w:r>
      <w:r w:rsidR="003808FA" w:rsidRPr="005A3AFE">
        <w:t xml:space="preserve"> slightly</w:t>
      </w:r>
      <w:r w:rsidR="004318E6" w:rsidRPr="005A3AFE">
        <w:t xml:space="preserve"> higher rates of working in managerial or professional positions, with </w:t>
      </w:r>
      <w:r w:rsidR="00024CCF">
        <w:t xml:space="preserve">these differences </w:t>
      </w:r>
      <w:r w:rsidR="004318E6" w:rsidRPr="005A3AFE">
        <w:t xml:space="preserve">remaining </w:t>
      </w:r>
      <w:r w:rsidR="00024CCF">
        <w:t xml:space="preserve">broadly </w:t>
      </w:r>
      <w:r w:rsidR="004318E6" w:rsidRPr="005A3AFE">
        <w:t>consistent over the medium-term.</w:t>
      </w:r>
    </w:p>
    <w:p w14:paraId="7E472FEA" w14:textId="6DDB17CD" w:rsidR="00910822" w:rsidRPr="00221CDE" w:rsidRDefault="00910822" w:rsidP="00B65B5A">
      <w:pPr>
        <w:pStyle w:val="Heading3nonumbers"/>
        <w:rPr>
          <w:color w:val="883807" w:themeColor="accent3" w:themeShade="80"/>
        </w:rPr>
      </w:pPr>
      <w:bookmarkStart w:id="145" w:name="_Toc243492339"/>
      <w:bookmarkEnd w:id="144"/>
      <w:r w:rsidRPr="00221CDE">
        <w:rPr>
          <w:color w:val="883807" w:themeColor="accent3" w:themeShade="80"/>
        </w:rPr>
        <w:t>Age</w:t>
      </w:r>
      <w:bookmarkEnd w:id="145"/>
    </w:p>
    <w:p w14:paraId="0D7EFA4E" w14:textId="72585174" w:rsidR="00A1642F" w:rsidRPr="005A3AFE" w:rsidRDefault="00A1642F" w:rsidP="00910822">
      <w:pPr>
        <w:widowControl w:val="0"/>
        <w:suppressAutoHyphens/>
        <w:autoSpaceDE w:val="0"/>
        <w:autoSpaceDN w:val="0"/>
        <w:adjustRightInd w:val="0"/>
        <w:spacing w:before="142" w:line="290" w:lineRule="atLeast"/>
        <w:textAlignment w:val="center"/>
      </w:pPr>
      <w:r w:rsidRPr="005A3AFE">
        <w:t xml:space="preserve">Undergraduates aged </w:t>
      </w:r>
      <w:r w:rsidR="00841413" w:rsidRPr="005A3AFE">
        <w:t>over 30</w:t>
      </w:r>
      <w:r w:rsidR="001B4052" w:rsidRPr="005A3AFE">
        <w:t xml:space="preserve"> reported moderately higher rates of full-time employment in the short-term compared to those aged 30 years and under</w:t>
      </w:r>
      <w:r w:rsidR="00F73C13" w:rsidRPr="005A3AFE">
        <w:t xml:space="preserve"> (a difference of 3.9 percentage points)</w:t>
      </w:r>
      <w:r w:rsidR="00C70ED9" w:rsidRPr="005A3AFE">
        <w:t xml:space="preserve">, </w:t>
      </w:r>
      <w:r w:rsidR="00E45B6A" w:rsidRPr="005A3AFE">
        <w:t>but this gap narrows in the medium-term (</w:t>
      </w:r>
      <w:r w:rsidR="00100B29" w:rsidRPr="005A3AFE">
        <w:t xml:space="preserve">a difference of </w:t>
      </w:r>
      <w:r w:rsidR="00E45B6A" w:rsidRPr="005A3AFE">
        <w:t>0.6 perce</w:t>
      </w:r>
      <w:r w:rsidR="00100B29" w:rsidRPr="005A3AFE">
        <w:t>ntage points). This is likely because older graduates are more likely to</w:t>
      </w:r>
      <w:r w:rsidR="006A4565" w:rsidRPr="005A3AFE">
        <w:t xml:space="preserve"> be already established in the labour market at the time of the GOS, while younger graduates require time to build up their experience.</w:t>
      </w:r>
    </w:p>
    <w:p w14:paraId="40DD4B47" w14:textId="1EF4C390" w:rsidR="006A4565" w:rsidRPr="005A3AFE" w:rsidRDefault="00783189" w:rsidP="004E5A65">
      <w:pPr>
        <w:widowControl w:val="0"/>
        <w:suppressAutoHyphens/>
        <w:autoSpaceDE w:val="0"/>
        <w:autoSpaceDN w:val="0"/>
        <w:adjustRightInd w:val="0"/>
        <w:spacing w:before="142" w:after="240" w:line="290" w:lineRule="atLeast"/>
        <w:textAlignment w:val="center"/>
      </w:pPr>
      <w:r w:rsidRPr="005A3AFE">
        <w:t>Notably,</w:t>
      </w:r>
      <w:r w:rsidR="00C9700B" w:rsidRPr="005A3AFE">
        <w:t xml:space="preserve"> labour market experience </w:t>
      </w:r>
      <w:r w:rsidR="00152238" w:rsidRPr="005A3AFE">
        <w:t>also manifests through salary differences:</w:t>
      </w:r>
      <w:r w:rsidRPr="005A3AFE">
        <w:t xml:space="preserve"> although </w:t>
      </w:r>
      <w:r w:rsidR="002E094B" w:rsidRPr="005A3AFE">
        <w:t>younger graduate</w:t>
      </w:r>
      <w:r w:rsidR="00C2053B" w:rsidRPr="005A3AFE">
        <w:t xml:space="preserve"> full-time employment rates catch-up over the medium-term, </w:t>
      </w:r>
      <w:r w:rsidR="00DB38BE" w:rsidRPr="005A3AFE">
        <w:t xml:space="preserve">undergraduate </w:t>
      </w:r>
      <w:r w:rsidR="00B719F1" w:rsidRPr="005A3AFE">
        <w:t>median salaries remain</w:t>
      </w:r>
      <w:r w:rsidR="00152238" w:rsidRPr="005A3AFE">
        <w:t xml:space="preserve"> much</w:t>
      </w:r>
      <w:r w:rsidR="00B719F1" w:rsidRPr="005A3AFE">
        <w:t xml:space="preserve"> </w:t>
      </w:r>
      <w:r w:rsidR="00E1605E" w:rsidRPr="005A3AFE">
        <w:t xml:space="preserve">lower </w:t>
      </w:r>
      <w:r w:rsidR="005B0FFF" w:rsidRPr="005A3AFE">
        <w:t>over the short</w:t>
      </w:r>
      <w:r w:rsidR="00F75EFD">
        <w:t>-</w:t>
      </w:r>
      <w:r w:rsidR="00024CCF">
        <w:t>term</w:t>
      </w:r>
      <w:r w:rsidR="00152238" w:rsidRPr="005A3AFE">
        <w:t xml:space="preserve"> (a difference of $7,300)</w:t>
      </w:r>
      <w:r w:rsidR="005B0FFF" w:rsidRPr="005A3AFE">
        <w:t xml:space="preserve"> and medium-term</w:t>
      </w:r>
      <w:r w:rsidR="00152238" w:rsidRPr="005A3AFE">
        <w:t xml:space="preserve"> (a difference of $8,700)</w:t>
      </w:r>
      <w:r w:rsidR="00DB38BE" w:rsidRPr="005A3AFE">
        <w:t xml:space="preserve"> for those aged 30 years and under</w:t>
      </w:r>
      <w:r w:rsidR="00A608DC" w:rsidRPr="005A3AFE">
        <w:t>.</w:t>
      </w:r>
    </w:p>
    <w:p w14:paraId="47FD3B75" w14:textId="77777777" w:rsidR="00910822" w:rsidRPr="00221CDE" w:rsidRDefault="00910822" w:rsidP="00B65B5A">
      <w:pPr>
        <w:pStyle w:val="Heading3nonumbers"/>
        <w:rPr>
          <w:color w:val="883807" w:themeColor="accent3" w:themeShade="80"/>
        </w:rPr>
      </w:pPr>
      <w:bookmarkStart w:id="146" w:name="_Toc243492340"/>
      <w:r w:rsidRPr="00221CDE">
        <w:rPr>
          <w:color w:val="883807" w:themeColor="accent3" w:themeShade="80"/>
        </w:rPr>
        <w:t>First Nations graduates</w:t>
      </w:r>
      <w:bookmarkEnd w:id="146"/>
    </w:p>
    <w:p w14:paraId="79042791" w14:textId="382947BC" w:rsidR="00FB37F6" w:rsidRDefault="00295A5B" w:rsidP="00910822">
      <w:pPr>
        <w:widowControl w:val="0"/>
        <w:suppressAutoHyphens/>
        <w:autoSpaceDE w:val="0"/>
        <w:autoSpaceDN w:val="0"/>
        <w:adjustRightInd w:val="0"/>
        <w:spacing w:before="142" w:line="290" w:lineRule="atLeast"/>
        <w:textAlignment w:val="center"/>
      </w:pPr>
      <w:r>
        <w:t xml:space="preserve">In the short-term, </w:t>
      </w:r>
      <w:r w:rsidR="004420A0" w:rsidRPr="005A3AFE">
        <w:t xml:space="preserve">First Nations undergraduates </w:t>
      </w:r>
      <w:r w:rsidR="00E87D85" w:rsidRPr="005A3AFE">
        <w:t>reported</w:t>
      </w:r>
      <w:r w:rsidR="003A143C" w:rsidRPr="005A3AFE">
        <w:t xml:space="preserve"> higher</w:t>
      </w:r>
      <w:r w:rsidR="0014682F" w:rsidRPr="005A3AFE">
        <w:t xml:space="preserve"> full-time employment</w:t>
      </w:r>
      <w:r w:rsidR="00894910">
        <w:t xml:space="preserve"> rates compared to non-Indigenous undergraduates (a difference of 4.7 percentage points)</w:t>
      </w:r>
      <w:r w:rsidR="00B1642E">
        <w:t xml:space="preserve">. In the medium-term, full-time employment rates were broadly similar, although First Nations undergraduates continued to report a slightly higher full-time employment rate </w:t>
      </w:r>
      <w:r w:rsidR="006A1249">
        <w:t>(</w:t>
      </w:r>
      <w:r w:rsidR="00B1642E">
        <w:t xml:space="preserve">a difference of </w:t>
      </w:r>
      <w:r w:rsidR="00894910">
        <w:t>2.5</w:t>
      </w:r>
      <w:r w:rsidR="00FA75B6">
        <w:t xml:space="preserve"> </w:t>
      </w:r>
      <w:r w:rsidR="00894910">
        <w:t>percentage points</w:t>
      </w:r>
      <w:r w:rsidR="006A1249">
        <w:t>)</w:t>
      </w:r>
      <w:r w:rsidR="00894910">
        <w:t>. First Nations undergraduates also report</w:t>
      </w:r>
      <w:r w:rsidR="00FB37F6">
        <w:t>ed</w:t>
      </w:r>
      <w:r w:rsidR="00894910">
        <w:t xml:space="preserve"> higher median salaries</w:t>
      </w:r>
      <w:r w:rsidR="006A1249">
        <w:t xml:space="preserve"> (a</w:t>
      </w:r>
      <w:r w:rsidR="004E5A65">
        <w:t> </w:t>
      </w:r>
      <w:r w:rsidR="006A1249">
        <w:t>difference of $2,400) in the short-term compared to non-Indigenous undergraduates</w:t>
      </w:r>
      <w:r w:rsidR="00FB37F6">
        <w:t>, and this difference grew slightly (a difference of $4,600) in the medium-term</w:t>
      </w:r>
      <w:r w:rsidR="00B1642E">
        <w:t>.</w:t>
      </w:r>
    </w:p>
    <w:p w14:paraId="00EEFACC" w14:textId="4E19BDEF" w:rsidR="00FB37F6" w:rsidRDefault="00FB37F6" w:rsidP="004E5A65">
      <w:pPr>
        <w:widowControl w:val="0"/>
        <w:suppressAutoHyphens/>
        <w:autoSpaceDE w:val="0"/>
        <w:autoSpaceDN w:val="0"/>
        <w:adjustRightInd w:val="0"/>
        <w:spacing w:before="240" w:after="240" w:line="290" w:lineRule="atLeast"/>
        <w:textAlignment w:val="center"/>
      </w:pPr>
      <w:r>
        <w:lastRenderedPageBreak/>
        <w:t>While the short-term outcomes may be partially explained by the higher rate of First Nations undergraduates working in managerial or professional occupations, First Nations and non-Indigenous undergraduates reported similar rates of employment in managerial or professional occupations in the medium-term (78.4 per cent for First Nations undergraduates, and 78.7 per cent for non-Indigenous undergraduates).</w:t>
      </w:r>
    </w:p>
    <w:p w14:paraId="0FBD9181" w14:textId="27004BF3" w:rsidR="00910822" w:rsidRPr="00221CDE" w:rsidRDefault="00910822" w:rsidP="00B65B5A">
      <w:pPr>
        <w:pStyle w:val="Heading3nonumbers"/>
        <w:rPr>
          <w:color w:val="883807" w:themeColor="accent3" w:themeShade="80"/>
        </w:rPr>
      </w:pPr>
      <w:bookmarkStart w:id="147" w:name="_Toc243492341"/>
      <w:r w:rsidRPr="00221CDE">
        <w:rPr>
          <w:color w:val="883807" w:themeColor="accent3" w:themeShade="80"/>
        </w:rPr>
        <w:t>Socio-economic status</w:t>
      </w:r>
      <w:bookmarkEnd w:id="147"/>
    </w:p>
    <w:p w14:paraId="048D6C7D" w14:textId="1342D8EC" w:rsidR="00506E93" w:rsidRPr="005A3AFE" w:rsidRDefault="00910822" w:rsidP="004A71E8">
      <w:pPr>
        <w:pStyle w:val="Body"/>
      </w:pPr>
      <w:r w:rsidRPr="005A3AFE">
        <w:t>Employment and median salary outcomes were broadly similar for graduates from high, medium and low socio-economic status (SES) areas.</w:t>
      </w:r>
    </w:p>
    <w:p w14:paraId="43982179" w14:textId="1A2A5A58" w:rsidR="00642D1D" w:rsidRPr="005A3AFE" w:rsidRDefault="00911B6D" w:rsidP="004A71E8">
      <w:pPr>
        <w:pStyle w:val="Body"/>
      </w:pPr>
      <w:r w:rsidRPr="005A3AFE">
        <w:t xml:space="preserve">In the </w:t>
      </w:r>
      <w:r w:rsidR="001805F3" w:rsidRPr="005A3AFE">
        <w:t>s</w:t>
      </w:r>
      <w:r w:rsidRPr="005A3AFE">
        <w:t>hort</w:t>
      </w:r>
      <w:r w:rsidR="001805F3" w:rsidRPr="005A3AFE">
        <w:t>-</w:t>
      </w:r>
      <w:r w:rsidRPr="005A3AFE">
        <w:t xml:space="preserve"> and medium-term, high-SES </w:t>
      </w:r>
      <w:r w:rsidR="005C777A" w:rsidRPr="005A3AFE">
        <w:t>under</w:t>
      </w:r>
      <w:r w:rsidRPr="005A3AFE">
        <w:t xml:space="preserve">graduates and low-SES </w:t>
      </w:r>
      <w:r w:rsidR="005C777A" w:rsidRPr="005A3AFE">
        <w:t>under</w:t>
      </w:r>
      <w:r w:rsidRPr="005A3AFE">
        <w:t>graduates had</w:t>
      </w:r>
      <w:r w:rsidR="00E75543" w:rsidRPr="005A3AFE">
        <w:t xml:space="preserve"> broadly</w:t>
      </w:r>
      <w:r w:rsidRPr="005A3AFE">
        <w:t xml:space="preserve"> similar rates of full-time employment</w:t>
      </w:r>
      <w:r w:rsidR="00E75543" w:rsidRPr="005A3AFE">
        <w:t xml:space="preserve"> (ranging from </w:t>
      </w:r>
      <w:r w:rsidR="00862DB2" w:rsidRPr="005A3AFE">
        <w:t>79.9 to 8</w:t>
      </w:r>
      <w:r w:rsidR="00B93F9A" w:rsidRPr="005A3AFE">
        <w:t>1</w:t>
      </w:r>
      <w:r w:rsidR="00862DB2" w:rsidRPr="005A3AFE">
        <w:t>.</w:t>
      </w:r>
      <w:r w:rsidR="00B93F9A" w:rsidRPr="005A3AFE">
        <w:t>0</w:t>
      </w:r>
      <w:r w:rsidR="00394C55" w:rsidRPr="005A3AFE">
        <w:t xml:space="preserve"> </w:t>
      </w:r>
      <w:r w:rsidR="004234B6" w:rsidRPr="005A3AFE">
        <w:t xml:space="preserve">per cent </w:t>
      </w:r>
      <w:r w:rsidR="00394C55" w:rsidRPr="005A3AFE">
        <w:t xml:space="preserve">in the short-term to 91.4 to 92.3 </w:t>
      </w:r>
      <w:r w:rsidR="004234B6" w:rsidRPr="005A3AFE">
        <w:t>per cent</w:t>
      </w:r>
      <w:r w:rsidR="00394C55" w:rsidRPr="005A3AFE">
        <w:t xml:space="preserve"> in the </w:t>
      </w:r>
      <w:r w:rsidR="00077E88" w:rsidRPr="005A3AFE">
        <w:t>medium-</w:t>
      </w:r>
      <w:r w:rsidR="00394C55" w:rsidRPr="005A3AFE">
        <w:t>term</w:t>
      </w:r>
      <w:r w:rsidR="00862DB2" w:rsidRPr="005A3AFE">
        <w:t>)</w:t>
      </w:r>
      <w:r w:rsidR="006B4620" w:rsidRPr="005A3AFE">
        <w:t xml:space="preserve"> and median salary</w:t>
      </w:r>
      <w:r w:rsidR="00862DB2" w:rsidRPr="005A3AFE">
        <w:t xml:space="preserve"> (ranging from </w:t>
      </w:r>
      <w:r w:rsidR="00394C55" w:rsidRPr="005A3AFE">
        <w:t>$</w:t>
      </w:r>
      <w:r w:rsidR="00642D1D" w:rsidRPr="005A3AFE">
        <w:t>71,000 to $71,400 in the shor</w:t>
      </w:r>
      <w:r w:rsidR="00B36585" w:rsidRPr="005A3AFE">
        <w:t>t</w:t>
      </w:r>
      <w:r w:rsidR="00642D1D" w:rsidRPr="005A3AFE">
        <w:t>-term to $91,800 to $94,000 in the medium</w:t>
      </w:r>
      <w:r w:rsidR="00F218D1" w:rsidRPr="005A3AFE">
        <w:t>-</w:t>
      </w:r>
      <w:r w:rsidR="00642D1D" w:rsidRPr="005A3AFE">
        <w:t>term)</w:t>
      </w:r>
      <w:r w:rsidR="006B4620" w:rsidRPr="005A3AFE">
        <w:t>.</w:t>
      </w:r>
    </w:p>
    <w:p w14:paraId="76A07BA8" w14:textId="3A410F04" w:rsidR="00642D1D" w:rsidRPr="005A3AFE" w:rsidRDefault="00047CBC" w:rsidP="007360CE">
      <w:pPr>
        <w:pStyle w:val="Body"/>
        <w:spacing w:after="240"/>
      </w:pPr>
      <w:r w:rsidRPr="005A3AFE">
        <w:t xml:space="preserve">Socio-economic status </w:t>
      </w:r>
      <w:r w:rsidR="00704BD9">
        <w:t xml:space="preserve">appears to </w:t>
      </w:r>
      <w:r w:rsidR="00976359">
        <w:t xml:space="preserve">be associated </w:t>
      </w:r>
      <w:r w:rsidR="00704BD9">
        <w:t>with</w:t>
      </w:r>
      <w:r w:rsidRPr="005A3AFE">
        <w:t xml:space="preserve"> quality of </w:t>
      </w:r>
      <w:r w:rsidR="00AA0EDE" w:rsidRPr="005A3AFE">
        <w:t>employment</w:t>
      </w:r>
      <w:r w:rsidRPr="005A3AFE">
        <w:t xml:space="preserve">, as high-SES undergraduates were </w:t>
      </w:r>
      <w:r w:rsidR="0099598C" w:rsidRPr="005A3AFE">
        <w:t>more likely to be working in managerial or professional roles</w:t>
      </w:r>
      <w:r w:rsidR="00000AF2" w:rsidRPr="005A3AFE">
        <w:t xml:space="preserve"> when</w:t>
      </w:r>
      <w:r w:rsidR="0099598C" w:rsidRPr="005A3AFE">
        <w:t xml:space="preserve"> compared to </w:t>
      </w:r>
      <w:r w:rsidR="001C4685" w:rsidRPr="005A3AFE">
        <w:t>low-</w:t>
      </w:r>
      <w:r w:rsidR="00704BD9">
        <w:t xml:space="preserve"> and medium-</w:t>
      </w:r>
      <w:r w:rsidR="001C4685" w:rsidRPr="005A3AFE">
        <w:t>SES undergraduates</w:t>
      </w:r>
      <w:r w:rsidR="00BC2218" w:rsidRPr="005A3AFE">
        <w:t xml:space="preserve">, </w:t>
      </w:r>
      <w:r w:rsidR="001C4685" w:rsidRPr="005A3AFE">
        <w:t>a</w:t>
      </w:r>
      <w:r w:rsidR="00E17B1D">
        <w:t> </w:t>
      </w:r>
      <w:r w:rsidR="001C4685" w:rsidRPr="005A3AFE">
        <w:t xml:space="preserve">difference of </w:t>
      </w:r>
      <w:r w:rsidR="00704BD9">
        <w:t xml:space="preserve">over </w:t>
      </w:r>
      <w:r w:rsidR="009B69BF" w:rsidRPr="005A3AFE">
        <w:t>3 percentage points</w:t>
      </w:r>
      <w:r w:rsidR="00BC2218" w:rsidRPr="005A3AFE">
        <w:t xml:space="preserve"> in </w:t>
      </w:r>
      <w:r w:rsidR="00704BD9">
        <w:t xml:space="preserve">both </w:t>
      </w:r>
      <w:r w:rsidR="00BC2218" w:rsidRPr="005A3AFE">
        <w:t>the short-</w:t>
      </w:r>
      <w:r w:rsidR="00704BD9">
        <w:t xml:space="preserve"> and medium-</w:t>
      </w:r>
      <w:r w:rsidR="00BC2218" w:rsidRPr="005A3AFE">
        <w:t>term</w:t>
      </w:r>
      <w:r w:rsidR="00D07048" w:rsidRPr="005A3AFE">
        <w:t>.</w:t>
      </w:r>
    </w:p>
    <w:p w14:paraId="36E48FDD" w14:textId="77777777" w:rsidR="00910822" w:rsidRPr="00221CDE" w:rsidRDefault="00910822" w:rsidP="00B65B5A">
      <w:pPr>
        <w:pStyle w:val="Heading3nonumbers"/>
        <w:rPr>
          <w:color w:val="883807" w:themeColor="accent3" w:themeShade="80"/>
        </w:rPr>
      </w:pPr>
      <w:bookmarkStart w:id="148" w:name="_Toc243492342"/>
      <w:r w:rsidRPr="00221CDE">
        <w:rPr>
          <w:color w:val="883807" w:themeColor="accent3" w:themeShade="80"/>
        </w:rPr>
        <w:t>Language background</w:t>
      </w:r>
      <w:bookmarkEnd w:id="148"/>
    </w:p>
    <w:p w14:paraId="08CC6535" w14:textId="1B5C6CE7" w:rsidR="00606408" w:rsidRPr="005A3AFE" w:rsidRDefault="00910822" w:rsidP="004E5A65">
      <w:pPr>
        <w:widowControl w:val="0"/>
        <w:suppressAutoHyphens/>
        <w:autoSpaceDE w:val="0"/>
        <w:autoSpaceDN w:val="0"/>
        <w:adjustRightInd w:val="0"/>
        <w:spacing w:line="290" w:lineRule="atLeast"/>
        <w:textAlignment w:val="center"/>
      </w:pPr>
      <w:r w:rsidRPr="005A3AFE">
        <w:t>Domestic undergraduates from non-English speaking backgrounds</w:t>
      </w:r>
      <w:r w:rsidR="00D155D2" w:rsidRPr="00E17B1D">
        <w:rPr>
          <w:rStyle w:val="FootnoteReference"/>
          <w:sz w:val="20"/>
          <w:szCs w:val="20"/>
        </w:rPr>
        <w:footnoteReference w:id="16"/>
      </w:r>
      <w:r w:rsidRPr="00E17B1D">
        <w:rPr>
          <w:szCs w:val="20"/>
        </w:rPr>
        <w:t xml:space="preserve"> </w:t>
      </w:r>
      <w:r w:rsidR="00562E32" w:rsidRPr="005A3AFE">
        <w:t>reported the</w:t>
      </w:r>
      <w:r w:rsidRPr="005A3AFE">
        <w:t xml:space="preserve"> lowest labour force outcomes of all the sub-groups.</w:t>
      </w:r>
      <w:r w:rsidR="00B239EE" w:rsidRPr="005A3AFE">
        <w:t xml:space="preserve"> In the short-term, their full-time employment rate was only 65.6 per cent</w:t>
      </w:r>
      <w:r w:rsidR="0029662C" w:rsidRPr="005A3AFE">
        <w:t xml:space="preserve">, compared to 80.5 per cent for </w:t>
      </w:r>
      <w:r w:rsidR="00797E65" w:rsidRPr="005A3AFE">
        <w:t>under</w:t>
      </w:r>
      <w:r w:rsidR="0029662C" w:rsidRPr="005A3AFE">
        <w:t xml:space="preserve">graduates from English speaking </w:t>
      </w:r>
      <w:r w:rsidR="00EB75DA" w:rsidRPr="005A3AFE">
        <w:t>backgrounds. This</w:t>
      </w:r>
      <w:r w:rsidR="00C74392" w:rsidRPr="005A3AFE">
        <w:t xml:space="preserve"> gap narrows substantially in the medium-term, although undergraduates from a non-English speaking background continued to report a lower full-time employment rate (84.4 per cent) than </w:t>
      </w:r>
      <w:r w:rsidR="001E4164" w:rsidRPr="005A3AFE">
        <w:t>graduates from English-speaking backgrounds</w:t>
      </w:r>
      <w:r w:rsidR="00581200" w:rsidRPr="005A3AFE">
        <w:t xml:space="preserve"> (</w:t>
      </w:r>
      <w:r w:rsidR="00C44D51" w:rsidRPr="005A3AFE">
        <w:t>91.9 per cent)</w:t>
      </w:r>
      <w:r w:rsidR="001E4164" w:rsidRPr="005A3AFE">
        <w:t>.</w:t>
      </w:r>
    </w:p>
    <w:p w14:paraId="084E3027" w14:textId="1ADEAE75" w:rsidR="002D2B29" w:rsidRPr="005A3AFE" w:rsidRDefault="00CD313C" w:rsidP="004E5A65">
      <w:pPr>
        <w:widowControl w:val="0"/>
        <w:suppressAutoHyphens/>
        <w:autoSpaceDE w:val="0"/>
        <w:autoSpaceDN w:val="0"/>
        <w:adjustRightInd w:val="0"/>
        <w:spacing w:before="142" w:after="240" w:line="290" w:lineRule="atLeast"/>
        <w:textAlignment w:val="center"/>
      </w:pPr>
      <w:r w:rsidRPr="005A3AFE">
        <w:t>While</w:t>
      </w:r>
      <w:r w:rsidR="00BF2C32" w:rsidRPr="005A3AFE">
        <w:t xml:space="preserve"> median salary and rates</w:t>
      </w:r>
      <w:r w:rsidR="007673B8" w:rsidRPr="005A3AFE">
        <w:t xml:space="preserve"> of employment in managerial or professional occupations from</w:t>
      </w:r>
      <w:r w:rsidRPr="005A3AFE">
        <w:t xml:space="preserve"> undergraduates from non-English speaking backgrounds </w:t>
      </w:r>
      <w:r w:rsidR="007673B8" w:rsidRPr="005A3AFE">
        <w:t xml:space="preserve">and English-speaking backgrounds were relatively comparable in the </w:t>
      </w:r>
      <w:r w:rsidR="00283FC4">
        <w:t>short-term</w:t>
      </w:r>
      <w:r w:rsidR="007673B8" w:rsidRPr="005A3AFE">
        <w:t xml:space="preserve">, a gap </w:t>
      </w:r>
      <w:r w:rsidR="002A7AE1" w:rsidRPr="005A3AFE">
        <w:t xml:space="preserve">becomes apparent in the medium-term. </w:t>
      </w:r>
      <w:r w:rsidR="002A7AE1" w:rsidRPr="000E45F6">
        <w:rPr>
          <w:spacing w:val="-2"/>
        </w:rPr>
        <w:t xml:space="preserve">Undergraduates from non-English speaking backgrounds </w:t>
      </w:r>
      <w:r w:rsidR="00E0293C" w:rsidRPr="000E45F6">
        <w:rPr>
          <w:spacing w:val="-2"/>
        </w:rPr>
        <w:t>report</w:t>
      </w:r>
      <w:r w:rsidR="00D62111" w:rsidRPr="000E45F6">
        <w:rPr>
          <w:spacing w:val="-2"/>
        </w:rPr>
        <w:t>ed</w:t>
      </w:r>
      <w:r w:rsidR="00E0293C" w:rsidRPr="000E45F6">
        <w:rPr>
          <w:spacing w:val="-2"/>
        </w:rPr>
        <w:t xml:space="preserve"> a lower median salary (</w:t>
      </w:r>
      <w:r w:rsidR="00A34A80" w:rsidRPr="000E45F6">
        <w:rPr>
          <w:spacing w:val="-2"/>
        </w:rPr>
        <w:t xml:space="preserve">a difference of $3,600) and lower rates of working in managerial or professional occupations (a difference of </w:t>
      </w:r>
      <w:r w:rsidR="00B922EC" w:rsidRPr="000E45F6">
        <w:rPr>
          <w:spacing w:val="-2"/>
        </w:rPr>
        <w:t>4</w:t>
      </w:r>
      <w:r w:rsidR="00021379" w:rsidRPr="000E45F6">
        <w:rPr>
          <w:spacing w:val="-2"/>
        </w:rPr>
        <w:t>.5 percentage points)</w:t>
      </w:r>
      <w:r w:rsidR="00F42098" w:rsidRPr="000E45F6">
        <w:rPr>
          <w:spacing w:val="-2"/>
        </w:rPr>
        <w:t xml:space="preserve"> in the medium-term</w:t>
      </w:r>
      <w:r w:rsidR="00021379" w:rsidRPr="000E45F6">
        <w:rPr>
          <w:spacing w:val="-2"/>
        </w:rPr>
        <w:t>.</w:t>
      </w:r>
    </w:p>
    <w:p w14:paraId="63764BB8" w14:textId="57478973" w:rsidR="00545DA6" w:rsidRPr="00221CDE" w:rsidRDefault="00545DA6" w:rsidP="00B65B5A">
      <w:pPr>
        <w:pStyle w:val="Heading3nonumbers"/>
        <w:rPr>
          <w:color w:val="883807" w:themeColor="accent3" w:themeShade="80"/>
        </w:rPr>
      </w:pPr>
      <w:bookmarkStart w:id="149" w:name="_Toc243492343"/>
      <w:r w:rsidRPr="00221CDE">
        <w:rPr>
          <w:color w:val="883807" w:themeColor="accent3" w:themeShade="80"/>
        </w:rPr>
        <w:t>Gender</w:t>
      </w:r>
      <w:bookmarkEnd w:id="149"/>
    </w:p>
    <w:p w14:paraId="4550BB69" w14:textId="77777777" w:rsidR="00971C47" w:rsidRDefault="0048562D" w:rsidP="004E5A65">
      <w:pPr>
        <w:widowControl w:val="0"/>
        <w:suppressAutoHyphens/>
        <w:autoSpaceDE w:val="0"/>
        <w:autoSpaceDN w:val="0"/>
        <w:adjustRightInd w:val="0"/>
        <w:spacing w:line="290" w:lineRule="atLeast"/>
        <w:textAlignment w:val="center"/>
      </w:pPr>
      <w:r w:rsidRPr="005A3AFE">
        <w:t xml:space="preserve">Female undergraduates reported broadly similar rates of full-time employment </w:t>
      </w:r>
      <w:r w:rsidR="003C7EFA" w:rsidRPr="005A3AFE">
        <w:t xml:space="preserve">compared to males in the </w:t>
      </w:r>
      <w:r w:rsidR="003D002C" w:rsidRPr="005A3AFE">
        <w:t>short</w:t>
      </w:r>
      <w:r w:rsidR="00612E2F" w:rsidRPr="005A3AFE">
        <w:t>- and</w:t>
      </w:r>
      <w:r w:rsidR="003C7EFA" w:rsidRPr="005A3AFE">
        <w:t xml:space="preserve"> medium</w:t>
      </w:r>
      <w:r w:rsidR="001805F3" w:rsidRPr="005A3AFE">
        <w:t>-</w:t>
      </w:r>
      <w:r w:rsidR="003C7EFA" w:rsidRPr="005A3AFE">
        <w:t>term</w:t>
      </w:r>
      <w:r w:rsidR="00900BF1" w:rsidRPr="005A3AFE">
        <w:t>, and f</w:t>
      </w:r>
      <w:r w:rsidR="003C7EFA" w:rsidRPr="005A3AFE">
        <w:t xml:space="preserve">emale undergraduates employed full-time </w:t>
      </w:r>
      <w:r w:rsidR="006B14BC" w:rsidRPr="005A3AFE">
        <w:t xml:space="preserve">were also slightly less likely to be working in managerial or professional occupations. In the </w:t>
      </w:r>
      <w:r w:rsidR="003D002C" w:rsidRPr="005A3AFE">
        <w:t>s</w:t>
      </w:r>
      <w:r w:rsidR="00612E2F" w:rsidRPr="005A3AFE">
        <w:t>hort- and</w:t>
      </w:r>
      <w:r w:rsidR="006B14BC" w:rsidRPr="005A3AFE">
        <w:t xml:space="preserve"> medium-term, female undergraduates </w:t>
      </w:r>
      <w:r w:rsidR="00523E6E" w:rsidRPr="005A3AFE">
        <w:t>historically</w:t>
      </w:r>
      <w:r w:rsidR="006B14BC" w:rsidRPr="005A3AFE">
        <w:t xml:space="preserve"> report</w:t>
      </w:r>
      <w:r w:rsidR="00086A46" w:rsidRPr="005A3AFE">
        <w:t>ed</w:t>
      </w:r>
      <w:r w:rsidR="006B14BC" w:rsidRPr="005A3AFE">
        <w:t xml:space="preserve"> lower median salaries, </w:t>
      </w:r>
      <w:r w:rsidR="00715336" w:rsidRPr="005A3AFE">
        <w:t>which</w:t>
      </w:r>
      <w:r w:rsidR="006B14BC" w:rsidRPr="005A3AFE">
        <w:t xml:space="preserve"> continued in 2026. </w:t>
      </w:r>
      <w:r w:rsidR="00976D24" w:rsidRPr="005A3AFE">
        <w:t xml:space="preserve">See </w:t>
      </w:r>
      <w:hyperlink w:anchor="_Gender_pay_gap" w:history="1">
        <w:r w:rsidR="00976D24" w:rsidRPr="005A3AFE">
          <w:rPr>
            <w:rStyle w:val="Hyperlink"/>
          </w:rPr>
          <w:t>Gender pay gap</w:t>
        </w:r>
      </w:hyperlink>
      <w:r w:rsidR="00976D24" w:rsidRPr="005A3AFE">
        <w:t xml:space="preserve"> for further analysis on the gender pay gap over time and how this differs across study areas.</w:t>
      </w:r>
    </w:p>
    <w:p w14:paraId="3FDC556F" w14:textId="77777777" w:rsidR="007148CF" w:rsidRDefault="007148CF" w:rsidP="00910822">
      <w:pPr>
        <w:widowControl w:val="0"/>
        <w:suppressAutoHyphens/>
        <w:autoSpaceDE w:val="0"/>
        <w:autoSpaceDN w:val="0"/>
        <w:adjustRightInd w:val="0"/>
        <w:spacing w:before="142" w:line="290" w:lineRule="atLeast"/>
        <w:textAlignment w:val="center"/>
      </w:pPr>
    </w:p>
    <w:p w14:paraId="581F5253" w14:textId="77777777" w:rsidR="007148CF" w:rsidRDefault="007148CF" w:rsidP="004E5A65">
      <w:pPr>
        <w:widowControl w:val="0"/>
        <w:suppressAutoHyphens/>
        <w:autoSpaceDE w:val="0"/>
        <w:autoSpaceDN w:val="0"/>
        <w:adjustRightInd w:val="0"/>
        <w:spacing w:before="142" w:after="240" w:line="290" w:lineRule="atLeast"/>
        <w:textAlignment w:val="center"/>
        <w:sectPr w:rsidR="007148CF" w:rsidSect="00A11753">
          <w:headerReference w:type="even" r:id="rId55"/>
          <w:headerReference w:type="default" r:id="rId56"/>
          <w:footerReference w:type="default" r:id="rId57"/>
          <w:headerReference w:type="first" r:id="rId58"/>
          <w:footerReference w:type="first" r:id="rId59"/>
          <w:pgSz w:w="11900" w:h="16840"/>
          <w:pgMar w:top="709" w:right="709" w:bottom="709" w:left="709" w:header="397" w:footer="397" w:gutter="0"/>
          <w:cols w:space="708"/>
          <w:docGrid w:linePitch="360"/>
        </w:sectPr>
      </w:pPr>
    </w:p>
    <w:p w14:paraId="3F738C57" w14:textId="4F301AEC" w:rsidR="00910822" w:rsidRPr="005A3AFE" w:rsidRDefault="00910822" w:rsidP="00E12ED7">
      <w:pPr>
        <w:pStyle w:val="Caption"/>
        <w:spacing w:before="0" w:after="60"/>
      </w:pPr>
      <w:bookmarkStart w:id="150" w:name="_Ref145497297"/>
      <w:bookmarkStart w:id="151" w:name="_Ref168311446"/>
      <w:bookmarkStart w:id="152" w:name="_Ref178424699"/>
      <w:bookmarkStart w:id="153" w:name="_Toc243492096"/>
      <w:r w:rsidRPr="005A3AFE">
        <w:lastRenderedPageBreak/>
        <w:t xml:space="preserve">Table </w:t>
      </w:r>
      <w:fldSimple w:instr=" SEQ Table \* ARABIC ">
        <w:r w:rsidR="00C4459D">
          <w:rPr>
            <w:noProof/>
          </w:rPr>
          <w:t>4</w:t>
        </w:r>
      </w:fldSimple>
      <w:bookmarkEnd w:id="150"/>
      <w:bookmarkEnd w:id="151"/>
      <w:bookmarkEnd w:id="152"/>
      <w:r w:rsidR="008A3B29">
        <w:tab/>
      </w:r>
      <w:r w:rsidRPr="005A3AFE">
        <w:t>Domestic undergraduate employment outcomes by demographic sub-group</w:t>
      </w:r>
      <w:bookmarkEnd w:id="153"/>
    </w:p>
    <w:tbl>
      <w:tblPr>
        <w:tblW w:w="5000" w:type="pct"/>
        <w:tblInd w:w="-5" w:type="dxa"/>
        <w:tblLayout w:type="fixed"/>
        <w:tblCellMar>
          <w:left w:w="0" w:type="dxa"/>
          <w:right w:w="0" w:type="dxa"/>
        </w:tblCellMar>
        <w:tblLook w:val="0000" w:firstRow="0" w:lastRow="0" w:firstColumn="0" w:lastColumn="0" w:noHBand="0" w:noVBand="0"/>
      </w:tblPr>
      <w:tblGrid>
        <w:gridCol w:w="1418"/>
        <w:gridCol w:w="1275"/>
        <w:gridCol w:w="1275"/>
        <w:gridCol w:w="1418"/>
        <w:gridCol w:w="1278"/>
        <w:gridCol w:w="1415"/>
        <w:gridCol w:w="1418"/>
        <w:gridCol w:w="1275"/>
        <w:gridCol w:w="1418"/>
        <w:gridCol w:w="1984"/>
        <w:gridCol w:w="2088"/>
      </w:tblGrid>
      <w:tr w:rsidR="00AE2B43" w:rsidRPr="005A3AFE" w14:paraId="2039FD4C" w14:textId="758D0A1B" w:rsidTr="00C93CE4">
        <w:trPr>
          <w:trHeight w:val="1275"/>
          <w:tblHeader/>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EDBBBFF" w14:textId="735F4EF2" w:rsidR="00AE2B43" w:rsidRPr="008A3B29" w:rsidRDefault="00E12ED7" w:rsidP="00C93CE4">
            <w:pPr>
              <w:pStyle w:val="TablecolumnheadCENTRETABLES"/>
              <w:spacing w:before="240" w:after="10"/>
              <w:ind w:left="28" w:right="57"/>
              <w:jc w:val="left"/>
              <w:rPr>
                <w:rFonts w:ascii="Arial" w:hAnsi="Arial" w:cs="Arial"/>
                <w:b/>
                <w:bCs w:val="0"/>
                <w:color w:val="auto"/>
                <w:sz w:val="20"/>
                <w:szCs w:val="20"/>
              </w:rPr>
            </w:pPr>
            <w:bookmarkStart w:id="154" w:name="_Hlk109741912"/>
            <w:r>
              <w:rPr>
                <w:rFonts w:ascii="Arial" w:hAnsi="Arial" w:cs="Arial"/>
                <w:b/>
                <w:bCs w:val="0"/>
                <w:color w:val="auto"/>
                <w:sz w:val="20"/>
                <w:szCs w:val="20"/>
              </w:rPr>
              <w:t>Category</w:t>
            </w:r>
          </w:p>
        </w:tc>
        <w:tc>
          <w:tcPr>
            <w:tcW w:w="392" w:type="pct"/>
            <w:tcBorders>
              <w:top w:val="single" w:sz="4" w:space="0" w:color="000000"/>
              <w:left w:val="single" w:sz="4" w:space="0" w:color="000000"/>
              <w:right w:val="single" w:sz="4" w:space="0" w:color="000000"/>
            </w:tcBorders>
            <w:vAlign w:val="center"/>
          </w:tcPr>
          <w:p w14:paraId="3680F02F" w14:textId="77777777" w:rsidR="00AE2B43" w:rsidRPr="00C97C54" w:rsidRDefault="00AE2B43" w:rsidP="00BE70AB">
            <w:pPr>
              <w:pStyle w:val="TablecolumnheadCENTRETABLES"/>
              <w:spacing w:before="10" w:after="10"/>
              <w:ind w:left="85"/>
              <w:jc w:val="left"/>
              <w:rPr>
                <w:rFonts w:ascii="Arial" w:hAnsi="Arial" w:cs="Arial"/>
                <w:b/>
                <w:caps/>
                <w:color w:val="auto"/>
                <w:sz w:val="20"/>
                <w:szCs w:val="20"/>
              </w:rPr>
            </w:pPr>
            <w:r w:rsidRPr="00C97C54">
              <w:rPr>
                <w:rFonts w:ascii="Arial" w:hAnsi="Arial" w:cs="Arial"/>
                <w:b/>
                <w:color w:val="auto"/>
                <w:sz w:val="20"/>
                <w:szCs w:val="20"/>
              </w:rPr>
              <w:t>Full-time</w:t>
            </w:r>
          </w:p>
          <w:p w14:paraId="0D13D976" w14:textId="77777777" w:rsidR="00C97C54" w:rsidRDefault="00AE2B43" w:rsidP="00BE70AB">
            <w:pPr>
              <w:pStyle w:val="TablecolumnheadCENTRETABLES"/>
              <w:spacing w:before="10" w:after="60"/>
              <w:ind w:left="85"/>
              <w:jc w:val="left"/>
              <w:rPr>
                <w:rFonts w:ascii="Arial" w:hAnsi="Arial" w:cs="Arial"/>
                <w:b/>
                <w:color w:val="auto"/>
                <w:sz w:val="20"/>
                <w:szCs w:val="20"/>
              </w:rPr>
            </w:pPr>
            <w:r w:rsidRPr="00C97C54">
              <w:rPr>
                <w:rFonts w:ascii="Arial" w:hAnsi="Arial" w:cs="Arial"/>
                <w:b/>
                <w:color w:val="auto"/>
                <w:sz w:val="20"/>
                <w:szCs w:val="20"/>
              </w:rPr>
              <w:t>employment rate (%)</w:t>
            </w:r>
            <w:r w:rsidRPr="00C97C54">
              <w:rPr>
                <w:rFonts w:ascii="Arial" w:hAnsi="Arial" w:cs="Arial"/>
                <w:b/>
                <w:color w:val="auto"/>
                <w:sz w:val="20"/>
                <w:szCs w:val="20"/>
                <w:vertAlign w:val="superscript"/>
              </w:rPr>
              <w:t>‡</w:t>
            </w:r>
            <w:r w:rsidRPr="00C97C54">
              <w:rPr>
                <w:rFonts w:ascii="Arial" w:hAnsi="Arial" w:cs="Arial"/>
                <w:b/>
                <w:color w:val="auto"/>
                <w:sz w:val="20"/>
                <w:szCs w:val="20"/>
              </w:rPr>
              <w:t>:</w:t>
            </w:r>
          </w:p>
          <w:p w14:paraId="0F1D9FB7" w14:textId="747A2615" w:rsidR="00AE2B43" w:rsidRPr="00F84CB8" w:rsidRDefault="00AE2B43" w:rsidP="00BE70AB">
            <w:pPr>
              <w:pStyle w:val="TablecolumnheadCENTRETABLES"/>
              <w:spacing w:before="10" w:after="10"/>
              <w:ind w:left="85"/>
              <w:jc w:val="left"/>
              <w:rPr>
                <w:rFonts w:ascii="Arial" w:hAnsi="Arial" w:cs="Arial"/>
                <w:bCs w:val="0"/>
                <w:caps/>
                <w:color w:val="auto"/>
                <w:sz w:val="20"/>
                <w:szCs w:val="20"/>
              </w:rPr>
            </w:pPr>
            <w:r>
              <w:rPr>
                <w:rFonts w:ascii="Arial" w:hAnsi="Arial" w:cs="Arial"/>
                <w:bCs w:val="0"/>
                <w:color w:val="auto"/>
                <w:sz w:val="20"/>
                <w:szCs w:val="20"/>
              </w:rPr>
              <w:t>S</w:t>
            </w:r>
            <w:r w:rsidRPr="00F84CB8">
              <w:rPr>
                <w:rFonts w:ascii="Arial" w:hAnsi="Arial" w:cs="Arial"/>
                <w:bCs w:val="0"/>
                <w:color w:val="auto"/>
                <w:sz w:val="20"/>
                <w:szCs w:val="20"/>
              </w:rPr>
              <w:t>hort-term (2023)</w:t>
            </w:r>
          </w:p>
        </w:tc>
        <w:tc>
          <w:tcPr>
            <w:tcW w:w="392" w:type="pct"/>
            <w:tcBorders>
              <w:top w:val="single" w:sz="4" w:space="0" w:color="000000"/>
              <w:left w:val="single" w:sz="4" w:space="0" w:color="000000"/>
              <w:right w:val="single" w:sz="4" w:space="0" w:color="000000"/>
            </w:tcBorders>
            <w:vAlign w:val="center"/>
          </w:tcPr>
          <w:p w14:paraId="64CE0A2E" w14:textId="77777777" w:rsidR="00AE2B43" w:rsidRPr="00C97C54" w:rsidRDefault="00AE2B43" w:rsidP="00BE70AB">
            <w:pPr>
              <w:pStyle w:val="TablecolumnheadCENTRETABLES"/>
              <w:spacing w:before="10" w:after="10"/>
              <w:ind w:left="85"/>
              <w:jc w:val="left"/>
              <w:rPr>
                <w:rFonts w:ascii="Arial" w:hAnsi="Arial" w:cs="Arial"/>
                <w:b/>
                <w:caps/>
                <w:color w:val="auto"/>
                <w:sz w:val="20"/>
                <w:szCs w:val="20"/>
              </w:rPr>
            </w:pPr>
            <w:r w:rsidRPr="00C97C54">
              <w:rPr>
                <w:rFonts w:ascii="Arial" w:hAnsi="Arial" w:cs="Arial"/>
                <w:b/>
                <w:color w:val="auto"/>
                <w:sz w:val="20"/>
                <w:szCs w:val="20"/>
              </w:rPr>
              <w:t>Full-time</w:t>
            </w:r>
          </w:p>
          <w:p w14:paraId="6F22BA4D" w14:textId="77777777" w:rsidR="00C97C54" w:rsidRDefault="00AE2B43" w:rsidP="00BE70AB">
            <w:pPr>
              <w:pStyle w:val="TablecolumnheadCENTRETABLES"/>
              <w:spacing w:before="10" w:after="60"/>
              <w:ind w:left="85"/>
              <w:jc w:val="left"/>
              <w:rPr>
                <w:rFonts w:ascii="Arial" w:hAnsi="Arial" w:cs="Arial"/>
                <w:b/>
                <w:color w:val="auto"/>
                <w:sz w:val="20"/>
                <w:szCs w:val="20"/>
              </w:rPr>
            </w:pPr>
            <w:r w:rsidRPr="00C97C54">
              <w:rPr>
                <w:rFonts w:ascii="Arial" w:hAnsi="Arial" w:cs="Arial"/>
                <w:b/>
                <w:color w:val="auto"/>
                <w:sz w:val="20"/>
                <w:szCs w:val="20"/>
              </w:rPr>
              <w:t>employment rate (%)</w:t>
            </w:r>
            <w:r w:rsidRPr="00C97C54">
              <w:rPr>
                <w:rFonts w:ascii="Arial" w:hAnsi="Arial" w:cs="Arial"/>
                <w:b/>
                <w:color w:val="auto"/>
                <w:sz w:val="20"/>
                <w:szCs w:val="20"/>
                <w:vertAlign w:val="superscript"/>
              </w:rPr>
              <w:t>‡</w:t>
            </w:r>
            <w:r w:rsidRPr="00C97C54">
              <w:rPr>
                <w:rFonts w:ascii="Arial" w:hAnsi="Arial" w:cs="Arial"/>
                <w:b/>
                <w:color w:val="auto"/>
                <w:sz w:val="20"/>
                <w:szCs w:val="20"/>
              </w:rPr>
              <w:t>:</w:t>
            </w:r>
          </w:p>
          <w:p w14:paraId="3C1C0069" w14:textId="6BEC9BD2" w:rsidR="00AE2B43" w:rsidRPr="00F84CB8" w:rsidRDefault="00AE2B43" w:rsidP="00BE70AB">
            <w:pPr>
              <w:pStyle w:val="TablecolumnheadCENTRETABLES"/>
              <w:spacing w:before="10" w:after="10"/>
              <w:ind w:left="85"/>
              <w:jc w:val="left"/>
              <w:rPr>
                <w:rFonts w:ascii="Arial" w:hAnsi="Arial" w:cs="Arial"/>
                <w:bCs w:val="0"/>
                <w:caps/>
                <w:color w:val="auto"/>
                <w:sz w:val="20"/>
                <w:szCs w:val="20"/>
              </w:rPr>
            </w:pPr>
            <w:r>
              <w:rPr>
                <w:rFonts w:ascii="Arial" w:hAnsi="Arial" w:cs="Arial"/>
                <w:bCs w:val="0"/>
                <w:color w:val="auto"/>
                <w:sz w:val="20"/>
                <w:szCs w:val="20"/>
              </w:rPr>
              <w:t>Medium</w:t>
            </w:r>
            <w:r w:rsidRPr="00F84CB8">
              <w:rPr>
                <w:rFonts w:ascii="Arial" w:hAnsi="Arial" w:cs="Arial"/>
                <w:bCs w:val="0"/>
                <w:color w:val="auto"/>
                <w:sz w:val="20"/>
                <w:szCs w:val="20"/>
              </w:rPr>
              <w:t>-term (202</w:t>
            </w:r>
            <w:r>
              <w:rPr>
                <w:rFonts w:ascii="Arial" w:hAnsi="Arial" w:cs="Arial"/>
                <w:bCs w:val="0"/>
                <w:color w:val="auto"/>
                <w:sz w:val="20"/>
                <w:szCs w:val="20"/>
              </w:rPr>
              <w:t>6</w:t>
            </w:r>
            <w:r w:rsidRPr="00F84CB8">
              <w:rPr>
                <w:rFonts w:ascii="Arial" w:hAnsi="Arial" w:cs="Arial"/>
                <w:bCs w:val="0"/>
                <w:color w:val="auto"/>
                <w:sz w:val="20"/>
                <w:szCs w:val="20"/>
              </w:rPr>
              <w:t>)</w:t>
            </w:r>
          </w:p>
        </w:tc>
        <w:tc>
          <w:tcPr>
            <w:tcW w:w="436" w:type="pct"/>
            <w:tcBorders>
              <w:top w:val="single" w:sz="4" w:space="0" w:color="000000"/>
              <w:left w:val="single" w:sz="4" w:space="0" w:color="000000"/>
              <w:right w:val="single" w:sz="4" w:space="0" w:color="000000"/>
            </w:tcBorders>
            <w:tcMar>
              <w:top w:w="57" w:type="dxa"/>
              <w:left w:w="57" w:type="dxa"/>
              <w:bottom w:w="57" w:type="dxa"/>
              <w:right w:w="57" w:type="dxa"/>
            </w:tcMar>
            <w:vAlign w:val="center"/>
          </w:tcPr>
          <w:p w14:paraId="6F02481F" w14:textId="77777777" w:rsidR="00AE2B43" w:rsidRPr="00C97C54" w:rsidRDefault="00AE2B43" w:rsidP="00BE70AB">
            <w:pPr>
              <w:pStyle w:val="TablecolumnheadCENTRETABLES"/>
              <w:spacing w:before="10" w:after="10"/>
              <w:ind w:left="85"/>
              <w:jc w:val="left"/>
              <w:rPr>
                <w:rFonts w:ascii="Arial" w:hAnsi="Arial" w:cs="Arial"/>
                <w:b/>
                <w:caps/>
                <w:color w:val="auto"/>
                <w:sz w:val="20"/>
                <w:szCs w:val="20"/>
              </w:rPr>
            </w:pPr>
            <w:r w:rsidRPr="00C97C54">
              <w:rPr>
                <w:rFonts w:ascii="Arial" w:hAnsi="Arial" w:cs="Arial"/>
                <w:b/>
                <w:color w:val="auto"/>
                <w:sz w:val="20"/>
                <w:szCs w:val="20"/>
              </w:rPr>
              <w:t>Overall</w:t>
            </w:r>
          </w:p>
          <w:p w14:paraId="2C61B723" w14:textId="77777777" w:rsidR="00C97C54" w:rsidRDefault="00AE2B43" w:rsidP="00BE70AB">
            <w:pPr>
              <w:pStyle w:val="TablecolumnheadCENTRETABLES"/>
              <w:spacing w:before="10" w:after="60"/>
              <w:ind w:left="85"/>
              <w:jc w:val="left"/>
              <w:rPr>
                <w:rFonts w:ascii="Arial" w:hAnsi="Arial" w:cs="Arial"/>
                <w:b/>
                <w:color w:val="auto"/>
                <w:sz w:val="20"/>
                <w:szCs w:val="20"/>
              </w:rPr>
            </w:pPr>
            <w:r w:rsidRPr="00C97C54">
              <w:rPr>
                <w:rFonts w:ascii="Arial" w:hAnsi="Arial" w:cs="Arial"/>
                <w:b/>
                <w:color w:val="auto"/>
                <w:sz w:val="20"/>
                <w:szCs w:val="20"/>
              </w:rPr>
              <w:t>employment rate (%)</w:t>
            </w:r>
            <w:r w:rsidRPr="00C97C54">
              <w:rPr>
                <w:rFonts w:ascii="Arial" w:hAnsi="Arial" w:cs="Arial"/>
                <w:b/>
                <w:color w:val="auto"/>
                <w:sz w:val="20"/>
                <w:szCs w:val="20"/>
                <w:vertAlign w:val="superscript"/>
              </w:rPr>
              <w:t>‡</w:t>
            </w:r>
            <w:r w:rsidRPr="00C97C54">
              <w:rPr>
                <w:rFonts w:ascii="Arial" w:hAnsi="Arial" w:cs="Arial"/>
                <w:b/>
                <w:color w:val="auto"/>
                <w:sz w:val="20"/>
                <w:szCs w:val="20"/>
              </w:rPr>
              <w:t>:</w:t>
            </w:r>
          </w:p>
          <w:p w14:paraId="0E1C0175" w14:textId="420747FE" w:rsidR="00AE2B43" w:rsidRPr="00F84CB8" w:rsidRDefault="00AE2B43" w:rsidP="00BE70AB">
            <w:pPr>
              <w:pStyle w:val="TablecolumnheadCENTRETABLES"/>
              <w:spacing w:before="10" w:after="10"/>
              <w:ind w:left="85"/>
              <w:jc w:val="left"/>
              <w:rPr>
                <w:rFonts w:ascii="Arial" w:hAnsi="Arial" w:cs="Arial"/>
                <w:bCs w:val="0"/>
                <w:color w:val="auto"/>
                <w:sz w:val="20"/>
                <w:szCs w:val="20"/>
              </w:rPr>
            </w:pPr>
            <w:r>
              <w:rPr>
                <w:rFonts w:ascii="Arial" w:hAnsi="Arial" w:cs="Arial"/>
                <w:bCs w:val="0"/>
                <w:color w:val="auto"/>
                <w:sz w:val="20"/>
                <w:szCs w:val="20"/>
              </w:rPr>
              <w:t>S</w:t>
            </w:r>
            <w:r w:rsidRPr="00F84CB8">
              <w:rPr>
                <w:rFonts w:ascii="Arial" w:hAnsi="Arial" w:cs="Arial"/>
                <w:bCs w:val="0"/>
                <w:color w:val="auto"/>
                <w:sz w:val="20"/>
                <w:szCs w:val="20"/>
              </w:rPr>
              <w:t>hort-term (2023)</w:t>
            </w:r>
          </w:p>
        </w:tc>
        <w:tc>
          <w:tcPr>
            <w:tcW w:w="393" w:type="pct"/>
            <w:tcBorders>
              <w:top w:val="single" w:sz="4" w:space="0" w:color="000000"/>
              <w:left w:val="single" w:sz="4" w:space="0" w:color="000000"/>
              <w:right w:val="single" w:sz="4" w:space="0" w:color="000000"/>
            </w:tcBorders>
            <w:vAlign w:val="center"/>
          </w:tcPr>
          <w:p w14:paraId="4F237862" w14:textId="77777777" w:rsidR="00AE2B43" w:rsidRPr="00C97C54" w:rsidRDefault="00AE2B43" w:rsidP="00BE70AB">
            <w:pPr>
              <w:pStyle w:val="TablecolumnheadCENTRETABLES"/>
              <w:spacing w:before="10" w:after="10"/>
              <w:ind w:left="85"/>
              <w:jc w:val="left"/>
              <w:rPr>
                <w:rFonts w:ascii="Arial" w:hAnsi="Arial" w:cs="Arial"/>
                <w:b/>
                <w:caps/>
                <w:color w:val="auto"/>
                <w:spacing w:val="-2"/>
                <w:sz w:val="20"/>
                <w:szCs w:val="20"/>
              </w:rPr>
            </w:pPr>
            <w:r w:rsidRPr="00C97C54">
              <w:rPr>
                <w:rFonts w:ascii="Arial" w:hAnsi="Arial" w:cs="Arial"/>
                <w:b/>
                <w:color w:val="auto"/>
                <w:spacing w:val="-2"/>
                <w:sz w:val="20"/>
                <w:szCs w:val="20"/>
              </w:rPr>
              <w:t>Overall</w:t>
            </w:r>
          </w:p>
          <w:p w14:paraId="0587E2A5" w14:textId="77777777" w:rsidR="00C97C54" w:rsidRDefault="00AE2B43" w:rsidP="00BE70AB">
            <w:pPr>
              <w:pStyle w:val="TablecolumnheadCENTRETABLES"/>
              <w:spacing w:before="10" w:after="60"/>
              <w:ind w:left="85"/>
              <w:jc w:val="left"/>
              <w:rPr>
                <w:rFonts w:ascii="Arial" w:hAnsi="Arial" w:cs="Arial"/>
                <w:b/>
                <w:color w:val="auto"/>
                <w:spacing w:val="-2"/>
                <w:sz w:val="20"/>
                <w:szCs w:val="20"/>
              </w:rPr>
            </w:pPr>
            <w:r w:rsidRPr="00C97C54">
              <w:rPr>
                <w:rFonts w:ascii="Arial" w:hAnsi="Arial" w:cs="Arial"/>
                <w:b/>
                <w:color w:val="auto"/>
                <w:spacing w:val="-2"/>
                <w:sz w:val="20"/>
                <w:szCs w:val="20"/>
              </w:rPr>
              <w:t>employment rate (%)</w:t>
            </w:r>
            <w:r w:rsidRPr="00C97C54">
              <w:rPr>
                <w:rFonts w:ascii="Arial" w:hAnsi="Arial" w:cs="Arial"/>
                <w:b/>
                <w:color w:val="auto"/>
                <w:spacing w:val="-2"/>
                <w:sz w:val="20"/>
                <w:szCs w:val="20"/>
                <w:vertAlign w:val="superscript"/>
              </w:rPr>
              <w:t>‡</w:t>
            </w:r>
            <w:r w:rsidRPr="00C97C54">
              <w:rPr>
                <w:rFonts w:ascii="Arial" w:hAnsi="Arial" w:cs="Arial"/>
                <w:b/>
                <w:color w:val="auto"/>
                <w:spacing w:val="-2"/>
                <w:sz w:val="20"/>
                <w:szCs w:val="20"/>
              </w:rPr>
              <w:t>:</w:t>
            </w:r>
          </w:p>
          <w:p w14:paraId="1ECE34ED" w14:textId="245254B1" w:rsidR="00AE2B43" w:rsidRPr="00F84CB8" w:rsidRDefault="00AE2B43" w:rsidP="00BE70AB">
            <w:pPr>
              <w:pStyle w:val="TablecolumnheadCENTRETABLES"/>
              <w:spacing w:before="10" w:after="10"/>
              <w:ind w:left="85"/>
              <w:jc w:val="left"/>
              <w:rPr>
                <w:rFonts w:ascii="Arial" w:hAnsi="Arial" w:cs="Arial"/>
                <w:bCs w:val="0"/>
                <w:color w:val="auto"/>
                <w:sz w:val="20"/>
                <w:szCs w:val="20"/>
              </w:rPr>
            </w:pPr>
            <w:r>
              <w:rPr>
                <w:rFonts w:ascii="Arial" w:hAnsi="Arial" w:cs="Arial"/>
                <w:bCs w:val="0"/>
                <w:color w:val="auto"/>
                <w:sz w:val="20"/>
                <w:szCs w:val="20"/>
              </w:rPr>
              <w:t>M</w:t>
            </w:r>
            <w:r w:rsidRPr="00F84CB8">
              <w:rPr>
                <w:rFonts w:ascii="Arial" w:hAnsi="Arial" w:cs="Arial"/>
                <w:bCs w:val="0"/>
                <w:color w:val="auto"/>
                <w:sz w:val="20"/>
                <w:szCs w:val="20"/>
              </w:rPr>
              <w:t>edium-term</w:t>
            </w:r>
          </w:p>
          <w:p w14:paraId="121BC5CC" w14:textId="67D11C19" w:rsidR="00AE2B43" w:rsidRPr="00F84CB8" w:rsidRDefault="00AE2B43" w:rsidP="00BE70AB">
            <w:pPr>
              <w:pStyle w:val="TablecolumnheadCENTRETABLES"/>
              <w:spacing w:before="10" w:after="10"/>
              <w:ind w:left="85"/>
              <w:jc w:val="left"/>
              <w:rPr>
                <w:rFonts w:ascii="Arial" w:hAnsi="Arial" w:cs="Arial"/>
                <w:bCs w:val="0"/>
                <w:color w:val="auto"/>
                <w:sz w:val="20"/>
                <w:szCs w:val="20"/>
              </w:rPr>
            </w:pPr>
            <w:r w:rsidRPr="00F84CB8">
              <w:rPr>
                <w:rFonts w:ascii="Arial" w:hAnsi="Arial" w:cs="Arial"/>
                <w:bCs w:val="0"/>
                <w:color w:val="auto"/>
                <w:sz w:val="20"/>
                <w:szCs w:val="20"/>
              </w:rPr>
              <w:t>(2026)</w:t>
            </w:r>
          </w:p>
        </w:tc>
        <w:tc>
          <w:tcPr>
            <w:tcW w:w="435" w:type="pct"/>
            <w:tcBorders>
              <w:top w:val="single" w:sz="4" w:space="0" w:color="000000"/>
              <w:left w:val="single" w:sz="4" w:space="0" w:color="000000"/>
              <w:right w:val="single" w:sz="4" w:space="0" w:color="000000"/>
            </w:tcBorders>
            <w:tcMar>
              <w:top w:w="57" w:type="dxa"/>
              <w:left w:w="57" w:type="dxa"/>
              <w:bottom w:w="57" w:type="dxa"/>
              <w:right w:w="57" w:type="dxa"/>
            </w:tcMar>
            <w:vAlign w:val="center"/>
          </w:tcPr>
          <w:p w14:paraId="3A88FD25" w14:textId="4E50FB53" w:rsidR="00C97C54" w:rsidRDefault="00AE2B43" w:rsidP="00BE70AB">
            <w:pPr>
              <w:pStyle w:val="TablecolumnheadCENTRETABLES"/>
              <w:spacing w:before="10" w:after="60"/>
              <w:ind w:left="85"/>
              <w:jc w:val="left"/>
              <w:rPr>
                <w:rFonts w:ascii="Arial" w:hAnsi="Arial" w:cs="Arial"/>
                <w:b/>
                <w:color w:val="auto"/>
                <w:sz w:val="20"/>
                <w:szCs w:val="20"/>
              </w:rPr>
            </w:pPr>
            <w:r w:rsidRPr="00C97C54">
              <w:rPr>
                <w:rFonts w:ascii="Arial" w:hAnsi="Arial" w:cs="Arial"/>
                <w:b/>
                <w:color w:val="auto"/>
                <w:sz w:val="20"/>
                <w:szCs w:val="20"/>
              </w:rPr>
              <w:t>Labour force participation rate (%)</w:t>
            </w:r>
            <w:r w:rsidRPr="00C97C54">
              <w:rPr>
                <w:rFonts w:ascii="Arial" w:hAnsi="Arial" w:cs="Arial"/>
                <w:b/>
                <w:color w:val="auto"/>
                <w:sz w:val="20"/>
                <w:szCs w:val="20"/>
                <w:vertAlign w:val="superscript"/>
              </w:rPr>
              <w:t>‡</w:t>
            </w:r>
            <w:r w:rsidRPr="00C97C54">
              <w:rPr>
                <w:rFonts w:ascii="Arial" w:hAnsi="Arial" w:cs="Arial"/>
                <w:b/>
                <w:color w:val="auto"/>
                <w:sz w:val="20"/>
                <w:szCs w:val="20"/>
              </w:rPr>
              <w:t>:</w:t>
            </w:r>
          </w:p>
          <w:p w14:paraId="0F2E5BE0" w14:textId="346440F2" w:rsidR="00AE2B43" w:rsidRPr="00F84CB8" w:rsidRDefault="00AE2B43" w:rsidP="00BE70AB">
            <w:pPr>
              <w:pStyle w:val="TablecolumnheadCENTRETABLES"/>
              <w:spacing w:before="10" w:after="10"/>
              <w:ind w:left="85"/>
              <w:jc w:val="left"/>
              <w:rPr>
                <w:rFonts w:ascii="Arial" w:hAnsi="Arial" w:cs="Arial"/>
                <w:bCs w:val="0"/>
                <w:color w:val="auto"/>
                <w:sz w:val="20"/>
                <w:szCs w:val="20"/>
              </w:rPr>
            </w:pPr>
            <w:r>
              <w:rPr>
                <w:rFonts w:ascii="Arial" w:hAnsi="Arial" w:cs="Arial"/>
                <w:bCs w:val="0"/>
                <w:color w:val="auto"/>
                <w:sz w:val="20"/>
                <w:szCs w:val="20"/>
              </w:rPr>
              <w:t>S</w:t>
            </w:r>
            <w:r w:rsidRPr="00F84CB8">
              <w:rPr>
                <w:rFonts w:ascii="Arial" w:hAnsi="Arial" w:cs="Arial"/>
                <w:bCs w:val="0"/>
                <w:color w:val="auto"/>
                <w:sz w:val="20"/>
                <w:szCs w:val="20"/>
              </w:rPr>
              <w:t>hort-term (2023)</w:t>
            </w:r>
          </w:p>
        </w:tc>
        <w:tc>
          <w:tcPr>
            <w:tcW w:w="436" w:type="pct"/>
            <w:tcBorders>
              <w:top w:val="single" w:sz="4" w:space="0" w:color="000000"/>
              <w:left w:val="single" w:sz="4" w:space="0" w:color="000000"/>
              <w:right w:val="single" w:sz="4" w:space="0" w:color="000000"/>
            </w:tcBorders>
            <w:vAlign w:val="center"/>
          </w:tcPr>
          <w:p w14:paraId="6CAE5DE5" w14:textId="77777777" w:rsidR="00C97C54" w:rsidRDefault="00AE2B43" w:rsidP="00BE70AB">
            <w:pPr>
              <w:pStyle w:val="TablecolumnheadCENTRETABLES"/>
              <w:spacing w:before="10" w:after="60"/>
              <w:ind w:left="85"/>
              <w:jc w:val="left"/>
              <w:rPr>
                <w:rFonts w:ascii="Arial" w:hAnsi="Arial" w:cs="Arial"/>
                <w:b/>
                <w:color w:val="auto"/>
                <w:sz w:val="20"/>
                <w:szCs w:val="20"/>
              </w:rPr>
            </w:pPr>
            <w:r w:rsidRPr="00C97C54">
              <w:rPr>
                <w:rFonts w:ascii="Arial" w:hAnsi="Arial" w:cs="Arial"/>
                <w:b/>
                <w:color w:val="auto"/>
                <w:sz w:val="20"/>
                <w:szCs w:val="20"/>
              </w:rPr>
              <w:t>Labour force participation rate (%)</w:t>
            </w:r>
            <w:r w:rsidRPr="00C97C54">
              <w:rPr>
                <w:rFonts w:ascii="Arial" w:hAnsi="Arial" w:cs="Arial"/>
                <w:b/>
                <w:color w:val="auto"/>
                <w:sz w:val="20"/>
                <w:szCs w:val="20"/>
                <w:vertAlign w:val="superscript"/>
              </w:rPr>
              <w:t>‡</w:t>
            </w:r>
            <w:r w:rsidRPr="00C97C54">
              <w:rPr>
                <w:rFonts w:ascii="Arial" w:hAnsi="Arial" w:cs="Arial"/>
                <w:b/>
                <w:color w:val="auto"/>
                <w:sz w:val="20"/>
                <w:szCs w:val="20"/>
              </w:rPr>
              <w:t>:</w:t>
            </w:r>
          </w:p>
          <w:p w14:paraId="4E7FE3D9" w14:textId="6D659267" w:rsidR="00AE2B43" w:rsidRPr="00C97C54" w:rsidRDefault="00AE2B43" w:rsidP="00BE70AB">
            <w:pPr>
              <w:pStyle w:val="TablecolumnheadCENTRETABLES"/>
              <w:spacing w:before="10" w:after="10"/>
              <w:ind w:left="85"/>
              <w:jc w:val="left"/>
              <w:rPr>
                <w:rFonts w:ascii="Arial" w:hAnsi="Arial" w:cs="Arial"/>
                <w:b/>
                <w:color w:val="auto"/>
                <w:sz w:val="20"/>
                <w:szCs w:val="20"/>
              </w:rPr>
            </w:pPr>
            <w:r>
              <w:rPr>
                <w:rFonts w:ascii="Arial" w:hAnsi="Arial" w:cs="Arial"/>
                <w:bCs w:val="0"/>
                <w:color w:val="auto"/>
                <w:sz w:val="20"/>
                <w:szCs w:val="20"/>
              </w:rPr>
              <w:t>Medium</w:t>
            </w:r>
            <w:r w:rsidRPr="00F84CB8">
              <w:rPr>
                <w:rFonts w:ascii="Arial" w:hAnsi="Arial" w:cs="Arial"/>
                <w:bCs w:val="0"/>
                <w:color w:val="auto"/>
                <w:sz w:val="20"/>
                <w:szCs w:val="20"/>
              </w:rPr>
              <w:t>-term (202</w:t>
            </w:r>
            <w:r>
              <w:rPr>
                <w:rFonts w:ascii="Arial" w:hAnsi="Arial" w:cs="Arial"/>
                <w:bCs w:val="0"/>
                <w:color w:val="auto"/>
                <w:sz w:val="20"/>
                <w:szCs w:val="20"/>
              </w:rPr>
              <w:t>6</w:t>
            </w:r>
            <w:r w:rsidRPr="00F84CB8">
              <w:rPr>
                <w:rFonts w:ascii="Arial" w:hAnsi="Arial" w:cs="Arial"/>
                <w:bCs w:val="0"/>
                <w:color w:val="auto"/>
                <w:sz w:val="20"/>
                <w:szCs w:val="20"/>
              </w:rPr>
              <w:t>)</w:t>
            </w:r>
          </w:p>
        </w:tc>
        <w:tc>
          <w:tcPr>
            <w:tcW w:w="392" w:type="pct"/>
            <w:tcBorders>
              <w:top w:val="single" w:sz="4" w:space="0" w:color="000000"/>
              <w:left w:val="single" w:sz="4" w:space="0" w:color="000000"/>
              <w:right w:val="single" w:sz="4" w:space="0" w:color="000000"/>
            </w:tcBorders>
            <w:tcMar>
              <w:top w:w="57" w:type="dxa"/>
              <w:left w:w="57" w:type="dxa"/>
              <w:bottom w:w="57" w:type="dxa"/>
              <w:right w:w="0" w:type="dxa"/>
            </w:tcMar>
            <w:vAlign w:val="center"/>
          </w:tcPr>
          <w:p w14:paraId="455CFEA8" w14:textId="52A3FE12" w:rsidR="00C97C54" w:rsidRPr="00C97C54" w:rsidRDefault="00AE2B43" w:rsidP="00BE70AB">
            <w:pPr>
              <w:pStyle w:val="TablecolumnheadCENTRETABLES"/>
              <w:spacing w:before="10" w:after="60"/>
              <w:ind w:left="85"/>
              <w:jc w:val="left"/>
              <w:rPr>
                <w:rFonts w:ascii="Arial Bold" w:hAnsi="Arial Bold" w:cs="Arial"/>
                <w:b/>
                <w:color w:val="auto"/>
                <w:spacing w:val="-4"/>
                <w:sz w:val="20"/>
                <w:szCs w:val="20"/>
              </w:rPr>
            </w:pPr>
            <w:r w:rsidRPr="00C97C54">
              <w:rPr>
                <w:rFonts w:ascii="Arial Bold" w:hAnsi="Arial Bold" w:cs="Arial"/>
                <w:b/>
                <w:color w:val="auto"/>
                <w:spacing w:val="-4"/>
                <w:sz w:val="20"/>
                <w:szCs w:val="20"/>
              </w:rPr>
              <w:t>Median annual ful</w:t>
            </w:r>
            <w:r w:rsidR="00C93CE4">
              <w:rPr>
                <w:rFonts w:ascii="Arial Bold" w:hAnsi="Arial Bold" w:cs="Arial"/>
                <w:b/>
                <w:color w:val="auto"/>
                <w:spacing w:val="-4"/>
                <w:sz w:val="20"/>
                <w:szCs w:val="20"/>
              </w:rPr>
              <w:t>l</w:t>
            </w:r>
            <w:r w:rsidR="00C93CE4">
              <w:rPr>
                <w:rFonts w:ascii="Arial Bold" w:hAnsi="Arial Bold" w:cs="Arial"/>
                <w:b/>
                <w:color w:val="auto"/>
                <w:spacing w:val="-4"/>
                <w:sz w:val="20"/>
                <w:szCs w:val="20"/>
              </w:rPr>
              <w:noBreakHyphen/>
            </w:r>
            <w:r w:rsidRPr="00C97C54">
              <w:rPr>
                <w:rFonts w:ascii="Arial Bold" w:hAnsi="Arial Bold" w:cs="Arial"/>
                <w:b/>
                <w:color w:val="auto"/>
                <w:spacing w:val="-4"/>
                <w:sz w:val="20"/>
                <w:szCs w:val="20"/>
              </w:rPr>
              <w:t>time salary</w:t>
            </w:r>
            <w:r w:rsidR="00C93CE4">
              <w:rPr>
                <w:rFonts w:ascii="Arial Bold" w:hAnsi="Arial Bold" w:cs="Arial"/>
                <w:b/>
                <w:color w:val="auto"/>
                <w:spacing w:val="-4"/>
                <w:sz w:val="20"/>
                <w:szCs w:val="20"/>
              </w:rPr>
              <w:t xml:space="preserve"> </w:t>
            </w:r>
            <w:r w:rsidRPr="00C97C54">
              <w:rPr>
                <w:rFonts w:ascii="Arial Bold" w:hAnsi="Arial Bold" w:cs="Arial"/>
                <w:b/>
                <w:color w:val="auto"/>
                <w:spacing w:val="-4"/>
                <w:sz w:val="20"/>
                <w:szCs w:val="20"/>
              </w:rPr>
              <w:t>($):</w:t>
            </w:r>
          </w:p>
          <w:p w14:paraId="2B38DF9B" w14:textId="60E17BF3" w:rsidR="00AE2B43" w:rsidRPr="00C97C54" w:rsidRDefault="00AE2B43" w:rsidP="00BE70AB">
            <w:pPr>
              <w:pStyle w:val="TablecolumnheadCENTRETABLES"/>
              <w:spacing w:before="10" w:after="10"/>
              <w:ind w:left="85"/>
              <w:jc w:val="left"/>
              <w:rPr>
                <w:rFonts w:ascii="Arial" w:hAnsi="Arial" w:cs="Arial"/>
                <w:b/>
                <w:color w:val="auto"/>
                <w:sz w:val="20"/>
                <w:szCs w:val="20"/>
              </w:rPr>
            </w:pPr>
            <w:r w:rsidRPr="00C97C54">
              <w:rPr>
                <w:rFonts w:ascii="Arial" w:hAnsi="Arial" w:cs="Arial"/>
                <w:bCs w:val="0"/>
                <w:color w:val="auto"/>
                <w:spacing w:val="-2"/>
                <w:sz w:val="20"/>
                <w:szCs w:val="20"/>
              </w:rPr>
              <w:t>Short-term (2023)</w:t>
            </w:r>
          </w:p>
        </w:tc>
        <w:tc>
          <w:tcPr>
            <w:tcW w:w="436" w:type="pct"/>
            <w:tcBorders>
              <w:top w:val="single" w:sz="4" w:space="0" w:color="000000"/>
              <w:left w:val="single" w:sz="4" w:space="0" w:color="000000"/>
              <w:right w:val="single" w:sz="4" w:space="0" w:color="000000"/>
            </w:tcBorders>
            <w:vAlign w:val="center"/>
          </w:tcPr>
          <w:p w14:paraId="0F3474C3" w14:textId="5069298A" w:rsidR="00C97C54" w:rsidRPr="00C97C54" w:rsidRDefault="00AE2B43" w:rsidP="00BE70AB">
            <w:pPr>
              <w:pStyle w:val="TablecolumnheadCENTRETABLES"/>
              <w:spacing w:before="10" w:after="60"/>
              <w:ind w:left="85"/>
              <w:jc w:val="left"/>
              <w:rPr>
                <w:rFonts w:ascii="Arial" w:hAnsi="Arial" w:cs="Arial"/>
                <w:b/>
                <w:color w:val="auto"/>
                <w:spacing w:val="2"/>
                <w:sz w:val="20"/>
                <w:szCs w:val="20"/>
              </w:rPr>
            </w:pPr>
            <w:r w:rsidRPr="00C97C54">
              <w:rPr>
                <w:rFonts w:ascii="Arial" w:hAnsi="Arial" w:cs="Arial"/>
                <w:b/>
                <w:color w:val="auto"/>
                <w:spacing w:val="2"/>
                <w:sz w:val="20"/>
                <w:szCs w:val="20"/>
              </w:rPr>
              <w:t>Median annual full</w:t>
            </w:r>
            <w:r w:rsidR="00C93CE4">
              <w:rPr>
                <w:rFonts w:ascii="Arial" w:hAnsi="Arial" w:cs="Arial"/>
                <w:b/>
                <w:color w:val="auto"/>
                <w:spacing w:val="2"/>
                <w:sz w:val="20"/>
                <w:szCs w:val="20"/>
              </w:rPr>
              <w:noBreakHyphen/>
            </w:r>
            <w:r w:rsidRPr="00C97C54">
              <w:rPr>
                <w:rFonts w:ascii="Arial" w:hAnsi="Arial" w:cs="Arial"/>
                <w:b/>
                <w:color w:val="auto"/>
                <w:spacing w:val="2"/>
                <w:sz w:val="20"/>
                <w:szCs w:val="20"/>
              </w:rPr>
              <w:t>time salary</w:t>
            </w:r>
            <w:r w:rsidR="00BE70AB">
              <w:rPr>
                <w:rFonts w:ascii="Arial" w:hAnsi="Arial" w:cs="Arial"/>
                <w:b/>
                <w:color w:val="auto"/>
                <w:spacing w:val="2"/>
                <w:sz w:val="20"/>
                <w:szCs w:val="20"/>
              </w:rPr>
              <w:t xml:space="preserve"> </w:t>
            </w:r>
            <w:r w:rsidRPr="00C97C54">
              <w:rPr>
                <w:rFonts w:ascii="Arial" w:hAnsi="Arial" w:cs="Arial"/>
                <w:b/>
                <w:color w:val="auto"/>
                <w:spacing w:val="2"/>
                <w:sz w:val="20"/>
                <w:szCs w:val="20"/>
              </w:rPr>
              <w:t>($)</w:t>
            </w:r>
            <w:r w:rsidR="00C97C54" w:rsidRPr="00C97C54">
              <w:rPr>
                <w:rFonts w:ascii="Arial" w:hAnsi="Arial" w:cs="Arial"/>
                <w:b/>
                <w:color w:val="auto"/>
                <w:spacing w:val="2"/>
                <w:sz w:val="20"/>
                <w:szCs w:val="20"/>
              </w:rPr>
              <w:t xml:space="preserve">: </w:t>
            </w:r>
          </w:p>
          <w:p w14:paraId="356DF2B9" w14:textId="7B80972C" w:rsidR="00AE2B43" w:rsidRPr="00C97C54" w:rsidRDefault="00AE2B43" w:rsidP="00BE70AB">
            <w:pPr>
              <w:pStyle w:val="TablecolumnheadCENTRETABLES"/>
              <w:spacing w:before="10" w:after="10"/>
              <w:ind w:left="85"/>
              <w:jc w:val="left"/>
              <w:rPr>
                <w:rFonts w:ascii="Arial" w:hAnsi="Arial" w:cs="Arial"/>
                <w:b/>
                <w:color w:val="auto"/>
                <w:spacing w:val="2"/>
                <w:sz w:val="20"/>
                <w:szCs w:val="20"/>
              </w:rPr>
            </w:pPr>
            <w:r w:rsidRPr="00C97C54">
              <w:rPr>
                <w:rFonts w:ascii="Arial" w:hAnsi="Arial" w:cs="Arial"/>
                <w:bCs w:val="0"/>
                <w:color w:val="auto"/>
                <w:spacing w:val="2"/>
                <w:sz w:val="20"/>
                <w:szCs w:val="20"/>
              </w:rPr>
              <w:t>Medium</w:t>
            </w:r>
            <w:r w:rsidR="00C97C54" w:rsidRPr="00C97C54">
              <w:rPr>
                <w:rFonts w:ascii="Arial" w:hAnsi="Arial" w:cs="Arial"/>
                <w:bCs w:val="0"/>
                <w:color w:val="auto"/>
                <w:spacing w:val="2"/>
                <w:sz w:val="20"/>
                <w:szCs w:val="20"/>
              </w:rPr>
              <w:noBreakHyphen/>
            </w:r>
            <w:r w:rsidRPr="00C97C54">
              <w:rPr>
                <w:rFonts w:ascii="Arial" w:hAnsi="Arial" w:cs="Arial"/>
                <w:bCs w:val="0"/>
                <w:color w:val="auto"/>
                <w:spacing w:val="2"/>
                <w:sz w:val="20"/>
                <w:szCs w:val="20"/>
              </w:rPr>
              <w:t>term</w:t>
            </w:r>
          </w:p>
          <w:p w14:paraId="1B54D347" w14:textId="5605700C" w:rsidR="00AE2B43" w:rsidRPr="00F84CB8" w:rsidRDefault="00AE2B43" w:rsidP="00BE70AB">
            <w:pPr>
              <w:pStyle w:val="TablecolumnheadCENTRETABLES"/>
              <w:spacing w:before="10" w:after="10"/>
              <w:ind w:left="85"/>
              <w:jc w:val="left"/>
              <w:rPr>
                <w:rFonts w:ascii="Arial" w:hAnsi="Arial" w:cs="Arial"/>
                <w:bCs w:val="0"/>
                <w:color w:val="auto"/>
                <w:sz w:val="20"/>
                <w:szCs w:val="20"/>
              </w:rPr>
            </w:pPr>
            <w:r w:rsidRPr="00C97C54">
              <w:rPr>
                <w:rFonts w:ascii="Arial" w:hAnsi="Arial" w:cs="Arial"/>
                <w:bCs w:val="0"/>
                <w:color w:val="auto"/>
                <w:spacing w:val="2"/>
                <w:sz w:val="20"/>
                <w:szCs w:val="20"/>
              </w:rPr>
              <w:t>(2026)</w:t>
            </w:r>
          </w:p>
        </w:tc>
        <w:tc>
          <w:tcPr>
            <w:tcW w:w="610" w:type="pct"/>
            <w:tcBorders>
              <w:top w:val="single" w:sz="4" w:space="0" w:color="000000"/>
              <w:left w:val="single" w:sz="4" w:space="0" w:color="000000"/>
              <w:right w:val="single" w:sz="4" w:space="0" w:color="000000"/>
            </w:tcBorders>
            <w:vAlign w:val="center"/>
          </w:tcPr>
          <w:p w14:paraId="7FCB5F39" w14:textId="13EE201E" w:rsidR="00C97C54" w:rsidRPr="00BE70AB" w:rsidRDefault="00AE2B43" w:rsidP="00BE70AB">
            <w:pPr>
              <w:pStyle w:val="TablecolumnheadCENTRETABLES"/>
              <w:spacing w:before="10" w:after="60"/>
              <w:ind w:left="85"/>
              <w:jc w:val="left"/>
              <w:rPr>
                <w:rFonts w:ascii="Arial" w:hAnsi="Arial" w:cs="Arial"/>
                <w:b/>
                <w:color w:val="auto"/>
                <w:sz w:val="20"/>
                <w:szCs w:val="20"/>
              </w:rPr>
            </w:pPr>
            <w:r w:rsidRPr="00BE70AB">
              <w:rPr>
                <w:rFonts w:ascii="Arial" w:hAnsi="Arial" w:cs="Arial"/>
                <w:b/>
                <w:color w:val="auto"/>
                <w:sz w:val="20"/>
                <w:szCs w:val="20"/>
              </w:rPr>
              <w:t>Employed in managerial or professional occupation (%</w:t>
            </w:r>
            <w:r w:rsidR="00C97C54" w:rsidRPr="00BE70AB">
              <w:rPr>
                <w:rFonts w:ascii="Arial" w:hAnsi="Arial" w:cs="Arial"/>
                <w:b/>
                <w:color w:val="auto"/>
                <w:sz w:val="20"/>
                <w:szCs w:val="20"/>
              </w:rPr>
              <w:t> </w:t>
            </w:r>
            <w:r w:rsidRPr="00BE70AB">
              <w:rPr>
                <w:rFonts w:ascii="Arial" w:hAnsi="Arial" w:cs="Arial"/>
                <w:b/>
                <w:color w:val="auto"/>
                <w:sz w:val="20"/>
                <w:szCs w:val="20"/>
              </w:rPr>
              <w:t>employed</w:t>
            </w:r>
            <w:r w:rsidR="00BE70AB" w:rsidRPr="00BE70AB">
              <w:rPr>
                <w:rFonts w:ascii="Arial" w:hAnsi="Arial" w:cs="Arial"/>
                <w:b/>
                <w:color w:val="auto"/>
                <w:sz w:val="20"/>
                <w:szCs w:val="20"/>
              </w:rPr>
              <w:t xml:space="preserve"> </w:t>
            </w:r>
            <w:r w:rsidRPr="00BE70AB">
              <w:rPr>
                <w:rFonts w:ascii="Arial" w:hAnsi="Arial" w:cs="Arial"/>
                <w:b/>
                <w:color w:val="auto"/>
                <w:sz w:val="20"/>
                <w:szCs w:val="20"/>
              </w:rPr>
              <w:t>full</w:t>
            </w:r>
            <w:r w:rsidR="00C93CE4" w:rsidRPr="00BE70AB">
              <w:rPr>
                <w:rFonts w:ascii="Arial" w:hAnsi="Arial" w:cs="Arial"/>
                <w:b/>
                <w:color w:val="auto"/>
                <w:sz w:val="20"/>
                <w:szCs w:val="20"/>
              </w:rPr>
              <w:noBreakHyphen/>
            </w:r>
            <w:r w:rsidRPr="00BE70AB">
              <w:rPr>
                <w:rFonts w:ascii="Arial" w:hAnsi="Arial" w:cs="Arial"/>
                <w:b/>
                <w:color w:val="auto"/>
                <w:sz w:val="20"/>
                <w:szCs w:val="20"/>
              </w:rPr>
              <w:t>time):</w:t>
            </w:r>
          </w:p>
          <w:p w14:paraId="255DE7D1" w14:textId="3FA388FE" w:rsidR="00AE2B43" w:rsidRPr="00C93CE4" w:rsidRDefault="00AE2B43" w:rsidP="00BE70AB">
            <w:pPr>
              <w:pStyle w:val="TablecolumnheadCENTRETABLES"/>
              <w:spacing w:before="10" w:after="10"/>
              <w:ind w:left="85"/>
              <w:jc w:val="left"/>
              <w:rPr>
                <w:rFonts w:ascii="Arial" w:hAnsi="Arial" w:cs="Arial"/>
                <w:bCs w:val="0"/>
                <w:color w:val="auto"/>
                <w:spacing w:val="-10"/>
                <w:sz w:val="20"/>
                <w:szCs w:val="20"/>
              </w:rPr>
            </w:pPr>
            <w:r w:rsidRPr="00BE70AB">
              <w:rPr>
                <w:rFonts w:ascii="Arial" w:hAnsi="Arial" w:cs="Arial"/>
                <w:bCs w:val="0"/>
                <w:color w:val="auto"/>
                <w:sz w:val="20"/>
                <w:szCs w:val="20"/>
              </w:rPr>
              <w:t>Short</w:t>
            </w:r>
            <w:r w:rsidR="00C97C54" w:rsidRPr="00BE70AB">
              <w:rPr>
                <w:rFonts w:ascii="Arial" w:hAnsi="Arial" w:cs="Arial"/>
                <w:bCs w:val="0"/>
                <w:color w:val="auto"/>
                <w:sz w:val="20"/>
                <w:szCs w:val="20"/>
              </w:rPr>
              <w:noBreakHyphen/>
            </w:r>
            <w:r w:rsidRPr="00BE70AB">
              <w:rPr>
                <w:rFonts w:ascii="Arial" w:hAnsi="Arial" w:cs="Arial"/>
                <w:bCs w:val="0"/>
                <w:color w:val="auto"/>
                <w:sz w:val="20"/>
                <w:szCs w:val="20"/>
              </w:rPr>
              <w:t>term (2023)</w:t>
            </w:r>
          </w:p>
        </w:tc>
        <w:tc>
          <w:tcPr>
            <w:tcW w:w="642" w:type="pct"/>
            <w:tcBorders>
              <w:top w:val="single" w:sz="4" w:space="0" w:color="000000"/>
              <w:left w:val="single" w:sz="4" w:space="0" w:color="000000"/>
              <w:right w:val="single" w:sz="4" w:space="0" w:color="000000"/>
            </w:tcBorders>
            <w:vAlign w:val="center"/>
          </w:tcPr>
          <w:p w14:paraId="27976545" w14:textId="1C1EED0E" w:rsidR="00C97C54" w:rsidRPr="00BE70AB" w:rsidRDefault="00AE2B43" w:rsidP="00BE70AB">
            <w:pPr>
              <w:pStyle w:val="TablecolumnheadCENTRETABLES"/>
              <w:spacing w:before="10" w:after="60"/>
              <w:ind w:left="85"/>
              <w:jc w:val="left"/>
              <w:rPr>
                <w:rFonts w:ascii="Arial" w:hAnsi="Arial" w:cs="Arial"/>
                <w:b/>
                <w:color w:val="auto"/>
                <w:sz w:val="20"/>
                <w:szCs w:val="20"/>
              </w:rPr>
            </w:pPr>
            <w:r w:rsidRPr="00BE70AB">
              <w:rPr>
                <w:rFonts w:ascii="Arial" w:hAnsi="Arial" w:cs="Arial"/>
                <w:b/>
                <w:color w:val="auto"/>
                <w:sz w:val="20"/>
                <w:szCs w:val="20"/>
              </w:rPr>
              <w:t>Employed in managerial or professional occupation (%</w:t>
            </w:r>
            <w:r w:rsidR="00C97C54" w:rsidRPr="00BE70AB">
              <w:rPr>
                <w:rFonts w:ascii="Arial" w:hAnsi="Arial" w:cs="Arial"/>
                <w:b/>
                <w:color w:val="auto"/>
                <w:sz w:val="20"/>
                <w:szCs w:val="20"/>
              </w:rPr>
              <w:t> </w:t>
            </w:r>
            <w:r w:rsidRPr="00BE70AB">
              <w:rPr>
                <w:rFonts w:ascii="Arial" w:hAnsi="Arial" w:cs="Arial"/>
                <w:b/>
                <w:color w:val="auto"/>
                <w:sz w:val="20"/>
                <w:szCs w:val="20"/>
              </w:rPr>
              <w:t>employed</w:t>
            </w:r>
            <w:r w:rsidR="00C93CE4" w:rsidRPr="00BE70AB">
              <w:rPr>
                <w:rFonts w:ascii="Arial" w:hAnsi="Arial" w:cs="Arial"/>
                <w:b/>
                <w:color w:val="auto"/>
                <w:sz w:val="20"/>
                <w:szCs w:val="20"/>
              </w:rPr>
              <w:t xml:space="preserve"> </w:t>
            </w:r>
            <w:r w:rsidRPr="00BE70AB">
              <w:rPr>
                <w:rFonts w:ascii="Arial" w:hAnsi="Arial" w:cs="Arial"/>
                <w:b/>
                <w:color w:val="auto"/>
                <w:sz w:val="20"/>
                <w:szCs w:val="20"/>
              </w:rPr>
              <w:t>full</w:t>
            </w:r>
            <w:r w:rsidR="00C93CE4" w:rsidRPr="00BE70AB">
              <w:rPr>
                <w:rFonts w:ascii="Arial" w:hAnsi="Arial" w:cs="Arial"/>
                <w:b/>
                <w:color w:val="auto"/>
                <w:sz w:val="20"/>
                <w:szCs w:val="20"/>
              </w:rPr>
              <w:noBreakHyphen/>
            </w:r>
            <w:r w:rsidRPr="00BE70AB">
              <w:rPr>
                <w:rFonts w:ascii="Arial" w:hAnsi="Arial" w:cs="Arial"/>
                <w:b/>
                <w:color w:val="auto"/>
                <w:sz w:val="20"/>
                <w:szCs w:val="20"/>
              </w:rPr>
              <w:t>time):</w:t>
            </w:r>
          </w:p>
          <w:p w14:paraId="3EC9B25C" w14:textId="783D8229" w:rsidR="00AE2B43" w:rsidRPr="00BE70AB" w:rsidRDefault="00AE2B43" w:rsidP="00BE70AB">
            <w:pPr>
              <w:pStyle w:val="TablecolumnheadCENTRETABLES"/>
              <w:spacing w:before="10" w:after="10"/>
              <w:ind w:left="85"/>
              <w:jc w:val="left"/>
              <w:rPr>
                <w:rFonts w:ascii="Arial" w:hAnsi="Arial" w:cs="Arial"/>
                <w:b/>
                <w:color w:val="auto"/>
                <w:spacing w:val="-10"/>
                <w:sz w:val="20"/>
                <w:szCs w:val="20"/>
              </w:rPr>
            </w:pPr>
            <w:r w:rsidRPr="00BE70AB">
              <w:rPr>
                <w:rFonts w:ascii="Arial" w:hAnsi="Arial" w:cs="Arial"/>
                <w:bCs w:val="0"/>
                <w:color w:val="auto"/>
                <w:sz w:val="20"/>
                <w:szCs w:val="20"/>
              </w:rPr>
              <w:t>Medium</w:t>
            </w:r>
            <w:r w:rsidR="00C97C54" w:rsidRPr="00BE70AB">
              <w:rPr>
                <w:rFonts w:ascii="Arial" w:hAnsi="Arial" w:cs="Arial"/>
                <w:bCs w:val="0"/>
                <w:color w:val="auto"/>
                <w:sz w:val="20"/>
                <w:szCs w:val="20"/>
              </w:rPr>
              <w:noBreakHyphen/>
            </w:r>
            <w:r w:rsidRPr="00BE70AB">
              <w:rPr>
                <w:rFonts w:ascii="Arial" w:hAnsi="Arial" w:cs="Arial"/>
                <w:bCs w:val="0"/>
                <w:color w:val="auto"/>
                <w:sz w:val="20"/>
                <w:szCs w:val="20"/>
              </w:rPr>
              <w:t>term</w:t>
            </w:r>
            <w:r w:rsidR="00BE70AB" w:rsidRPr="00BE70AB">
              <w:rPr>
                <w:rFonts w:ascii="Arial" w:hAnsi="Arial" w:cs="Arial"/>
                <w:color w:val="auto"/>
                <w:sz w:val="20"/>
                <w:szCs w:val="20"/>
              </w:rPr>
              <w:t xml:space="preserve"> </w:t>
            </w:r>
            <w:r w:rsidRPr="00BE70AB">
              <w:rPr>
                <w:rFonts w:ascii="Arial" w:hAnsi="Arial" w:cs="Arial"/>
                <w:bCs w:val="0"/>
                <w:color w:val="auto"/>
                <w:sz w:val="20"/>
                <w:szCs w:val="20"/>
              </w:rPr>
              <w:t>(2026)</w:t>
            </w:r>
          </w:p>
        </w:tc>
      </w:tr>
      <w:tr w:rsidR="00374B95" w:rsidRPr="005A3AFE" w14:paraId="7259EDDF" w14:textId="39CC3AC1"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43D41420" w14:textId="37A40A50" w:rsidR="00374B95" w:rsidRPr="008A3B29" w:rsidRDefault="00A11753" w:rsidP="00C93CE4">
            <w:pPr>
              <w:spacing w:line="288" w:lineRule="auto"/>
              <w:ind w:left="57"/>
              <w:rPr>
                <w:rFonts w:cs="Arial"/>
                <w:szCs w:val="20"/>
              </w:rPr>
            </w:pPr>
            <w:r w:rsidRPr="008A3B29">
              <w:rPr>
                <w:rFonts w:cs="Arial"/>
                <w:b/>
                <w:szCs w:val="20"/>
              </w:rPr>
              <w:t>Age</w:t>
            </w:r>
            <w:r>
              <w:rPr>
                <w:rFonts w:cs="Arial"/>
                <w:b/>
                <w:szCs w:val="20"/>
              </w:rPr>
              <w:t xml:space="preserve">: </w:t>
            </w:r>
            <w:r>
              <w:rPr>
                <w:rFonts w:cs="Arial"/>
                <w:b/>
                <w:szCs w:val="20"/>
              </w:rPr>
              <w:br/>
            </w:r>
            <w:r w:rsidR="00374B95" w:rsidRPr="008A3B29">
              <w:rPr>
                <w:rFonts w:cs="Arial"/>
                <w:szCs w:val="20"/>
              </w:rPr>
              <w:t>30 years or under</w:t>
            </w:r>
          </w:p>
        </w:tc>
        <w:tc>
          <w:tcPr>
            <w:tcW w:w="392" w:type="pct"/>
            <w:tcBorders>
              <w:top w:val="single" w:sz="4" w:space="0" w:color="000000"/>
              <w:left w:val="single" w:sz="4" w:space="0" w:color="000000"/>
              <w:bottom w:val="single" w:sz="4" w:space="0" w:color="000000"/>
              <w:right w:val="single" w:sz="4" w:space="0" w:color="000000"/>
            </w:tcBorders>
            <w:vAlign w:val="center"/>
          </w:tcPr>
          <w:p w14:paraId="3A14E232" w14:textId="3263C2B4" w:rsidR="00374B95" w:rsidRPr="008A3B29" w:rsidRDefault="001B4052" w:rsidP="00C93CE4">
            <w:pPr>
              <w:spacing w:line="288" w:lineRule="auto"/>
              <w:ind w:left="57"/>
              <w:jc w:val="center"/>
              <w:rPr>
                <w:rFonts w:cs="Arial"/>
                <w:szCs w:val="20"/>
              </w:rPr>
            </w:pPr>
            <w:r w:rsidRPr="008A3B29">
              <w:rPr>
                <w:rFonts w:cs="Arial"/>
                <w:color w:val="3A3A3A"/>
                <w:szCs w:val="20"/>
              </w:rPr>
              <w:t>78.9</w:t>
            </w:r>
          </w:p>
        </w:tc>
        <w:tc>
          <w:tcPr>
            <w:tcW w:w="392" w:type="pct"/>
            <w:tcBorders>
              <w:top w:val="single" w:sz="4" w:space="0" w:color="000000"/>
              <w:left w:val="single" w:sz="4" w:space="0" w:color="000000"/>
              <w:bottom w:val="single" w:sz="4" w:space="0" w:color="000000"/>
              <w:right w:val="single" w:sz="4" w:space="0" w:color="000000"/>
            </w:tcBorders>
            <w:vAlign w:val="center"/>
          </w:tcPr>
          <w:p w14:paraId="4E367872" w14:textId="38314417" w:rsidR="00374B95" w:rsidRPr="008A3B29" w:rsidRDefault="001B4052" w:rsidP="00C93CE4">
            <w:pPr>
              <w:spacing w:line="288" w:lineRule="auto"/>
              <w:ind w:left="57"/>
              <w:jc w:val="center"/>
              <w:rPr>
                <w:rFonts w:cs="Arial"/>
                <w:szCs w:val="20"/>
              </w:rPr>
            </w:pPr>
            <w:r w:rsidRPr="008A3B29">
              <w:rPr>
                <w:rFonts w:cs="Arial"/>
                <w:color w:val="3A3A3A"/>
                <w:szCs w:val="20"/>
              </w:rPr>
              <w:t>91.6</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AB796EA" w14:textId="550DF1E2" w:rsidR="00374B95" w:rsidRPr="008A3B29" w:rsidRDefault="00374B95" w:rsidP="00C93CE4">
            <w:pPr>
              <w:spacing w:line="288" w:lineRule="auto"/>
              <w:ind w:left="57"/>
              <w:jc w:val="center"/>
              <w:rPr>
                <w:rFonts w:cs="Arial"/>
                <w:szCs w:val="20"/>
              </w:rPr>
            </w:pPr>
            <w:r w:rsidRPr="008A3B29">
              <w:rPr>
                <w:rFonts w:cs="Arial"/>
                <w:color w:val="3A3A3A"/>
                <w:szCs w:val="20"/>
              </w:rPr>
              <w:t>89.</w:t>
            </w:r>
            <w:r w:rsidR="001B4052" w:rsidRPr="008A3B29">
              <w:rPr>
                <w:rFonts w:cs="Arial"/>
                <w:color w:val="3A3A3A"/>
                <w:szCs w:val="20"/>
              </w:rPr>
              <w:t>9</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255F42" w14:textId="1305488A" w:rsidR="00374B95" w:rsidRPr="008A3B29" w:rsidRDefault="00374B95" w:rsidP="00C93CE4">
            <w:pPr>
              <w:spacing w:line="288" w:lineRule="auto"/>
              <w:ind w:left="57"/>
              <w:jc w:val="center"/>
              <w:rPr>
                <w:rFonts w:cs="Arial"/>
                <w:szCs w:val="20"/>
              </w:rPr>
            </w:pPr>
            <w:r w:rsidRPr="008A3B29">
              <w:rPr>
                <w:rFonts w:cs="Arial"/>
                <w:color w:val="3A3A3A"/>
                <w:szCs w:val="20"/>
              </w:rPr>
              <w:t>94.</w:t>
            </w:r>
            <w:r w:rsidR="001B4052" w:rsidRPr="008A3B29">
              <w:rPr>
                <w:rFonts w:cs="Arial"/>
                <w:color w:val="3A3A3A"/>
                <w:szCs w:val="20"/>
              </w:rPr>
              <w:t>4</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C42F10" w14:textId="4CBC9D04" w:rsidR="00374B95" w:rsidRPr="008A3B29" w:rsidRDefault="00374B95" w:rsidP="00C93CE4">
            <w:pPr>
              <w:spacing w:line="288" w:lineRule="auto"/>
              <w:ind w:left="57"/>
              <w:jc w:val="center"/>
              <w:rPr>
                <w:rFonts w:cs="Arial"/>
                <w:szCs w:val="20"/>
              </w:rPr>
            </w:pPr>
            <w:r w:rsidRPr="008A3B29">
              <w:rPr>
                <w:rFonts w:cs="Arial"/>
                <w:color w:val="3A3A3A"/>
                <w:szCs w:val="20"/>
              </w:rPr>
              <w:t>93.</w:t>
            </w:r>
            <w:r w:rsidR="001B4052" w:rsidRPr="008A3B29">
              <w:rPr>
                <w:rFonts w:cs="Arial"/>
                <w:color w:val="3A3A3A"/>
                <w:szCs w:val="20"/>
              </w:rPr>
              <w:t>8</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54E223F" w14:textId="7AE075D8" w:rsidR="00374B95" w:rsidRPr="008A3B29" w:rsidRDefault="00374B95" w:rsidP="00C93CE4">
            <w:pPr>
              <w:spacing w:line="288" w:lineRule="auto"/>
              <w:ind w:left="57"/>
              <w:jc w:val="center"/>
              <w:rPr>
                <w:rFonts w:cs="Arial"/>
                <w:szCs w:val="20"/>
              </w:rPr>
            </w:pPr>
            <w:r w:rsidRPr="008A3B29">
              <w:rPr>
                <w:rFonts w:cs="Arial"/>
                <w:color w:val="3A3A3A"/>
                <w:szCs w:val="20"/>
              </w:rPr>
              <w:t>91.</w:t>
            </w:r>
            <w:r w:rsidR="001B4052" w:rsidRPr="008A3B29">
              <w:rPr>
                <w:rFonts w:cs="Arial"/>
                <w:color w:val="3A3A3A"/>
                <w:szCs w:val="20"/>
              </w:rPr>
              <w:t>0</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184B5E2" w14:textId="1015E60B" w:rsidR="00374B95" w:rsidRPr="008A3B29" w:rsidRDefault="001B4052" w:rsidP="00C93CE4">
            <w:pPr>
              <w:spacing w:line="288" w:lineRule="auto"/>
              <w:ind w:left="57"/>
              <w:jc w:val="center"/>
              <w:rPr>
                <w:rFonts w:cs="Arial"/>
                <w:szCs w:val="20"/>
              </w:rPr>
            </w:pPr>
            <w:r w:rsidRPr="008A3B29">
              <w:rPr>
                <w:rFonts w:cs="Arial"/>
                <w:color w:val="3A3A3A"/>
                <w:szCs w:val="20"/>
              </w:rPr>
              <w:t>70,000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4287A0" w14:textId="3326F02A" w:rsidR="00374B95" w:rsidRPr="008A3B29" w:rsidRDefault="001B4052" w:rsidP="00C93CE4">
            <w:pPr>
              <w:spacing w:line="288" w:lineRule="auto"/>
              <w:ind w:left="57"/>
              <w:jc w:val="center"/>
              <w:rPr>
                <w:rFonts w:cs="Arial"/>
                <w:szCs w:val="20"/>
              </w:rPr>
            </w:pPr>
            <w:r w:rsidRPr="008A3B29">
              <w:rPr>
                <w:rFonts w:cs="Arial"/>
                <w:color w:val="3A3A3A"/>
                <w:szCs w:val="20"/>
              </w:rPr>
              <w:t>91,300</w:t>
            </w:r>
          </w:p>
        </w:tc>
        <w:tc>
          <w:tcPr>
            <w:tcW w:w="610" w:type="pct"/>
            <w:tcBorders>
              <w:top w:val="single" w:sz="4" w:space="0" w:color="000000"/>
              <w:left w:val="single" w:sz="4" w:space="0" w:color="000000"/>
              <w:bottom w:val="single" w:sz="4" w:space="0" w:color="000000"/>
              <w:right w:val="single" w:sz="4" w:space="0" w:color="000000"/>
            </w:tcBorders>
            <w:vAlign w:val="center"/>
          </w:tcPr>
          <w:p w14:paraId="3EC5CA71" w14:textId="77D84FA0" w:rsidR="00374B95" w:rsidRPr="008A3B29" w:rsidRDefault="00374B95" w:rsidP="00C93CE4">
            <w:pPr>
              <w:spacing w:line="288" w:lineRule="auto"/>
              <w:ind w:left="57"/>
              <w:jc w:val="center"/>
              <w:rPr>
                <w:rFonts w:cs="Arial"/>
                <w:color w:val="000000"/>
                <w:szCs w:val="20"/>
              </w:rPr>
            </w:pPr>
            <w:r w:rsidRPr="008A3B29">
              <w:rPr>
                <w:rFonts w:cs="Arial"/>
                <w:color w:val="3A3A3A"/>
                <w:szCs w:val="20"/>
              </w:rPr>
              <w:t>71.</w:t>
            </w:r>
            <w:r w:rsidR="001B4052" w:rsidRPr="008A3B29">
              <w:rPr>
                <w:rFonts w:cs="Arial"/>
                <w:color w:val="3A3A3A"/>
                <w:szCs w:val="20"/>
              </w:rPr>
              <w:t>1</w:t>
            </w:r>
          </w:p>
        </w:tc>
        <w:tc>
          <w:tcPr>
            <w:tcW w:w="642" w:type="pct"/>
            <w:tcBorders>
              <w:top w:val="single" w:sz="4" w:space="0" w:color="000000"/>
              <w:left w:val="single" w:sz="4" w:space="0" w:color="000000"/>
              <w:bottom w:val="single" w:sz="4" w:space="0" w:color="000000"/>
              <w:right w:val="single" w:sz="4" w:space="0" w:color="000000"/>
            </w:tcBorders>
            <w:vAlign w:val="center"/>
          </w:tcPr>
          <w:p w14:paraId="6AF6E1FE" w14:textId="40739B32" w:rsidR="00374B95" w:rsidRPr="008A3B29" w:rsidRDefault="00374B95" w:rsidP="00C93CE4">
            <w:pPr>
              <w:spacing w:line="288" w:lineRule="auto"/>
              <w:ind w:left="57"/>
              <w:jc w:val="center"/>
              <w:rPr>
                <w:rFonts w:cs="Arial"/>
                <w:color w:val="000000"/>
                <w:szCs w:val="20"/>
              </w:rPr>
            </w:pPr>
            <w:r w:rsidRPr="008A3B29">
              <w:rPr>
                <w:rFonts w:cs="Arial"/>
                <w:color w:val="3A3A3A"/>
                <w:szCs w:val="20"/>
              </w:rPr>
              <w:t>79.</w:t>
            </w:r>
            <w:r w:rsidR="001B4052" w:rsidRPr="008A3B29">
              <w:rPr>
                <w:rFonts w:cs="Arial"/>
                <w:color w:val="3A3A3A"/>
                <w:szCs w:val="20"/>
              </w:rPr>
              <w:t>4</w:t>
            </w:r>
          </w:p>
        </w:tc>
      </w:tr>
      <w:tr w:rsidR="00374B95" w:rsidRPr="005A3AFE" w14:paraId="29DA8F0A" w14:textId="6DC40E89"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7F0781D0" w14:textId="3ADC7C94" w:rsidR="00374B95" w:rsidRPr="008A3B29" w:rsidRDefault="00A11753" w:rsidP="00C93CE4">
            <w:pPr>
              <w:spacing w:line="288" w:lineRule="auto"/>
              <w:ind w:left="57"/>
              <w:rPr>
                <w:rFonts w:cs="Arial"/>
                <w:szCs w:val="20"/>
              </w:rPr>
            </w:pPr>
            <w:r w:rsidRPr="008A3B29">
              <w:rPr>
                <w:rFonts w:cs="Arial"/>
                <w:b/>
                <w:szCs w:val="20"/>
              </w:rPr>
              <w:t>Age</w:t>
            </w:r>
            <w:r>
              <w:rPr>
                <w:rFonts w:cs="Arial"/>
                <w:b/>
                <w:szCs w:val="20"/>
              </w:rPr>
              <w:t xml:space="preserve">: </w:t>
            </w:r>
            <w:r>
              <w:rPr>
                <w:rFonts w:cs="Arial"/>
                <w:b/>
                <w:szCs w:val="20"/>
              </w:rPr>
              <w:br/>
            </w:r>
            <w:r w:rsidR="00374B95" w:rsidRPr="008A3B29">
              <w:rPr>
                <w:rFonts w:cs="Arial"/>
                <w:szCs w:val="20"/>
              </w:rPr>
              <w:t>Over 30 years</w:t>
            </w:r>
          </w:p>
        </w:tc>
        <w:tc>
          <w:tcPr>
            <w:tcW w:w="392" w:type="pct"/>
            <w:tcBorders>
              <w:top w:val="single" w:sz="4" w:space="0" w:color="000000"/>
              <w:left w:val="single" w:sz="4" w:space="0" w:color="000000"/>
              <w:bottom w:val="single" w:sz="4" w:space="0" w:color="000000"/>
              <w:right w:val="single" w:sz="4" w:space="0" w:color="000000"/>
            </w:tcBorders>
            <w:vAlign w:val="center"/>
          </w:tcPr>
          <w:p w14:paraId="5E0C07DD" w14:textId="2E15A090" w:rsidR="00374B95" w:rsidRPr="008A3B29" w:rsidRDefault="001B4052" w:rsidP="00C93CE4">
            <w:pPr>
              <w:spacing w:line="288" w:lineRule="auto"/>
              <w:ind w:left="57"/>
              <w:jc w:val="center"/>
              <w:rPr>
                <w:rFonts w:cs="Arial"/>
                <w:szCs w:val="20"/>
              </w:rPr>
            </w:pPr>
            <w:r w:rsidRPr="008A3B29">
              <w:rPr>
                <w:rFonts w:cs="Arial"/>
                <w:color w:val="3A3A3A"/>
                <w:szCs w:val="20"/>
              </w:rPr>
              <w:t>82.8</w:t>
            </w:r>
          </w:p>
        </w:tc>
        <w:tc>
          <w:tcPr>
            <w:tcW w:w="392" w:type="pct"/>
            <w:tcBorders>
              <w:top w:val="single" w:sz="4" w:space="0" w:color="000000"/>
              <w:left w:val="single" w:sz="4" w:space="0" w:color="000000"/>
              <w:bottom w:val="single" w:sz="4" w:space="0" w:color="000000"/>
              <w:right w:val="single" w:sz="4" w:space="0" w:color="000000"/>
            </w:tcBorders>
            <w:vAlign w:val="center"/>
          </w:tcPr>
          <w:p w14:paraId="0E969A81" w14:textId="0EBD6E29" w:rsidR="00374B95" w:rsidRPr="008A3B29" w:rsidRDefault="001B4052" w:rsidP="00C93CE4">
            <w:pPr>
              <w:spacing w:line="288" w:lineRule="auto"/>
              <w:ind w:left="57"/>
              <w:jc w:val="center"/>
              <w:rPr>
                <w:rFonts w:cs="Arial"/>
                <w:szCs w:val="20"/>
              </w:rPr>
            </w:pPr>
            <w:r w:rsidRPr="008A3B29">
              <w:rPr>
                <w:rFonts w:cs="Arial"/>
                <w:color w:val="3A3A3A"/>
                <w:szCs w:val="20"/>
              </w:rPr>
              <w:t>92.2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B20BF3" w14:textId="1437D711" w:rsidR="00374B95" w:rsidRPr="008A3B29" w:rsidRDefault="001B4052" w:rsidP="00C93CE4">
            <w:pPr>
              <w:spacing w:line="288" w:lineRule="auto"/>
              <w:ind w:left="57"/>
              <w:jc w:val="center"/>
              <w:rPr>
                <w:rFonts w:cs="Arial"/>
                <w:szCs w:val="20"/>
              </w:rPr>
            </w:pPr>
            <w:r w:rsidRPr="008A3B29">
              <w:rPr>
                <w:rFonts w:cs="Arial"/>
                <w:color w:val="3A3A3A"/>
                <w:szCs w:val="20"/>
              </w:rPr>
              <w:t>90.2</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812EE3" w14:textId="3D42552F" w:rsidR="00374B95" w:rsidRPr="008A3B29" w:rsidRDefault="001B4052" w:rsidP="00C93CE4">
            <w:pPr>
              <w:spacing w:line="288" w:lineRule="auto"/>
              <w:ind w:left="57"/>
              <w:jc w:val="center"/>
              <w:rPr>
                <w:rFonts w:cs="Arial"/>
                <w:szCs w:val="20"/>
              </w:rPr>
            </w:pPr>
            <w:r w:rsidRPr="008A3B29">
              <w:rPr>
                <w:rFonts w:cs="Arial"/>
                <w:color w:val="3A3A3A"/>
                <w:szCs w:val="20"/>
              </w:rPr>
              <w:t>95.1</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F08A7D" w14:textId="34CAB3C8" w:rsidR="00374B95" w:rsidRPr="008A3B29" w:rsidRDefault="001B4052" w:rsidP="00C93CE4">
            <w:pPr>
              <w:spacing w:line="288" w:lineRule="auto"/>
              <w:ind w:left="57"/>
              <w:jc w:val="center"/>
              <w:rPr>
                <w:rFonts w:cs="Arial"/>
                <w:szCs w:val="20"/>
              </w:rPr>
            </w:pPr>
            <w:r w:rsidRPr="008A3B29">
              <w:rPr>
                <w:rFonts w:cs="Arial"/>
                <w:color w:val="3A3A3A"/>
                <w:szCs w:val="20"/>
              </w:rPr>
              <w:t>91.5</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FDB6F4" w14:textId="5F5FD2FA" w:rsidR="00374B95" w:rsidRPr="008A3B29" w:rsidRDefault="001B4052" w:rsidP="00C93CE4">
            <w:pPr>
              <w:spacing w:line="288" w:lineRule="auto"/>
              <w:ind w:left="57"/>
              <w:jc w:val="center"/>
              <w:rPr>
                <w:rFonts w:cs="Arial"/>
                <w:szCs w:val="20"/>
              </w:rPr>
            </w:pPr>
            <w:r w:rsidRPr="008A3B29">
              <w:rPr>
                <w:rFonts w:cs="Arial"/>
                <w:color w:val="3A3A3A"/>
                <w:szCs w:val="20"/>
              </w:rPr>
              <w:t>87.6</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606470" w14:textId="7A2D9A0F" w:rsidR="00374B95" w:rsidRPr="008A3B29" w:rsidRDefault="001B4052" w:rsidP="00C93CE4">
            <w:pPr>
              <w:spacing w:line="288" w:lineRule="auto"/>
              <w:ind w:left="57"/>
              <w:jc w:val="center"/>
              <w:rPr>
                <w:rFonts w:cs="Arial"/>
                <w:szCs w:val="20"/>
              </w:rPr>
            </w:pPr>
            <w:r w:rsidRPr="008A3B29">
              <w:rPr>
                <w:rFonts w:cs="Arial"/>
                <w:color w:val="3A3A3A"/>
                <w:szCs w:val="20"/>
              </w:rPr>
              <w:t>77,300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FA0691" w14:textId="427C181A" w:rsidR="00374B95" w:rsidRPr="008A3B29" w:rsidRDefault="001B4052" w:rsidP="00C93CE4">
            <w:pPr>
              <w:spacing w:line="288" w:lineRule="auto"/>
              <w:ind w:left="57"/>
              <w:jc w:val="center"/>
              <w:rPr>
                <w:rFonts w:cs="Arial"/>
                <w:szCs w:val="20"/>
              </w:rPr>
            </w:pPr>
            <w:r w:rsidRPr="008A3B29">
              <w:rPr>
                <w:rFonts w:cs="Arial"/>
                <w:color w:val="3A3A3A"/>
                <w:szCs w:val="20"/>
              </w:rPr>
              <w:t>100</w:t>
            </w:r>
            <w:r w:rsidR="00374B95" w:rsidRPr="008A3B29">
              <w:rPr>
                <w:rFonts w:cs="Arial"/>
                <w:color w:val="3A3A3A"/>
                <w:szCs w:val="20"/>
              </w:rPr>
              <w:t>,000</w:t>
            </w:r>
          </w:p>
        </w:tc>
        <w:tc>
          <w:tcPr>
            <w:tcW w:w="610" w:type="pct"/>
            <w:tcBorders>
              <w:top w:val="single" w:sz="4" w:space="0" w:color="000000"/>
              <w:left w:val="single" w:sz="4" w:space="0" w:color="000000"/>
              <w:bottom w:val="single" w:sz="4" w:space="0" w:color="000000"/>
              <w:right w:val="single" w:sz="4" w:space="0" w:color="000000"/>
            </w:tcBorders>
            <w:vAlign w:val="center"/>
          </w:tcPr>
          <w:p w14:paraId="16CE9411" w14:textId="1B7732D2" w:rsidR="00374B95" w:rsidRPr="008A3B29" w:rsidRDefault="00374B95" w:rsidP="00C93CE4">
            <w:pPr>
              <w:spacing w:line="288" w:lineRule="auto"/>
              <w:ind w:left="57"/>
              <w:jc w:val="center"/>
              <w:rPr>
                <w:rFonts w:cs="Arial"/>
                <w:color w:val="000000"/>
                <w:szCs w:val="20"/>
              </w:rPr>
            </w:pPr>
            <w:r w:rsidRPr="008A3B29">
              <w:rPr>
                <w:rFonts w:cs="Arial"/>
                <w:color w:val="3A3A3A"/>
                <w:szCs w:val="20"/>
              </w:rPr>
              <w:t>69.4</w:t>
            </w:r>
          </w:p>
        </w:tc>
        <w:tc>
          <w:tcPr>
            <w:tcW w:w="642" w:type="pct"/>
            <w:tcBorders>
              <w:top w:val="single" w:sz="4" w:space="0" w:color="000000"/>
              <w:left w:val="single" w:sz="4" w:space="0" w:color="000000"/>
              <w:bottom w:val="single" w:sz="4" w:space="0" w:color="000000"/>
              <w:right w:val="single" w:sz="4" w:space="0" w:color="000000"/>
            </w:tcBorders>
            <w:vAlign w:val="center"/>
          </w:tcPr>
          <w:p w14:paraId="156E8459" w14:textId="24D38706" w:rsidR="00374B95" w:rsidRPr="008A3B29" w:rsidRDefault="00374B95" w:rsidP="00C93CE4">
            <w:pPr>
              <w:spacing w:line="288" w:lineRule="auto"/>
              <w:ind w:left="57"/>
              <w:jc w:val="center"/>
              <w:rPr>
                <w:rFonts w:cs="Arial"/>
                <w:color w:val="000000"/>
                <w:szCs w:val="20"/>
              </w:rPr>
            </w:pPr>
            <w:r w:rsidRPr="008A3B29">
              <w:rPr>
                <w:rFonts w:cs="Arial"/>
                <w:color w:val="3A3A3A"/>
                <w:szCs w:val="20"/>
              </w:rPr>
              <w:t>77.</w:t>
            </w:r>
            <w:r w:rsidR="001B4052" w:rsidRPr="008A3B29">
              <w:rPr>
                <w:rFonts w:cs="Arial"/>
                <w:color w:val="3A3A3A"/>
                <w:szCs w:val="20"/>
              </w:rPr>
              <w:t>1</w:t>
            </w:r>
          </w:p>
        </w:tc>
      </w:tr>
      <w:tr w:rsidR="00374B95" w:rsidRPr="005A3AFE" w14:paraId="580038DC" w14:textId="5066B649"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089F3064" w14:textId="264E3F37" w:rsidR="00374B95" w:rsidRPr="008A3B29" w:rsidRDefault="00A11753" w:rsidP="00C93CE4">
            <w:pPr>
              <w:spacing w:line="288" w:lineRule="auto"/>
              <w:ind w:left="57"/>
              <w:rPr>
                <w:rFonts w:cs="Arial"/>
                <w:szCs w:val="20"/>
              </w:rPr>
            </w:pPr>
            <w:r w:rsidRPr="008A3B29">
              <w:rPr>
                <w:rFonts w:cs="Arial"/>
                <w:b/>
                <w:szCs w:val="20"/>
              </w:rPr>
              <w:t>Study mode</w:t>
            </w:r>
            <w:r>
              <w:rPr>
                <w:rFonts w:cs="Arial"/>
                <w:b/>
                <w:szCs w:val="20"/>
              </w:rPr>
              <w:t xml:space="preserve">: </w:t>
            </w:r>
            <w:r w:rsidR="00374B95" w:rsidRPr="008A3B29">
              <w:rPr>
                <w:rFonts w:cs="Arial"/>
                <w:szCs w:val="20"/>
              </w:rPr>
              <w:t>Internal/</w:t>
            </w:r>
            <w:r w:rsidR="00C97C54">
              <w:rPr>
                <w:rFonts w:cs="Arial"/>
                <w:szCs w:val="20"/>
              </w:rPr>
              <w:br/>
            </w:r>
            <w:r w:rsidR="00374B95" w:rsidRPr="008A3B29">
              <w:rPr>
                <w:rFonts w:cs="Arial"/>
                <w:szCs w:val="20"/>
              </w:rPr>
              <w:t>multi-mode</w:t>
            </w:r>
          </w:p>
        </w:tc>
        <w:tc>
          <w:tcPr>
            <w:tcW w:w="392" w:type="pct"/>
            <w:tcBorders>
              <w:top w:val="single" w:sz="4" w:space="0" w:color="000000"/>
              <w:left w:val="single" w:sz="4" w:space="0" w:color="000000"/>
              <w:bottom w:val="single" w:sz="4" w:space="0" w:color="000000"/>
              <w:right w:val="single" w:sz="4" w:space="0" w:color="000000"/>
            </w:tcBorders>
            <w:vAlign w:val="center"/>
          </w:tcPr>
          <w:p w14:paraId="5E1031A3" w14:textId="5B5AB1E0" w:rsidR="00374B95" w:rsidRPr="008A3B29" w:rsidRDefault="00374B95" w:rsidP="00C93CE4">
            <w:pPr>
              <w:spacing w:line="288" w:lineRule="auto"/>
              <w:ind w:left="57"/>
              <w:jc w:val="center"/>
              <w:rPr>
                <w:rFonts w:cs="Arial"/>
                <w:szCs w:val="20"/>
              </w:rPr>
            </w:pPr>
            <w:r w:rsidRPr="008A3B29">
              <w:rPr>
                <w:rFonts w:cs="Arial"/>
                <w:color w:val="3A3A3A"/>
                <w:szCs w:val="20"/>
              </w:rPr>
              <w:t>78.</w:t>
            </w:r>
            <w:r w:rsidR="007E1462" w:rsidRPr="008A3B29">
              <w:rPr>
                <w:rFonts w:cs="Arial"/>
                <w:color w:val="3A3A3A"/>
                <w:szCs w:val="20"/>
              </w:rPr>
              <w:t>7</w:t>
            </w:r>
          </w:p>
        </w:tc>
        <w:tc>
          <w:tcPr>
            <w:tcW w:w="392" w:type="pct"/>
            <w:tcBorders>
              <w:top w:val="single" w:sz="4" w:space="0" w:color="000000"/>
              <w:left w:val="single" w:sz="4" w:space="0" w:color="000000"/>
              <w:bottom w:val="single" w:sz="4" w:space="0" w:color="000000"/>
              <w:right w:val="single" w:sz="4" w:space="0" w:color="000000"/>
            </w:tcBorders>
            <w:vAlign w:val="center"/>
          </w:tcPr>
          <w:p w14:paraId="2E4D14BB" w14:textId="2033DF6F" w:rsidR="00374B95" w:rsidRPr="008A3B29" w:rsidRDefault="00374B95" w:rsidP="00C93CE4">
            <w:pPr>
              <w:spacing w:line="288" w:lineRule="auto"/>
              <w:ind w:left="57"/>
              <w:jc w:val="center"/>
              <w:rPr>
                <w:rFonts w:cs="Arial"/>
                <w:szCs w:val="20"/>
              </w:rPr>
            </w:pPr>
            <w:r w:rsidRPr="008A3B29">
              <w:rPr>
                <w:rFonts w:cs="Arial"/>
                <w:color w:val="3A3A3A"/>
                <w:szCs w:val="20"/>
              </w:rPr>
              <w:t>91.</w:t>
            </w:r>
            <w:r w:rsidR="007E1462" w:rsidRPr="008A3B29">
              <w:rPr>
                <w:rFonts w:cs="Arial"/>
                <w:color w:val="3A3A3A"/>
                <w:szCs w:val="20"/>
              </w:rPr>
              <w:t>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210D98" w14:textId="48243BBC" w:rsidR="00374B95" w:rsidRPr="008A3B29" w:rsidRDefault="007E1462" w:rsidP="00C93CE4">
            <w:pPr>
              <w:spacing w:line="288" w:lineRule="auto"/>
              <w:ind w:left="57"/>
              <w:jc w:val="center"/>
              <w:rPr>
                <w:rFonts w:cs="Arial"/>
                <w:szCs w:val="20"/>
              </w:rPr>
            </w:pPr>
            <w:r w:rsidRPr="008A3B29">
              <w:rPr>
                <w:rFonts w:cs="Arial"/>
                <w:color w:val="3A3A3A"/>
                <w:szCs w:val="20"/>
              </w:rPr>
              <w:t>89.9</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135AE2" w14:textId="795A3749" w:rsidR="00374B95" w:rsidRPr="008A3B29" w:rsidRDefault="00374B95" w:rsidP="00C93CE4">
            <w:pPr>
              <w:spacing w:line="288" w:lineRule="auto"/>
              <w:ind w:left="57"/>
              <w:jc w:val="center"/>
              <w:rPr>
                <w:rFonts w:cs="Arial"/>
                <w:szCs w:val="20"/>
              </w:rPr>
            </w:pPr>
            <w:r w:rsidRPr="008A3B29">
              <w:rPr>
                <w:rFonts w:cs="Arial"/>
                <w:color w:val="3A3A3A"/>
                <w:szCs w:val="20"/>
              </w:rPr>
              <w:t>94.</w:t>
            </w:r>
            <w:r w:rsidR="007E1462" w:rsidRPr="008A3B29">
              <w:rPr>
                <w:rFonts w:cs="Arial"/>
                <w:color w:val="3A3A3A"/>
                <w:szCs w:val="20"/>
              </w:rPr>
              <w:t>4</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9261B3" w14:textId="6CD69F59" w:rsidR="00374B95" w:rsidRPr="008A3B29" w:rsidRDefault="00374B95" w:rsidP="00C93CE4">
            <w:pPr>
              <w:spacing w:line="288" w:lineRule="auto"/>
              <w:ind w:left="57"/>
              <w:jc w:val="center"/>
              <w:rPr>
                <w:rFonts w:cs="Arial"/>
                <w:szCs w:val="20"/>
              </w:rPr>
            </w:pPr>
            <w:r w:rsidRPr="008A3B29">
              <w:rPr>
                <w:rFonts w:cs="Arial"/>
                <w:color w:val="3A3A3A"/>
                <w:szCs w:val="20"/>
              </w:rPr>
              <w:t>93.</w:t>
            </w:r>
            <w:r w:rsidR="007E1462" w:rsidRPr="008A3B29">
              <w:rPr>
                <w:rFonts w:cs="Arial"/>
                <w:color w:val="3A3A3A"/>
                <w:szCs w:val="20"/>
              </w:rPr>
              <w:t>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BAE274" w14:textId="61B078BB" w:rsidR="00374B95" w:rsidRPr="008A3B29" w:rsidRDefault="00374B95" w:rsidP="00C93CE4">
            <w:pPr>
              <w:spacing w:line="288" w:lineRule="auto"/>
              <w:ind w:left="57"/>
              <w:jc w:val="center"/>
              <w:rPr>
                <w:rFonts w:cs="Arial"/>
                <w:szCs w:val="20"/>
              </w:rPr>
            </w:pPr>
            <w:r w:rsidRPr="008A3B29">
              <w:rPr>
                <w:rFonts w:cs="Arial"/>
                <w:color w:val="3A3A3A"/>
                <w:szCs w:val="20"/>
              </w:rPr>
              <w:t>90.</w:t>
            </w:r>
            <w:r w:rsidR="007E1462" w:rsidRPr="008A3B29">
              <w:rPr>
                <w:rFonts w:cs="Arial"/>
                <w:color w:val="3A3A3A"/>
                <w:szCs w:val="20"/>
              </w:rPr>
              <w:t>4</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8E2820" w14:textId="0EED5C70" w:rsidR="00374B95" w:rsidRPr="008A3B29" w:rsidRDefault="007E1462" w:rsidP="00C93CE4">
            <w:pPr>
              <w:spacing w:line="288" w:lineRule="auto"/>
              <w:ind w:left="57"/>
              <w:jc w:val="center"/>
              <w:rPr>
                <w:rFonts w:cs="Arial"/>
                <w:szCs w:val="20"/>
              </w:rPr>
            </w:pPr>
            <w:r w:rsidRPr="008A3B29">
              <w:rPr>
                <w:rFonts w:cs="Arial"/>
                <w:color w:val="3A3A3A"/>
                <w:szCs w:val="20"/>
              </w:rPr>
              <w:t>70,000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A61F01" w14:textId="710407B3" w:rsidR="00374B95" w:rsidRPr="008A3B29" w:rsidRDefault="007E1462" w:rsidP="00C93CE4">
            <w:pPr>
              <w:spacing w:line="288" w:lineRule="auto"/>
              <w:ind w:left="57"/>
              <w:jc w:val="center"/>
              <w:rPr>
                <w:rFonts w:cs="Arial"/>
                <w:szCs w:val="20"/>
              </w:rPr>
            </w:pPr>
            <w:r w:rsidRPr="008A3B29">
              <w:rPr>
                <w:rFonts w:cs="Arial"/>
                <w:color w:val="3A3A3A"/>
                <w:szCs w:val="20"/>
              </w:rPr>
              <w:t>91,800</w:t>
            </w:r>
          </w:p>
        </w:tc>
        <w:tc>
          <w:tcPr>
            <w:tcW w:w="610" w:type="pct"/>
            <w:tcBorders>
              <w:top w:val="single" w:sz="4" w:space="0" w:color="000000"/>
              <w:left w:val="single" w:sz="4" w:space="0" w:color="000000"/>
              <w:bottom w:val="single" w:sz="4" w:space="0" w:color="000000"/>
              <w:right w:val="single" w:sz="4" w:space="0" w:color="000000"/>
            </w:tcBorders>
            <w:vAlign w:val="center"/>
          </w:tcPr>
          <w:p w14:paraId="41253456" w14:textId="4E8A6252" w:rsidR="00374B95" w:rsidRPr="008A3B29" w:rsidRDefault="007E1462" w:rsidP="00C93CE4">
            <w:pPr>
              <w:spacing w:line="288" w:lineRule="auto"/>
              <w:ind w:left="57"/>
              <w:jc w:val="center"/>
              <w:rPr>
                <w:rFonts w:cs="Arial"/>
                <w:color w:val="000000"/>
                <w:szCs w:val="20"/>
              </w:rPr>
            </w:pPr>
            <w:r w:rsidRPr="008A3B29">
              <w:rPr>
                <w:rFonts w:cs="Arial"/>
                <w:color w:val="3A3A3A"/>
                <w:szCs w:val="20"/>
              </w:rPr>
              <w:t>73.1</w:t>
            </w:r>
          </w:p>
        </w:tc>
        <w:tc>
          <w:tcPr>
            <w:tcW w:w="642" w:type="pct"/>
            <w:tcBorders>
              <w:top w:val="single" w:sz="4" w:space="0" w:color="000000"/>
              <w:left w:val="single" w:sz="4" w:space="0" w:color="000000"/>
              <w:bottom w:val="single" w:sz="4" w:space="0" w:color="000000"/>
              <w:right w:val="single" w:sz="4" w:space="0" w:color="000000"/>
            </w:tcBorders>
            <w:vAlign w:val="center"/>
          </w:tcPr>
          <w:p w14:paraId="0F6BE42A" w14:textId="21DE36A3" w:rsidR="00374B95" w:rsidRPr="008A3B29" w:rsidRDefault="00374B95" w:rsidP="00C93CE4">
            <w:pPr>
              <w:spacing w:line="288" w:lineRule="auto"/>
              <w:ind w:left="57"/>
              <w:jc w:val="center"/>
              <w:rPr>
                <w:rFonts w:cs="Arial"/>
                <w:color w:val="000000"/>
                <w:szCs w:val="20"/>
              </w:rPr>
            </w:pPr>
            <w:r w:rsidRPr="008A3B29">
              <w:rPr>
                <w:rFonts w:cs="Arial"/>
                <w:color w:val="3A3A3A"/>
                <w:szCs w:val="20"/>
              </w:rPr>
              <w:t>80.</w:t>
            </w:r>
            <w:r w:rsidR="007E1462" w:rsidRPr="008A3B29">
              <w:rPr>
                <w:rFonts w:cs="Arial"/>
                <w:color w:val="3A3A3A"/>
                <w:szCs w:val="20"/>
              </w:rPr>
              <w:t>2</w:t>
            </w:r>
          </w:p>
        </w:tc>
      </w:tr>
      <w:tr w:rsidR="00374B95" w:rsidRPr="005A3AFE" w14:paraId="0248101A" w14:textId="0BF31A0C"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1B924569" w14:textId="7DD7C359" w:rsidR="00374B95" w:rsidRPr="008A3B29" w:rsidRDefault="00A11753" w:rsidP="00C93CE4">
            <w:pPr>
              <w:spacing w:line="288" w:lineRule="auto"/>
              <w:ind w:left="57"/>
              <w:rPr>
                <w:rFonts w:cs="Arial"/>
                <w:szCs w:val="20"/>
              </w:rPr>
            </w:pPr>
            <w:r w:rsidRPr="008A3B29">
              <w:rPr>
                <w:rFonts w:cs="Arial"/>
                <w:b/>
                <w:szCs w:val="20"/>
              </w:rPr>
              <w:t>Study mode</w:t>
            </w:r>
            <w:r>
              <w:rPr>
                <w:rFonts w:cs="Arial"/>
                <w:b/>
                <w:szCs w:val="20"/>
              </w:rPr>
              <w:t xml:space="preserve">: </w:t>
            </w:r>
            <w:r w:rsidR="00374B95" w:rsidRPr="008A3B29">
              <w:rPr>
                <w:rFonts w:cs="Arial"/>
                <w:szCs w:val="20"/>
              </w:rPr>
              <w:t>External study mode</w:t>
            </w:r>
          </w:p>
        </w:tc>
        <w:tc>
          <w:tcPr>
            <w:tcW w:w="392" w:type="pct"/>
            <w:tcBorders>
              <w:top w:val="single" w:sz="4" w:space="0" w:color="000000"/>
              <w:left w:val="single" w:sz="4" w:space="0" w:color="000000"/>
              <w:bottom w:val="single" w:sz="4" w:space="0" w:color="000000"/>
              <w:right w:val="single" w:sz="4" w:space="0" w:color="000000"/>
            </w:tcBorders>
            <w:vAlign w:val="center"/>
          </w:tcPr>
          <w:p w14:paraId="557D9FCA" w14:textId="6B0AAED7" w:rsidR="00374B95" w:rsidRPr="008A3B29" w:rsidRDefault="007E1462" w:rsidP="00C93CE4">
            <w:pPr>
              <w:spacing w:line="288" w:lineRule="auto"/>
              <w:ind w:left="57"/>
              <w:jc w:val="center"/>
              <w:rPr>
                <w:rFonts w:cs="Arial"/>
                <w:szCs w:val="20"/>
              </w:rPr>
            </w:pPr>
            <w:r w:rsidRPr="008A3B29">
              <w:rPr>
                <w:rFonts w:cs="Arial"/>
                <w:color w:val="3A3A3A"/>
                <w:szCs w:val="20"/>
              </w:rPr>
              <w:t>85.3</w:t>
            </w:r>
          </w:p>
        </w:tc>
        <w:tc>
          <w:tcPr>
            <w:tcW w:w="392" w:type="pct"/>
            <w:tcBorders>
              <w:top w:val="single" w:sz="4" w:space="0" w:color="000000"/>
              <w:left w:val="single" w:sz="4" w:space="0" w:color="000000"/>
              <w:bottom w:val="single" w:sz="4" w:space="0" w:color="000000"/>
              <w:right w:val="single" w:sz="4" w:space="0" w:color="000000"/>
            </w:tcBorders>
            <w:vAlign w:val="center"/>
          </w:tcPr>
          <w:p w14:paraId="4F67EFA2" w14:textId="6D58E4EE" w:rsidR="00374B95" w:rsidRPr="008A3B29" w:rsidRDefault="007E1462" w:rsidP="00C93CE4">
            <w:pPr>
              <w:spacing w:line="288" w:lineRule="auto"/>
              <w:ind w:left="57"/>
              <w:jc w:val="center"/>
              <w:rPr>
                <w:rFonts w:cs="Arial"/>
                <w:szCs w:val="20"/>
              </w:rPr>
            </w:pPr>
            <w:r w:rsidRPr="008A3B29">
              <w:rPr>
                <w:rFonts w:cs="Arial"/>
                <w:color w:val="3A3A3A"/>
                <w:szCs w:val="20"/>
              </w:rPr>
              <w:t>93.1</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60FF3A" w14:textId="47E7E2DA" w:rsidR="00374B95" w:rsidRPr="008A3B29" w:rsidRDefault="007E1462" w:rsidP="00C93CE4">
            <w:pPr>
              <w:spacing w:line="288" w:lineRule="auto"/>
              <w:ind w:left="57"/>
              <w:jc w:val="center"/>
              <w:rPr>
                <w:rFonts w:cs="Arial"/>
                <w:szCs w:val="20"/>
              </w:rPr>
            </w:pPr>
            <w:r w:rsidRPr="008A3B29">
              <w:rPr>
                <w:rFonts w:cs="Arial"/>
                <w:color w:val="3A3A3A"/>
                <w:szCs w:val="20"/>
              </w:rPr>
              <w:t>90.9</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2C4B0E" w14:textId="02DAFB74" w:rsidR="00374B95" w:rsidRPr="008A3B29" w:rsidRDefault="007E1462" w:rsidP="00C93CE4">
            <w:pPr>
              <w:spacing w:line="288" w:lineRule="auto"/>
              <w:ind w:left="57"/>
              <w:jc w:val="center"/>
              <w:rPr>
                <w:rFonts w:cs="Arial"/>
                <w:szCs w:val="20"/>
              </w:rPr>
            </w:pPr>
            <w:r w:rsidRPr="008A3B29">
              <w:rPr>
                <w:rFonts w:cs="Arial"/>
                <w:color w:val="3A3A3A"/>
                <w:szCs w:val="20"/>
              </w:rPr>
              <w:t>95.2</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484301" w14:textId="18492BC7" w:rsidR="00374B95" w:rsidRPr="008A3B29" w:rsidRDefault="007E1462" w:rsidP="00C93CE4">
            <w:pPr>
              <w:spacing w:line="288" w:lineRule="auto"/>
              <w:ind w:left="57"/>
              <w:jc w:val="center"/>
              <w:rPr>
                <w:rFonts w:cs="Arial"/>
                <w:szCs w:val="20"/>
              </w:rPr>
            </w:pPr>
            <w:r w:rsidRPr="008A3B29">
              <w:rPr>
                <w:rFonts w:cs="Arial"/>
                <w:color w:val="3A3A3A"/>
                <w:szCs w:val="20"/>
              </w:rPr>
              <w:t>92.0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3F8549" w14:textId="7527A440" w:rsidR="00374B95" w:rsidRPr="008A3B29" w:rsidRDefault="007E1462" w:rsidP="00C93CE4">
            <w:pPr>
              <w:spacing w:line="288" w:lineRule="auto"/>
              <w:ind w:left="57"/>
              <w:jc w:val="center"/>
              <w:rPr>
                <w:rFonts w:cs="Arial"/>
                <w:szCs w:val="20"/>
              </w:rPr>
            </w:pPr>
            <w:r w:rsidRPr="008A3B29">
              <w:rPr>
                <w:rFonts w:cs="Arial"/>
                <w:color w:val="3A3A3A"/>
                <w:szCs w:val="20"/>
              </w:rPr>
              <w:t>88.4</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5E9082E" w14:textId="6A04C678" w:rsidR="00374B95" w:rsidRPr="008A3B29" w:rsidRDefault="007E1462" w:rsidP="00C93CE4">
            <w:pPr>
              <w:spacing w:line="288" w:lineRule="auto"/>
              <w:ind w:left="57"/>
              <w:jc w:val="center"/>
              <w:rPr>
                <w:rFonts w:cs="Arial"/>
                <w:szCs w:val="20"/>
              </w:rPr>
            </w:pPr>
            <w:r w:rsidRPr="008A3B29">
              <w:rPr>
                <w:rFonts w:cs="Arial"/>
                <w:color w:val="3A3A3A"/>
                <w:szCs w:val="20"/>
              </w:rPr>
              <w:t>77,600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7EB8B33" w14:textId="0BCA323A" w:rsidR="00374B95" w:rsidRPr="008A3B29" w:rsidRDefault="007E1462" w:rsidP="00C93CE4">
            <w:pPr>
              <w:spacing w:line="288" w:lineRule="auto"/>
              <w:ind w:left="57"/>
              <w:jc w:val="center"/>
              <w:rPr>
                <w:rFonts w:cs="Arial"/>
                <w:szCs w:val="20"/>
              </w:rPr>
            </w:pPr>
            <w:r w:rsidRPr="008A3B29">
              <w:rPr>
                <w:rFonts w:cs="Arial"/>
                <w:color w:val="3A3A3A"/>
                <w:szCs w:val="20"/>
              </w:rPr>
              <w:t>100,000</w:t>
            </w:r>
          </w:p>
        </w:tc>
        <w:tc>
          <w:tcPr>
            <w:tcW w:w="610" w:type="pct"/>
            <w:tcBorders>
              <w:top w:val="single" w:sz="4" w:space="0" w:color="000000"/>
              <w:left w:val="single" w:sz="4" w:space="0" w:color="000000"/>
              <w:bottom w:val="single" w:sz="4" w:space="0" w:color="000000"/>
              <w:right w:val="single" w:sz="4" w:space="0" w:color="000000"/>
            </w:tcBorders>
            <w:vAlign w:val="center"/>
          </w:tcPr>
          <w:p w14:paraId="078A3A6A" w14:textId="74704DC8" w:rsidR="00374B95" w:rsidRPr="008A3B29" w:rsidRDefault="007E1462" w:rsidP="00C93CE4">
            <w:pPr>
              <w:spacing w:line="288" w:lineRule="auto"/>
              <w:ind w:left="57"/>
              <w:jc w:val="center"/>
              <w:rPr>
                <w:rFonts w:cs="Arial"/>
                <w:color w:val="000000"/>
                <w:szCs w:val="20"/>
              </w:rPr>
            </w:pPr>
            <w:r w:rsidRPr="008A3B29">
              <w:rPr>
                <w:rFonts w:cs="Arial"/>
                <w:color w:val="3A3A3A"/>
                <w:szCs w:val="20"/>
              </w:rPr>
              <w:t>63.2</w:t>
            </w:r>
          </w:p>
        </w:tc>
        <w:tc>
          <w:tcPr>
            <w:tcW w:w="642" w:type="pct"/>
            <w:tcBorders>
              <w:top w:val="single" w:sz="4" w:space="0" w:color="000000"/>
              <w:left w:val="single" w:sz="4" w:space="0" w:color="000000"/>
              <w:bottom w:val="single" w:sz="4" w:space="0" w:color="000000"/>
              <w:right w:val="single" w:sz="4" w:space="0" w:color="000000"/>
            </w:tcBorders>
            <w:vAlign w:val="center"/>
          </w:tcPr>
          <w:p w14:paraId="083AE926" w14:textId="1ECB22D9" w:rsidR="00374B95" w:rsidRPr="008A3B29" w:rsidRDefault="007E1462" w:rsidP="00C93CE4">
            <w:pPr>
              <w:spacing w:line="288" w:lineRule="auto"/>
              <w:ind w:left="57"/>
              <w:jc w:val="center"/>
              <w:rPr>
                <w:rFonts w:cs="Arial"/>
                <w:color w:val="000000"/>
                <w:szCs w:val="20"/>
              </w:rPr>
            </w:pPr>
            <w:r w:rsidRPr="008A3B29">
              <w:rPr>
                <w:rFonts w:cs="Arial"/>
                <w:color w:val="3A3A3A"/>
                <w:szCs w:val="20"/>
              </w:rPr>
              <w:t>73.9</w:t>
            </w:r>
          </w:p>
        </w:tc>
      </w:tr>
      <w:tr w:rsidR="00374B95" w:rsidRPr="005A3AFE" w14:paraId="6DE4D6A4" w14:textId="654CB2E1"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32FE0957" w14:textId="70DBC9E0" w:rsidR="00374B95" w:rsidRPr="008A3B29" w:rsidRDefault="00A11753" w:rsidP="00C93CE4">
            <w:pPr>
              <w:spacing w:line="288" w:lineRule="auto"/>
              <w:ind w:left="57"/>
              <w:rPr>
                <w:rFonts w:cs="Arial"/>
                <w:szCs w:val="20"/>
              </w:rPr>
            </w:pPr>
            <w:r w:rsidRPr="008A3B29">
              <w:rPr>
                <w:rFonts w:cs="Arial"/>
                <w:b/>
                <w:szCs w:val="20"/>
              </w:rPr>
              <w:t>Gender</w:t>
            </w:r>
            <w:r>
              <w:rPr>
                <w:rFonts w:cs="Arial"/>
                <w:b/>
                <w:szCs w:val="20"/>
              </w:rPr>
              <w:t xml:space="preserve">: </w:t>
            </w:r>
            <w:r>
              <w:rPr>
                <w:rFonts w:cs="Arial"/>
                <w:b/>
                <w:szCs w:val="20"/>
              </w:rPr>
              <w:br/>
            </w:r>
            <w:r w:rsidR="00374B95" w:rsidRPr="008A3B29">
              <w:rPr>
                <w:rFonts w:cs="Arial"/>
                <w:szCs w:val="20"/>
              </w:rPr>
              <w:t>Male</w:t>
            </w:r>
          </w:p>
        </w:tc>
        <w:tc>
          <w:tcPr>
            <w:tcW w:w="392" w:type="pct"/>
            <w:tcBorders>
              <w:top w:val="single" w:sz="4" w:space="0" w:color="000000"/>
              <w:left w:val="single" w:sz="4" w:space="0" w:color="000000"/>
              <w:bottom w:val="single" w:sz="4" w:space="0" w:color="000000"/>
              <w:right w:val="single" w:sz="4" w:space="0" w:color="000000"/>
            </w:tcBorders>
            <w:vAlign w:val="center"/>
          </w:tcPr>
          <w:p w14:paraId="56B90C32" w14:textId="7795B2A2" w:rsidR="00374B95" w:rsidRPr="008A3B29" w:rsidRDefault="0059672C" w:rsidP="00C93CE4">
            <w:pPr>
              <w:spacing w:line="288" w:lineRule="auto"/>
              <w:ind w:left="57"/>
              <w:jc w:val="center"/>
              <w:rPr>
                <w:rFonts w:cs="Arial"/>
                <w:szCs w:val="20"/>
              </w:rPr>
            </w:pPr>
            <w:r w:rsidRPr="008A3B29">
              <w:rPr>
                <w:rFonts w:cs="Arial"/>
                <w:color w:val="3A3A3A"/>
                <w:szCs w:val="20"/>
              </w:rPr>
              <w:t>79.4</w:t>
            </w:r>
          </w:p>
        </w:tc>
        <w:tc>
          <w:tcPr>
            <w:tcW w:w="392" w:type="pct"/>
            <w:tcBorders>
              <w:top w:val="single" w:sz="4" w:space="0" w:color="000000"/>
              <w:left w:val="single" w:sz="4" w:space="0" w:color="000000"/>
              <w:bottom w:val="single" w:sz="4" w:space="0" w:color="000000"/>
              <w:right w:val="single" w:sz="4" w:space="0" w:color="000000"/>
            </w:tcBorders>
            <w:vAlign w:val="center"/>
          </w:tcPr>
          <w:p w14:paraId="1415BFD8" w14:textId="35280E14" w:rsidR="00374B95" w:rsidRPr="008A3B29" w:rsidRDefault="00374B95" w:rsidP="00C93CE4">
            <w:pPr>
              <w:spacing w:line="288" w:lineRule="auto"/>
              <w:ind w:left="57"/>
              <w:jc w:val="center"/>
              <w:rPr>
                <w:rFonts w:cs="Arial"/>
                <w:szCs w:val="20"/>
              </w:rPr>
            </w:pPr>
            <w:r w:rsidRPr="008A3B29">
              <w:rPr>
                <w:rFonts w:cs="Arial"/>
                <w:color w:val="3A3A3A"/>
                <w:szCs w:val="20"/>
              </w:rPr>
              <w:t>91.</w:t>
            </w:r>
            <w:r w:rsidR="0059672C" w:rsidRPr="008A3B29">
              <w:rPr>
                <w:rFonts w:cs="Arial"/>
                <w:color w:val="3A3A3A"/>
                <w:szCs w:val="20"/>
              </w:rPr>
              <w:t>7</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6D879B" w14:textId="08C967E4" w:rsidR="00374B95" w:rsidRPr="008A3B29" w:rsidRDefault="0059672C" w:rsidP="00C93CE4">
            <w:pPr>
              <w:spacing w:line="288" w:lineRule="auto"/>
              <w:ind w:left="57"/>
              <w:jc w:val="center"/>
              <w:rPr>
                <w:rFonts w:cs="Arial"/>
                <w:szCs w:val="20"/>
              </w:rPr>
            </w:pPr>
            <w:r w:rsidRPr="008A3B29">
              <w:rPr>
                <w:rFonts w:cs="Arial"/>
                <w:color w:val="3A3A3A"/>
                <w:szCs w:val="20"/>
              </w:rPr>
              <w:t>87.7</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1F7F963" w14:textId="62BB4A6D" w:rsidR="00374B95" w:rsidRPr="008A3B29" w:rsidRDefault="00374B95" w:rsidP="00C93CE4">
            <w:pPr>
              <w:spacing w:line="288" w:lineRule="auto"/>
              <w:ind w:left="57"/>
              <w:jc w:val="center"/>
              <w:rPr>
                <w:rFonts w:cs="Arial"/>
                <w:szCs w:val="20"/>
              </w:rPr>
            </w:pPr>
            <w:r w:rsidRPr="008A3B29">
              <w:rPr>
                <w:rFonts w:cs="Arial"/>
                <w:color w:val="3A3A3A"/>
                <w:szCs w:val="20"/>
              </w:rPr>
              <w:t>93.</w:t>
            </w:r>
            <w:r w:rsidR="0059672C" w:rsidRPr="008A3B29">
              <w:rPr>
                <w:rFonts w:cs="Arial"/>
                <w:color w:val="3A3A3A"/>
                <w:szCs w:val="20"/>
              </w:rPr>
              <w:t>7</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2707A9" w14:textId="4BCDD6EF" w:rsidR="00374B95" w:rsidRPr="008A3B29" w:rsidRDefault="0059672C" w:rsidP="00C93CE4">
            <w:pPr>
              <w:spacing w:line="288" w:lineRule="auto"/>
              <w:ind w:left="57"/>
              <w:jc w:val="center"/>
              <w:rPr>
                <w:rFonts w:cs="Arial"/>
                <w:szCs w:val="20"/>
              </w:rPr>
            </w:pPr>
            <w:r w:rsidRPr="008A3B29">
              <w:rPr>
                <w:rFonts w:cs="Arial"/>
                <w:color w:val="3A3A3A"/>
                <w:szCs w:val="20"/>
              </w:rPr>
              <w:t>92.8</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5D96D1" w14:textId="5CA7DC8A" w:rsidR="00374B95" w:rsidRPr="008A3B29" w:rsidRDefault="0059672C" w:rsidP="00C93CE4">
            <w:pPr>
              <w:spacing w:line="288" w:lineRule="auto"/>
              <w:ind w:left="57"/>
              <w:jc w:val="center"/>
              <w:rPr>
                <w:rFonts w:cs="Arial"/>
                <w:szCs w:val="20"/>
              </w:rPr>
            </w:pPr>
            <w:r w:rsidRPr="008A3B29">
              <w:rPr>
                <w:rFonts w:cs="Arial"/>
                <w:color w:val="3A3A3A"/>
                <w:szCs w:val="20"/>
              </w:rPr>
              <w:t>90</w:t>
            </w:r>
            <w:r w:rsidR="00374B95" w:rsidRPr="008A3B29">
              <w:rPr>
                <w:rFonts w:cs="Arial"/>
                <w:color w:val="3A3A3A"/>
                <w:szCs w:val="20"/>
              </w:rPr>
              <w:t>.1</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6FB827" w14:textId="417C8ACF" w:rsidR="00374B95" w:rsidRPr="008A3B29" w:rsidRDefault="0059672C" w:rsidP="00C93CE4">
            <w:pPr>
              <w:spacing w:line="288" w:lineRule="auto"/>
              <w:ind w:left="57"/>
              <w:jc w:val="center"/>
              <w:rPr>
                <w:rFonts w:cs="Arial"/>
                <w:szCs w:val="20"/>
              </w:rPr>
            </w:pPr>
            <w:r w:rsidRPr="008A3B29">
              <w:rPr>
                <w:rFonts w:cs="Arial"/>
                <w:color w:val="3A3A3A"/>
                <w:szCs w:val="20"/>
              </w:rPr>
              <w:t>74</w:t>
            </w:r>
            <w:r w:rsidR="00374B95" w:rsidRPr="008A3B29">
              <w:rPr>
                <w:rFonts w:cs="Arial"/>
                <w:color w:val="3A3A3A"/>
                <w:szCs w:val="20"/>
              </w:rPr>
              <w:t>,000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F87D1F" w14:textId="51F8F4D4" w:rsidR="00374B95" w:rsidRPr="008A3B29" w:rsidRDefault="0059672C" w:rsidP="00C93CE4">
            <w:pPr>
              <w:spacing w:line="288" w:lineRule="auto"/>
              <w:ind w:left="57"/>
              <w:jc w:val="center"/>
              <w:rPr>
                <w:rFonts w:cs="Arial"/>
                <w:szCs w:val="20"/>
              </w:rPr>
            </w:pPr>
            <w:r w:rsidRPr="008A3B29">
              <w:rPr>
                <w:rFonts w:cs="Arial"/>
                <w:color w:val="3A3A3A"/>
                <w:szCs w:val="20"/>
              </w:rPr>
              <w:t>99</w:t>
            </w:r>
            <w:r w:rsidR="00374B95" w:rsidRPr="008A3B29">
              <w:rPr>
                <w:rFonts w:cs="Arial"/>
                <w:color w:val="3A3A3A"/>
                <w:szCs w:val="20"/>
              </w:rPr>
              <w:t>,000</w:t>
            </w:r>
          </w:p>
        </w:tc>
        <w:tc>
          <w:tcPr>
            <w:tcW w:w="610" w:type="pct"/>
            <w:tcBorders>
              <w:top w:val="single" w:sz="4" w:space="0" w:color="000000"/>
              <w:left w:val="single" w:sz="4" w:space="0" w:color="000000"/>
              <w:bottom w:val="single" w:sz="4" w:space="0" w:color="000000"/>
              <w:right w:val="single" w:sz="4" w:space="0" w:color="000000"/>
            </w:tcBorders>
            <w:vAlign w:val="center"/>
          </w:tcPr>
          <w:p w14:paraId="2AA852EA" w14:textId="4D72C8BD" w:rsidR="00374B95" w:rsidRPr="008A3B29" w:rsidRDefault="00374B95" w:rsidP="00C93CE4">
            <w:pPr>
              <w:spacing w:line="288" w:lineRule="auto"/>
              <w:ind w:left="57"/>
              <w:jc w:val="center"/>
              <w:rPr>
                <w:rFonts w:cs="Arial"/>
                <w:color w:val="000000"/>
                <w:szCs w:val="20"/>
              </w:rPr>
            </w:pPr>
            <w:r w:rsidRPr="008A3B29">
              <w:rPr>
                <w:rFonts w:cs="Arial"/>
                <w:color w:val="3A3A3A"/>
                <w:szCs w:val="20"/>
              </w:rPr>
              <w:t>72.</w:t>
            </w:r>
            <w:r w:rsidR="0059672C" w:rsidRPr="008A3B29">
              <w:rPr>
                <w:rFonts w:cs="Arial"/>
                <w:color w:val="3A3A3A"/>
                <w:szCs w:val="20"/>
              </w:rPr>
              <w:t>8</w:t>
            </w:r>
          </w:p>
        </w:tc>
        <w:tc>
          <w:tcPr>
            <w:tcW w:w="642" w:type="pct"/>
            <w:tcBorders>
              <w:top w:val="single" w:sz="4" w:space="0" w:color="000000"/>
              <w:left w:val="single" w:sz="4" w:space="0" w:color="000000"/>
              <w:bottom w:val="single" w:sz="4" w:space="0" w:color="000000"/>
              <w:right w:val="single" w:sz="4" w:space="0" w:color="000000"/>
            </w:tcBorders>
            <w:vAlign w:val="center"/>
          </w:tcPr>
          <w:p w14:paraId="4A774B76" w14:textId="5D8BBFD4" w:rsidR="00374B95" w:rsidRPr="008A3B29" w:rsidRDefault="0059672C" w:rsidP="00C93CE4">
            <w:pPr>
              <w:spacing w:line="288" w:lineRule="auto"/>
              <w:ind w:left="57"/>
              <w:jc w:val="center"/>
              <w:rPr>
                <w:rFonts w:cs="Arial"/>
                <w:color w:val="000000"/>
                <w:szCs w:val="20"/>
              </w:rPr>
            </w:pPr>
            <w:r w:rsidRPr="008A3B29">
              <w:rPr>
                <w:rFonts w:cs="Arial"/>
                <w:color w:val="3A3A3A"/>
                <w:szCs w:val="20"/>
              </w:rPr>
              <w:t>79.3</w:t>
            </w:r>
          </w:p>
        </w:tc>
      </w:tr>
      <w:tr w:rsidR="00374B95" w:rsidRPr="005A3AFE" w14:paraId="4E0C7BF2" w14:textId="373B707A"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7F0B3D3F" w14:textId="10AA2A55" w:rsidR="00374B95" w:rsidRPr="008A3B29" w:rsidRDefault="00A11753" w:rsidP="00C93CE4">
            <w:pPr>
              <w:spacing w:line="288" w:lineRule="auto"/>
              <w:ind w:left="57"/>
              <w:rPr>
                <w:rFonts w:cs="Arial"/>
                <w:szCs w:val="20"/>
              </w:rPr>
            </w:pPr>
            <w:r w:rsidRPr="008A3B29">
              <w:rPr>
                <w:rFonts w:cs="Arial"/>
                <w:b/>
                <w:szCs w:val="20"/>
              </w:rPr>
              <w:t>Gender</w:t>
            </w:r>
            <w:r>
              <w:rPr>
                <w:rFonts w:cs="Arial"/>
                <w:b/>
                <w:szCs w:val="20"/>
              </w:rPr>
              <w:t xml:space="preserve">: </w:t>
            </w:r>
            <w:r w:rsidR="00374B95" w:rsidRPr="008A3B29">
              <w:rPr>
                <w:rFonts w:cs="Arial"/>
                <w:szCs w:val="20"/>
              </w:rPr>
              <w:t>Female</w:t>
            </w:r>
          </w:p>
        </w:tc>
        <w:tc>
          <w:tcPr>
            <w:tcW w:w="392" w:type="pct"/>
            <w:tcBorders>
              <w:top w:val="single" w:sz="4" w:space="0" w:color="000000"/>
              <w:left w:val="single" w:sz="4" w:space="0" w:color="000000"/>
              <w:bottom w:val="single" w:sz="4" w:space="0" w:color="000000"/>
              <w:right w:val="single" w:sz="4" w:space="0" w:color="000000"/>
            </w:tcBorders>
            <w:vAlign w:val="center"/>
          </w:tcPr>
          <w:p w14:paraId="6D399AD6" w14:textId="3E306B14" w:rsidR="00374B95" w:rsidRPr="008A3B29" w:rsidRDefault="00374B95" w:rsidP="00C93CE4">
            <w:pPr>
              <w:spacing w:line="288" w:lineRule="auto"/>
              <w:ind w:left="57"/>
              <w:jc w:val="center"/>
              <w:rPr>
                <w:rFonts w:cs="Arial"/>
                <w:szCs w:val="20"/>
              </w:rPr>
            </w:pPr>
            <w:r w:rsidRPr="008A3B29">
              <w:rPr>
                <w:rFonts w:cs="Arial"/>
                <w:color w:val="3A3A3A"/>
                <w:szCs w:val="20"/>
              </w:rPr>
              <w:t>80.</w:t>
            </w:r>
            <w:r w:rsidR="0059672C" w:rsidRPr="008A3B29">
              <w:rPr>
                <w:rFonts w:cs="Arial"/>
                <w:color w:val="3A3A3A"/>
                <w:szCs w:val="20"/>
              </w:rPr>
              <w:t>7</w:t>
            </w:r>
          </w:p>
        </w:tc>
        <w:tc>
          <w:tcPr>
            <w:tcW w:w="392" w:type="pct"/>
            <w:tcBorders>
              <w:top w:val="single" w:sz="4" w:space="0" w:color="000000"/>
              <w:left w:val="single" w:sz="4" w:space="0" w:color="000000"/>
              <w:bottom w:val="single" w:sz="4" w:space="0" w:color="000000"/>
              <w:right w:val="single" w:sz="4" w:space="0" w:color="000000"/>
            </w:tcBorders>
            <w:vAlign w:val="center"/>
          </w:tcPr>
          <w:p w14:paraId="55F5F4CF" w14:textId="311D2037" w:rsidR="00374B95" w:rsidRPr="008A3B29" w:rsidRDefault="0059672C" w:rsidP="00C93CE4">
            <w:pPr>
              <w:spacing w:line="288" w:lineRule="auto"/>
              <w:ind w:left="57"/>
              <w:jc w:val="center"/>
              <w:rPr>
                <w:rFonts w:cs="Arial"/>
                <w:szCs w:val="20"/>
              </w:rPr>
            </w:pPr>
            <w:r w:rsidRPr="008A3B29">
              <w:rPr>
                <w:rFonts w:cs="Arial"/>
                <w:color w:val="3A3A3A"/>
                <w:szCs w:val="20"/>
              </w:rPr>
              <w:t>91.9</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7BD86C9" w14:textId="0330EB4D" w:rsidR="00374B95" w:rsidRPr="008A3B29" w:rsidRDefault="0059672C" w:rsidP="00C93CE4">
            <w:pPr>
              <w:spacing w:line="288" w:lineRule="auto"/>
              <w:ind w:left="57"/>
              <w:jc w:val="center"/>
              <w:rPr>
                <w:rFonts w:cs="Arial"/>
                <w:szCs w:val="20"/>
              </w:rPr>
            </w:pPr>
            <w:r w:rsidRPr="008A3B29">
              <w:rPr>
                <w:rFonts w:cs="Arial"/>
                <w:color w:val="3A3A3A"/>
                <w:szCs w:val="20"/>
              </w:rPr>
              <w:t>91.1</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E8A1D7" w14:textId="015488C6" w:rsidR="00374B95" w:rsidRPr="008A3B29" w:rsidRDefault="00374B95" w:rsidP="00C93CE4">
            <w:pPr>
              <w:spacing w:line="288" w:lineRule="auto"/>
              <w:ind w:left="57"/>
              <w:jc w:val="center"/>
              <w:rPr>
                <w:rFonts w:cs="Arial"/>
                <w:szCs w:val="20"/>
              </w:rPr>
            </w:pPr>
            <w:r w:rsidRPr="008A3B29">
              <w:rPr>
                <w:rFonts w:cs="Arial"/>
                <w:color w:val="3A3A3A"/>
                <w:szCs w:val="20"/>
              </w:rPr>
              <w:t>95.</w:t>
            </w:r>
            <w:r w:rsidR="0059672C" w:rsidRPr="008A3B29">
              <w:rPr>
                <w:rFonts w:cs="Arial"/>
                <w:color w:val="3A3A3A"/>
                <w:szCs w:val="20"/>
              </w:rPr>
              <w:t>0</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958043" w14:textId="2DD4A852" w:rsidR="00374B95" w:rsidRPr="008A3B29" w:rsidRDefault="0059672C" w:rsidP="00C93CE4">
            <w:pPr>
              <w:spacing w:line="288" w:lineRule="auto"/>
              <w:ind w:left="57"/>
              <w:jc w:val="center"/>
              <w:rPr>
                <w:rFonts w:cs="Arial"/>
                <w:szCs w:val="20"/>
              </w:rPr>
            </w:pPr>
            <w:r w:rsidRPr="008A3B29">
              <w:rPr>
                <w:rFonts w:cs="Arial"/>
                <w:color w:val="3A3A3A"/>
                <w:szCs w:val="20"/>
              </w:rPr>
              <w:t>93.1</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6644EF" w14:textId="7E2A32C1" w:rsidR="00374B95" w:rsidRPr="008A3B29" w:rsidRDefault="0059672C" w:rsidP="00C93CE4">
            <w:pPr>
              <w:spacing w:line="288" w:lineRule="auto"/>
              <w:ind w:left="57"/>
              <w:jc w:val="center"/>
              <w:rPr>
                <w:rFonts w:cs="Arial"/>
                <w:szCs w:val="20"/>
              </w:rPr>
            </w:pPr>
            <w:r w:rsidRPr="008A3B29">
              <w:rPr>
                <w:rFonts w:cs="Arial"/>
                <w:color w:val="3A3A3A"/>
                <w:szCs w:val="20"/>
              </w:rPr>
              <w:t>89.8</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6F6050" w14:textId="34982812" w:rsidR="00374B95" w:rsidRPr="008A3B29" w:rsidRDefault="0059672C" w:rsidP="00C93CE4">
            <w:pPr>
              <w:spacing w:line="288" w:lineRule="auto"/>
              <w:ind w:left="57"/>
              <w:jc w:val="center"/>
              <w:rPr>
                <w:rFonts w:cs="Arial"/>
                <w:szCs w:val="20"/>
              </w:rPr>
            </w:pPr>
            <w:r w:rsidRPr="008A3B29">
              <w:rPr>
                <w:rFonts w:cs="Arial"/>
                <w:color w:val="3A3A3A"/>
                <w:szCs w:val="20"/>
              </w:rPr>
              <w:t>70</w:t>
            </w:r>
            <w:r w:rsidR="00374B95" w:rsidRPr="008A3B29">
              <w:rPr>
                <w:rFonts w:cs="Arial"/>
                <w:color w:val="3A3A3A"/>
                <w:szCs w:val="20"/>
              </w:rPr>
              <w:t>,100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CEAE97" w14:textId="35805652" w:rsidR="00374B95" w:rsidRPr="008A3B29" w:rsidRDefault="0059672C" w:rsidP="00C93CE4">
            <w:pPr>
              <w:spacing w:line="288" w:lineRule="auto"/>
              <w:ind w:left="57"/>
              <w:jc w:val="center"/>
              <w:rPr>
                <w:rFonts w:cs="Arial"/>
                <w:szCs w:val="20"/>
              </w:rPr>
            </w:pPr>
            <w:r w:rsidRPr="008A3B29">
              <w:rPr>
                <w:rFonts w:cs="Arial"/>
                <w:color w:val="3A3A3A"/>
                <w:szCs w:val="20"/>
              </w:rPr>
              <w:t>91,000</w:t>
            </w:r>
          </w:p>
        </w:tc>
        <w:tc>
          <w:tcPr>
            <w:tcW w:w="610" w:type="pct"/>
            <w:tcBorders>
              <w:top w:val="single" w:sz="4" w:space="0" w:color="000000"/>
              <w:left w:val="single" w:sz="4" w:space="0" w:color="000000"/>
              <w:bottom w:val="single" w:sz="4" w:space="0" w:color="000000"/>
              <w:right w:val="single" w:sz="4" w:space="0" w:color="000000"/>
            </w:tcBorders>
            <w:vAlign w:val="center"/>
          </w:tcPr>
          <w:p w14:paraId="05FD57EA" w14:textId="1675B4CC" w:rsidR="00374B95" w:rsidRPr="008A3B29" w:rsidRDefault="00374B95" w:rsidP="00C93CE4">
            <w:pPr>
              <w:spacing w:line="288" w:lineRule="auto"/>
              <w:ind w:left="57"/>
              <w:jc w:val="center"/>
              <w:rPr>
                <w:rFonts w:cs="Arial"/>
                <w:color w:val="000000"/>
                <w:szCs w:val="20"/>
              </w:rPr>
            </w:pPr>
            <w:r w:rsidRPr="008A3B29">
              <w:rPr>
                <w:rFonts w:cs="Arial"/>
                <w:color w:val="3A3A3A"/>
                <w:szCs w:val="20"/>
              </w:rPr>
              <w:t>69.</w:t>
            </w:r>
            <w:r w:rsidR="0059672C" w:rsidRPr="008A3B29">
              <w:rPr>
                <w:rFonts w:cs="Arial"/>
                <w:color w:val="3A3A3A"/>
                <w:szCs w:val="20"/>
              </w:rPr>
              <w:t>4</w:t>
            </w:r>
          </w:p>
        </w:tc>
        <w:tc>
          <w:tcPr>
            <w:tcW w:w="642" w:type="pct"/>
            <w:tcBorders>
              <w:top w:val="single" w:sz="4" w:space="0" w:color="000000"/>
              <w:left w:val="single" w:sz="4" w:space="0" w:color="000000"/>
              <w:bottom w:val="single" w:sz="4" w:space="0" w:color="000000"/>
              <w:right w:val="single" w:sz="4" w:space="0" w:color="000000"/>
            </w:tcBorders>
            <w:vAlign w:val="center"/>
          </w:tcPr>
          <w:p w14:paraId="7E56D8C0" w14:textId="3BD4C0BD" w:rsidR="00374B95" w:rsidRPr="008A3B29" w:rsidRDefault="00374B95" w:rsidP="00C93CE4">
            <w:pPr>
              <w:spacing w:line="288" w:lineRule="auto"/>
              <w:ind w:left="57"/>
              <w:jc w:val="center"/>
              <w:rPr>
                <w:rFonts w:cs="Arial"/>
                <w:color w:val="000000"/>
                <w:szCs w:val="20"/>
              </w:rPr>
            </w:pPr>
            <w:r w:rsidRPr="008A3B29">
              <w:rPr>
                <w:rFonts w:cs="Arial"/>
                <w:color w:val="3A3A3A"/>
                <w:szCs w:val="20"/>
              </w:rPr>
              <w:t>78.</w:t>
            </w:r>
            <w:r w:rsidR="0059672C" w:rsidRPr="008A3B29">
              <w:rPr>
                <w:rFonts w:cs="Arial"/>
                <w:color w:val="3A3A3A"/>
                <w:szCs w:val="20"/>
              </w:rPr>
              <w:t>5</w:t>
            </w:r>
          </w:p>
        </w:tc>
      </w:tr>
      <w:tr w:rsidR="00374B95" w:rsidRPr="005A3AFE" w14:paraId="1987A014" w14:textId="059A08D2"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30F9DD9B" w14:textId="1BA4D003" w:rsidR="00374B95" w:rsidRPr="008A3B29" w:rsidRDefault="00A11753" w:rsidP="00C93CE4">
            <w:pPr>
              <w:spacing w:line="288" w:lineRule="auto"/>
              <w:ind w:left="57"/>
              <w:rPr>
                <w:rFonts w:cs="Arial"/>
                <w:szCs w:val="20"/>
              </w:rPr>
            </w:pPr>
            <w:r w:rsidRPr="008A3B29">
              <w:rPr>
                <w:rFonts w:cs="Arial"/>
                <w:b/>
                <w:szCs w:val="20"/>
              </w:rPr>
              <w:t>First Nations</w:t>
            </w:r>
            <w:r>
              <w:rPr>
                <w:rFonts w:cs="Arial"/>
                <w:b/>
                <w:szCs w:val="20"/>
              </w:rPr>
              <w:t xml:space="preserve">: </w:t>
            </w:r>
            <w:r w:rsidR="00374B95" w:rsidRPr="008A3B29">
              <w:rPr>
                <w:rFonts w:cs="Arial"/>
                <w:szCs w:val="20"/>
              </w:rPr>
              <w:t>First Nations</w:t>
            </w:r>
          </w:p>
        </w:tc>
        <w:tc>
          <w:tcPr>
            <w:tcW w:w="392" w:type="pct"/>
            <w:tcBorders>
              <w:top w:val="single" w:sz="4" w:space="0" w:color="000000"/>
              <w:left w:val="single" w:sz="4" w:space="0" w:color="000000"/>
              <w:bottom w:val="single" w:sz="4" w:space="0" w:color="000000"/>
              <w:right w:val="single" w:sz="4" w:space="0" w:color="000000"/>
            </w:tcBorders>
            <w:vAlign w:val="center"/>
          </w:tcPr>
          <w:p w14:paraId="7CB74012" w14:textId="67D77A93" w:rsidR="00374B95" w:rsidRPr="008A3B29" w:rsidRDefault="009737F1" w:rsidP="00C93CE4">
            <w:pPr>
              <w:spacing w:line="288" w:lineRule="auto"/>
              <w:ind w:left="57"/>
              <w:jc w:val="center"/>
              <w:rPr>
                <w:rFonts w:cs="Arial"/>
                <w:szCs w:val="20"/>
              </w:rPr>
            </w:pPr>
            <w:r w:rsidRPr="008A3B29">
              <w:rPr>
                <w:rFonts w:cs="Arial"/>
                <w:color w:val="3A3A3A"/>
                <w:szCs w:val="20"/>
              </w:rPr>
              <w:t>84.8</w:t>
            </w:r>
          </w:p>
        </w:tc>
        <w:tc>
          <w:tcPr>
            <w:tcW w:w="392" w:type="pct"/>
            <w:tcBorders>
              <w:top w:val="single" w:sz="4" w:space="0" w:color="000000"/>
              <w:left w:val="single" w:sz="4" w:space="0" w:color="000000"/>
              <w:bottom w:val="single" w:sz="4" w:space="0" w:color="000000"/>
              <w:right w:val="single" w:sz="4" w:space="0" w:color="000000"/>
            </w:tcBorders>
            <w:vAlign w:val="center"/>
          </w:tcPr>
          <w:p w14:paraId="1D21FEA8" w14:textId="50863869" w:rsidR="00374B95" w:rsidRPr="008A3B29" w:rsidRDefault="009737F1" w:rsidP="00C93CE4">
            <w:pPr>
              <w:spacing w:line="288" w:lineRule="auto"/>
              <w:ind w:left="57"/>
              <w:jc w:val="center"/>
              <w:rPr>
                <w:rFonts w:cs="Arial"/>
                <w:szCs w:val="20"/>
              </w:rPr>
            </w:pPr>
            <w:r w:rsidRPr="008A3B29">
              <w:rPr>
                <w:rFonts w:cs="Arial"/>
                <w:color w:val="3A3A3A"/>
                <w:szCs w:val="20"/>
              </w:rPr>
              <w:t>94.2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334048" w14:textId="482EFA46" w:rsidR="00374B95" w:rsidRPr="008A3B29" w:rsidRDefault="00374B95" w:rsidP="00C93CE4">
            <w:pPr>
              <w:spacing w:line="288" w:lineRule="auto"/>
              <w:ind w:left="57"/>
              <w:jc w:val="center"/>
              <w:rPr>
                <w:rFonts w:cs="Arial"/>
                <w:szCs w:val="20"/>
              </w:rPr>
            </w:pPr>
            <w:r w:rsidRPr="008A3B29">
              <w:rPr>
                <w:rFonts w:cs="Arial"/>
                <w:color w:val="3A3A3A"/>
                <w:szCs w:val="20"/>
              </w:rPr>
              <w:t>88.2</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35EE6A" w14:textId="4D441902" w:rsidR="00374B95" w:rsidRPr="008A3B29" w:rsidRDefault="00374B95" w:rsidP="00C93CE4">
            <w:pPr>
              <w:spacing w:line="288" w:lineRule="auto"/>
              <w:ind w:left="57"/>
              <w:jc w:val="center"/>
              <w:rPr>
                <w:rFonts w:cs="Arial"/>
                <w:szCs w:val="20"/>
              </w:rPr>
            </w:pPr>
            <w:r w:rsidRPr="008A3B29">
              <w:rPr>
                <w:rFonts w:cs="Arial"/>
                <w:color w:val="3A3A3A"/>
                <w:szCs w:val="20"/>
              </w:rPr>
              <w:t>94.</w:t>
            </w:r>
            <w:r w:rsidR="009737F1" w:rsidRPr="008A3B29">
              <w:rPr>
                <w:rFonts w:cs="Arial"/>
                <w:color w:val="3A3A3A"/>
                <w:szCs w:val="20"/>
              </w:rPr>
              <w:t>8</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1080D55" w14:textId="488049CD" w:rsidR="00374B95" w:rsidRPr="008A3B29" w:rsidRDefault="009737F1" w:rsidP="00C93CE4">
            <w:pPr>
              <w:spacing w:line="288" w:lineRule="auto"/>
              <w:ind w:left="57"/>
              <w:jc w:val="center"/>
              <w:rPr>
                <w:rFonts w:cs="Arial"/>
                <w:szCs w:val="20"/>
              </w:rPr>
            </w:pPr>
            <w:r w:rsidRPr="008A3B29">
              <w:rPr>
                <w:rFonts w:cs="Arial"/>
                <w:color w:val="3A3A3A"/>
                <w:szCs w:val="20"/>
              </w:rPr>
              <w:t>93.9</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F451E4" w14:textId="7C9C22C6" w:rsidR="00374B95" w:rsidRPr="008A3B29" w:rsidRDefault="009737F1" w:rsidP="00C93CE4">
            <w:pPr>
              <w:spacing w:line="288" w:lineRule="auto"/>
              <w:ind w:left="57"/>
              <w:jc w:val="center"/>
              <w:rPr>
                <w:rFonts w:cs="Arial"/>
                <w:szCs w:val="20"/>
              </w:rPr>
            </w:pPr>
            <w:r w:rsidRPr="008A3B29">
              <w:rPr>
                <w:rFonts w:cs="Arial"/>
                <w:color w:val="3A3A3A"/>
                <w:szCs w:val="20"/>
              </w:rPr>
              <w:t>86.8</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F673C5" w14:textId="0CEEF5F3" w:rsidR="00374B95" w:rsidRPr="008A3B29" w:rsidRDefault="009737F1" w:rsidP="00C93CE4">
            <w:pPr>
              <w:spacing w:line="288" w:lineRule="auto"/>
              <w:ind w:left="57"/>
              <w:jc w:val="center"/>
              <w:rPr>
                <w:rFonts w:cs="Arial"/>
                <w:szCs w:val="20"/>
              </w:rPr>
            </w:pPr>
            <w:r w:rsidRPr="008A3B29">
              <w:rPr>
                <w:rFonts w:cs="Arial"/>
                <w:color w:val="3A3A3A"/>
                <w:szCs w:val="20"/>
              </w:rPr>
              <w:t>73,800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C3FB2D" w14:textId="465E3408" w:rsidR="00374B95" w:rsidRPr="008A3B29" w:rsidRDefault="009737F1" w:rsidP="00C93CE4">
            <w:pPr>
              <w:spacing w:line="288" w:lineRule="auto"/>
              <w:ind w:left="57"/>
              <w:jc w:val="center"/>
              <w:rPr>
                <w:rFonts w:cs="Arial"/>
                <w:szCs w:val="20"/>
              </w:rPr>
            </w:pPr>
            <w:r w:rsidRPr="008A3B29">
              <w:rPr>
                <w:rFonts w:cs="Arial"/>
                <w:color w:val="3A3A3A"/>
                <w:szCs w:val="20"/>
              </w:rPr>
              <w:t>97,800</w:t>
            </w:r>
          </w:p>
        </w:tc>
        <w:tc>
          <w:tcPr>
            <w:tcW w:w="610" w:type="pct"/>
            <w:tcBorders>
              <w:top w:val="single" w:sz="4" w:space="0" w:color="000000"/>
              <w:left w:val="single" w:sz="4" w:space="0" w:color="000000"/>
              <w:bottom w:val="single" w:sz="4" w:space="0" w:color="000000"/>
              <w:right w:val="single" w:sz="4" w:space="0" w:color="000000"/>
            </w:tcBorders>
            <w:vAlign w:val="center"/>
          </w:tcPr>
          <w:p w14:paraId="74495893" w14:textId="26FEFF0F" w:rsidR="00374B95" w:rsidRPr="008A3B29" w:rsidRDefault="009737F1" w:rsidP="00C93CE4">
            <w:pPr>
              <w:spacing w:line="288" w:lineRule="auto"/>
              <w:ind w:left="57"/>
              <w:jc w:val="center"/>
              <w:rPr>
                <w:rFonts w:cs="Arial"/>
                <w:color w:val="000000"/>
                <w:szCs w:val="20"/>
              </w:rPr>
            </w:pPr>
            <w:r w:rsidRPr="008A3B29">
              <w:rPr>
                <w:rFonts w:cs="Arial"/>
                <w:color w:val="3A3A3A"/>
                <w:szCs w:val="20"/>
              </w:rPr>
              <w:t>72.6</w:t>
            </w:r>
          </w:p>
        </w:tc>
        <w:tc>
          <w:tcPr>
            <w:tcW w:w="642" w:type="pct"/>
            <w:tcBorders>
              <w:top w:val="single" w:sz="4" w:space="0" w:color="000000"/>
              <w:left w:val="single" w:sz="4" w:space="0" w:color="000000"/>
              <w:bottom w:val="single" w:sz="4" w:space="0" w:color="000000"/>
              <w:right w:val="single" w:sz="4" w:space="0" w:color="000000"/>
            </w:tcBorders>
            <w:vAlign w:val="center"/>
          </w:tcPr>
          <w:p w14:paraId="015106BB" w14:textId="1F8BA85C" w:rsidR="00374B95" w:rsidRPr="008A3B29" w:rsidRDefault="00374B95" w:rsidP="00C93CE4">
            <w:pPr>
              <w:spacing w:line="288" w:lineRule="auto"/>
              <w:ind w:left="57"/>
              <w:jc w:val="center"/>
              <w:rPr>
                <w:rFonts w:cs="Arial"/>
                <w:color w:val="000000"/>
                <w:szCs w:val="20"/>
              </w:rPr>
            </w:pPr>
            <w:r w:rsidRPr="008A3B29">
              <w:rPr>
                <w:rFonts w:cs="Arial"/>
                <w:color w:val="3A3A3A"/>
                <w:szCs w:val="20"/>
              </w:rPr>
              <w:t>78.</w:t>
            </w:r>
            <w:r w:rsidR="009737F1" w:rsidRPr="008A3B29">
              <w:rPr>
                <w:rFonts w:cs="Arial"/>
                <w:color w:val="3A3A3A"/>
                <w:szCs w:val="20"/>
              </w:rPr>
              <w:t>4</w:t>
            </w:r>
          </w:p>
        </w:tc>
      </w:tr>
      <w:tr w:rsidR="00374B95" w:rsidRPr="005A3AFE" w14:paraId="655BE9A0" w14:textId="70E146A5"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0314D19F" w14:textId="23EE08D7" w:rsidR="00374B95" w:rsidRPr="008A3B29" w:rsidRDefault="00A11753" w:rsidP="00C93CE4">
            <w:pPr>
              <w:spacing w:line="288" w:lineRule="auto"/>
              <w:ind w:left="57"/>
              <w:rPr>
                <w:rFonts w:cs="Arial"/>
                <w:szCs w:val="20"/>
              </w:rPr>
            </w:pPr>
            <w:r w:rsidRPr="008A3B29">
              <w:rPr>
                <w:rFonts w:cs="Arial"/>
                <w:b/>
                <w:szCs w:val="20"/>
              </w:rPr>
              <w:t>First Nations</w:t>
            </w:r>
            <w:r>
              <w:rPr>
                <w:rFonts w:cs="Arial"/>
                <w:b/>
                <w:szCs w:val="20"/>
              </w:rPr>
              <w:t xml:space="preserve">: </w:t>
            </w:r>
            <w:r w:rsidR="00374B95" w:rsidRPr="008A3B29">
              <w:rPr>
                <w:rFonts w:cs="Arial"/>
                <w:szCs w:val="20"/>
              </w:rPr>
              <w:t>Non-Indigenous</w:t>
            </w:r>
          </w:p>
        </w:tc>
        <w:tc>
          <w:tcPr>
            <w:tcW w:w="392" w:type="pct"/>
            <w:tcBorders>
              <w:top w:val="single" w:sz="4" w:space="0" w:color="000000"/>
              <w:left w:val="single" w:sz="4" w:space="0" w:color="000000"/>
              <w:bottom w:val="single" w:sz="4" w:space="0" w:color="000000"/>
              <w:right w:val="single" w:sz="4" w:space="0" w:color="000000"/>
            </w:tcBorders>
            <w:vAlign w:val="center"/>
          </w:tcPr>
          <w:p w14:paraId="50BA76A2" w14:textId="4BC696F4" w:rsidR="00374B95" w:rsidRPr="008A3B29" w:rsidRDefault="009737F1" w:rsidP="00C93CE4">
            <w:pPr>
              <w:spacing w:line="288" w:lineRule="auto"/>
              <w:ind w:left="57"/>
              <w:jc w:val="center"/>
              <w:rPr>
                <w:rFonts w:cs="Arial"/>
                <w:szCs w:val="20"/>
              </w:rPr>
            </w:pPr>
            <w:r w:rsidRPr="008A3B29">
              <w:rPr>
                <w:rFonts w:cs="Arial"/>
                <w:color w:val="3A3A3A"/>
                <w:szCs w:val="20"/>
              </w:rPr>
              <w:t>80.1</w:t>
            </w:r>
          </w:p>
        </w:tc>
        <w:tc>
          <w:tcPr>
            <w:tcW w:w="392" w:type="pct"/>
            <w:tcBorders>
              <w:top w:val="single" w:sz="4" w:space="0" w:color="000000"/>
              <w:left w:val="single" w:sz="4" w:space="0" w:color="000000"/>
              <w:bottom w:val="single" w:sz="4" w:space="0" w:color="000000"/>
              <w:right w:val="single" w:sz="4" w:space="0" w:color="000000"/>
            </w:tcBorders>
            <w:vAlign w:val="center"/>
          </w:tcPr>
          <w:p w14:paraId="1C6615B3" w14:textId="1C99FE10" w:rsidR="00374B95" w:rsidRPr="008A3B29" w:rsidRDefault="00374B95" w:rsidP="00C93CE4">
            <w:pPr>
              <w:spacing w:line="288" w:lineRule="auto"/>
              <w:ind w:left="57"/>
              <w:jc w:val="center"/>
              <w:rPr>
                <w:rFonts w:cs="Arial"/>
                <w:szCs w:val="20"/>
              </w:rPr>
            </w:pPr>
            <w:r w:rsidRPr="008A3B29">
              <w:rPr>
                <w:rFonts w:cs="Arial"/>
                <w:color w:val="3A3A3A"/>
                <w:szCs w:val="20"/>
              </w:rPr>
              <w:t>91.7</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35B2D47" w14:textId="5AB4631C" w:rsidR="00374B95" w:rsidRPr="008A3B29" w:rsidRDefault="009737F1" w:rsidP="00C93CE4">
            <w:pPr>
              <w:spacing w:line="288" w:lineRule="auto"/>
              <w:ind w:left="57"/>
              <w:jc w:val="center"/>
              <w:rPr>
                <w:rFonts w:cs="Arial"/>
                <w:szCs w:val="20"/>
              </w:rPr>
            </w:pPr>
            <w:r w:rsidRPr="008A3B29">
              <w:rPr>
                <w:rFonts w:cs="Arial"/>
                <w:color w:val="3A3A3A"/>
                <w:szCs w:val="20"/>
              </w:rPr>
              <w:t>90.1</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BE4A794" w14:textId="554B04F5" w:rsidR="00374B95" w:rsidRPr="008A3B29" w:rsidRDefault="00374B95" w:rsidP="00C93CE4">
            <w:pPr>
              <w:spacing w:line="288" w:lineRule="auto"/>
              <w:ind w:left="57"/>
              <w:jc w:val="center"/>
              <w:rPr>
                <w:rFonts w:cs="Arial"/>
                <w:szCs w:val="20"/>
              </w:rPr>
            </w:pPr>
            <w:r w:rsidRPr="008A3B29">
              <w:rPr>
                <w:rFonts w:cs="Arial"/>
                <w:color w:val="3A3A3A"/>
                <w:szCs w:val="20"/>
              </w:rPr>
              <w:t>94.6</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FDA7BD" w14:textId="3A0A1866" w:rsidR="00374B95" w:rsidRPr="008A3B29" w:rsidRDefault="009737F1" w:rsidP="00C93CE4">
            <w:pPr>
              <w:spacing w:line="288" w:lineRule="auto"/>
              <w:ind w:left="57"/>
              <w:jc w:val="center"/>
              <w:rPr>
                <w:rFonts w:cs="Arial"/>
                <w:szCs w:val="20"/>
              </w:rPr>
            </w:pPr>
            <w:r w:rsidRPr="008A3B29">
              <w:rPr>
                <w:rFonts w:cs="Arial"/>
                <w:color w:val="3A3A3A"/>
                <w:szCs w:val="20"/>
              </w:rPr>
              <w:t>93.0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718E8BD" w14:textId="3056E263" w:rsidR="00374B95" w:rsidRPr="008A3B29" w:rsidRDefault="009737F1" w:rsidP="00C93CE4">
            <w:pPr>
              <w:spacing w:line="288" w:lineRule="auto"/>
              <w:ind w:left="57"/>
              <w:jc w:val="center"/>
              <w:rPr>
                <w:rFonts w:cs="Arial"/>
                <w:szCs w:val="20"/>
              </w:rPr>
            </w:pPr>
            <w:r w:rsidRPr="008A3B29">
              <w:rPr>
                <w:rFonts w:cs="Arial"/>
                <w:color w:val="3A3A3A"/>
                <w:szCs w:val="20"/>
              </w:rPr>
              <w:t>89.9</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A53D80" w14:textId="1037C7EF" w:rsidR="00374B95" w:rsidRPr="008A3B29" w:rsidRDefault="009737F1" w:rsidP="00C93CE4">
            <w:pPr>
              <w:spacing w:line="288" w:lineRule="auto"/>
              <w:ind w:left="57"/>
              <w:jc w:val="center"/>
              <w:rPr>
                <w:rFonts w:cs="Arial"/>
                <w:szCs w:val="20"/>
              </w:rPr>
            </w:pPr>
            <w:r w:rsidRPr="008A3B29">
              <w:rPr>
                <w:rFonts w:cs="Arial"/>
                <w:color w:val="3A3A3A"/>
                <w:szCs w:val="20"/>
              </w:rPr>
              <w:t>71,400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354319" w14:textId="46FDD8BE" w:rsidR="00374B95" w:rsidRPr="008A3B29" w:rsidRDefault="009737F1" w:rsidP="00C93CE4">
            <w:pPr>
              <w:spacing w:line="288" w:lineRule="auto"/>
              <w:ind w:left="57"/>
              <w:jc w:val="center"/>
              <w:rPr>
                <w:rFonts w:cs="Arial"/>
                <w:szCs w:val="20"/>
              </w:rPr>
            </w:pPr>
            <w:r w:rsidRPr="008A3B29">
              <w:rPr>
                <w:rFonts w:cs="Arial"/>
                <w:color w:val="3A3A3A"/>
                <w:szCs w:val="20"/>
              </w:rPr>
              <w:t>93,200</w:t>
            </w:r>
          </w:p>
        </w:tc>
        <w:tc>
          <w:tcPr>
            <w:tcW w:w="610" w:type="pct"/>
            <w:tcBorders>
              <w:top w:val="single" w:sz="4" w:space="0" w:color="000000"/>
              <w:left w:val="single" w:sz="4" w:space="0" w:color="000000"/>
              <w:bottom w:val="single" w:sz="4" w:space="0" w:color="000000"/>
              <w:right w:val="single" w:sz="4" w:space="0" w:color="000000"/>
            </w:tcBorders>
            <w:vAlign w:val="center"/>
          </w:tcPr>
          <w:p w14:paraId="67186A4B" w14:textId="1370BE5A" w:rsidR="00374B95" w:rsidRPr="008A3B29" w:rsidRDefault="00374B95" w:rsidP="00C93CE4">
            <w:pPr>
              <w:spacing w:line="288" w:lineRule="auto"/>
              <w:ind w:left="57"/>
              <w:jc w:val="center"/>
              <w:rPr>
                <w:rFonts w:cs="Arial"/>
                <w:color w:val="000000"/>
                <w:szCs w:val="20"/>
              </w:rPr>
            </w:pPr>
            <w:r w:rsidRPr="008A3B29">
              <w:rPr>
                <w:rFonts w:cs="Arial"/>
                <w:color w:val="3A3A3A"/>
                <w:szCs w:val="20"/>
              </w:rPr>
              <w:t>70.</w:t>
            </w:r>
            <w:r w:rsidR="009737F1" w:rsidRPr="008A3B29">
              <w:rPr>
                <w:rFonts w:cs="Arial"/>
                <w:color w:val="3A3A3A"/>
                <w:szCs w:val="20"/>
              </w:rPr>
              <w:t>5</w:t>
            </w:r>
          </w:p>
        </w:tc>
        <w:tc>
          <w:tcPr>
            <w:tcW w:w="642" w:type="pct"/>
            <w:tcBorders>
              <w:top w:val="single" w:sz="4" w:space="0" w:color="000000"/>
              <w:left w:val="single" w:sz="4" w:space="0" w:color="000000"/>
              <w:bottom w:val="single" w:sz="4" w:space="0" w:color="000000"/>
              <w:right w:val="single" w:sz="4" w:space="0" w:color="000000"/>
            </w:tcBorders>
            <w:vAlign w:val="center"/>
          </w:tcPr>
          <w:p w14:paraId="0D60279F" w14:textId="6743478D" w:rsidR="00374B95" w:rsidRPr="008A3B29" w:rsidRDefault="00374B95" w:rsidP="00C93CE4">
            <w:pPr>
              <w:spacing w:line="288" w:lineRule="auto"/>
              <w:ind w:left="57"/>
              <w:jc w:val="center"/>
              <w:rPr>
                <w:rFonts w:cs="Arial"/>
                <w:color w:val="000000"/>
                <w:szCs w:val="20"/>
              </w:rPr>
            </w:pPr>
            <w:r w:rsidRPr="008A3B29">
              <w:rPr>
                <w:rFonts w:cs="Arial"/>
                <w:color w:val="3A3A3A"/>
                <w:szCs w:val="20"/>
              </w:rPr>
              <w:t>78.</w:t>
            </w:r>
            <w:r w:rsidR="009737F1" w:rsidRPr="008A3B29">
              <w:rPr>
                <w:rFonts w:cs="Arial"/>
                <w:color w:val="3A3A3A"/>
                <w:szCs w:val="20"/>
              </w:rPr>
              <w:t>7</w:t>
            </w:r>
          </w:p>
        </w:tc>
      </w:tr>
      <w:tr w:rsidR="00374B95" w:rsidRPr="005A3AFE" w14:paraId="26C318C6" w14:textId="02DBE314"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21996D2E" w14:textId="046EA6AE" w:rsidR="00374B95" w:rsidRPr="008A3B29" w:rsidRDefault="00A11753" w:rsidP="00C93CE4">
            <w:pPr>
              <w:spacing w:line="288" w:lineRule="auto"/>
              <w:ind w:left="57"/>
              <w:rPr>
                <w:rFonts w:cs="Arial"/>
                <w:b/>
                <w:szCs w:val="20"/>
              </w:rPr>
            </w:pPr>
            <w:r w:rsidRPr="008A3B29">
              <w:rPr>
                <w:rFonts w:cs="Arial"/>
                <w:b/>
                <w:szCs w:val="20"/>
              </w:rPr>
              <w:t>Home language**</w:t>
            </w:r>
            <w:r>
              <w:rPr>
                <w:rFonts w:cs="Arial"/>
                <w:b/>
                <w:szCs w:val="20"/>
              </w:rPr>
              <w:t xml:space="preserve">: </w:t>
            </w:r>
            <w:r w:rsidR="00374B95" w:rsidRPr="008A3B29">
              <w:rPr>
                <w:rFonts w:cs="Arial"/>
                <w:szCs w:val="20"/>
              </w:rPr>
              <w:t>English</w:t>
            </w:r>
          </w:p>
        </w:tc>
        <w:tc>
          <w:tcPr>
            <w:tcW w:w="392" w:type="pct"/>
            <w:tcBorders>
              <w:top w:val="single" w:sz="4" w:space="0" w:color="000000"/>
              <w:left w:val="single" w:sz="4" w:space="0" w:color="000000"/>
              <w:bottom w:val="single" w:sz="4" w:space="0" w:color="000000"/>
              <w:right w:val="single" w:sz="4" w:space="0" w:color="000000"/>
            </w:tcBorders>
            <w:vAlign w:val="center"/>
          </w:tcPr>
          <w:p w14:paraId="15FE4BF1" w14:textId="0BB81E1E" w:rsidR="00374B95" w:rsidRPr="008A3B29" w:rsidRDefault="003F08E9" w:rsidP="00C93CE4">
            <w:pPr>
              <w:spacing w:line="288" w:lineRule="auto"/>
              <w:ind w:left="57"/>
              <w:jc w:val="center"/>
              <w:rPr>
                <w:rFonts w:cs="Arial"/>
                <w:szCs w:val="20"/>
              </w:rPr>
            </w:pPr>
            <w:r w:rsidRPr="008A3B29">
              <w:rPr>
                <w:rFonts w:cs="Arial"/>
                <w:color w:val="3A3A3A"/>
                <w:szCs w:val="20"/>
              </w:rPr>
              <w:t>80.5</w:t>
            </w:r>
          </w:p>
        </w:tc>
        <w:tc>
          <w:tcPr>
            <w:tcW w:w="392" w:type="pct"/>
            <w:tcBorders>
              <w:top w:val="single" w:sz="4" w:space="0" w:color="000000"/>
              <w:left w:val="single" w:sz="4" w:space="0" w:color="000000"/>
              <w:bottom w:val="single" w:sz="4" w:space="0" w:color="000000"/>
              <w:right w:val="single" w:sz="4" w:space="0" w:color="000000"/>
            </w:tcBorders>
            <w:vAlign w:val="center"/>
          </w:tcPr>
          <w:p w14:paraId="57B418F1" w14:textId="31680FD5" w:rsidR="00374B95" w:rsidRPr="008A3B29" w:rsidRDefault="00374B95" w:rsidP="00C93CE4">
            <w:pPr>
              <w:spacing w:line="288" w:lineRule="auto"/>
              <w:ind w:left="57"/>
              <w:jc w:val="center"/>
              <w:rPr>
                <w:rFonts w:cs="Arial"/>
                <w:szCs w:val="20"/>
              </w:rPr>
            </w:pPr>
            <w:r w:rsidRPr="008A3B29">
              <w:rPr>
                <w:rFonts w:cs="Arial"/>
                <w:color w:val="3A3A3A"/>
                <w:szCs w:val="20"/>
              </w:rPr>
              <w:t>91.</w:t>
            </w:r>
            <w:r w:rsidR="003F08E9" w:rsidRPr="008A3B29">
              <w:rPr>
                <w:rFonts w:cs="Arial"/>
                <w:color w:val="3A3A3A"/>
                <w:szCs w:val="20"/>
              </w:rPr>
              <w:t>9</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2DBED3" w14:textId="00343B4B" w:rsidR="00374B95" w:rsidRPr="008A3B29" w:rsidRDefault="003F08E9" w:rsidP="00C93CE4">
            <w:pPr>
              <w:spacing w:line="288" w:lineRule="auto"/>
              <w:ind w:left="57"/>
              <w:jc w:val="center"/>
              <w:rPr>
                <w:rFonts w:cs="Arial"/>
                <w:szCs w:val="20"/>
              </w:rPr>
            </w:pPr>
            <w:r w:rsidRPr="008A3B29">
              <w:rPr>
                <w:rFonts w:cs="Arial"/>
                <w:color w:val="3A3A3A"/>
                <w:szCs w:val="20"/>
              </w:rPr>
              <w:t>90.2</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CFE865B" w14:textId="6ED368B6" w:rsidR="00374B95" w:rsidRPr="008A3B29" w:rsidRDefault="00374B95" w:rsidP="00C93CE4">
            <w:pPr>
              <w:spacing w:line="288" w:lineRule="auto"/>
              <w:ind w:left="57"/>
              <w:jc w:val="center"/>
              <w:rPr>
                <w:rFonts w:cs="Arial"/>
                <w:szCs w:val="20"/>
              </w:rPr>
            </w:pPr>
            <w:r w:rsidRPr="008A3B29">
              <w:rPr>
                <w:rFonts w:cs="Arial"/>
                <w:color w:val="3A3A3A"/>
                <w:szCs w:val="20"/>
              </w:rPr>
              <w:t>94.7</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754BDE" w14:textId="3F64FE5D" w:rsidR="00374B95" w:rsidRPr="008A3B29" w:rsidRDefault="003F08E9" w:rsidP="00C93CE4">
            <w:pPr>
              <w:spacing w:line="288" w:lineRule="auto"/>
              <w:ind w:left="57"/>
              <w:jc w:val="center"/>
              <w:rPr>
                <w:rFonts w:cs="Arial"/>
                <w:szCs w:val="20"/>
              </w:rPr>
            </w:pPr>
            <w:r w:rsidRPr="008A3B29">
              <w:rPr>
                <w:rFonts w:cs="Arial"/>
                <w:color w:val="3A3A3A"/>
                <w:szCs w:val="20"/>
              </w:rPr>
              <w:t>93.0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EC5265" w14:textId="207EFB65" w:rsidR="00374B95" w:rsidRPr="008A3B29" w:rsidRDefault="00374B95" w:rsidP="00C93CE4">
            <w:pPr>
              <w:spacing w:line="288" w:lineRule="auto"/>
              <w:ind w:left="57"/>
              <w:jc w:val="center"/>
              <w:rPr>
                <w:rFonts w:cs="Arial"/>
                <w:szCs w:val="20"/>
              </w:rPr>
            </w:pPr>
            <w:r w:rsidRPr="008A3B29">
              <w:rPr>
                <w:rFonts w:cs="Arial"/>
                <w:color w:val="3A3A3A"/>
                <w:szCs w:val="20"/>
              </w:rPr>
              <w:t>90.</w:t>
            </w:r>
            <w:r w:rsidR="003F08E9" w:rsidRPr="008A3B29">
              <w:rPr>
                <w:rFonts w:cs="Arial"/>
                <w:color w:val="3A3A3A"/>
                <w:szCs w:val="20"/>
              </w:rPr>
              <w:t>0</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21E93A" w14:textId="427F21B7" w:rsidR="00374B95" w:rsidRPr="008A3B29" w:rsidRDefault="003F08E9" w:rsidP="00C93CE4">
            <w:pPr>
              <w:spacing w:line="288" w:lineRule="auto"/>
              <w:ind w:left="57"/>
              <w:jc w:val="center"/>
              <w:rPr>
                <w:rFonts w:cs="Arial"/>
                <w:szCs w:val="20"/>
              </w:rPr>
            </w:pPr>
            <w:r w:rsidRPr="008A3B29">
              <w:rPr>
                <w:rFonts w:cs="Arial"/>
                <w:color w:val="3A3A3A"/>
                <w:szCs w:val="20"/>
              </w:rPr>
              <w:t>71,400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FD055A" w14:textId="223D4306" w:rsidR="00374B95" w:rsidRPr="008A3B29" w:rsidRDefault="003F08E9" w:rsidP="00C93CE4">
            <w:pPr>
              <w:spacing w:line="288" w:lineRule="auto"/>
              <w:ind w:left="57"/>
              <w:jc w:val="center"/>
              <w:rPr>
                <w:rFonts w:cs="Arial"/>
                <w:szCs w:val="20"/>
              </w:rPr>
            </w:pPr>
            <w:r w:rsidRPr="008A3B29">
              <w:rPr>
                <w:rFonts w:cs="Arial"/>
                <w:color w:val="3A3A3A"/>
                <w:szCs w:val="20"/>
              </w:rPr>
              <w:t>93,600</w:t>
            </w:r>
          </w:p>
        </w:tc>
        <w:tc>
          <w:tcPr>
            <w:tcW w:w="610" w:type="pct"/>
            <w:tcBorders>
              <w:top w:val="single" w:sz="4" w:space="0" w:color="000000"/>
              <w:left w:val="single" w:sz="4" w:space="0" w:color="000000"/>
              <w:bottom w:val="single" w:sz="4" w:space="0" w:color="000000"/>
              <w:right w:val="single" w:sz="4" w:space="0" w:color="000000"/>
            </w:tcBorders>
            <w:vAlign w:val="center"/>
          </w:tcPr>
          <w:p w14:paraId="387A7BB2" w14:textId="2340F2FB" w:rsidR="00374B95" w:rsidRPr="008A3B29" w:rsidRDefault="00374B95" w:rsidP="00C93CE4">
            <w:pPr>
              <w:spacing w:line="288" w:lineRule="auto"/>
              <w:ind w:left="57"/>
              <w:jc w:val="center"/>
              <w:rPr>
                <w:rFonts w:cs="Arial"/>
                <w:color w:val="000000"/>
                <w:szCs w:val="20"/>
              </w:rPr>
            </w:pPr>
            <w:r w:rsidRPr="008A3B29">
              <w:rPr>
                <w:rFonts w:cs="Arial"/>
                <w:color w:val="3A3A3A"/>
                <w:szCs w:val="20"/>
              </w:rPr>
              <w:t>70.</w:t>
            </w:r>
            <w:r w:rsidR="003F08E9" w:rsidRPr="008A3B29">
              <w:rPr>
                <w:rFonts w:cs="Arial"/>
                <w:color w:val="3A3A3A"/>
                <w:szCs w:val="20"/>
              </w:rPr>
              <w:t>6</w:t>
            </w:r>
          </w:p>
        </w:tc>
        <w:tc>
          <w:tcPr>
            <w:tcW w:w="642" w:type="pct"/>
            <w:tcBorders>
              <w:top w:val="single" w:sz="4" w:space="0" w:color="000000"/>
              <w:left w:val="single" w:sz="4" w:space="0" w:color="000000"/>
              <w:bottom w:val="single" w:sz="4" w:space="0" w:color="000000"/>
              <w:right w:val="single" w:sz="4" w:space="0" w:color="000000"/>
            </w:tcBorders>
            <w:vAlign w:val="center"/>
          </w:tcPr>
          <w:p w14:paraId="48A31AAF" w14:textId="0DB64AB3" w:rsidR="00374B95" w:rsidRPr="008A3B29" w:rsidRDefault="00374B95" w:rsidP="00C93CE4">
            <w:pPr>
              <w:spacing w:line="288" w:lineRule="auto"/>
              <w:ind w:left="57"/>
              <w:jc w:val="center"/>
              <w:rPr>
                <w:rFonts w:cs="Arial"/>
                <w:color w:val="000000"/>
                <w:szCs w:val="20"/>
              </w:rPr>
            </w:pPr>
            <w:r w:rsidRPr="008A3B29">
              <w:rPr>
                <w:rFonts w:cs="Arial"/>
                <w:color w:val="3A3A3A"/>
                <w:szCs w:val="20"/>
              </w:rPr>
              <w:t>78.</w:t>
            </w:r>
            <w:r w:rsidR="003F08E9" w:rsidRPr="008A3B29">
              <w:rPr>
                <w:rFonts w:cs="Arial"/>
                <w:color w:val="3A3A3A"/>
                <w:szCs w:val="20"/>
              </w:rPr>
              <w:t>8</w:t>
            </w:r>
          </w:p>
        </w:tc>
      </w:tr>
      <w:tr w:rsidR="00374B95" w:rsidRPr="005A3AFE" w14:paraId="6FB299FF" w14:textId="2A348F65"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259A3DEC" w14:textId="41530A30" w:rsidR="00374B95" w:rsidRPr="008A3B29" w:rsidRDefault="00A11753" w:rsidP="00C93CE4">
            <w:pPr>
              <w:spacing w:line="288" w:lineRule="auto"/>
              <w:ind w:left="57"/>
              <w:rPr>
                <w:rFonts w:cs="Arial"/>
                <w:b/>
                <w:szCs w:val="20"/>
              </w:rPr>
            </w:pPr>
            <w:r w:rsidRPr="008A3B29">
              <w:rPr>
                <w:rFonts w:cs="Arial"/>
                <w:b/>
                <w:szCs w:val="20"/>
              </w:rPr>
              <w:lastRenderedPageBreak/>
              <w:t>Home language**</w:t>
            </w:r>
            <w:r>
              <w:rPr>
                <w:rFonts w:cs="Arial"/>
                <w:b/>
                <w:szCs w:val="20"/>
              </w:rPr>
              <w:t xml:space="preserve">: </w:t>
            </w:r>
            <w:r w:rsidR="00374B95" w:rsidRPr="008A3B29">
              <w:rPr>
                <w:rFonts w:cs="Arial"/>
                <w:szCs w:val="20"/>
              </w:rPr>
              <w:t>Other</w:t>
            </w:r>
          </w:p>
        </w:tc>
        <w:tc>
          <w:tcPr>
            <w:tcW w:w="392" w:type="pct"/>
            <w:tcBorders>
              <w:top w:val="single" w:sz="4" w:space="0" w:color="000000"/>
              <w:left w:val="single" w:sz="4" w:space="0" w:color="000000"/>
              <w:bottom w:val="single" w:sz="4" w:space="0" w:color="000000"/>
              <w:right w:val="single" w:sz="4" w:space="0" w:color="000000"/>
            </w:tcBorders>
            <w:vAlign w:val="center"/>
          </w:tcPr>
          <w:p w14:paraId="29463FFB" w14:textId="255C5B65" w:rsidR="00374B95" w:rsidRPr="008A3B29" w:rsidRDefault="003F08E9" w:rsidP="00C93CE4">
            <w:pPr>
              <w:spacing w:line="288" w:lineRule="auto"/>
              <w:ind w:left="57"/>
              <w:jc w:val="center"/>
              <w:rPr>
                <w:rFonts w:cs="Arial"/>
                <w:szCs w:val="20"/>
              </w:rPr>
            </w:pPr>
            <w:r w:rsidRPr="008A3B29">
              <w:rPr>
                <w:rFonts w:cs="Arial"/>
                <w:color w:val="3A3A3A"/>
                <w:szCs w:val="20"/>
              </w:rPr>
              <w:t>65.6</w:t>
            </w:r>
          </w:p>
        </w:tc>
        <w:tc>
          <w:tcPr>
            <w:tcW w:w="392" w:type="pct"/>
            <w:tcBorders>
              <w:top w:val="single" w:sz="4" w:space="0" w:color="000000"/>
              <w:left w:val="single" w:sz="4" w:space="0" w:color="000000"/>
              <w:bottom w:val="single" w:sz="4" w:space="0" w:color="000000"/>
              <w:right w:val="single" w:sz="4" w:space="0" w:color="000000"/>
            </w:tcBorders>
            <w:vAlign w:val="center"/>
          </w:tcPr>
          <w:p w14:paraId="07115156" w14:textId="632AE52A" w:rsidR="00374B95" w:rsidRPr="008A3B29" w:rsidRDefault="003F08E9" w:rsidP="00C93CE4">
            <w:pPr>
              <w:spacing w:line="288" w:lineRule="auto"/>
              <w:ind w:left="57"/>
              <w:jc w:val="center"/>
              <w:rPr>
                <w:rFonts w:cs="Arial"/>
                <w:szCs w:val="20"/>
              </w:rPr>
            </w:pPr>
            <w:r w:rsidRPr="008A3B29">
              <w:rPr>
                <w:rFonts w:cs="Arial"/>
                <w:color w:val="3A3A3A"/>
                <w:szCs w:val="20"/>
              </w:rPr>
              <w:t>84.4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69F8DB" w14:textId="7FA6744A" w:rsidR="00374B95" w:rsidRPr="008A3B29" w:rsidRDefault="003F08E9" w:rsidP="00C93CE4">
            <w:pPr>
              <w:spacing w:line="288" w:lineRule="auto"/>
              <w:ind w:left="57"/>
              <w:jc w:val="center"/>
              <w:rPr>
                <w:rFonts w:cs="Arial"/>
                <w:szCs w:val="20"/>
              </w:rPr>
            </w:pPr>
            <w:r w:rsidRPr="008A3B29">
              <w:rPr>
                <w:rFonts w:cs="Arial"/>
                <w:color w:val="3A3A3A"/>
                <w:szCs w:val="20"/>
              </w:rPr>
              <w:t>80.6</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7CAE46" w14:textId="2FC83AA3" w:rsidR="00374B95" w:rsidRPr="008A3B29" w:rsidRDefault="00374B95" w:rsidP="00C93CE4">
            <w:pPr>
              <w:spacing w:line="288" w:lineRule="auto"/>
              <w:ind w:left="57"/>
              <w:jc w:val="center"/>
              <w:rPr>
                <w:rFonts w:cs="Arial"/>
                <w:szCs w:val="20"/>
              </w:rPr>
            </w:pPr>
            <w:r w:rsidRPr="008A3B29">
              <w:rPr>
                <w:rFonts w:cs="Arial"/>
                <w:color w:val="3A3A3A"/>
                <w:szCs w:val="20"/>
              </w:rPr>
              <w:t>89.</w:t>
            </w:r>
            <w:r w:rsidR="003F08E9" w:rsidRPr="008A3B29">
              <w:rPr>
                <w:rFonts w:cs="Arial"/>
                <w:color w:val="3A3A3A"/>
                <w:szCs w:val="20"/>
              </w:rPr>
              <w:t>2</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365633" w14:textId="2F7E4D84" w:rsidR="00374B95" w:rsidRPr="008A3B29" w:rsidRDefault="003F08E9" w:rsidP="00C93CE4">
            <w:pPr>
              <w:spacing w:line="288" w:lineRule="auto"/>
              <w:ind w:left="57"/>
              <w:jc w:val="center"/>
              <w:rPr>
                <w:rFonts w:cs="Arial"/>
                <w:szCs w:val="20"/>
              </w:rPr>
            </w:pPr>
            <w:r w:rsidRPr="008A3B29">
              <w:rPr>
                <w:rFonts w:cs="Arial"/>
                <w:color w:val="3A3A3A"/>
                <w:szCs w:val="20"/>
              </w:rPr>
              <w:t>93.6</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95A0CC" w14:textId="1B7093AD" w:rsidR="00374B95" w:rsidRPr="008A3B29" w:rsidRDefault="003F08E9" w:rsidP="00C93CE4">
            <w:pPr>
              <w:spacing w:line="288" w:lineRule="auto"/>
              <w:ind w:left="57"/>
              <w:jc w:val="center"/>
              <w:rPr>
                <w:rFonts w:cs="Arial"/>
                <w:szCs w:val="20"/>
              </w:rPr>
            </w:pPr>
            <w:r w:rsidRPr="008A3B29">
              <w:rPr>
                <w:rFonts w:cs="Arial"/>
                <w:color w:val="3A3A3A"/>
                <w:szCs w:val="20"/>
              </w:rPr>
              <w:t>86.5</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467A69" w14:textId="48DE1BB4" w:rsidR="00374B95" w:rsidRPr="008A3B29" w:rsidRDefault="003F08E9" w:rsidP="00C93CE4">
            <w:pPr>
              <w:spacing w:line="288" w:lineRule="auto"/>
              <w:ind w:left="57"/>
              <w:jc w:val="center"/>
              <w:rPr>
                <w:rFonts w:cs="Arial"/>
                <w:szCs w:val="20"/>
              </w:rPr>
            </w:pPr>
            <w:r w:rsidRPr="008A3B29">
              <w:rPr>
                <w:rFonts w:cs="Arial"/>
                <w:color w:val="3A3A3A"/>
                <w:szCs w:val="20"/>
              </w:rPr>
              <w:t>72,100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D2BD3D" w14:textId="0BD9A9A7" w:rsidR="00374B95" w:rsidRPr="008A3B29" w:rsidRDefault="003F08E9" w:rsidP="00C93CE4">
            <w:pPr>
              <w:spacing w:line="288" w:lineRule="auto"/>
              <w:ind w:left="57"/>
              <w:jc w:val="center"/>
              <w:rPr>
                <w:rFonts w:cs="Arial"/>
                <w:szCs w:val="20"/>
              </w:rPr>
            </w:pPr>
            <w:r w:rsidRPr="008A3B29">
              <w:rPr>
                <w:rFonts w:cs="Arial"/>
                <w:color w:val="3A3A3A"/>
                <w:szCs w:val="20"/>
              </w:rPr>
              <w:t>90,000</w:t>
            </w:r>
          </w:p>
        </w:tc>
        <w:tc>
          <w:tcPr>
            <w:tcW w:w="610" w:type="pct"/>
            <w:tcBorders>
              <w:top w:val="single" w:sz="4" w:space="0" w:color="000000"/>
              <w:left w:val="single" w:sz="4" w:space="0" w:color="000000"/>
              <w:bottom w:val="single" w:sz="4" w:space="0" w:color="000000"/>
              <w:right w:val="single" w:sz="4" w:space="0" w:color="000000"/>
            </w:tcBorders>
            <w:vAlign w:val="center"/>
          </w:tcPr>
          <w:p w14:paraId="6468A760" w14:textId="384E164E" w:rsidR="00374B95" w:rsidRPr="008A3B29" w:rsidRDefault="003F08E9" w:rsidP="00C93CE4">
            <w:pPr>
              <w:spacing w:line="288" w:lineRule="auto"/>
              <w:ind w:left="57"/>
              <w:jc w:val="center"/>
              <w:rPr>
                <w:rFonts w:cs="Arial"/>
                <w:color w:val="000000"/>
                <w:szCs w:val="20"/>
              </w:rPr>
            </w:pPr>
            <w:r w:rsidRPr="008A3B29">
              <w:rPr>
                <w:rFonts w:cs="Arial"/>
                <w:color w:val="3A3A3A"/>
                <w:szCs w:val="20"/>
              </w:rPr>
              <w:t>70.1</w:t>
            </w:r>
          </w:p>
        </w:tc>
        <w:tc>
          <w:tcPr>
            <w:tcW w:w="642" w:type="pct"/>
            <w:tcBorders>
              <w:top w:val="single" w:sz="4" w:space="0" w:color="000000"/>
              <w:left w:val="single" w:sz="4" w:space="0" w:color="000000"/>
              <w:bottom w:val="single" w:sz="4" w:space="0" w:color="000000"/>
              <w:right w:val="single" w:sz="4" w:space="0" w:color="000000"/>
            </w:tcBorders>
            <w:vAlign w:val="center"/>
          </w:tcPr>
          <w:p w14:paraId="3D6DF108" w14:textId="26BA6F60" w:rsidR="00374B95" w:rsidRPr="008A3B29" w:rsidRDefault="003F08E9" w:rsidP="00C93CE4">
            <w:pPr>
              <w:spacing w:line="288" w:lineRule="auto"/>
              <w:ind w:left="57"/>
              <w:jc w:val="center"/>
              <w:rPr>
                <w:rFonts w:cs="Arial"/>
                <w:color w:val="000000"/>
                <w:szCs w:val="20"/>
              </w:rPr>
            </w:pPr>
            <w:r w:rsidRPr="008A3B29">
              <w:rPr>
                <w:rFonts w:cs="Arial"/>
                <w:color w:val="3A3A3A"/>
                <w:szCs w:val="20"/>
              </w:rPr>
              <w:t>74.3</w:t>
            </w:r>
          </w:p>
        </w:tc>
      </w:tr>
      <w:tr w:rsidR="00374B95" w:rsidRPr="005A3AFE" w14:paraId="3AA232E5" w14:textId="286297DD"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68230DD2" w14:textId="3A4D4947" w:rsidR="00374B95" w:rsidRPr="008A3B29" w:rsidRDefault="00A11753" w:rsidP="00C93CE4">
            <w:pPr>
              <w:spacing w:line="288" w:lineRule="auto"/>
              <w:ind w:left="57"/>
              <w:rPr>
                <w:rFonts w:cs="Arial"/>
                <w:szCs w:val="20"/>
              </w:rPr>
            </w:pPr>
            <w:r w:rsidRPr="008A3B29">
              <w:rPr>
                <w:rFonts w:cs="Arial"/>
                <w:b/>
                <w:szCs w:val="20"/>
              </w:rPr>
              <w:t>Disability***</w:t>
            </w:r>
            <w:r>
              <w:rPr>
                <w:rFonts w:cs="Arial"/>
                <w:b/>
                <w:szCs w:val="20"/>
              </w:rPr>
              <w:t xml:space="preserve">: </w:t>
            </w:r>
            <w:r w:rsidR="00FC2092" w:rsidRPr="008A3B29">
              <w:rPr>
                <w:rFonts w:cs="Arial"/>
                <w:szCs w:val="20"/>
              </w:rPr>
              <w:t>D</w:t>
            </w:r>
            <w:r w:rsidR="00374B95" w:rsidRPr="008A3B29">
              <w:rPr>
                <w:rFonts w:cs="Arial"/>
                <w:szCs w:val="20"/>
              </w:rPr>
              <w:t>isability</w:t>
            </w:r>
          </w:p>
        </w:tc>
        <w:tc>
          <w:tcPr>
            <w:tcW w:w="392" w:type="pct"/>
            <w:tcBorders>
              <w:top w:val="single" w:sz="4" w:space="0" w:color="000000"/>
              <w:left w:val="single" w:sz="4" w:space="0" w:color="000000"/>
              <w:bottom w:val="single" w:sz="4" w:space="0" w:color="000000"/>
              <w:right w:val="single" w:sz="4" w:space="0" w:color="000000"/>
            </w:tcBorders>
            <w:vAlign w:val="center"/>
          </w:tcPr>
          <w:p w14:paraId="23D63098" w14:textId="7E79C5CB" w:rsidR="00374B95" w:rsidRPr="008A3B29" w:rsidRDefault="00795FB1" w:rsidP="00C93CE4">
            <w:pPr>
              <w:spacing w:line="288" w:lineRule="auto"/>
              <w:ind w:left="57"/>
              <w:jc w:val="center"/>
              <w:rPr>
                <w:rFonts w:cs="Arial"/>
                <w:szCs w:val="20"/>
              </w:rPr>
            </w:pPr>
            <w:r w:rsidRPr="008A3B29">
              <w:rPr>
                <w:rFonts w:cs="Arial"/>
                <w:color w:val="3A3A3A"/>
                <w:szCs w:val="20"/>
              </w:rPr>
              <w:t>70.8</w:t>
            </w:r>
          </w:p>
        </w:tc>
        <w:tc>
          <w:tcPr>
            <w:tcW w:w="392" w:type="pct"/>
            <w:tcBorders>
              <w:top w:val="single" w:sz="4" w:space="0" w:color="000000"/>
              <w:left w:val="single" w:sz="4" w:space="0" w:color="000000"/>
              <w:bottom w:val="single" w:sz="4" w:space="0" w:color="000000"/>
              <w:right w:val="single" w:sz="4" w:space="0" w:color="000000"/>
            </w:tcBorders>
            <w:vAlign w:val="center"/>
          </w:tcPr>
          <w:p w14:paraId="6B1301FF" w14:textId="20A5FB27" w:rsidR="00374B95" w:rsidRPr="008A3B29" w:rsidRDefault="00374B95" w:rsidP="00C93CE4">
            <w:pPr>
              <w:spacing w:line="288" w:lineRule="auto"/>
              <w:ind w:left="57"/>
              <w:jc w:val="center"/>
              <w:rPr>
                <w:rFonts w:cs="Arial"/>
                <w:szCs w:val="20"/>
              </w:rPr>
            </w:pPr>
            <w:r w:rsidRPr="008A3B29">
              <w:rPr>
                <w:rFonts w:cs="Arial"/>
                <w:color w:val="3A3A3A"/>
                <w:szCs w:val="20"/>
              </w:rPr>
              <w:t>86.</w:t>
            </w:r>
            <w:r w:rsidR="00795FB1" w:rsidRPr="008A3B29">
              <w:rPr>
                <w:rFonts w:cs="Arial"/>
                <w:color w:val="3A3A3A"/>
                <w:szCs w:val="20"/>
              </w:rPr>
              <w:t>8</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40781D" w14:textId="1AA0CB21" w:rsidR="00374B95" w:rsidRPr="008A3B29" w:rsidRDefault="00795FB1" w:rsidP="00C93CE4">
            <w:pPr>
              <w:spacing w:line="288" w:lineRule="auto"/>
              <w:ind w:left="57"/>
              <w:jc w:val="center"/>
              <w:rPr>
                <w:rFonts w:cs="Arial"/>
                <w:szCs w:val="20"/>
              </w:rPr>
            </w:pPr>
            <w:r w:rsidRPr="008A3B29">
              <w:rPr>
                <w:rFonts w:cs="Arial"/>
                <w:color w:val="3A3A3A"/>
                <w:szCs w:val="20"/>
              </w:rPr>
              <w:t>85.0</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4CE0B3" w14:textId="259D812A" w:rsidR="00374B95" w:rsidRPr="008A3B29" w:rsidRDefault="00374B95" w:rsidP="00C93CE4">
            <w:pPr>
              <w:spacing w:line="288" w:lineRule="auto"/>
              <w:ind w:left="57"/>
              <w:jc w:val="center"/>
              <w:rPr>
                <w:rFonts w:cs="Arial"/>
                <w:szCs w:val="20"/>
              </w:rPr>
            </w:pPr>
            <w:r w:rsidRPr="008A3B29">
              <w:rPr>
                <w:rFonts w:cs="Arial"/>
                <w:color w:val="3A3A3A"/>
                <w:szCs w:val="20"/>
              </w:rPr>
              <w:t>91.</w:t>
            </w:r>
            <w:r w:rsidR="00795FB1" w:rsidRPr="008A3B29">
              <w:rPr>
                <w:rFonts w:cs="Arial"/>
                <w:color w:val="3A3A3A"/>
                <w:szCs w:val="20"/>
              </w:rPr>
              <w:t>6</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553001" w14:textId="2670E95F" w:rsidR="00374B95" w:rsidRPr="008A3B29" w:rsidRDefault="00795FB1" w:rsidP="00C93CE4">
            <w:pPr>
              <w:spacing w:line="288" w:lineRule="auto"/>
              <w:ind w:left="57"/>
              <w:jc w:val="center"/>
              <w:rPr>
                <w:rFonts w:cs="Arial"/>
                <w:szCs w:val="20"/>
              </w:rPr>
            </w:pPr>
            <w:r w:rsidRPr="008A3B29">
              <w:rPr>
                <w:rFonts w:cs="Arial"/>
                <w:color w:val="3A3A3A"/>
                <w:szCs w:val="20"/>
              </w:rPr>
              <w:t>89.2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1F95AC" w14:textId="54B5B56E" w:rsidR="00374B95" w:rsidRPr="008A3B29" w:rsidRDefault="00795FB1" w:rsidP="00C93CE4">
            <w:pPr>
              <w:spacing w:line="288" w:lineRule="auto"/>
              <w:ind w:left="57"/>
              <w:jc w:val="center"/>
              <w:rPr>
                <w:rFonts w:cs="Arial"/>
                <w:szCs w:val="20"/>
              </w:rPr>
            </w:pPr>
            <w:r w:rsidRPr="008A3B29">
              <w:rPr>
                <w:rFonts w:cs="Arial"/>
                <w:color w:val="3A3A3A"/>
                <w:szCs w:val="20"/>
              </w:rPr>
              <w:t>85.7</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BD8BFA" w14:textId="59FE2795" w:rsidR="00374B95" w:rsidRPr="008A3B29" w:rsidRDefault="00795FB1" w:rsidP="00C93CE4">
            <w:pPr>
              <w:spacing w:line="288" w:lineRule="auto"/>
              <w:ind w:left="57"/>
              <w:jc w:val="center"/>
              <w:rPr>
                <w:rFonts w:cs="Arial"/>
                <w:szCs w:val="20"/>
              </w:rPr>
            </w:pPr>
            <w:r w:rsidRPr="008A3B29">
              <w:rPr>
                <w:rFonts w:cs="Arial"/>
                <w:color w:val="3A3A3A"/>
                <w:szCs w:val="20"/>
              </w:rPr>
              <w:t>71,000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AFBAE8" w14:textId="06416B2E" w:rsidR="00374B95" w:rsidRPr="008A3B29" w:rsidRDefault="00795FB1" w:rsidP="00C93CE4">
            <w:pPr>
              <w:spacing w:line="288" w:lineRule="auto"/>
              <w:ind w:left="57"/>
              <w:jc w:val="center"/>
              <w:rPr>
                <w:rFonts w:cs="Arial"/>
                <w:szCs w:val="20"/>
              </w:rPr>
            </w:pPr>
            <w:r w:rsidRPr="008A3B29">
              <w:rPr>
                <w:rFonts w:cs="Arial"/>
                <w:color w:val="3A3A3A"/>
                <w:szCs w:val="20"/>
              </w:rPr>
              <w:t>91</w:t>
            </w:r>
            <w:r w:rsidR="00374B95" w:rsidRPr="008A3B29">
              <w:rPr>
                <w:rFonts w:cs="Arial"/>
                <w:color w:val="3A3A3A"/>
                <w:szCs w:val="20"/>
              </w:rPr>
              <w:t>,200</w:t>
            </w:r>
          </w:p>
        </w:tc>
        <w:tc>
          <w:tcPr>
            <w:tcW w:w="610" w:type="pct"/>
            <w:tcBorders>
              <w:top w:val="single" w:sz="4" w:space="0" w:color="000000"/>
              <w:left w:val="single" w:sz="4" w:space="0" w:color="000000"/>
              <w:bottom w:val="single" w:sz="4" w:space="0" w:color="000000"/>
              <w:right w:val="single" w:sz="4" w:space="0" w:color="000000"/>
            </w:tcBorders>
            <w:vAlign w:val="center"/>
          </w:tcPr>
          <w:p w14:paraId="7ABF8F8C" w14:textId="16B97458" w:rsidR="00374B95" w:rsidRPr="008A3B29" w:rsidRDefault="00795FB1" w:rsidP="00C93CE4">
            <w:pPr>
              <w:spacing w:line="288" w:lineRule="auto"/>
              <w:ind w:left="57"/>
              <w:jc w:val="center"/>
              <w:rPr>
                <w:rFonts w:cs="Arial"/>
                <w:color w:val="000000"/>
                <w:szCs w:val="20"/>
              </w:rPr>
            </w:pPr>
            <w:r w:rsidRPr="008A3B29">
              <w:rPr>
                <w:rFonts w:cs="Arial"/>
                <w:color w:val="3A3A3A"/>
                <w:szCs w:val="20"/>
              </w:rPr>
              <w:t>69.6</w:t>
            </w:r>
          </w:p>
        </w:tc>
        <w:tc>
          <w:tcPr>
            <w:tcW w:w="642" w:type="pct"/>
            <w:tcBorders>
              <w:top w:val="single" w:sz="4" w:space="0" w:color="000000"/>
              <w:left w:val="single" w:sz="4" w:space="0" w:color="000000"/>
              <w:bottom w:val="single" w:sz="4" w:space="0" w:color="000000"/>
              <w:right w:val="single" w:sz="4" w:space="0" w:color="000000"/>
            </w:tcBorders>
            <w:vAlign w:val="center"/>
          </w:tcPr>
          <w:p w14:paraId="6968B6F3" w14:textId="63B10306" w:rsidR="00374B95" w:rsidRPr="008A3B29" w:rsidRDefault="00795FB1" w:rsidP="00C93CE4">
            <w:pPr>
              <w:spacing w:line="288" w:lineRule="auto"/>
              <w:ind w:left="57"/>
              <w:jc w:val="center"/>
              <w:rPr>
                <w:rFonts w:cs="Arial"/>
                <w:color w:val="000000"/>
                <w:szCs w:val="20"/>
              </w:rPr>
            </w:pPr>
            <w:r w:rsidRPr="008A3B29">
              <w:rPr>
                <w:rFonts w:cs="Arial"/>
                <w:color w:val="3A3A3A"/>
                <w:szCs w:val="20"/>
              </w:rPr>
              <w:t>77.0</w:t>
            </w:r>
          </w:p>
        </w:tc>
      </w:tr>
      <w:tr w:rsidR="00374B95" w:rsidRPr="005A3AFE" w14:paraId="58C9ABA0" w14:textId="75748F0F"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tcPr>
          <w:p w14:paraId="7B874225" w14:textId="2465F124" w:rsidR="00374B95" w:rsidRPr="008A3B29" w:rsidRDefault="00A11753" w:rsidP="00C93CE4">
            <w:pPr>
              <w:spacing w:line="288" w:lineRule="auto"/>
              <w:ind w:left="57"/>
              <w:rPr>
                <w:rFonts w:cs="Arial"/>
                <w:szCs w:val="20"/>
              </w:rPr>
            </w:pPr>
            <w:r w:rsidRPr="008A3B29">
              <w:rPr>
                <w:rFonts w:cs="Arial"/>
                <w:b/>
                <w:szCs w:val="20"/>
              </w:rPr>
              <w:t>Disability***</w:t>
            </w:r>
            <w:r>
              <w:rPr>
                <w:rFonts w:cs="Arial"/>
                <w:b/>
                <w:szCs w:val="20"/>
              </w:rPr>
              <w:t xml:space="preserve">: </w:t>
            </w:r>
            <w:r w:rsidR="00FC2092" w:rsidRPr="008A3B29">
              <w:rPr>
                <w:rFonts w:cs="Arial"/>
                <w:szCs w:val="20"/>
              </w:rPr>
              <w:t xml:space="preserve">No </w:t>
            </w:r>
            <w:r w:rsidR="00374B95" w:rsidRPr="008A3B29">
              <w:rPr>
                <w:rFonts w:cs="Arial"/>
                <w:szCs w:val="20"/>
              </w:rPr>
              <w:t>disability</w:t>
            </w:r>
          </w:p>
        </w:tc>
        <w:tc>
          <w:tcPr>
            <w:tcW w:w="392" w:type="pct"/>
            <w:tcBorders>
              <w:top w:val="single" w:sz="4" w:space="0" w:color="000000"/>
              <w:left w:val="single" w:sz="4" w:space="0" w:color="000000"/>
              <w:bottom w:val="single" w:sz="4" w:space="0" w:color="000000"/>
              <w:right w:val="single" w:sz="4" w:space="0" w:color="000000"/>
            </w:tcBorders>
            <w:vAlign w:val="center"/>
          </w:tcPr>
          <w:p w14:paraId="0F01862C" w14:textId="18CDD9B8" w:rsidR="00374B95" w:rsidRPr="008A3B29" w:rsidRDefault="00795FB1" w:rsidP="00C93CE4">
            <w:pPr>
              <w:spacing w:line="288" w:lineRule="auto"/>
              <w:ind w:left="57"/>
              <w:jc w:val="center"/>
              <w:rPr>
                <w:rFonts w:cs="Arial"/>
                <w:szCs w:val="20"/>
              </w:rPr>
            </w:pPr>
            <w:r w:rsidRPr="008A3B29">
              <w:rPr>
                <w:rFonts w:cs="Arial"/>
                <w:color w:val="3A3A3A"/>
                <w:szCs w:val="20"/>
              </w:rPr>
              <w:t>81.4</w:t>
            </w:r>
          </w:p>
        </w:tc>
        <w:tc>
          <w:tcPr>
            <w:tcW w:w="392" w:type="pct"/>
            <w:tcBorders>
              <w:top w:val="single" w:sz="4" w:space="0" w:color="000000"/>
              <w:left w:val="single" w:sz="4" w:space="0" w:color="000000"/>
              <w:bottom w:val="single" w:sz="4" w:space="0" w:color="000000"/>
              <w:right w:val="single" w:sz="4" w:space="0" w:color="000000"/>
            </w:tcBorders>
            <w:vAlign w:val="center"/>
          </w:tcPr>
          <w:p w14:paraId="4884FBDC" w14:textId="2C2627D6" w:rsidR="00374B95" w:rsidRPr="008A3B29" w:rsidRDefault="00374B95" w:rsidP="00C93CE4">
            <w:pPr>
              <w:spacing w:line="288" w:lineRule="auto"/>
              <w:ind w:left="57"/>
              <w:jc w:val="center"/>
              <w:rPr>
                <w:rFonts w:cs="Arial"/>
                <w:szCs w:val="20"/>
              </w:rPr>
            </w:pPr>
            <w:r w:rsidRPr="008A3B29">
              <w:rPr>
                <w:rFonts w:cs="Arial"/>
                <w:color w:val="3A3A3A"/>
                <w:szCs w:val="20"/>
              </w:rPr>
              <w:t>92.</w:t>
            </w:r>
            <w:r w:rsidR="00795FB1" w:rsidRPr="008A3B29">
              <w:rPr>
                <w:rFonts w:cs="Arial"/>
                <w:color w:val="3A3A3A"/>
                <w:szCs w:val="20"/>
              </w:rPr>
              <w:t>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BEF167" w14:textId="4ED2F4DD" w:rsidR="00374B95" w:rsidRPr="008A3B29" w:rsidRDefault="00795FB1" w:rsidP="00C93CE4">
            <w:pPr>
              <w:spacing w:line="288" w:lineRule="auto"/>
              <w:ind w:left="57"/>
              <w:jc w:val="center"/>
              <w:rPr>
                <w:rFonts w:cs="Arial"/>
                <w:szCs w:val="20"/>
              </w:rPr>
            </w:pPr>
            <w:r w:rsidRPr="008A3B29">
              <w:rPr>
                <w:rFonts w:cs="Arial"/>
                <w:color w:val="3A3A3A"/>
                <w:szCs w:val="20"/>
              </w:rPr>
              <w:t>90.8</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3FC506" w14:textId="0E089E00" w:rsidR="00374B95" w:rsidRPr="008A3B29" w:rsidRDefault="00374B95" w:rsidP="00C93CE4">
            <w:pPr>
              <w:spacing w:line="288" w:lineRule="auto"/>
              <w:ind w:left="57"/>
              <w:jc w:val="center"/>
              <w:rPr>
                <w:rFonts w:cs="Arial"/>
                <w:szCs w:val="20"/>
              </w:rPr>
            </w:pPr>
            <w:r w:rsidRPr="008A3B29">
              <w:rPr>
                <w:rFonts w:cs="Arial"/>
                <w:color w:val="3A3A3A"/>
                <w:szCs w:val="20"/>
              </w:rPr>
              <w:t>95.0</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765165" w14:textId="7BA2260F" w:rsidR="00374B95" w:rsidRPr="008A3B29" w:rsidRDefault="00374B95" w:rsidP="00C93CE4">
            <w:pPr>
              <w:spacing w:line="288" w:lineRule="auto"/>
              <w:ind w:left="57"/>
              <w:jc w:val="center"/>
              <w:rPr>
                <w:rFonts w:cs="Arial"/>
                <w:szCs w:val="20"/>
              </w:rPr>
            </w:pPr>
            <w:r w:rsidRPr="008A3B29">
              <w:rPr>
                <w:rFonts w:cs="Arial"/>
                <w:color w:val="3A3A3A"/>
                <w:szCs w:val="20"/>
              </w:rPr>
              <w:t>93.</w:t>
            </w:r>
            <w:r w:rsidR="00795FB1" w:rsidRPr="008A3B29">
              <w:rPr>
                <w:rFonts w:cs="Arial"/>
                <w:color w:val="3A3A3A"/>
                <w:szCs w:val="20"/>
              </w:rPr>
              <w:t>6</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1D5DD8" w14:textId="77777777" w:rsidR="00374B95" w:rsidRPr="008A3B29" w:rsidRDefault="00374B95" w:rsidP="00C93CE4">
            <w:pPr>
              <w:spacing w:line="288" w:lineRule="auto"/>
              <w:ind w:left="57"/>
              <w:jc w:val="center"/>
              <w:rPr>
                <w:rFonts w:cs="Arial"/>
                <w:szCs w:val="20"/>
              </w:rPr>
            </w:pPr>
            <w:r w:rsidRPr="008A3B29">
              <w:rPr>
                <w:rFonts w:cs="Arial"/>
                <w:color w:val="3A3A3A"/>
                <w:szCs w:val="20"/>
              </w:rPr>
              <w:t>90.</w:t>
            </w:r>
            <w:r w:rsidR="00795FB1" w:rsidRPr="008A3B29">
              <w:rPr>
                <w:rFonts w:cs="Arial"/>
                <w:color w:val="3A3A3A"/>
                <w:szCs w:val="20"/>
              </w:rPr>
              <w:t>5</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A5EC41" w14:textId="57251D71" w:rsidR="00374B95" w:rsidRPr="008A3B29" w:rsidRDefault="00795FB1" w:rsidP="00C93CE4">
            <w:pPr>
              <w:spacing w:line="288" w:lineRule="auto"/>
              <w:ind w:left="57"/>
              <w:jc w:val="center"/>
              <w:rPr>
                <w:rFonts w:cs="Arial"/>
                <w:szCs w:val="20"/>
              </w:rPr>
            </w:pPr>
            <w:r w:rsidRPr="008A3B29">
              <w:rPr>
                <w:rFonts w:cs="Arial"/>
                <w:color w:val="3A3A3A"/>
                <w:szCs w:val="20"/>
              </w:rPr>
              <w:t>71,400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06549B6" w14:textId="45E76CCA" w:rsidR="00374B95" w:rsidRPr="008A3B29" w:rsidRDefault="00795FB1" w:rsidP="00C93CE4">
            <w:pPr>
              <w:spacing w:line="288" w:lineRule="auto"/>
              <w:ind w:left="57"/>
              <w:jc w:val="center"/>
              <w:rPr>
                <w:rFonts w:cs="Arial"/>
                <w:szCs w:val="20"/>
              </w:rPr>
            </w:pPr>
            <w:r w:rsidRPr="008A3B29">
              <w:rPr>
                <w:rFonts w:cs="Arial"/>
                <w:color w:val="3A3A3A"/>
                <w:szCs w:val="20"/>
              </w:rPr>
              <w:t>93,900</w:t>
            </w:r>
          </w:p>
        </w:tc>
        <w:tc>
          <w:tcPr>
            <w:tcW w:w="610" w:type="pct"/>
            <w:tcBorders>
              <w:top w:val="single" w:sz="4" w:space="0" w:color="000000"/>
              <w:left w:val="single" w:sz="4" w:space="0" w:color="000000"/>
              <w:bottom w:val="single" w:sz="4" w:space="0" w:color="000000"/>
              <w:right w:val="single" w:sz="4" w:space="0" w:color="000000"/>
            </w:tcBorders>
            <w:vAlign w:val="center"/>
          </w:tcPr>
          <w:p w14:paraId="2B470B08" w14:textId="5A455B12" w:rsidR="00374B95" w:rsidRPr="008A3B29" w:rsidRDefault="00374B95" w:rsidP="00C93CE4">
            <w:pPr>
              <w:spacing w:line="288" w:lineRule="auto"/>
              <w:ind w:left="57"/>
              <w:jc w:val="center"/>
              <w:rPr>
                <w:rFonts w:cs="Arial"/>
                <w:color w:val="000000"/>
                <w:szCs w:val="20"/>
              </w:rPr>
            </w:pPr>
            <w:r w:rsidRPr="008A3B29">
              <w:rPr>
                <w:rFonts w:cs="Arial"/>
                <w:color w:val="3A3A3A"/>
                <w:szCs w:val="20"/>
              </w:rPr>
              <w:t>70.</w:t>
            </w:r>
            <w:r w:rsidR="00795FB1" w:rsidRPr="008A3B29">
              <w:rPr>
                <w:rFonts w:cs="Arial"/>
                <w:color w:val="3A3A3A"/>
                <w:szCs w:val="20"/>
              </w:rPr>
              <w:t>7</w:t>
            </w:r>
          </w:p>
        </w:tc>
        <w:tc>
          <w:tcPr>
            <w:tcW w:w="642" w:type="pct"/>
            <w:tcBorders>
              <w:top w:val="single" w:sz="4" w:space="0" w:color="000000"/>
              <w:left w:val="single" w:sz="4" w:space="0" w:color="000000"/>
              <w:bottom w:val="single" w:sz="4" w:space="0" w:color="000000"/>
              <w:right w:val="single" w:sz="4" w:space="0" w:color="000000"/>
            </w:tcBorders>
            <w:vAlign w:val="center"/>
          </w:tcPr>
          <w:p w14:paraId="13A118F4" w14:textId="31C3ABA4" w:rsidR="00374B95" w:rsidRPr="008A3B29" w:rsidRDefault="00374B95" w:rsidP="00C93CE4">
            <w:pPr>
              <w:spacing w:line="288" w:lineRule="auto"/>
              <w:ind w:left="57"/>
              <w:jc w:val="center"/>
              <w:rPr>
                <w:rFonts w:cs="Arial"/>
                <w:color w:val="000000"/>
                <w:szCs w:val="20"/>
              </w:rPr>
            </w:pPr>
            <w:r w:rsidRPr="008A3B29">
              <w:rPr>
                <w:rFonts w:cs="Arial"/>
                <w:color w:val="3A3A3A"/>
                <w:szCs w:val="20"/>
              </w:rPr>
              <w:t>79.</w:t>
            </w:r>
            <w:r w:rsidR="00795FB1" w:rsidRPr="008A3B29">
              <w:rPr>
                <w:rFonts w:cs="Arial"/>
                <w:color w:val="3A3A3A"/>
                <w:szCs w:val="20"/>
              </w:rPr>
              <w:t>0</w:t>
            </w:r>
          </w:p>
        </w:tc>
      </w:tr>
      <w:tr w:rsidR="00374B95" w:rsidRPr="005A3AFE" w14:paraId="195FDA3F" w14:textId="354D0D5A"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4AF00EFF" w14:textId="20DC2592" w:rsidR="00374B95" w:rsidRPr="008A3B29" w:rsidRDefault="00A11753" w:rsidP="00C93CE4">
            <w:pPr>
              <w:spacing w:line="288" w:lineRule="auto"/>
              <w:ind w:left="57"/>
              <w:rPr>
                <w:rFonts w:cs="Arial"/>
                <w:b/>
                <w:szCs w:val="20"/>
              </w:rPr>
            </w:pPr>
            <w:r w:rsidRPr="008A3B29">
              <w:rPr>
                <w:rFonts w:cs="Arial"/>
                <w:b/>
                <w:szCs w:val="20"/>
              </w:rPr>
              <w:t>First in family status****</w:t>
            </w:r>
            <w:r>
              <w:rPr>
                <w:rFonts w:cs="Arial"/>
                <w:b/>
                <w:szCs w:val="20"/>
              </w:rPr>
              <w:t xml:space="preserve">: </w:t>
            </w:r>
            <w:r w:rsidR="00E12ED7" w:rsidRPr="00E12ED7">
              <w:rPr>
                <w:rFonts w:cs="Arial"/>
                <w:bCs/>
                <w:szCs w:val="20"/>
              </w:rPr>
              <w:t>First</w:t>
            </w:r>
            <w:r>
              <w:rPr>
                <w:rFonts w:cs="Arial"/>
                <w:b/>
                <w:szCs w:val="20"/>
              </w:rPr>
              <w:t> </w:t>
            </w:r>
            <w:r w:rsidR="00374B95" w:rsidRPr="008A3B29">
              <w:rPr>
                <w:rFonts w:cs="Arial"/>
                <w:color w:val="000000"/>
                <w:szCs w:val="20"/>
              </w:rPr>
              <w:t>in family</w:t>
            </w:r>
          </w:p>
        </w:tc>
        <w:tc>
          <w:tcPr>
            <w:tcW w:w="392" w:type="pct"/>
            <w:tcBorders>
              <w:top w:val="single" w:sz="4" w:space="0" w:color="000000"/>
              <w:left w:val="single" w:sz="4" w:space="0" w:color="000000"/>
              <w:bottom w:val="single" w:sz="4" w:space="0" w:color="000000"/>
              <w:right w:val="single" w:sz="4" w:space="0" w:color="000000"/>
            </w:tcBorders>
            <w:vAlign w:val="center"/>
          </w:tcPr>
          <w:p w14:paraId="767C366F" w14:textId="7364CDE4" w:rsidR="00374B95" w:rsidRPr="008A3B29" w:rsidRDefault="00775F1F" w:rsidP="00C93CE4">
            <w:pPr>
              <w:spacing w:line="288" w:lineRule="auto"/>
              <w:ind w:left="57"/>
              <w:jc w:val="center"/>
              <w:rPr>
                <w:rFonts w:cs="Arial"/>
                <w:szCs w:val="20"/>
              </w:rPr>
            </w:pPr>
            <w:r w:rsidRPr="008A3B29">
              <w:rPr>
                <w:rFonts w:cs="Arial"/>
                <w:color w:val="3A3A3A"/>
                <w:szCs w:val="20"/>
              </w:rPr>
              <w:t>81.3</w:t>
            </w:r>
          </w:p>
        </w:tc>
        <w:tc>
          <w:tcPr>
            <w:tcW w:w="392" w:type="pct"/>
            <w:tcBorders>
              <w:top w:val="single" w:sz="4" w:space="0" w:color="000000"/>
              <w:left w:val="single" w:sz="4" w:space="0" w:color="000000"/>
              <w:bottom w:val="single" w:sz="4" w:space="0" w:color="000000"/>
              <w:right w:val="single" w:sz="4" w:space="0" w:color="000000"/>
            </w:tcBorders>
            <w:vAlign w:val="center"/>
          </w:tcPr>
          <w:p w14:paraId="16412C73" w14:textId="732AA2FF" w:rsidR="00374B95" w:rsidRPr="008A3B29" w:rsidRDefault="00775F1F" w:rsidP="00C93CE4">
            <w:pPr>
              <w:spacing w:line="288" w:lineRule="auto"/>
              <w:ind w:left="57"/>
              <w:jc w:val="center"/>
              <w:rPr>
                <w:rFonts w:cs="Arial"/>
                <w:szCs w:val="20"/>
              </w:rPr>
            </w:pPr>
            <w:r w:rsidRPr="008A3B29">
              <w:rPr>
                <w:rFonts w:cs="Arial"/>
                <w:color w:val="3A3A3A"/>
                <w:szCs w:val="20"/>
              </w:rPr>
              <w:t>92.2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52EF73" w14:textId="5985E95F" w:rsidR="00374B95" w:rsidRPr="008A3B29" w:rsidRDefault="00775F1F" w:rsidP="00C93CE4">
            <w:pPr>
              <w:spacing w:line="288" w:lineRule="auto"/>
              <w:ind w:left="57"/>
              <w:jc w:val="center"/>
              <w:rPr>
                <w:rFonts w:cs="Arial"/>
                <w:szCs w:val="20"/>
              </w:rPr>
            </w:pPr>
            <w:r w:rsidRPr="008A3B29">
              <w:rPr>
                <w:rFonts w:cs="Arial"/>
                <w:color w:val="3A3A3A"/>
                <w:szCs w:val="20"/>
              </w:rPr>
              <w:t>90.5</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1B8E70B" w14:textId="77B7595B" w:rsidR="00374B95" w:rsidRPr="008A3B29" w:rsidRDefault="00374B95" w:rsidP="00C93CE4">
            <w:pPr>
              <w:spacing w:line="288" w:lineRule="auto"/>
              <w:ind w:left="57"/>
              <w:jc w:val="center"/>
              <w:rPr>
                <w:rFonts w:cs="Arial"/>
                <w:szCs w:val="20"/>
              </w:rPr>
            </w:pPr>
            <w:r w:rsidRPr="008A3B29">
              <w:rPr>
                <w:rFonts w:cs="Arial"/>
                <w:color w:val="3A3A3A"/>
                <w:szCs w:val="20"/>
              </w:rPr>
              <w:t>94.</w:t>
            </w:r>
            <w:r w:rsidR="00775F1F" w:rsidRPr="008A3B29">
              <w:rPr>
                <w:rFonts w:cs="Arial"/>
                <w:color w:val="3A3A3A"/>
                <w:szCs w:val="20"/>
              </w:rPr>
              <w:t>9</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8469C9" w14:textId="28A8F62F" w:rsidR="00374B95" w:rsidRPr="008A3B29" w:rsidRDefault="00374B95" w:rsidP="00C93CE4">
            <w:pPr>
              <w:spacing w:line="288" w:lineRule="auto"/>
              <w:ind w:left="57"/>
              <w:jc w:val="center"/>
              <w:rPr>
                <w:rFonts w:cs="Arial"/>
                <w:szCs w:val="20"/>
              </w:rPr>
            </w:pPr>
            <w:r w:rsidRPr="008A3B29">
              <w:rPr>
                <w:rFonts w:cs="Arial"/>
                <w:color w:val="3A3A3A"/>
                <w:szCs w:val="20"/>
              </w:rPr>
              <w:t>93.</w:t>
            </w:r>
            <w:r w:rsidR="00775F1F" w:rsidRPr="008A3B29">
              <w:rPr>
                <w:rFonts w:cs="Arial"/>
                <w:color w:val="3A3A3A"/>
                <w:szCs w:val="20"/>
              </w:rPr>
              <w:t>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DB273A" w14:textId="18274C97" w:rsidR="00374B95" w:rsidRPr="008A3B29" w:rsidRDefault="00775F1F" w:rsidP="00C93CE4">
            <w:pPr>
              <w:spacing w:line="288" w:lineRule="auto"/>
              <w:ind w:left="57"/>
              <w:jc w:val="center"/>
              <w:rPr>
                <w:rFonts w:cs="Arial"/>
                <w:szCs w:val="20"/>
              </w:rPr>
            </w:pPr>
            <w:r w:rsidRPr="008A3B29">
              <w:rPr>
                <w:rFonts w:cs="Arial"/>
                <w:color w:val="3A3A3A"/>
                <w:szCs w:val="20"/>
              </w:rPr>
              <w:t>90.8</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17CA26E" w14:textId="6488B119" w:rsidR="00374B95" w:rsidRPr="008A3B29" w:rsidRDefault="00775F1F" w:rsidP="00C93CE4">
            <w:pPr>
              <w:spacing w:line="288" w:lineRule="auto"/>
              <w:ind w:left="57"/>
              <w:jc w:val="center"/>
              <w:rPr>
                <w:rFonts w:cs="Arial"/>
                <w:szCs w:val="20"/>
              </w:rPr>
            </w:pPr>
            <w:r w:rsidRPr="008A3B29">
              <w:rPr>
                <w:rFonts w:cs="Arial"/>
                <w:color w:val="3A3A3A"/>
                <w:szCs w:val="20"/>
              </w:rPr>
              <w:t>72</w:t>
            </w:r>
            <w:r w:rsidR="00374B95" w:rsidRPr="008A3B29">
              <w:rPr>
                <w:rFonts w:cs="Arial"/>
                <w:color w:val="3A3A3A"/>
                <w:szCs w:val="20"/>
              </w:rPr>
              <w:t>,000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701EF0" w14:textId="5478EA59" w:rsidR="00374B95" w:rsidRPr="008A3B29" w:rsidRDefault="00775F1F" w:rsidP="00C93CE4">
            <w:pPr>
              <w:spacing w:line="288" w:lineRule="auto"/>
              <w:ind w:left="57"/>
              <w:jc w:val="center"/>
              <w:rPr>
                <w:rFonts w:cs="Arial"/>
                <w:szCs w:val="20"/>
              </w:rPr>
            </w:pPr>
            <w:r w:rsidRPr="008A3B29">
              <w:rPr>
                <w:rFonts w:cs="Arial"/>
                <w:color w:val="3A3A3A"/>
                <w:szCs w:val="20"/>
              </w:rPr>
              <w:t>93</w:t>
            </w:r>
            <w:r w:rsidR="00374B95" w:rsidRPr="008A3B29">
              <w:rPr>
                <w:rFonts w:cs="Arial"/>
                <w:color w:val="3A3A3A"/>
                <w:szCs w:val="20"/>
              </w:rPr>
              <w:t>,000</w:t>
            </w:r>
          </w:p>
        </w:tc>
        <w:tc>
          <w:tcPr>
            <w:tcW w:w="610" w:type="pct"/>
            <w:tcBorders>
              <w:top w:val="single" w:sz="4" w:space="0" w:color="000000"/>
              <w:left w:val="single" w:sz="4" w:space="0" w:color="000000"/>
              <w:bottom w:val="single" w:sz="4" w:space="0" w:color="000000"/>
              <w:right w:val="single" w:sz="4" w:space="0" w:color="000000"/>
            </w:tcBorders>
            <w:vAlign w:val="center"/>
          </w:tcPr>
          <w:p w14:paraId="121780AE" w14:textId="04E70DF8" w:rsidR="00374B95" w:rsidRPr="008A3B29" w:rsidRDefault="00775F1F" w:rsidP="00C93CE4">
            <w:pPr>
              <w:spacing w:line="288" w:lineRule="auto"/>
              <w:ind w:left="57"/>
              <w:jc w:val="center"/>
              <w:rPr>
                <w:rFonts w:cs="Arial"/>
                <w:color w:val="000000"/>
                <w:szCs w:val="20"/>
              </w:rPr>
            </w:pPr>
            <w:r w:rsidRPr="008A3B29">
              <w:rPr>
                <w:rFonts w:cs="Arial"/>
                <w:color w:val="3A3A3A"/>
                <w:szCs w:val="20"/>
              </w:rPr>
              <w:t>68.8</w:t>
            </w:r>
          </w:p>
        </w:tc>
        <w:tc>
          <w:tcPr>
            <w:tcW w:w="642" w:type="pct"/>
            <w:tcBorders>
              <w:top w:val="single" w:sz="4" w:space="0" w:color="000000"/>
              <w:left w:val="single" w:sz="4" w:space="0" w:color="000000"/>
              <w:bottom w:val="single" w:sz="4" w:space="0" w:color="000000"/>
              <w:right w:val="single" w:sz="4" w:space="0" w:color="000000"/>
            </w:tcBorders>
            <w:vAlign w:val="center"/>
          </w:tcPr>
          <w:p w14:paraId="68060CAF" w14:textId="05915F63" w:rsidR="00374B95" w:rsidRPr="008A3B29" w:rsidRDefault="00775F1F" w:rsidP="00C93CE4">
            <w:pPr>
              <w:spacing w:line="288" w:lineRule="auto"/>
              <w:ind w:left="57"/>
              <w:jc w:val="center"/>
              <w:rPr>
                <w:rFonts w:cs="Arial"/>
                <w:color w:val="000000"/>
                <w:szCs w:val="20"/>
              </w:rPr>
            </w:pPr>
            <w:r w:rsidRPr="008A3B29">
              <w:rPr>
                <w:rFonts w:cs="Arial"/>
                <w:color w:val="3A3A3A"/>
                <w:szCs w:val="20"/>
              </w:rPr>
              <w:t>77.9</w:t>
            </w:r>
          </w:p>
        </w:tc>
      </w:tr>
      <w:tr w:rsidR="00374B95" w:rsidRPr="005A3AFE" w14:paraId="450E6A98" w14:textId="5705A992"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0D445C6F" w14:textId="7514F734" w:rsidR="00374B95" w:rsidRPr="008A3B29" w:rsidRDefault="00A11753" w:rsidP="00C93CE4">
            <w:pPr>
              <w:spacing w:line="288" w:lineRule="auto"/>
              <w:ind w:left="57"/>
              <w:rPr>
                <w:rFonts w:cs="Arial"/>
                <w:b/>
                <w:szCs w:val="20"/>
              </w:rPr>
            </w:pPr>
            <w:r w:rsidRPr="008A3B29">
              <w:rPr>
                <w:rFonts w:cs="Arial"/>
                <w:b/>
                <w:szCs w:val="20"/>
              </w:rPr>
              <w:t>First in family status****</w:t>
            </w:r>
            <w:r>
              <w:rPr>
                <w:rFonts w:cs="Arial"/>
                <w:b/>
                <w:szCs w:val="20"/>
              </w:rPr>
              <w:t xml:space="preserve">: </w:t>
            </w:r>
            <w:r w:rsidR="00374B95" w:rsidRPr="008A3B29">
              <w:rPr>
                <w:rFonts w:cs="Arial"/>
                <w:color w:val="000000"/>
                <w:szCs w:val="20"/>
              </w:rPr>
              <w:t>Not</w:t>
            </w:r>
            <w:r>
              <w:rPr>
                <w:rFonts w:cs="Arial"/>
                <w:color w:val="000000"/>
                <w:szCs w:val="20"/>
              </w:rPr>
              <w:t> </w:t>
            </w:r>
            <w:r w:rsidR="00374B95" w:rsidRPr="008A3B29">
              <w:rPr>
                <w:rFonts w:cs="Arial"/>
                <w:color w:val="000000"/>
                <w:szCs w:val="20"/>
              </w:rPr>
              <w:t>first in family</w:t>
            </w:r>
          </w:p>
        </w:tc>
        <w:tc>
          <w:tcPr>
            <w:tcW w:w="392" w:type="pct"/>
            <w:tcBorders>
              <w:top w:val="single" w:sz="4" w:space="0" w:color="000000"/>
              <w:left w:val="single" w:sz="4" w:space="0" w:color="000000"/>
              <w:bottom w:val="single" w:sz="4" w:space="0" w:color="000000"/>
              <w:right w:val="single" w:sz="4" w:space="0" w:color="000000"/>
            </w:tcBorders>
            <w:vAlign w:val="center"/>
          </w:tcPr>
          <w:p w14:paraId="129AD4FC" w14:textId="1B6537A0" w:rsidR="00374B95" w:rsidRPr="008A3B29" w:rsidRDefault="00374B95" w:rsidP="00C93CE4">
            <w:pPr>
              <w:spacing w:line="288" w:lineRule="auto"/>
              <w:ind w:left="57"/>
              <w:jc w:val="center"/>
              <w:rPr>
                <w:rFonts w:cs="Arial"/>
                <w:szCs w:val="20"/>
              </w:rPr>
            </w:pPr>
            <w:r w:rsidRPr="008A3B29">
              <w:rPr>
                <w:rFonts w:cs="Arial"/>
                <w:color w:val="3A3A3A"/>
                <w:szCs w:val="20"/>
              </w:rPr>
              <w:t>80.</w:t>
            </w:r>
            <w:r w:rsidR="00775F1F" w:rsidRPr="008A3B29">
              <w:rPr>
                <w:rFonts w:cs="Arial"/>
                <w:color w:val="3A3A3A"/>
                <w:szCs w:val="20"/>
              </w:rPr>
              <w:t>0</w:t>
            </w:r>
          </w:p>
        </w:tc>
        <w:tc>
          <w:tcPr>
            <w:tcW w:w="392" w:type="pct"/>
            <w:tcBorders>
              <w:top w:val="single" w:sz="4" w:space="0" w:color="000000"/>
              <w:left w:val="single" w:sz="4" w:space="0" w:color="000000"/>
              <w:bottom w:val="single" w:sz="4" w:space="0" w:color="000000"/>
              <w:right w:val="single" w:sz="4" w:space="0" w:color="000000"/>
            </w:tcBorders>
            <w:vAlign w:val="center"/>
          </w:tcPr>
          <w:p w14:paraId="58E98609" w14:textId="302097A2" w:rsidR="00374B95" w:rsidRPr="008A3B29" w:rsidRDefault="00775F1F" w:rsidP="00C93CE4">
            <w:pPr>
              <w:spacing w:line="288" w:lineRule="auto"/>
              <w:ind w:left="57"/>
              <w:jc w:val="center"/>
              <w:rPr>
                <w:rFonts w:cs="Arial"/>
                <w:szCs w:val="20"/>
              </w:rPr>
            </w:pPr>
            <w:r w:rsidRPr="008A3B29">
              <w:rPr>
                <w:rFonts w:cs="Arial"/>
                <w:color w:val="3A3A3A"/>
                <w:szCs w:val="20"/>
              </w:rPr>
              <w:t>91.8</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C7F3D8" w14:textId="7AE31913" w:rsidR="00374B95" w:rsidRPr="008A3B29" w:rsidRDefault="00374B95" w:rsidP="00C93CE4">
            <w:pPr>
              <w:spacing w:line="288" w:lineRule="auto"/>
              <w:ind w:left="57"/>
              <w:jc w:val="center"/>
              <w:rPr>
                <w:rFonts w:cs="Arial"/>
                <w:szCs w:val="20"/>
              </w:rPr>
            </w:pPr>
            <w:r w:rsidRPr="008A3B29">
              <w:rPr>
                <w:rFonts w:cs="Arial"/>
                <w:color w:val="3A3A3A"/>
                <w:szCs w:val="20"/>
              </w:rPr>
              <w:t>90.</w:t>
            </w:r>
            <w:r w:rsidR="00775F1F" w:rsidRPr="008A3B29">
              <w:rPr>
                <w:rFonts w:cs="Arial"/>
                <w:color w:val="3A3A3A"/>
                <w:szCs w:val="20"/>
              </w:rPr>
              <w:t>4</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E26083" w14:textId="16FA517D" w:rsidR="00374B95" w:rsidRPr="008A3B29" w:rsidRDefault="00775F1F" w:rsidP="00C93CE4">
            <w:pPr>
              <w:spacing w:line="288" w:lineRule="auto"/>
              <w:ind w:left="57"/>
              <w:jc w:val="center"/>
              <w:rPr>
                <w:rFonts w:cs="Arial"/>
                <w:szCs w:val="20"/>
              </w:rPr>
            </w:pPr>
            <w:r w:rsidRPr="008A3B29">
              <w:rPr>
                <w:rFonts w:cs="Arial"/>
                <w:color w:val="3A3A3A"/>
                <w:szCs w:val="20"/>
              </w:rPr>
              <w:t>94.6</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9D6087" w14:textId="69DF4721" w:rsidR="00374B95" w:rsidRPr="008A3B29" w:rsidRDefault="00374B95" w:rsidP="00C93CE4">
            <w:pPr>
              <w:spacing w:line="288" w:lineRule="auto"/>
              <w:ind w:left="57"/>
              <w:jc w:val="center"/>
              <w:rPr>
                <w:rFonts w:cs="Arial"/>
                <w:szCs w:val="20"/>
              </w:rPr>
            </w:pPr>
            <w:r w:rsidRPr="008A3B29">
              <w:rPr>
                <w:rFonts w:cs="Arial"/>
                <w:color w:val="3A3A3A"/>
                <w:szCs w:val="20"/>
              </w:rPr>
              <w:t>93.</w:t>
            </w:r>
            <w:r w:rsidR="00775F1F" w:rsidRPr="008A3B29">
              <w:rPr>
                <w:rFonts w:cs="Arial"/>
                <w:color w:val="3A3A3A"/>
                <w:szCs w:val="20"/>
              </w:rPr>
              <w:t>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8CD3D6" w14:textId="0BA08E14" w:rsidR="00374B95" w:rsidRPr="008A3B29" w:rsidRDefault="00374B95" w:rsidP="00C93CE4">
            <w:pPr>
              <w:spacing w:line="288" w:lineRule="auto"/>
              <w:ind w:left="57"/>
              <w:jc w:val="center"/>
              <w:rPr>
                <w:rFonts w:cs="Arial"/>
                <w:szCs w:val="20"/>
              </w:rPr>
            </w:pPr>
            <w:r w:rsidRPr="008A3B29">
              <w:rPr>
                <w:rFonts w:cs="Arial"/>
                <w:color w:val="3A3A3A"/>
                <w:szCs w:val="20"/>
              </w:rPr>
              <w:t>90.</w:t>
            </w:r>
            <w:r w:rsidR="00775F1F" w:rsidRPr="008A3B29">
              <w:rPr>
                <w:rFonts w:cs="Arial"/>
                <w:color w:val="3A3A3A"/>
                <w:szCs w:val="20"/>
              </w:rPr>
              <w:t>3</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A7ACCE" w14:textId="621CDC73" w:rsidR="00374B95" w:rsidRPr="008A3B29" w:rsidRDefault="00775F1F" w:rsidP="00C93CE4">
            <w:pPr>
              <w:spacing w:line="288" w:lineRule="auto"/>
              <w:ind w:left="57"/>
              <w:jc w:val="center"/>
              <w:rPr>
                <w:rFonts w:cs="Arial"/>
                <w:szCs w:val="20"/>
              </w:rPr>
            </w:pPr>
            <w:r w:rsidRPr="008A3B29">
              <w:rPr>
                <w:rFonts w:cs="Arial"/>
                <w:color w:val="3A3A3A"/>
                <w:szCs w:val="20"/>
              </w:rPr>
              <w:t>71</w:t>
            </w:r>
            <w:r w:rsidR="00374B95" w:rsidRPr="008A3B29">
              <w:rPr>
                <w:rFonts w:cs="Arial"/>
                <w:color w:val="3A3A3A"/>
                <w:szCs w:val="20"/>
              </w:rPr>
              <w:t>,000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9D4289" w14:textId="6A35FA2F" w:rsidR="00374B95" w:rsidRPr="008A3B29" w:rsidRDefault="00775F1F" w:rsidP="00C93CE4">
            <w:pPr>
              <w:spacing w:line="288" w:lineRule="auto"/>
              <w:ind w:left="57"/>
              <w:jc w:val="center"/>
              <w:rPr>
                <w:rFonts w:cs="Arial"/>
                <w:szCs w:val="20"/>
              </w:rPr>
            </w:pPr>
            <w:r w:rsidRPr="008A3B29">
              <w:rPr>
                <w:rFonts w:cs="Arial"/>
                <w:color w:val="3A3A3A"/>
                <w:szCs w:val="20"/>
              </w:rPr>
              <w:t>93,600</w:t>
            </w:r>
          </w:p>
        </w:tc>
        <w:tc>
          <w:tcPr>
            <w:tcW w:w="610" w:type="pct"/>
            <w:tcBorders>
              <w:top w:val="single" w:sz="4" w:space="0" w:color="000000"/>
              <w:left w:val="single" w:sz="4" w:space="0" w:color="000000"/>
              <w:bottom w:val="single" w:sz="4" w:space="0" w:color="000000"/>
              <w:right w:val="single" w:sz="4" w:space="0" w:color="000000"/>
            </w:tcBorders>
            <w:vAlign w:val="center"/>
          </w:tcPr>
          <w:p w14:paraId="0898AE21" w14:textId="2E0EC8D0" w:rsidR="00374B95" w:rsidRPr="008A3B29" w:rsidRDefault="00374B95" w:rsidP="00C93CE4">
            <w:pPr>
              <w:spacing w:line="288" w:lineRule="auto"/>
              <w:ind w:left="57"/>
              <w:jc w:val="center"/>
              <w:rPr>
                <w:rFonts w:cs="Arial"/>
                <w:color w:val="000000"/>
                <w:szCs w:val="20"/>
              </w:rPr>
            </w:pPr>
            <w:r w:rsidRPr="008A3B29">
              <w:rPr>
                <w:rFonts w:cs="Arial"/>
                <w:color w:val="3A3A3A"/>
                <w:szCs w:val="20"/>
              </w:rPr>
              <w:t>73.</w:t>
            </w:r>
            <w:r w:rsidR="00775F1F" w:rsidRPr="008A3B29">
              <w:rPr>
                <w:rFonts w:cs="Arial"/>
                <w:color w:val="3A3A3A"/>
                <w:szCs w:val="20"/>
              </w:rPr>
              <w:t>9</w:t>
            </w:r>
          </w:p>
        </w:tc>
        <w:tc>
          <w:tcPr>
            <w:tcW w:w="642" w:type="pct"/>
            <w:tcBorders>
              <w:top w:val="single" w:sz="4" w:space="0" w:color="000000"/>
              <w:left w:val="single" w:sz="4" w:space="0" w:color="000000"/>
              <w:bottom w:val="single" w:sz="4" w:space="0" w:color="000000"/>
              <w:right w:val="single" w:sz="4" w:space="0" w:color="000000"/>
            </w:tcBorders>
            <w:vAlign w:val="center"/>
          </w:tcPr>
          <w:p w14:paraId="0F472487" w14:textId="4BB3F5C4" w:rsidR="00374B95" w:rsidRPr="008A3B29" w:rsidRDefault="00775F1F" w:rsidP="00C93CE4">
            <w:pPr>
              <w:spacing w:line="288" w:lineRule="auto"/>
              <w:ind w:left="57"/>
              <w:jc w:val="center"/>
              <w:rPr>
                <w:rFonts w:cs="Arial"/>
                <w:color w:val="000000"/>
                <w:szCs w:val="20"/>
              </w:rPr>
            </w:pPr>
            <w:r w:rsidRPr="008A3B29">
              <w:rPr>
                <w:rFonts w:cs="Arial"/>
                <w:color w:val="3A3A3A"/>
                <w:szCs w:val="20"/>
              </w:rPr>
              <w:t>80.7</w:t>
            </w:r>
          </w:p>
        </w:tc>
      </w:tr>
      <w:tr w:rsidR="00A4106F" w:rsidRPr="005A3AFE" w14:paraId="1E3FFD21" w14:textId="34E81B19"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37B21590" w14:textId="5EF191F2" w:rsidR="00DF5816" w:rsidRPr="008A3B29" w:rsidRDefault="00A11753" w:rsidP="00C93CE4">
            <w:pPr>
              <w:spacing w:line="288" w:lineRule="auto"/>
              <w:ind w:left="57"/>
              <w:rPr>
                <w:rFonts w:cs="Arial"/>
                <w:szCs w:val="20"/>
              </w:rPr>
            </w:pPr>
            <w:r w:rsidRPr="008A3B29">
              <w:rPr>
                <w:rFonts w:cs="Arial"/>
                <w:b/>
                <w:szCs w:val="20"/>
              </w:rPr>
              <w:t>Socio-economic status*****</w:t>
            </w:r>
            <w:r>
              <w:rPr>
                <w:rFonts w:cs="Arial"/>
                <w:b/>
                <w:szCs w:val="20"/>
              </w:rPr>
              <w:t xml:space="preserve">: </w:t>
            </w:r>
            <w:r w:rsidR="00DF5816" w:rsidRPr="008A3B29">
              <w:rPr>
                <w:rFonts w:cs="Arial"/>
                <w:color w:val="000000"/>
                <w:szCs w:val="20"/>
              </w:rPr>
              <w:t>High</w:t>
            </w:r>
          </w:p>
        </w:tc>
        <w:tc>
          <w:tcPr>
            <w:tcW w:w="392" w:type="pct"/>
            <w:tcBorders>
              <w:top w:val="single" w:sz="4" w:space="0" w:color="000000"/>
              <w:left w:val="single" w:sz="4" w:space="0" w:color="000000"/>
              <w:bottom w:val="single" w:sz="4" w:space="0" w:color="000000"/>
              <w:right w:val="single" w:sz="4" w:space="0" w:color="000000"/>
            </w:tcBorders>
            <w:vAlign w:val="center"/>
          </w:tcPr>
          <w:p w14:paraId="45F1F813" w14:textId="4658E42D" w:rsidR="00DF5816" w:rsidRPr="008A3B29" w:rsidRDefault="00DF5816" w:rsidP="00C93CE4">
            <w:pPr>
              <w:spacing w:line="288" w:lineRule="auto"/>
              <w:ind w:left="57"/>
              <w:jc w:val="center"/>
              <w:rPr>
                <w:rFonts w:cs="Arial"/>
                <w:szCs w:val="20"/>
              </w:rPr>
            </w:pPr>
            <w:r w:rsidRPr="008A3B29">
              <w:rPr>
                <w:rFonts w:cs="Arial"/>
                <w:color w:val="3A3A3A"/>
                <w:szCs w:val="20"/>
              </w:rPr>
              <w:t>80.</w:t>
            </w:r>
            <w:r w:rsidR="00A622D5" w:rsidRPr="008A3B29">
              <w:rPr>
                <w:rFonts w:cs="Arial"/>
                <w:color w:val="3A3A3A"/>
                <w:szCs w:val="20"/>
              </w:rPr>
              <w:t>1</w:t>
            </w:r>
          </w:p>
        </w:tc>
        <w:tc>
          <w:tcPr>
            <w:tcW w:w="392" w:type="pct"/>
            <w:tcBorders>
              <w:top w:val="single" w:sz="4" w:space="0" w:color="000000"/>
              <w:left w:val="single" w:sz="4" w:space="0" w:color="000000"/>
              <w:bottom w:val="single" w:sz="4" w:space="0" w:color="000000"/>
              <w:right w:val="single" w:sz="4" w:space="0" w:color="000000"/>
            </w:tcBorders>
            <w:vAlign w:val="center"/>
          </w:tcPr>
          <w:p w14:paraId="6EC6C4AB" w14:textId="5B36697D" w:rsidR="00DF5816" w:rsidRPr="008A3B29" w:rsidRDefault="00DF5816" w:rsidP="00C93CE4">
            <w:pPr>
              <w:spacing w:line="288" w:lineRule="auto"/>
              <w:ind w:left="57"/>
              <w:jc w:val="center"/>
              <w:rPr>
                <w:rFonts w:cs="Arial"/>
                <w:szCs w:val="20"/>
              </w:rPr>
            </w:pPr>
            <w:r w:rsidRPr="008A3B29">
              <w:rPr>
                <w:rFonts w:cs="Arial"/>
                <w:color w:val="3A3A3A"/>
                <w:szCs w:val="20"/>
              </w:rPr>
              <w:t>91.</w:t>
            </w:r>
            <w:r w:rsidR="00A622D5" w:rsidRPr="008A3B29">
              <w:rPr>
                <w:rFonts w:cs="Arial"/>
                <w:color w:val="3A3A3A"/>
                <w:szCs w:val="20"/>
              </w:rPr>
              <w:t>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73D72B" w14:textId="5179C3C4" w:rsidR="00DF5816" w:rsidRPr="008A3B29" w:rsidRDefault="00A622D5" w:rsidP="00C93CE4">
            <w:pPr>
              <w:spacing w:line="288" w:lineRule="auto"/>
              <w:ind w:left="57"/>
              <w:jc w:val="center"/>
              <w:rPr>
                <w:rFonts w:cs="Arial"/>
                <w:szCs w:val="20"/>
              </w:rPr>
            </w:pPr>
            <w:r w:rsidRPr="008A3B29">
              <w:rPr>
                <w:rFonts w:cs="Arial"/>
                <w:color w:val="3A3A3A"/>
                <w:szCs w:val="20"/>
              </w:rPr>
              <w:t>90.8</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1280FD" w14:textId="47580A7F" w:rsidR="00DF5816" w:rsidRPr="008A3B29" w:rsidRDefault="00A622D5" w:rsidP="00C93CE4">
            <w:pPr>
              <w:spacing w:line="288" w:lineRule="auto"/>
              <w:ind w:left="57"/>
              <w:jc w:val="center"/>
              <w:rPr>
                <w:rFonts w:cs="Arial"/>
                <w:szCs w:val="20"/>
              </w:rPr>
            </w:pPr>
            <w:r w:rsidRPr="008A3B29">
              <w:rPr>
                <w:rFonts w:cs="Arial"/>
                <w:color w:val="3A3A3A"/>
                <w:szCs w:val="20"/>
              </w:rPr>
              <w:t>93.9</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EB20C2" w14:textId="1797913E" w:rsidR="00DF5816" w:rsidRPr="008A3B29" w:rsidRDefault="00DF5816" w:rsidP="00C93CE4">
            <w:pPr>
              <w:spacing w:line="288" w:lineRule="auto"/>
              <w:ind w:left="57"/>
              <w:jc w:val="center"/>
              <w:rPr>
                <w:rFonts w:cs="Arial"/>
                <w:szCs w:val="20"/>
              </w:rPr>
            </w:pPr>
            <w:r w:rsidRPr="008A3B29">
              <w:rPr>
                <w:rFonts w:cs="Arial"/>
                <w:color w:val="3A3A3A"/>
                <w:szCs w:val="20"/>
              </w:rPr>
              <w:t>92.</w:t>
            </w:r>
            <w:r w:rsidR="00A622D5" w:rsidRPr="008A3B29">
              <w:rPr>
                <w:rFonts w:cs="Arial"/>
                <w:color w:val="3A3A3A"/>
                <w:szCs w:val="20"/>
              </w:rPr>
              <w:t>9</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548AD1" w14:textId="2CABA89A" w:rsidR="00DF5816" w:rsidRPr="008A3B29" w:rsidRDefault="00A622D5" w:rsidP="00C93CE4">
            <w:pPr>
              <w:spacing w:line="288" w:lineRule="auto"/>
              <w:ind w:left="57"/>
              <w:jc w:val="center"/>
              <w:rPr>
                <w:rFonts w:cs="Arial"/>
                <w:szCs w:val="20"/>
              </w:rPr>
            </w:pPr>
            <w:r w:rsidRPr="008A3B29">
              <w:rPr>
                <w:rFonts w:cs="Arial"/>
                <w:color w:val="3A3A3A"/>
                <w:szCs w:val="20"/>
              </w:rPr>
              <w:t>90.1</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5E53B0" w14:textId="506FF4CF" w:rsidR="00DF5816" w:rsidRPr="008A3B29" w:rsidRDefault="00A622D5" w:rsidP="00C93CE4">
            <w:pPr>
              <w:spacing w:line="288" w:lineRule="auto"/>
              <w:ind w:left="57"/>
              <w:jc w:val="center"/>
              <w:rPr>
                <w:rFonts w:cs="Arial"/>
                <w:szCs w:val="20"/>
              </w:rPr>
            </w:pPr>
            <w:r w:rsidRPr="008A3B29">
              <w:rPr>
                <w:rFonts w:cs="Arial"/>
                <w:color w:val="3A3A3A"/>
                <w:szCs w:val="20"/>
              </w:rPr>
              <w:t>71,000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BD3FA8" w14:textId="720F935F" w:rsidR="00DF5816" w:rsidRPr="008A3B29" w:rsidRDefault="00A622D5" w:rsidP="00C93CE4">
            <w:pPr>
              <w:spacing w:line="288" w:lineRule="auto"/>
              <w:ind w:left="57"/>
              <w:jc w:val="center"/>
              <w:rPr>
                <w:rFonts w:cs="Arial"/>
                <w:szCs w:val="20"/>
              </w:rPr>
            </w:pPr>
            <w:r w:rsidRPr="008A3B29">
              <w:rPr>
                <w:rFonts w:cs="Arial"/>
                <w:color w:val="3A3A3A"/>
                <w:szCs w:val="20"/>
              </w:rPr>
              <w:t>94</w:t>
            </w:r>
            <w:r w:rsidR="00DF5816" w:rsidRPr="008A3B29">
              <w:rPr>
                <w:rFonts w:cs="Arial"/>
                <w:color w:val="3A3A3A"/>
                <w:szCs w:val="20"/>
              </w:rPr>
              <w:t>,000</w:t>
            </w:r>
          </w:p>
        </w:tc>
        <w:tc>
          <w:tcPr>
            <w:tcW w:w="610" w:type="pct"/>
            <w:tcBorders>
              <w:top w:val="single" w:sz="4" w:space="0" w:color="000000"/>
              <w:left w:val="single" w:sz="4" w:space="0" w:color="000000"/>
              <w:bottom w:val="single" w:sz="4" w:space="0" w:color="000000"/>
              <w:right w:val="single" w:sz="4" w:space="0" w:color="000000"/>
            </w:tcBorders>
            <w:vAlign w:val="center"/>
          </w:tcPr>
          <w:p w14:paraId="3F0BFE8E" w14:textId="5A958C1C" w:rsidR="00DF5816" w:rsidRPr="008A3B29" w:rsidRDefault="00A622D5" w:rsidP="00C93CE4">
            <w:pPr>
              <w:spacing w:line="288" w:lineRule="auto"/>
              <w:ind w:left="57"/>
              <w:jc w:val="center"/>
              <w:rPr>
                <w:rFonts w:cs="Arial"/>
                <w:color w:val="000000"/>
                <w:szCs w:val="20"/>
              </w:rPr>
            </w:pPr>
            <w:r w:rsidRPr="008A3B29">
              <w:rPr>
                <w:rFonts w:cs="Arial"/>
                <w:color w:val="3A3A3A"/>
                <w:szCs w:val="20"/>
              </w:rPr>
              <w:t>73.7</w:t>
            </w:r>
          </w:p>
        </w:tc>
        <w:tc>
          <w:tcPr>
            <w:tcW w:w="642" w:type="pct"/>
            <w:tcBorders>
              <w:top w:val="single" w:sz="4" w:space="0" w:color="000000"/>
              <w:left w:val="single" w:sz="4" w:space="0" w:color="000000"/>
              <w:bottom w:val="single" w:sz="4" w:space="0" w:color="000000"/>
              <w:right w:val="single" w:sz="4" w:space="0" w:color="000000"/>
            </w:tcBorders>
            <w:vAlign w:val="center"/>
          </w:tcPr>
          <w:p w14:paraId="47645065" w14:textId="362CFDE4" w:rsidR="00DF5816" w:rsidRPr="008A3B29" w:rsidRDefault="00DF5816" w:rsidP="00C93CE4">
            <w:pPr>
              <w:spacing w:line="288" w:lineRule="auto"/>
              <w:ind w:left="57"/>
              <w:jc w:val="center"/>
              <w:rPr>
                <w:rFonts w:cs="Arial"/>
                <w:color w:val="000000"/>
                <w:szCs w:val="20"/>
              </w:rPr>
            </w:pPr>
            <w:r w:rsidRPr="008A3B29">
              <w:rPr>
                <w:rFonts w:cs="Arial"/>
                <w:color w:val="3A3A3A"/>
                <w:szCs w:val="20"/>
              </w:rPr>
              <w:t>81.</w:t>
            </w:r>
            <w:r w:rsidR="00A622D5" w:rsidRPr="008A3B29">
              <w:rPr>
                <w:rFonts w:cs="Arial"/>
                <w:color w:val="3A3A3A"/>
                <w:szCs w:val="20"/>
              </w:rPr>
              <w:t>7</w:t>
            </w:r>
          </w:p>
        </w:tc>
      </w:tr>
      <w:tr w:rsidR="00A4106F" w:rsidRPr="005A3AFE" w14:paraId="0FCD3EE2" w14:textId="583D439D"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17DEA073" w14:textId="3E42AB40" w:rsidR="00DF5816" w:rsidRPr="008A3B29" w:rsidRDefault="00A11753" w:rsidP="00C93CE4">
            <w:pPr>
              <w:keepNext/>
              <w:spacing w:line="288" w:lineRule="auto"/>
              <w:ind w:left="57"/>
              <w:rPr>
                <w:rFonts w:cs="Arial"/>
                <w:szCs w:val="20"/>
              </w:rPr>
            </w:pPr>
            <w:r w:rsidRPr="008A3B29">
              <w:rPr>
                <w:rFonts w:cs="Arial"/>
                <w:b/>
                <w:szCs w:val="20"/>
              </w:rPr>
              <w:lastRenderedPageBreak/>
              <w:t>Socio-economic status*****</w:t>
            </w:r>
            <w:r>
              <w:rPr>
                <w:rFonts w:cs="Arial"/>
                <w:b/>
                <w:szCs w:val="20"/>
              </w:rPr>
              <w:t xml:space="preserve">: </w:t>
            </w:r>
            <w:r w:rsidR="00DF5816" w:rsidRPr="008A3B29">
              <w:rPr>
                <w:rFonts w:cs="Arial"/>
                <w:color w:val="000000"/>
                <w:szCs w:val="20"/>
              </w:rPr>
              <w:t>Medium</w:t>
            </w:r>
          </w:p>
        </w:tc>
        <w:tc>
          <w:tcPr>
            <w:tcW w:w="392" w:type="pct"/>
            <w:tcBorders>
              <w:top w:val="single" w:sz="4" w:space="0" w:color="000000"/>
              <w:left w:val="single" w:sz="4" w:space="0" w:color="000000"/>
              <w:bottom w:val="single" w:sz="4" w:space="0" w:color="000000"/>
              <w:right w:val="single" w:sz="4" w:space="0" w:color="000000"/>
            </w:tcBorders>
            <w:vAlign w:val="center"/>
          </w:tcPr>
          <w:p w14:paraId="52BE1DDD" w14:textId="7714E6FF" w:rsidR="00DF5816" w:rsidRPr="008A3B29" w:rsidRDefault="00DF5816" w:rsidP="00C93CE4">
            <w:pPr>
              <w:keepNext/>
              <w:spacing w:line="288" w:lineRule="auto"/>
              <w:ind w:left="57"/>
              <w:jc w:val="center"/>
              <w:rPr>
                <w:rFonts w:cs="Arial"/>
                <w:szCs w:val="20"/>
              </w:rPr>
            </w:pPr>
            <w:r w:rsidRPr="008A3B29">
              <w:rPr>
                <w:rFonts w:cs="Arial"/>
                <w:color w:val="3A3A3A"/>
                <w:szCs w:val="20"/>
              </w:rPr>
              <w:t>79.</w:t>
            </w:r>
            <w:r w:rsidR="00A622D5" w:rsidRPr="008A3B29">
              <w:rPr>
                <w:rFonts w:cs="Arial"/>
                <w:color w:val="3A3A3A"/>
                <w:szCs w:val="20"/>
              </w:rPr>
              <w:t>9</w:t>
            </w:r>
          </w:p>
        </w:tc>
        <w:tc>
          <w:tcPr>
            <w:tcW w:w="392" w:type="pct"/>
            <w:tcBorders>
              <w:top w:val="single" w:sz="4" w:space="0" w:color="000000"/>
              <w:left w:val="single" w:sz="4" w:space="0" w:color="000000"/>
              <w:bottom w:val="single" w:sz="4" w:space="0" w:color="000000"/>
              <w:right w:val="single" w:sz="4" w:space="0" w:color="000000"/>
            </w:tcBorders>
            <w:vAlign w:val="center"/>
          </w:tcPr>
          <w:p w14:paraId="628C8911" w14:textId="7DD4500D" w:rsidR="00DF5816" w:rsidRPr="008A3B29" w:rsidRDefault="00DF5816" w:rsidP="00C93CE4">
            <w:pPr>
              <w:keepNext/>
              <w:spacing w:line="288" w:lineRule="auto"/>
              <w:ind w:left="57"/>
              <w:jc w:val="center"/>
              <w:rPr>
                <w:rFonts w:cs="Arial"/>
                <w:szCs w:val="20"/>
              </w:rPr>
            </w:pPr>
            <w:r w:rsidRPr="008A3B29">
              <w:rPr>
                <w:rFonts w:cs="Arial"/>
                <w:color w:val="3A3A3A"/>
                <w:szCs w:val="20"/>
              </w:rPr>
              <w:t>92.1</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732C97" w14:textId="1BD496F2" w:rsidR="00DF5816" w:rsidRPr="008A3B29" w:rsidRDefault="00A622D5" w:rsidP="00C93CE4">
            <w:pPr>
              <w:keepNext/>
              <w:spacing w:line="288" w:lineRule="auto"/>
              <w:ind w:left="57"/>
              <w:jc w:val="center"/>
              <w:rPr>
                <w:rFonts w:cs="Arial"/>
                <w:szCs w:val="20"/>
              </w:rPr>
            </w:pPr>
            <w:r w:rsidRPr="008A3B29">
              <w:rPr>
                <w:rFonts w:cs="Arial"/>
                <w:color w:val="3A3A3A"/>
                <w:szCs w:val="20"/>
              </w:rPr>
              <w:t>90.0</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82676A" w14:textId="629D8C39" w:rsidR="00DF5816" w:rsidRPr="008A3B29" w:rsidRDefault="00DF5816" w:rsidP="00C93CE4">
            <w:pPr>
              <w:keepNext/>
              <w:spacing w:line="288" w:lineRule="auto"/>
              <w:ind w:left="57"/>
              <w:jc w:val="center"/>
              <w:rPr>
                <w:rFonts w:cs="Arial"/>
                <w:szCs w:val="20"/>
              </w:rPr>
            </w:pPr>
            <w:r w:rsidRPr="008A3B29">
              <w:rPr>
                <w:rFonts w:cs="Arial"/>
                <w:color w:val="3A3A3A"/>
                <w:szCs w:val="20"/>
              </w:rPr>
              <w:t>94.9</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C5F6B8" w14:textId="511946C4" w:rsidR="00DF5816" w:rsidRPr="008A3B29" w:rsidRDefault="00DF5816" w:rsidP="00C93CE4">
            <w:pPr>
              <w:keepNext/>
              <w:spacing w:line="288" w:lineRule="auto"/>
              <w:ind w:left="57"/>
              <w:jc w:val="center"/>
              <w:rPr>
                <w:rFonts w:cs="Arial"/>
                <w:szCs w:val="20"/>
              </w:rPr>
            </w:pPr>
            <w:r w:rsidRPr="008A3B29">
              <w:rPr>
                <w:rFonts w:cs="Arial"/>
                <w:color w:val="3A3A3A"/>
                <w:szCs w:val="20"/>
              </w:rPr>
              <w:t>93.4</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96C6F1" w14:textId="358507BC" w:rsidR="00DF5816" w:rsidRPr="008A3B29" w:rsidRDefault="00A622D5" w:rsidP="00C93CE4">
            <w:pPr>
              <w:keepNext/>
              <w:spacing w:line="288" w:lineRule="auto"/>
              <w:ind w:left="57"/>
              <w:jc w:val="center"/>
              <w:rPr>
                <w:rFonts w:cs="Arial"/>
                <w:szCs w:val="20"/>
              </w:rPr>
            </w:pPr>
            <w:r w:rsidRPr="008A3B29">
              <w:rPr>
                <w:rFonts w:cs="Arial"/>
                <w:color w:val="3A3A3A"/>
                <w:szCs w:val="20"/>
              </w:rPr>
              <w:t>90.6</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5AB3B7" w14:textId="4B8687D8" w:rsidR="00DF5816" w:rsidRPr="008A3B29" w:rsidRDefault="00A622D5" w:rsidP="00C93CE4">
            <w:pPr>
              <w:keepNext/>
              <w:spacing w:line="288" w:lineRule="auto"/>
              <w:ind w:left="57"/>
              <w:jc w:val="center"/>
              <w:rPr>
                <w:rFonts w:cs="Arial"/>
                <w:szCs w:val="20"/>
              </w:rPr>
            </w:pPr>
            <w:r w:rsidRPr="008A3B29">
              <w:rPr>
                <w:rFonts w:cs="Arial"/>
                <w:color w:val="3A3A3A"/>
                <w:szCs w:val="20"/>
              </w:rPr>
              <w:t>71,400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AD34BF" w14:textId="03164D6D" w:rsidR="00DF5816" w:rsidRPr="008A3B29" w:rsidRDefault="00A622D5" w:rsidP="00C93CE4">
            <w:pPr>
              <w:keepNext/>
              <w:spacing w:line="288" w:lineRule="auto"/>
              <w:ind w:left="57"/>
              <w:jc w:val="center"/>
              <w:rPr>
                <w:rFonts w:cs="Arial"/>
                <w:szCs w:val="20"/>
              </w:rPr>
            </w:pPr>
            <w:r w:rsidRPr="008A3B29">
              <w:rPr>
                <w:rFonts w:cs="Arial"/>
                <w:color w:val="3A3A3A"/>
                <w:szCs w:val="20"/>
              </w:rPr>
              <w:t>91,800</w:t>
            </w:r>
          </w:p>
        </w:tc>
        <w:tc>
          <w:tcPr>
            <w:tcW w:w="610" w:type="pct"/>
            <w:tcBorders>
              <w:top w:val="single" w:sz="4" w:space="0" w:color="000000"/>
              <w:left w:val="single" w:sz="4" w:space="0" w:color="000000"/>
              <w:bottom w:val="single" w:sz="4" w:space="0" w:color="000000"/>
              <w:right w:val="single" w:sz="4" w:space="0" w:color="000000"/>
            </w:tcBorders>
            <w:vAlign w:val="center"/>
          </w:tcPr>
          <w:p w14:paraId="4CA5C1D6" w14:textId="09A50DEA" w:rsidR="00DF5816" w:rsidRPr="008A3B29" w:rsidRDefault="00A622D5" w:rsidP="00C93CE4">
            <w:pPr>
              <w:keepNext/>
              <w:spacing w:line="288" w:lineRule="auto"/>
              <w:ind w:left="57"/>
              <w:jc w:val="center"/>
              <w:rPr>
                <w:rFonts w:cs="Arial"/>
                <w:color w:val="000000"/>
                <w:szCs w:val="20"/>
              </w:rPr>
            </w:pPr>
            <w:r w:rsidRPr="008A3B29">
              <w:rPr>
                <w:rFonts w:cs="Arial"/>
                <w:color w:val="3A3A3A"/>
                <w:szCs w:val="20"/>
              </w:rPr>
              <w:t>70</w:t>
            </w:r>
            <w:r w:rsidR="00DF5816" w:rsidRPr="008A3B29">
              <w:rPr>
                <w:rFonts w:cs="Arial"/>
                <w:color w:val="3A3A3A"/>
                <w:szCs w:val="20"/>
              </w:rPr>
              <w:t>.2</w:t>
            </w:r>
          </w:p>
        </w:tc>
        <w:tc>
          <w:tcPr>
            <w:tcW w:w="642" w:type="pct"/>
            <w:tcBorders>
              <w:top w:val="single" w:sz="4" w:space="0" w:color="000000"/>
              <w:left w:val="single" w:sz="4" w:space="0" w:color="000000"/>
              <w:bottom w:val="single" w:sz="4" w:space="0" w:color="000000"/>
              <w:right w:val="single" w:sz="4" w:space="0" w:color="000000"/>
            </w:tcBorders>
            <w:vAlign w:val="center"/>
          </w:tcPr>
          <w:p w14:paraId="4157D060" w14:textId="1DEB673D" w:rsidR="00DF5816" w:rsidRPr="008A3B29" w:rsidRDefault="00DF5816" w:rsidP="00C93CE4">
            <w:pPr>
              <w:keepNext/>
              <w:spacing w:line="288" w:lineRule="auto"/>
              <w:ind w:left="57"/>
              <w:jc w:val="center"/>
              <w:rPr>
                <w:rFonts w:cs="Arial"/>
                <w:color w:val="000000"/>
                <w:szCs w:val="20"/>
              </w:rPr>
            </w:pPr>
            <w:r w:rsidRPr="008A3B29">
              <w:rPr>
                <w:rFonts w:cs="Arial"/>
                <w:color w:val="3A3A3A"/>
                <w:szCs w:val="20"/>
              </w:rPr>
              <w:t>78.5</w:t>
            </w:r>
          </w:p>
        </w:tc>
      </w:tr>
      <w:tr w:rsidR="00A4106F" w:rsidRPr="005A3AFE" w14:paraId="18C3DF6C" w14:textId="68A54547"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4FF2201F" w14:textId="3B37E2FA" w:rsidR="00DF5816" w:rsidRPr="008A3B29" w:rsidRDefault="00A11753" w:rsidP="00C93CE4">
            <w:pPr>
              <w:keepNext/>
              <w:spacing w:line="288" w:lineRule="auto"/>
              <w:ind w:left="57"/>
              <w:rPr>
                <w:rFonts w:cs="Arial"/>
                <w:szCs w:val="20"/>
              </w:rPr>
            </w:pPr>
            <w:r w:rsidRPr="008A3B29">
              <w:rPr>
                <w:rFonts w:cs="Arial"/>
                <w:b/>
                <w:szCs w:val="20"/>
              </w:rPr>
              <w:t>Socio-economic status*****</w:t>
            </w:r>
            <w:r>
              <w:rPr>
                <w:rFonts w:cs="Arial"/>
                <w:b/>
                <w:szCs w:val="20"/>
              </w:rPr>
              <w:t xml:space="preserve">: </w:t>
            </w:r>
            <w:r w:rsidR="00DF5816" w:rsidRPr="008A3B29">
              <w:rPr>
                <w:rFonts w:cs="Arial"/>
                <w:color w:val="000000"/>
                <w:szCs w:val="20"/>
              </w:rPr>
              <w:t>Low</w:t>
            </w:r>
          </w:p>
        </w:tc>
        <w:tc>
          <w:tcPr>
            <w:tcW w:w="392" w:type="pct"/>
            <w:tcBorders>
              <w:top w:val="single" w:sz="4" w:space="0" w:color="000000"/>
              <w:left w:val="single" w:sz="4" w:space="0" w:color="000000"/>
              <w:bottom w:val="single" w:sz="4" w:space="0" w:color="000000"/>
              <w:right w:val="single" w:sz="4" w:space="0" w:color="000000"/>
            </w:tcBorders>
            <w:vAlign w:val="center"/>
          </w:tcPr>
          <w:p w14:paraId="16C71733" w14:textId="358DA683" w:rsidR="00DF5816" w:rsidRPr="008A3B29" w:rsidRDefault="00A622D5" w:rsidP="00C93CE4">
            <w:pPr>
              <w:keepNext/>
              <w:spacing w:line="288" w:lineRule="auto"/>
              <w:ind w:left="57"/>
              <w:jc w:val="center"/>
              <w:rPr>
                <w:rFonts w:cs="Arial"/>
                <w:szCs w:val="20"/>
              </w:rPr>
            </w:pPr>
            <w:r w:rsidRPr="008A3B29">
              <w:rPr>
                <w:rFonts w:cs="Arial"/>
                <w:color w:val="3A3A3A"/>
                <w:szCs w:val="20"/>
              </w:rPr>
              <w:t>81.0</w:t>
            </w:r>
          </w:p>
        </w:tc>
        <w:tc>
          <w:tcPr>
            <w:tcW w:w="392" w:type="pct"/>
            <w:tcBorders>
              <w:top w:val="single" w:sz="4" w:space="0" w:color="000000"/>
              <w:left w:val="single" w:sz="4" w:space="0" w:color="000000"/>
              <w:bottom w:val="single" w:sz="4" w:space="0" w:color="000000"/>
              <w:right w:val="single" w:sz="4" w:space="0" w:color="000000"/>
            </w:tcBorders>
            <w:vAlign w:val="center"/>
          </w:tcPr>
          <w:p w14:paraId="6ED1B7B9" w14:textId="1639BA55" w:rsidR="00DF5816" w:rsidRPr="008A3B29" w:rsidRDefault="00A622D5" w:rsidP="00C93CE4">
            <w:pPr>
              <w:keepNext/>
              <w:spacing w:line="288" w:lineRule="auto"/>
              <w:ind w:left="57"/>
              <w:jc w:val="center"/>
              <w:rPr>
                <w:rFonts w:cs="Arial"/>
                <w:szCs w:val="20"/>
              </w:rPr>
            </w:pPr>
            <w:r w:rsidRPr="008A3B29">
              <w:rPr>
                <w:rFonts w:cs="Arial"/>
                <w:color w:val="3A3A3A"/>
                <w:szCs w:val="20"/>
              </w:rPr>
              <w:t>92.3</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E8216E2" w14:textId="3FAE1CA8" w:rsidR="00DF5816" w:rsidRPr="008A3B29" w:rsidRDefault="00A622D5" w:rsidP="00C93CE4">
            <w:pPr>
              <w:keepNext/>
              <w:spacing w:line="288" w:lineRule="auto"/>
              <w:ind w:left="57"/>
              <w:jc w:val="center"/>
              <w:rPr>
                <w:rFonts w:cs="Arial"/>
                <w:szCs w:val="20"/>
              </w:rPr>
            </w:pPr>
            <w:r w:rsidRPr="008A3B29">
              <w:rPr>
                <w:rFonts w:cs="Arial"/>
                <w:color w:val="3A3A3A"/>
                <w:szCs w:val="20"/>
              </w:rPr>
              <w:t>90.1</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B4E4D8" w14:textId="158E2157" w:rsidR="00DF5816" w:rsidRPr="008A3B29" w:rsidRDefault="00A622D5" w:rsidP="00C93CE4">
            <w:pPr>
              <w:keepNext/>
              <w:spacing w:line="288" w:lineRule="auto"/>
              <w:ind w:left="57"/>
              <w:jc w:val="center"/>
              <w:rPr>
                <w:rFonts w:cs="Arial"/>
                <w:szCs w:val="20"/>
              </w:rPr>
            </w:pPr>
            <w:r w:rsidRPr="008A3B29">
              <w:rPr>
                <w:rFonts w:cs="Arial"/>
                <w:color w:val="3A3A3A"/>
                <w:szCs w:val="20"/>
              </w:rPr>
              <w:t>95.0</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BC1F57" w14:textId="08A1C4F3" w:rsidR="00DF5816" w:rsidRPr="008A3B29" w:rsidRDefault="00A622D5" w:rsidP="00C93CE4">
            <w:pPr>
              <w:keepNext/>
              <w:spacing w:line="288" w:lineRule="auto"/>
              <w:ind w:left="57"/>
              <w:jc w:val="center"/>
              <w:rPr>
                <w:rFonts w:cs="Arial"/>
                <w:szCs w:val="20"/>
              </w:rPr>
            </w:pPr>
            <w:r w:rsidRPr="008A3B29">
              <w:rPr>
                <w:rFonts w:cs="Arial"/>
                <w:color w:val="3A3A3A"/>
                <w:szCs w:val="20"/>
              </w:rPr>
              <w:t>92.8</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10B2387" w14:textId="410D568C" w:rsidR="00DF5816" w:rsidRPr="008A3B29" w:rsidRDefault="00DF5816" w:rsidP="00C93CE4">
            <w:pPr>
              <w:keepNext/>
              <w:spacing w:line="288" w:lineRule="auto"/>
              <w:ind w:left="57"/>
              <w:jc w:val="center"/>
              <w:rPr>
                <w:rFonts w:cs="Arial"/>
                <w:szCs w:val="20"/>
              </w:rPr>
            </w:pPr>
            <w:r w:rsidRPr="008A3B29">
              <w:rPr>
                <w:rFonts w:cs="Arial"/>
                <w:color w:val="3A3A3A"/>
                <w:szCs w:val="20"/>
              </w:rPr>
              <w:t>89.</w:t>
            </w:r>
            <w:r w:rsidR="00A622D5" w:rsidRPr="008A3B29">
              <w:rPr>
                <w:rFonts w:cs="Arial"/>
                <w:color w:val="3A3A3A"/>
                <w:szCs w:val="20"/>
              </w:rPr>
              <w:t>3</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5E9A22" w14:textId="37BE2282" w:rsidR="00DF5816" w:rsidRPr="008A3B29" w:rsidRDefault="00A622D5" w:rsidP="00C93CE4">
            <w:pPr>
              <w:keepNext/>
              <w:spacing w:line="288" w:lineRule="auto"/>
              <w:ind w:left="57"/>
              <w:jc w:val="center"/>
              <w:rPr>
                <w:rFonts w:cs="Arial"/>
                <w:szCs w:val="20"/>
              </w:rPr>
            </w:pPr>
            <w:r w:rsidRPr="008A3B29">
              <w:rPr>
                <w:rFonts w:cs="Arial"/>
                <w:color w:val="3A3A3A"/>
                <w:szCs w:val="20"/>
              </w:rPr>
              <w:t>71</w:t>
            </w:r>
            <w:r w:rsidR="00DF5816" w:rsidRPr="008A3B29">
              <w:rPr>
                <w:rFonts w:cs="Arial"/>
                <w:color w:val="3A3A3A"/>
                <w:szCs w:val="20"/>
              </w:rPr>
              <w:t>,000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4BC4A5" w14:textId="143EB36A" w:rsidR="00DF5816" w:rsidRPr="008A3B29" w:rsidRDefault="00A622D5" w:rsidP="00C93CE4">
            <w:pPr>
              <w:keepNext/>
              <w:spacing w:line="288" w:lineRule="auto"/>
              <w:ind w:left="57"/>
              <w:jc w:val="center"/>
              <w:rPr>
                <w:rFonts w:cs="Arial"/>
                <w:szCs w:val="20"/>
              </w:rPr>
            </w:pPr>
            <w:r w:rsidRPr="008A3B29">
              <w:rPr>
                <w:rFonts w:cs="Arial"/>
                <w:color w:val="3A3A3A"/>
                <w:szCs w:val="20"/>
              </w:rPr>
              <w:t>93,900</w:t>
            </w:r>
          </w:p>
        </w:tc>
        <w:tc>
          <w:tcPr>
            <w:tcW w:w="610" w:type="pct"/>
            <w:tcBorders>
              <w:top w:val="single" w:sz="4" w:space="0" w:color="000000"/>
              <w:left w:val="single" w:sz="4" w:space="0" w:color="000000"/>
              <w:bottom w:val="single" w:sz="4" w:space="0" w:color="000000"/>
              <w:right w:val="single" w:sz="4" w:space="0" w:color="000000"/>
            </w:tcBorders>
            <w:vAlign w:val="center"/>
          </w:tcPr>
          <w:p w14:paraId="625354F6" w14:textId="4475A959" w:rsidR="00DF5816" w:rsidRPr="008A3B29" w:rsidRDefault="00A622D5" w:rsidP="00C93CE4">
            <w:pPr>
              <w:keepNext/>
              <w:spacing w:line="288" w:lineRule="auto"/>
              <w:ind w:left="57"/>
              <w:jc w:val="center"/>
              <w:rPr>
                <w:rFonts w:cs="Arial"/>
                <w:color w:val="000000"/>
                <w:szCs w:val="20"/>
              </w:rPr>
            </w:pPr>
            <w:r w:rsidRPr="008A3B29">
              <w:rPr>
                <w:rFonts w:cs="Arial"/>
                <w:color w:val="3A3A3A"/>
                <w:szCs w:val="20"/>
              </w:rPr>
              <w:t>70.5</w:t>
            </w:r>
          </w:p>
        </w:tc>
        <w:tc>
          <w:tcPr>
            <w:tcW w:w="642" w:type="pct"/>
            <w:tcBorders>
              <w:top w:val="single" w:sz="4" w:space="0" w:color="000000"/>
              <w:left w:val="single" w:sz="4" w:space="0" w:color="000000"/>
              <w:bottom w:val="single" w:sz="4" w:space="0" w:color="000000"/>
              <w:right w:val="single" w:sz="4" w:space="0" w:color="000000"/>
            </w:tcBorders>
            <w:vAlign w:val="center"/>
          </w:tcPr>
          <w:p w14:paraId="275FA63C" w14:textId="70EE8BE1" w:rsidR="00DF5816" w:rsidRPr="008A3B29" w:rsidRDefault="00DF5816" w:rsidP="00C93CE4">
            <w:pPr>
              <w:keepNext/>
              <w:spacing w:line="288" w:lineRule="auto"/>
              <w:ind w:left="57"/>
              <w:jc w:val="center"/>
              <w:rPr>
                <w:rFonts w:cs="Arial"/>
                <w:color w:val="000000"/>
                <w:szCs w:val="20"/>
              </w:rPr>
            </w:pPr>
            <w:r w:rsidRPr="008A3B29">
              <w:rPr>
                <w:rFonts w:cs="Arial"/>
                <w:color w:val="3A3A3A"/>
                <w:szCs w:val="20"/>
              </w:rPr>
              <w:t>77.</w:t>
            </w:r>
            <w:r w:rsidR="00A622D5" w:rsidRPr="008A3B29">
              <w:rPr>
                <w:rFonts w:cs="Arial"/>
                <w:color w:val="3A3A3A"/>
                <w:szCs w:val="20"/>
              </w:rPr>
              <w:t>2</w:t>
            </w:r>
          </w:p>
        </w:tc>
      </w:tr>
      <w:tr w:rsidR="00374B95" w:rsidRPr="005A3AFE" w14:paraId="31BB1E64" w14:textId="0DA17942"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6957F891" w14:textId="7901214E" w:rsidR="00374B95" w:rsidRPr="008A3B29" w:rsidRDefault="00A11753" w:rsidP="00C93CE4">
            <w:pPr>
              <w:spacing w:line="288" w:lineRule="auto"/>
              <w:ind w:left="57"/>
              <w:rPr>
                <w:rFonts w:cs="Arial"/>
                <w:szCs w:val="20"/>
              </w:rPr>
            </w:pPr>
            <w:r w:rsidRPr="008A3B29">
              <w:rPr>
                <w:rFonts w:cs="Arial"/>
                <w:b/>
                <w:szCs w:val="20"/>
              </w:rPr>
              <w:t>Location</w:t>
            </w:r>
            <w:r w:rsidRPr="008A3B29">
              <w:rPr>
                <w:rFonts w:cs="Arial"/>
                <w:color w:val="000000"/>
                <w:szCs w:val="20"/>
              </w:rPr>
              <w:t>***** †</w:t>
            </w:r>
            <w:r>
              <w:rPr>
                <w:rFonts w:cs="Arial"/>
                <w:color w:val="000000"/>
                <w:szCs w:val="20"/>
              </w:rPr>
              <w:t xml:space="preserve">: </w:t>
            </w:r>
            <w:r w:rsidR="00374B95" w:rsidRPr="008A3B29">
              <w:rPr>
                <w:rFonts w:cs="Arial"/>
                <w:color w:val="000000"/>
                <w:szCs w:val="20"/>
              </w:rPr>
              <w:t>Metro</w:t>
            </w:r>
          </w:p>
        </w:tc>
        <w:tc>
          <w:tcPr>
            <w:tcW w:w="392" w:type="pct"/>
            <w:tcBorders>
              <w:top w:val="single" w:sz="4" w:space="0" w:color="000000"/>
              <w:left w:val="single" w:sz="4" w:space="0" w:color="000000"/>
              <w:bottom w:val="single" w:sz="4" w:space="0" w:color="000000"/>
              <w:right w:val="single" w:sz="4" w:space="0" w:color="000000"/>
            </w:tcBorders>
            <w:vAlign w:val="center"/>
          </w:tcPr>
          <w:p w14:paraId="6EE7B31B" w14:textId="57927C0A" w:rsidR="00374B95" w:rsidRPr="008A3B29" w:rsidRDefault="00374B95" w:rsidP="00C93CE4">
            <w:pPr>
              <w:spacing w:line="288" w:lineRule="auto"/>
              <w:ind w:left="57"/>
              <w:jc w:val="center"/>
              <w:rPr>
                <w:rFonts w:cs="Arial"/>
                <w:szCs w:val="20"/>
              </w:rPr>
            </w:pPr>
            <w:r w:rsidRPr="008A3B29">
              <w:rPr>
                <w:rFonts w:cs="Arial"/>
                <w:color w:val="3A3A3A"/>
                <w:szCs w:val="20"/>
              </w:rPr>
              <w:t>78.</w:t>
            </w:r>
            <w:r w:rsidR="00BA53E6" w:rsidRPr="008A3B29">
              <w:rPr>
                <w:rFonts w:cs="Arial"/>
                <w:color w:val="3A3A3A"/>
                <w:szCs w:val="20"/>
              </w:rPr>
              <w:t>8</w:t>
            </w:r>
          </w:p>
        </w:tc>
        <w:tc>
          <w:tcPr>
            <w:tcW w:w="392" w:type="pct"/>
            <w:tcBorders>
              <w:top w:val="single" w:sz="4" w:space="0" w:color="000000"/>
              <w:left w:val="single" w:sz="4" w:space="0" w:color="000000"/>
              <w:bottom w:val="single" w:sz="4" w:space="0" w:color="000000"/>
              <w:right w:val="single" w:sz="4" w:space="0" w:color="000000"/>
            </w:tcBorders>
            <w:vAlign w:val="center"/>
          </w:tcPr>
          <w:p w14:paraId="49CF0A3E" w14:textId="29AD6998" w:rsidR="00374B95" w:rsidRPr="008A3B29" w:rsidRDefault="00374B95" w:rsidP="00C93CE4">
            <w:pPr>
              <w:spacing w:line="288" w:lineRule="auto"/>
              <w:ind w:left="57"/>
              <w:jc w:val="center"/>
              <w:rPr>
                <w:rFonts w:cs="Arial"/>
                <w:szCs w:val="20"/>
              </w:rPr>
            </w:pPr>
            <w:r w:rsidRPr="008A3B29">
              <w:rPr>
                <w:rFonts w:cs="Arial"/>
                <w:color w:val="3A3A3A"/>
                <w:szCs w:val="20"/>
              </w:rPr>
              <w:t>91.</w:t>
            </w:r>
            <w:r w:rsidR="00BA53E6" w:rsidRPr="008A3B29">
              <w:rPr>
                <w:rFonts w:cs="Arial"/>
                <w:color w:val="3A3A3A"/>
                <w:szCs w:val="20"/>
              </w:rPr>
              <w:t>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C8DB0B" w14:textId="7CB8BD83" w:rsidR="00374B95" w:rsidRPr="008A3B29" w:rsidRDefault="00374B95" w:rsidP="00C93CE4">
            <w:pPr>
              <w:spacing w:line="288" w:lineRule="auto"/>
              <w:ind w:left="57"/>
              <w:jc w:val="center"/>
              <w:rPr>
                <w:rFonts w:cs="Arial"/>
                <w:szCs w:val="20"/>
              </w:rPr>
            </w:pPr>
            <w:r w:rsidRPr="008A3B29">
              <w:rPr>
                <w:rFonts w:cs="Arial"/>
                <w:color w:val="3A3A3A"/>
                <w:szCs w:val="20"/>
              </w:rPr>
              <w:t>89.</w:t>
            </w:r>
            <w:r w:rsidR="00BA53E6" w:rsidRPr="008A3B29">
              <w:rPr>
                <w:rFonts w:cs="Arial"/>
                <w:color w:val="3A3A3A"/>
                <w:szCs w:val="20"/>
              </w:rPr>
              <w:t>7</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880BC4" w14:textId="564B4DDD" w:rsidR="00374B95" w:rsidRPr="008A3B29" w:rsidRDefault="00374B95" w:rsidP="00C93CE4">
            <w:pPr>
              <w:spacing w:line="288" w:lineRule="auto"/>
              <w:ind w:left="57"/>
              <w:jc w:val="center"/>
              <w:rPr>
                <w:rFonts w:cs="Arial"/>
                <w:szCs w:val="20"/>
              </w:rPr>
            </w:pPr>
            <w:r w:rsidRPr="008A3B29">
              <w:rPr>
                <w:rFonts w:cs="Arial"/>
                <w:color w:val="3A3A3A"/>
                <w:szCs w:val="20"/>
              </w:rPr>
              <w:t>94.</w:t>
            </w:r>
            <w:r w:rsidR="00BA53E6" w:rsidRPr="008A3B29">
              <w:rPr>
                <w:rFonts w:cs="Arial"/>
                <w:color w:val="3A3A3A"/>
                <w:szCs w:val="20"/>
              </w:rPr>
              <w:t>2</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381EB8" w14:textId="21F6FA1E" w:rsidR="00374B95" w:rsidRPr="008A3B29" w:rsidRDefault="00BA53E6" w:rsidP="00C93CE4">
            <w:pPr>
              <w:spacing w:line="288" w:lineRule="auto"/>
              <w:ind w:left="57"/>
              <w:jc w:val="center"/>
              <w:rPr>
                <w:rFonts w:cs="Arial"/>
                <w:szCs w:val="20"/>
              </w:rPr>
            </w:pPr>
            <w:r w:rsidRPr="008A3B29">
              <w:rPr>
                <w:rFonts w:cs="Arial"/>
                <w:color w:val="3A3A3A"/>
                <w:szCs w:val="20"/>
              </w:rPr>
              <w:t>93.3</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FF3B62" w14:textId="1AE61AC8" w:rsidR="00374B95" w:rsidRPr="008A3B29" w:rsidRDefault="00374B95" w:rsidP="00C93CE4">
            <w:pPr>
              <w:spacing w:line="288" w:lineRule="auto"/>
              <w:ind w:left="57"/>
              <w:jc w:val="center"/>
              <w:rPr>
                <w:rFonts w:cs="Arial"/>
                <w:szCs w:val="20"/>
              </w:rPr>
            </w:pPr>
            <w:r w:rsidRPr="008A3B29">
              <w:rPr>
                <w:rFonts w:cs="Arial"/>
                <w:color w:val="3A3A3A"/>
                <w:szCs w:val="20"/>
              </w:rPr>
              <w:t>90.</w:t>
            </w:r>
            <w:r w:rsidR="00BA53E6" w:rsidRPr="008A3B29">
              <w:rPr>
                <w:rFonts w:cs="Arial"/>
                <w:color w:val="3A3A3A"/>
                <w:szCs w:val="20"/>
              </w:rPr>
              <w:t>3</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95F478" w14:textId="089E21E2" w:rsidR="00374B95" w:rsidRPr="008A3B29" w:rsidRDefault="00BA53E6" w:rsidP="00C93CE4">
            <w:pPr>
              <w:spacing w:line="288" w:lineRule="auto"/>
              <w:ind w:left="57"/>
              <w:jc w:val="center"/>
              <w:rPr>
                <w:rFonts w:cs="Arial"/>
                <w:szCs w:val="20"/>
              </w:rPr>
            </w:pPr>
            <w:r w:rsidRPr="008A3B29">
              <w:rPr>
                <w:rFonts w:cs="Arial"/>
                <w:color w:val="3A3A3A"/>
                <w:szCs w:val="20"/>
              </w:rPr>
              <w:t>71,000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D07F94" w14:textId="3586898F" w:rsidR="00374B95" w:rsidRPr="008A3B29" w:rsidRDefault="00BA53E6" w:rsidP="00C93CE4">
            <w:pPr>
              <w:spacing w:line="288" w:lineRule="auto"/>
              <w:ind w:left="57"/>
              <w:jc w:val="center"/>
              <w:rPr>
                <w:rFonts w:cs="Arial"/>
                <w:szCs w:val="20"/>
              </w:rPr>
            </w:pPr>
            <w:r w:rsidRPr="008A3B29">
              <w:rPr>
                <w:rFonts w:cs="Arial"/>
                <w:color w:val="3A3A3A"/>
                <w:szCs w:val="20"/>
              </w:rPr>
              <w:t>92,300</w:t>
            </w:r>
          </w:p>
        </w:tc>
        <w:tc>
          <w:tcPr>
            <w:tcW w:w="610" w:type="pct"/>
            <w:tcBorders>
              <w:top w:val="single" w:sz="4" w:space="0" w:color="000000"/>
              <w:left w:val="single" w:sz="4" w:space="0" w:color="000000"/>
              <w:bottom w:val="single" w:sz="4" w:space="0" w:color="000000"/>
              <w:right w:val="single" w:sz="4" w:space="0" w:color="000000"/>
            </w:tcBorders>
            <w:vAlign w:val="center"/>
          </w:tcPr>
          <w:p w14:paraId="459449E9" w14:textId="0557FE1B" w:rsidR="00374B95" w:rsidRPr="008A3B29" w:rsidRDefault="00374B95" w:rsidP="00C93CE4">
            <w:pPr>
              <w:spacing w:line="288" w:lineRule="auto"/>
              <w:ind w:left="57"/>
              <w:jc w:val="center"/>
              <w:rPr>
                <w:rFonts w:cs="Arial"/>
                <w:color w:val="000000"/>
                <w:szCs w:val="20"/>
              </w:rPr>
            </w:pPr>
            <w:r w:rsidRPr="008A3B29">
              <w:rPr>
                <w:rFonts w:cs="Arial"/>
                <w:color w:val="3A3A3A"/>
                <w:szCs w:val="20"/>
              </w:rPr>
              <w:t>71.</w:t>
            </w:r>
            <w:r w:rsidR="00BA53E6" w:rsidRPr="008A3B29">
              <w:rPr>
                <w:rFonts w:cs="Arial"/>
                <w:color w:val="3A3A3A"/>
                <w:szCs w:val="20"/>
              </w:rPr>
              <w:t>0</w:t>
            </w:r>
          </w:p>
        </w:tc>
        <w:tc>
          <w:tcPr>
            <w:tcW w:w="642" w:type="pct"/>
            <w:tcBorders>
              <w:top w:val="single" w:sz="4" w:space="0" w:color="000000"/>
              <w:left w:val="single" w:sz="4" w:space="0" w:color="000000"/>
              <w:bottom w:val="single" w:sz="4" w:space="0" w:color="000000"/>
              <w:right w:val="single" w:sz="4" w:space="0" w:color="000000"/>
            </w:tcBorders>
            <w:vAlign w:val="center"/>
          </w:tcPr>
          <w:p w14:paraId="06B58B08" w14:textId="1BBC0C68" w:rsidR="00374B95" w:rsidRPr="008A3B29" w:rsidRDefault="00BA53E6" w:rsidP="00C93CE4">
            <w:pPr>
              <w:spacing w:line="288" w:lineRule="auto"/>
              <w:ind w:left="57"/>
              <w:jc w:val="center"/>
              <w:rPr>
                <w:rFonts w:cs="Arial"/>
                <w:color w:val="000000"/>
                <w:szCs w:val="20"/>
              </w:rPr>
            </w:pPr>
            <w:r w:rsidRPr="008A3B29">
              <w:rPr>
                <w:rFonts w:cs="Arial"/>
                <w:color w:val="3A3A3A"/>
                <w:szCs w:val="20"/>
              </w:rPr>
              <w:t>78.9</w:t>
            </w:r>
          </w:p>
        </w:tc>
      </w:tr>
      <w:tr w:rsidR="00374B95" w:rsidRPr="005A3AFE" w14:paraId="2F3BBAD4" w14:textId="4265A62A" w:rsidTr="00C93CE4">
        <w:trPr>
          <w:trHeight w:val="20"/>
        </w:trPr>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7289C30F" w14:textId="13D34A49" w:rsidR="00374B95" w:rsidRPr="008A3B29" w:rsidRDefault="00A11753" w:rsidP="00C93CE4">
            <w:pPr>
              <w:spacing w:line="288" w:lineRule="auto"/>
              <w:ind w:left="57"/>
              <w:rPr>
                <w:rFonts w:cs="Arial"/>
                <w:szCs w:val="20"/>
              </w:rPr>
            </w:pPr>
            <w:r w:rsidRPr="008A3B29">
              <w:rPr>
                <w:rFonts w:cs="Arial"/>
                <w:b/>
                <w:szCs w:val="20"/>
              </w:rPr>
              <w:t>Location</w:t>
            </w:r>
            <w:r w:rsidRPr="008A3B29">
              <w:rPr>
                <w:rFonts w:cs="Arial"/>
                <w:color w:val="000000"/>
                <w:szCs w:val="20"/>
              </w:rPr>
              <w:t>***** †</w:t>
            </w:r>
            <w:r>
              <w:rPr>
                <w:rFonts w:cs="Arial"/>
                <w:color w:val="000000"/>
                <w:szCs w:val="20"/>
              </w:rPr>
              <w:t xml:space="preserve">: </w:t>
            </w:r>
            <w:r w:rsidR="00374B95" w:rsidRPr="008A3B29">
              <w:rPr>
                <w:rFonts w:cs="Arial"/>
                <w:color w:val="000000"/>
                <w:szCs w:val="20"/>
              </w:rPr>
              <w:t>Regional/</w:t>
            </w:r>
            <w:r w:rsidR="00C97C54">
              <w:rPr>
                <w:rFonts w:cs="Arial"/>
                <w:color w:val="000000"/>
                <w:szCs w:val="20"/>
              </w:rPr>
              <w:br/>
            </w:r>
            <w:r w:rsidR="00374B95" w:rsidRPr="008A3B29">
              <w:rPr>
                <w:rFonts w:cs="Arial"/>
                <w:color w:val="000000"/>
                <w:szCs w:val="20"/>
              </w:rPr>
              <w:t>Remote</w:t>
            </w:r>
          </w:p>
        </w:tc>
        <w:tc>
          <w:tcPr>
            <w:tcW w:w="392" w:type="pct"/>
            <w:tcBorders>
              <w:top w:val="single" w:sz="4" w:space="0" w:color="000000"/>
              <w:left w:val="single" w:sz="4" w:space="0" w:color="000000"/>
              <w:bottom w:val="single" w:sz="4" w:space="0" w:color="000000"/>
              <w:right w:val="single" w:sz="4" w:space="0" w:color="000000"/>
            </w:tcBorders>
            <w:vAlign w:val="center"/>
          </w:tcPr>
          <w:p w14:paraId="2A0D0366" w14:textId="1834A6E8" w:rsidR="00374B95" w:rsidRPr="008A3B29" w:rsidRDefault="00BA53E6" w:rsidP="00C93CE4">
            <w:pPr>
              <w:spacing w:line="288" w:lineRule="auto"/>
              <w:ind w:left="57"/>
              <w:jc w:val="center"/>
              <w:rPr>
                <w:rFonts w:cs="Arial"/>
                <w:szCs w:val="20"/>
              </w:rPr>
            </w:pPr>
            <w:r w:rsidRPr="008A3B29">
              <w:rPr>
                <w:rFonts w:cs="Arial"/>
                <w:color w:val="3A3A3A"/>
                <w:szCs w:val="20"/>
              </w:rPr>
              <w:t>84.8</w:t>
            </w:r>
          </w:p>
        </w:tc>
        <w:tc>
          <w:tcPr>
            <w:tcW w:w="392" w:type="pct"/>
            <w:tcBorders>
              <w:top w:val="single" w:sz="4" w:space="0" w:color="000000"/>
              <w:left w:val="single" w:sz="4" w:space="0" w:color="000000"/>
              <w:bottom w:val="single" w:sz="4" w:space="0" w:color="000000"/>
              <w:right w:val="single" w:sz="4" w:space="0" w:color="000000"/>
            </w:tcBorders>
            <w:vAlign w:val="center"/>
          </w:tcPr>
          <w:p w14:paraId="504817BA" w14:textId="36F3E3CE" w:rsidR="00374B95" w:rsidRPr="008A3B29" w:rsidRDefault="00BA53E6" w:rsidP="00C93CE4">
            <w:pPr>
              <w:spacing w:line="288" w:lineRule="auto"/>
              <w:ind w:left="57"/>
              <w:jc w:val="center"/>
              <w:rPr>
                <w:rFonts w:cs="Arial"/>
                <w:szCs w:val="20"/>
              </w:rPr>
            </w:pPr>
            <w:r w:rsidRPr="008A3B29">
              <w:rPr>
                <w:rFonts w:cs="Arial"/>
                <w:color w:val="3A3A3A"/>
                <w:szCs w:val="20"/>
              </w:rPr>
              <w:t>94.2</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C312D5" w14:textId="4577214A" w:rsidR="00374B95" w:rsidRPr="008A3B29" w:rsidRDefault="00BA53E6" w:rsidP="00C93CE4">
            <w:pPr>
              <w:spacing w:line="288" w:lineRule="auto"/>
              <w:ind w:left="57"/>
              <w:jc w:val="center"/>
              <w:rPr>
                <w:rFonts w:cs="Arial"/>
                <w:szCs w:val="20"/>
              </w:rPr>
            </w:pPr>
            <w:r w:rsidRPr="008A3B29">
              <w:rPr>
                <w:rFonts w:cs="Arial"/>
                <w:color w:val="3A3A3A"/>
                <w:szCs w:val="20"/>
              </w:rPr>
              <w:t>92.0</w:t>
            </w:r>
          </w:p>
        </w:tc>
        <w:tc>
          <w:tcPr>
            <w:tcW w:w="3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EB67488" w14:textId="0644EA5B" w:rsidR="00374B95" w:rsidRPr="008A3B29" w:rsidRDefault="00374B95" w:rsidP="00C93CE4">
            <w:pPr>
              <w:spacing w:line="288" w:lineRule="auto"/>
              <w:ind w:left="57"/>
              <w:jc w:val="center"/>
              <w:rPr>
                <w:rFonts w:cs="Arial"/>
                <w:szCs w:val="20"/>
              </w:rPr>
            </w:pPr>
            <w:r w:rsidRPr="008A3B29">
              <w:rPr>
                <w:rFonts w:cs="Arial"/>
                <w:color w:val="3A3A3A"/>
                <w:szCs w:val="20"/>
              </w:rPr>
              <w:t>95.</w:t>
            </w:r>
            <w:r w:rsidR="00BA53E6" w:rsidRPr="008A3B29">
              <w:rPr>
                <w:rFonts w:cs="Arial"/>
                <w:color w:val="3A3A3A"/>
                <w:szCs w:val="20"/>
              </w:rPr>
              <w:t>9</w:t>
            </w:r>
          </w:p>
        </w:tc>
        <w:tc>
          <w:tcPr>
            <w:tcW w:w="43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A168AF" w14:textId="1CDF49B3" w:rsidR="00374B95" w:rsidRPr="008A3B29" w:rsidRDefault="00374B95" w:rsidP="00C93CE4">
            <w:pPr>
              <w:spacing w:line="288" w:lineRule="auto"/>
              <w:ind w:left="57"/>
              <w:jc w:val="center"/>
              <w:rPr>
                <w:rFonts w:cs="Arial"/>
                <w:szCs w:val="20"/>
              </w:rPr>
            </w:pPr>
            <w:r w:rsidRPr="008A3B29">
              <w:rPr>
                <w:rFonts w:cs="Arial"/>
                <w:color w:val="3A3A3A"/>
                <w:szCs w:val="20"/>
              </w:rPr>
              <w:t>92.</w:t>
            </w:r>
            <w:r w:rsidR="00BA53E6" w:rsidRPr="008A3B29">
              <w:rPr>
                <w:rFonts w:cs="Arial"/>
                <w:color w:val="3A3A3A"/>
                <w:szCs w:val="20"/>
              </w:rPr>
              <w:t>6</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339F557" w14:textId="77777777" w:rsidR="00374B95" w:rsidRPr="008A3B29" w:rsidRDefault="00374B95" w:rsidP="00C93CE4">
            <w:pPr>
              <w:spacing w:line="288" w:lineRule="auto"/>
              <w:ind w:left="57"/>
              <w:jc w:val="center"/>
              <w:rPr>
                <w:rFonts w:cs="Arial"/>
                <w:szCs w:val="20"/>
              </w:rPr>
            </w:pPr>
            <w:r w:rsidRPr="008A3B29">
              <w:rPr>
                <w:rFonts w:cs="Arial"/>
                <w:color w:val="3A3A3A"/>
                <w:szCs w:val="20"/>
              </w:rPr>
              <w:t>90.1</w:t>
            </w:r>
          </w:p>
        </w:tc>
        <w:tc>
          <w:tcPr>
            <w:tcW w:w="39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85D66F" w14:textId="564F4F17" w:rsidR="00374B95" w:rsidRPr="008A3B29" w:rsidRDefault="00BA53E6" w:rsidP="00C93CE4">
            <w:pPr>
              <w:spacing w:line="288" w:lineRule="auto"/>
              <w:ind w:left="57"/>
              <w:jc w:val="center"/>
              <w:rPr>
                <w:rFonts w:cs="Arial"/>
                <w:szCs w:val="20"/>
              </w:rPr>
            </w:pPr>
            <w:r w:rsidRPr="008A3B29">
              <w:rPr>
                <w:rFonts w:cs="Arial"/>
                <w:color w:val="3A3A3A"/>
                <w:szCs w:val="20"/>
              </w:rPr>
              <w:t>72</w:t>
            </w:r>
            <w:r w:rsidR="00374B95" w:rsidRPr="008A3B29">
              <w:rPr>
                <w:rFonts w:cs="Arial"/>
                <w:color w:val="3A3A3A"/>
                <w:szCs w:val="20"/>
              </w:rPr>
              <w:t>,000</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803344" w14:textId="3B99F621" w:rsidR="00374B95" w:rsidRPr="008A3B29" w:rsidRDefault="00BA53E6" w:rsidP="00C93CE4">
            <w:pPr>
              <w:spacing w:line="288" w:lineRule="auto"/>
              <w:ind w:left="57"/>
              <w:jc w:val="center"/>
              <w:rPr>
                <w:rFonts w:cs="Arial"/>
                <w:szCs w:val="20"/>
              </w:rPr>
            </w:pPr>
            <w:r w:rsidRPr="008A3B29">
              <w:rPr>
                <w:rFonts w:cs="Arial"/>
                <w:color w:val="3A3A3A"/>
                <w:szCs w:val="20"/>
              </w:rPr>
              <w:t>93,900</w:t>
            </w:r>
          </w:p>
        </w:tc>
        <w:tc>
          <w:tcPr>
            <w:tcW w:w="610" w:type="pct"/>
            <w:tcBorders>
              <w:top w:val="single" w:sz="4" w:space="0" w:color="000000"/>
              <w:left w:val="single" w:sz="4" w:space="0" w:color="000000"/>
              <w:bottom w:val="single" w:sz="4" w:space="0" w:color="000000"/>
              <w:right w:val="single" w:sz="4" w:space="0" w:color="000000"/>
            </w:tcBorders>
            <w:vAlign w:val="center"/>
          </w:tcPr>
          <w:p w14:paraId="547A87C7" w14:textId="1C84227D" w:rsidR="00374B95" w:rsidRPr="008A3B29" w:rsidRDefault="00BA53E6" w:rsidP="00C93CE4">
            <w:pPr>
              <w:spacing w:line="288" w:lineRule="auto"/>
              <w:ind w:left="57"/>
              <w:jc w:val="center"/>
              <w:rPr>
                <w:rFonts w:cs="Arial"/>
                <w:color w:val="000000"/>
                <w:szCs w:val="20"/>
              </w:rPr>
            </w:pPr>
            <w:r w:rsidRPr="008A3B29">
              <w:rPr>
                <w:rFonts w:cs="Arial"/>
                <w:color w:val="3A3A3A"/>
                <w:szCs w:val="20"/>
              </w:rPr>
              <w:t>72.6</w:t>
            </w:r>
          </w:p>
        </w:tc>
        <w:tc>
          <w:tcPr>
            <w:tcW w:w="642" w:type="pct"/>
            <w:tcBorders>
              <w:top w:val="single" w:sz="4" w:space="0" w:color="000000"/>
              <w:left w:val="single" w:sz="4" w:space="0" w:color="000000"/>
              <w:bottom w:val="single" w:sz="4" w:space="0" w:color="000000"/>
              <w:right w:val="single" w:sz="4" w:space="0" w:color="000000"/>
            </w:tcBorders>
            <w:vAlign w:val="center"/>
          </w:tcPr>
          <w:p w14:paraId="50A46922" w14:textId="142BC85D" w:rsidR="00374B95" w:rsidRPr="008A3B29" w:rsidRDefault="00BA53E6" w:rsidP="00C93CE4">
            <w:pPr>
              <w:spacing w:line="288" w:lineRule="auto"/>
              <w:ind w:left="57"/>
              <w:jc w:val="center"/>
              <w:rPr>
                <w:rFonts w:cs="Arial"/>
                <w:color w:val="000000"/>
                <w:szCs w:val="20"/>
              </w:rPr>
            </w:pPr>
            <w:r w:rsidRPr="008A3B29">
              <w:rPr>
                <w:rFonts w:cs="Arial"/>
                <w:color w:val="3A3A3A"/>
                <w:szCs w:val="20"/>
              </w:rPr>
              <w:t>80.7</w:t>
            </w:r>
          </w:p>
        </w:tc>
      </w:tr>
      <w:tr w:rsidR="00FE75CE" w:rsidRPr="005A3AFE" w14:paraId="3FEA40C1" w14:textId="74B5548D" w:rsidTr="00C93CE4">
        <w:trPr>
          <w:trHeight w:val="20"/>
        </w:trPr>
        <w:tc>
          <w:tcPr>
            <w:tcW w:w="4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0" w:type="dxa"/>
            </w:tcMar>
            <w:vAlign w:val="bottom"/>
          </w:tcPr>
          <w:p w14:paraId="217B2C10" w14:textId="77777777" w:rsidR="00FE75CE" w:rsidRPr="00E12ED7" w:rsidRDefault="00FE75CE" w:rsidP="00C93CE4">
            <w:pPr>
              <w:spacing w:line="288" w:lineRule="auto"/>
              <w:ind w:left="57"/>
              <w:rPr>
                <w:rFonts w:cs="Arial"/>
                <w:b/>
                <w:bCs/>
                <w:color w:val="000000"/>
                <w:szCs w:val="20"/>
              </w:rPr>
            </w:pPr>
            <w:r w:rsidRPr="00E12ED7">
              <w:rPr>
                <w:rFonts w:cs="Arial"/>
                <w:b/>
                <w:color w:val="000000"/>
                <w:szCs w:val="20"/>
              </w:rPr>
              <w:t>Total</w:t>
            </w:r>
          </w:p>
        </w:tc>
        <w:tc>
          <w:tcPr>
            <w:tcW w:w="39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0D561B83" w14:textId="1858A5AF" w:rsidR="00FE75CE" w:rsidRPr="00E12ED7" w:rsidRDefault="00775F1F" w:rsidP="00C93CE4">
            <w:pPr>
              <w:spacing w:line="288" w:lineRule="auto"/>
              <w:ind w:left="57"/>
              <w:jc w:val="center"/>
              <w:rPr>
                <w:rFonts w:cs="Arial"/>
                <w:b/>
                <w:bCs/>
                <w:color w:val="000000"/>
                <w:szCs w:val="20"/>
              </w:rPr>
            </w:pPr>
            <w:r w:rsidRPr="00E12ED7">
              <w:rPr>
                <w:rFonts w:cs="Arial"/>
                <w:b/>
                <w:bCs/>
                <w:color w:val="3A3A3A"/>
                <w:szCs w:val="20"/>
              </w:rPr>
              <w:t>80.2</w:t>
            </w:r>
          </w:p>
        </w:tc>
        <w:tc>
          <w:tcPr>
            <w:tcW w:w="39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3B6A1ED2" w14:textId="6A9D40F4" w:rsidR="00FE75CE" w:rsidRPr="00E12ED7" w:rsidRDefault="00FE75CE" w:rsidP="00C93CE4">
            <w:pPr>
              <w:spacing w:line="288" w:lineRule="auto"/>
              <w:ind w:left="57"/>
              <w:jc w:val="center"/>
              <w:rPr>
                <w:rFonts w:cs="Arial"/>
                <w:b/>
                <w:bCs/>
                <w:color w:val="000000"/>
                <w:szCs w:val="20"/>
              </w:rPr>
            </w:pPr>
            <w:r w:rsidRPr="00E12ED7">
              <w:rPr>
                <w:rFonts w:cs="Arial"/>
                <w:b/>
                <w:color w:val="3A3A3A"/>
                <w:szCs w:val="20"/>
              </w:rPr>
              <w:t>91.</w:t>
            </w:r>
            <w:r w:rsidR="00775F1F" w:rsidRPr="00E12ED7">
              <w:rPr>
                <w:rFonts w:cs="Arial"/>
                <w:b/>
                <w:bCs/>
                <w:color w:val="3A3A3A"/>
                <w:szCs w:val="20"/>
              </w:rPr>
              <w:t>8</w:t>
            </w:r>
          </w:p>
        </w:tc>
        <w:tc>
          <w:tcPr>
            <w:tcW w:w="4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57" w:type="dxa"/>
            </w:tcMar>
            <w:vAlign w:val="bottom"/>
          </w:tcPr>
          <w:p w14:paraId="712D3AE6" w14:textId="605D98A8" w:rsidR="00FE75CE" w:rsidRPr="00E12ED7" w:rsidRDefault="00775F1F" w:rsidP="00C93CE4">
            <w:pPr>
              <w:spacing w:line="288" w:lineRule="auto"/>
              <w:ind w:left="57"/>
              <w:jc w:val="center"/>
              <w:rPr>
                <w:rFonts w:cs="Arial"/>
                <w:b/>
                <w:bCs/>
                <w:color w:val="000000"/>
                <w:szCs w:val="20"/>
              </w:rPr>
            </w:pPr>
            <w:r w:rsidRPr="00E12ED7">
              <w:rPr>
                <w:rFonts w:cs="Arial"/>
                <w:b/>
                <w:bCs/>
                <w:color w:val="3A3A3A"/>
                <w:szCs w:val="20"/>
              </w:rPr>
              <w:t>90.0</w:t>
            </w:r>
          </w:p>
        </w:tc>
        <w:tc>
          <w:tcPr>
            <w:tcW w:w="39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57" w:type="dxa"/>
            </w:tcMar>
            <w:vAlign w:val="bottom"/>
          </w:tcPr>
          <w:p w14:paraId="6F3976DF" w14:textId="47322736" w:rsidR="00FE75CE" w:rsidRPr="00E12ED7" w:rsidRDefault="00FE75CE" w:rsidP="00C93CE4">
            <w:pPr>
              <w:spacing w:line="288" w:lineRule="auto"/>
              <w:ind w:left="57"/>
              <w:jc w:val="center"/>
              <w:rPr>
                <w:rFonts w:cs="Arial"/>
                <w:b/>
                <w:bCs/>
                <w:color w:val="000000"/>
                <w:szCs w:val="20"/>
              </w:rPr>
            </w:pPr>
            <w:r w:rsidRPr="00E12ED7">
              <w:rPr>
                <w:rFonts w:cs="Arial"/>
                <w:b/>
                <w:color w:val="3A3A3A"/>
                <w:szCs w:val="20"/>
              </w:rPr>
              <w:t>94.6</w:t>
            </w:r>
          </w:p>
        </w:tc>
        <w:tc>
          <w:tcPr>
            <w:tcW w:w="4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57" w:type="dxa"/>
            </w:tcMar>
            <w:vAlign w:val="bottom"/>
          </w:tcPr>
          <w:p w14:paraId="0A9249D1" w14:textId="1238CDDD" w:rsidR="00FE75CE" w:rsidRPr="00E12ED7" w:rsidRDefault="00775F1F" w:rsidP="00C93CE4">
            <w:pPr>
              <w:spacing w:line="288" w:lineRule="auto"/>
              <w:ind w:left="57"/>
              <w:jc w:val="center"/>
              <w:rPr>
                <w:rFonts w:cs="Arial"/>
                <w:b/>
                <w:bCs/>
                <w:color w:val="000000"/>
                <w:szCs w:val="20"/>
              </w:rPr>
            </w:pPr>
            <w:r w:rsidRPr="00E12ED7">
              <w:rPr>
                <w:rFonts w:cs="Arial"/>
                <w:b/>
                <w:bCs/>
                <w:color w:val="3A3A3A"/>
                <w:szCs w:val="20"/>
              </w:rPr>
              <w:t>93.0</w:t>
            </w:r>
          </w:p>
        </w:tc>
        <w:tc>
          <w:tcPr>
            <w:tcW w:w="4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57" w:type="dxa"/>
            </w:tcMar>
            <w:vAlign w:val="bottom"/>
          </w:tcPr>
          <w:p w14:paraId="292693B2" w14:textId="7C47C429" w:rsidR="00FE75CE" w:rsidRPr="00E12ED7" w:rsidRDefault="00775F1F" w:rsidP="00C93CE4">
            <w:pPr>
              <w:spacing w:line="288" w:lineRule="auto"/>
              <w:ind w:left="57"/>
              <w:jc w:val="center"/>
              <w:rPr>
                <w:rFonts w:cs="Arial"/>
                <w:b/>
                <w:bCs/>
                <w:color w:val="000000"/>
                <w:szCs w:val="20"/>
              </w:rPr>
            </w:pPr>
            <w:r w:rsidRPr="00E12ED7">
              <w:rPr>
                <w:rFonts w:cs="Arial"/>
                <w:b/>
                <w:bCs/>
                <w:color w:val="3A3A3A"/>
                <w:szCs w:val="20"/>
              </w:rPr>
              <w:t>89.9</w:t>
            </w:r>
          </w:p>
        </w:tc>
        <w:tc>
          <w:tcPr>
            <w:tcW w:w="39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57" w:type="dxa"/>
            </w:tcMar>
            <w:vAlign w:val="bottom"/>
          </w:tcPr>
          <w:p w14:paraId="47FCD30E" w14:textId="1187C8C0" w:rsidR="00FE75CE" w:rsidRPr="00E12ED7" w:rsidRDefault="00775F1F" w:rsidP="00C93CE4">
            <w:pPr>
              <w:spacing w:line="288" w:lineRule="auto"/>
              <w:ind w:left="57"/>
              <w:jc w:val="center"/>
              <w:rPr>
                <w:rFonts w:cs="Arial"/>
                <w:b/>
                <w:bCs/>
                <w:color w:val="000000"/>
                <w:szCs w:val="20"/>
              </w:rPr>
            </w:pPr>
            <w:r w:rsidRPr="00E12ED7">
              <w:rPr>
                <w:rFonts w:cs="Arial"/>
                <w:b/>
                <w:bCs/>
                <w:color w:val="3A3A3A"/>
                <w:szCs w:val="20"/>
              </w:rPr>
              <w:t>71,400</w:t>
            </w:r>
          </w:p>
        </w:tc>
        <w:tc>
          <w:tcPr>
            <w:tcW w:w="4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7" w:type="dxa"/>
              <w:left w:w="57" w:type="dxa"/>
              <w:bottom w:w="57" w:type="dxa"/>
              <w:right w:w="57" w:type="dxa"/>
            </w:tcMar>
            <w:vAlign w:val="bottom"/>
          </w:tcPr>
          <w:p w14:paraId="49398D30" w14:textId="5C60543B" w:rsidR="00FE75CE" w:rsidRPr="00E12ED7" w:rsidRDefault="00775F1F" w:rsidP="00C93CE4">
            <w:pPr>
              <w:spacing w:line="288" w:lineRule="auto"/>
              <w:ind w:left="57"/>
              <w:jc w:val="center"/>
              <w:rPr>
                <w:rFonts w:cs="Arial"/>
                <w:b/>
                <w:bCs/>
                <w:color w:val="000000"/>
                <w:szCs w:val="20"/>
              </w:rPr>
            </w:pPr>
            <w:r w:rsidRPr="00E12ED7">
              <w:rPr>
                <w:rFonts w:cs="Arial"/>
                <w:b/>
                <w:bCs/>
                <w:color w:val="3A3A3A"/>
                <w:szCs w:val="20"/>
              </w:rPr>
              <w:t>93,500</w:t>
            </w:r>
          </w:p>
        </w:tc>
        <w:tc>
          <w:tcPr>
            <w:tcW w:w="61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71BA45DA" w14:textId="7E5A13C7" w:rsidR="00FE75CE" w:rsidRPr="00E12ED7" w:rsidRDefault="00FE75CE" w:rsidP="00C93CE4">
            <w:pPr>
              <w:spacing w:line="288" w:lineRule="auto"/>
              <w:ind w:left="57"/>
              <w:jc w:val="center"/>
              <w:rPr>
                <w:rFonts w:cs="Arial"/>
                <w:b/>
                <w:bCs/>
                <w:color w:val="000000"/>
                <w:szCs w:val="20"/>
              </w:rPr>
            </w:pPr>
            <w:r w:rsidRPr="00E12ED7">
              <w:rPr>
                <w:rFonts w:cs="Arial"/>
                <w:b/>
                <w:color w:val="3A3A3A"/>
                <w:szCs w:val="20"/>
              </w:rPr>
              <w:t>70.</w:t>
            </w:r>
            <w:r w:rsidR="00775F1F" w:rsidRPr="00E12ED7">
              <w:rPr>
                <w:rFonts w:cs="Arial"/>
                <w:b/>
                <w:bCs/>
                <w:color w:val="3A3A3A"/>
                <w:szCs w:val="20"/>
              </w:rPr>
              <w:t>6</w:t>
            </w:r>
          </w:p>
        </w:tc>
        <w:tc>
          <w:tcPr>
            <w:tcW w:w="64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14:paraId="6B799F47" w14:textId="33867252" w:rsidR="00FE75CE" w:rsidRPr="00E12ED7" w:rsidRDefault="00FE75CE" w:rsidP="00C93CE4">
            <w:pPr>
              <w:spacing w:line="288" w:lineRule="auto"/>
              <w:ind w:left="57"/>
              <w:jc w:val="center"/>
              <w:rPr>
                <w:rFonts w:cs="Arial"/>
                <w:b/>
                <w:bCs/>
                <w:color w:val="000000"/>
                <w:szCs w:val="20"/>
              </w:rPr>
            </w:pPr>
            <w:r w:rsidRPr="00E12ED7">
              <w:rPr>
                <w:rFonts w:cs="Arial"/>
                <w:b/>
                <w:color w:val="3A3A3A"/>
                <w:szCs w:val="20"/>
              </w:rPr>
              <w:t>78.</w:t>
            </w:r>
            <w:r w:rsidR="00775F1F" w:rsidRPr="00E12ED7">
              <w:rPr>
                <w:rFonts w:cs="Arial"/>
                <w:b/>
                <w:bCs/>
                <w:color w:val="3A3A3A"/>
                <w:szCs w:val="20"/>
              </w:rPr>
              <w:t>7</w:t>
            </w:r>
          </w:p>
        </w:tc>
      </w:tr>
    </w:tbl>
    <w:bookmarkEnd w:id="154"/>
    <w:p w14:paraId="18C30F8C" w14:textId="131C3CFA" w:rsidR="00910822" w:rsidRPr="005A3AFE" w:rsidRDefault="00910822" w:rsidP="0008643D">
      <w:pPr>
        <w:pStyle w:val="BaseFigureNotes"/>
        <w:spacing w:before="120" w:after="120"/>
      </w:pPr>
      <w:r w:rsidRPr="005A3AFE">
        <w:t>* ‘Internal mode’ of attendance is where (i) the study is undertaken through attendance at the higher education provider on a regular basis, or (ii) for higher-degree unit enrolments, where regular attendance is not required but the student attends the higher education provider on an agreed schedule for the purposes of supervision and/or instruction. External mode of attendance is where lesson materials, assignments etc. are delivered to the student, and any associated attendance at the institution is of an incidental, irregular, special or voluntary nature. Mixed mode of attendance is where study is undertaken partially on an internal mode of attendance and partially on an external mode of attendance.</w:t>
      </w:r>
    </w:p>
    <w:p w14:paraId="0E3822C3" w14:textId="77777777" w:rsidR="00910822" w:rsidRPr="005A3AFE" w:rsidRDefault="00910822" w:rsidP="0008643D">
      <w:pPr>
        <w:pStyle w:val="BaseFigureNotes"/>
        <w:spacing w:before="120" w:after="120"/>
      </w:pPr>
      <w:bookmarkStart w:id="155" w:name="_Hlk188969536"/>
      <w:r w:rsidRPr="005A3AFE">
        <w:t>** ‘Home language other than English’ refers to graduates who arrived in Australia less than 10 years prior to the year in which the data was collected and who come from a home where a language other than English is spoken. This information is reported by institutions through the Tertiary Collection of Student Information (TCSI) system.</w:t>
      </w:r>
    </w:p>
    <w:p w14:paraId="30DDA6CA" w14:textId="142E0D87" w:rsidR="00357FF0" w:rsidRPr="005A3AFE" w:rsidRDefault="00357FF0" w:rsidP="0008643D">
      <w:pPr>
        <w:pStyle w:val="BaseFigureNotes"/>
        <w:spacing w:before="120" w:after="120"/>
      </w:pPr>
      <w:r w:rsidRPr="005A3AFE">
        <w:t xml:space="preserve">*** </w:t>
      </w:r>
      <w:r w:rsidR="00B3559F" w:rsidRPr="008A3B29">
        <w:rPr>
          <w:spacing w:val="-4"/>
        </w:rPr>
        <w:t>Disability information is reported by institutions through the Tertiary Collection of Student Information (TCSI) system, reflecting a disability, impairment or long-term condition which may affect a graduate’s studies.</w:t>
      </w:r>
    </w:p>
    <w:p w14:paraId="1A9A4F76" w14:textId="3B5CDF72" w:rsidR="00910822" w:rsidRPr="005A3AFE" w:rsidRDefault="00910822" w:rsidP="0008643D">
      <w:pPr>
        <w:pStyle w:val="BaseFigureNotes"/>
        <w:spacing w:before="120" w:after="120"/>
        <w:rPr>
          <w:rFonts w:ascii="Calibri" w:hAnsi="Calibri"/>
        </w:rPr>
      </w:pPr>
      <w:bookmarkStart w:id="156" w:name="_Hlk188969769"/>
      <w:bookmarkEnd w:id="155"/>
      <w:r w:rsidRPr="005A3AFE">
        <w:t>***</w:t>
      </w:r>
      <w:r w:rsidR="00357FF0" w:rsidRPr="005A3AFE">
        <w:t>*</w:t>
      </w:r>
      <w:r w:rsidRPr="005A3AFE">
        <w:t xml:space="preserve"> ‘First in family’ refers to a graduate attaining a bachelor’s degree level qualification when their parent(s) or guardian(s) have not. This is based on the highest level of educational attainment of a student’s parent(s) or guardian(s), as identified by the student. This information is reported by institutions through the Tertiary Collection of Student Information (TCSI) system.</w:t>
      </w:r>
    </w:p>
    <w:bookmarkEnd w:id="156"/>
    <w:p w14:paraId="2CE71352" w14:textId="2AA1EB2E" w:rsidR="00910822" w:rsidRPr="005A3AFE" w:rsidRDefault="00910822" w:rsidP="0008643D">
      <w:pPr>
        <w:pStyle w:val="BaseFigureNotes"/>
        <w:spacing w:before="120" w:after="120"/>
      </w:pPr>
      <w:r w:rsidRPr="005A3AFE">
        <w:t>****</w:t>
      </w:r>
      <w:r w:rsidR="00357FF0" w:rsidRPr="005A3AFE">
        <w:t>*</w:t>
      </w:r>
      <w:r w:rsidRPr="005A3AFE">
        <w:t xml:space="preserve"> </w:t>
      </w:r>
      <w:bookmarkStart w:id="157" w:name="_Hlk147828314"/>
      <w:r w:rsidRPr="005A3AFE">
        <w:t xml:space="preserve">The socio-economic status and location measures are area-based, associated with students’ first permanent home address submitted when they commenced with their provider, as collected through the TCSI system. Socio-economic status is based on the ABS’ Socio-Economic Indexes for Areas (SEIFA) - The Index of Education and </w:t>
      </w:r>
      <w:bookmarkEnd w:id="157"/>
      <w:r w:rsidRPr="005A3AFE">
        <w:t>Occupation (IEO).</w:t>
      </w:r>
    </w:p>
    <w:p w14:paraId="38BA5650" w14:textId="77777777" w:rsidR="00837587" w:rsidRPr="005A3AFE" w:rsidRDefault="00910822" w:rsidP="0008643D">
      <w:pPr>
        <w:pStyle w:val="BaseFigureNotes"/>
        <w:spacing w:before="120" w:after="120"/>
      </w:pPr>
      <w:r w:rsidRPr="005A3AFE">
        <w:t xml:space="preserve">† </w:t>
      </w:r>
      <w:bookmarkStart w:id="158" w:name="_Hlk147828332"/>
      <w:r w:rsidRPr="005A3AFE">
        <w:t>Location measures are calculated according to the proportion of metro and regional/remote categories</w:t>
      </w:r>
      <w:bookmarkEnd w:id="158"/>
      <w:r w:rsidRPr="005A3AFE">
        <w:t>.</w:t>
      </w:r>
    </w:p>
    <w:p w14:paraId="5D6228D7" w14:textId="16B2B206" w:rsidR="007C60E6" w:rsidRPr="005A3AFE" w:rsidRDefault="007C60E6" w:rsidP="0008643D">
      <w:pPr>
        <w:pStyle w:val="BaseFigureNotes"/>
        <w:spacing w:before="120" w:after="120"/>
      </w:pPr>
      <w:r w:rsidRPr="005A3AFE">
        <w:rPr>
          <w:rFonts w:cs="Arial"/>
        </w:rPr>
        <w:t>‡</w:t>
      </w:r>
      <w:r w:rsidR="00542F9F" w:rsidRPr="005A3AFE">
        <w:rPr>
          <w:rFonts w:cs="Arial"/>
        </w:rPr>
        <w:t xml:space="preserve"> </w:t>
      </w:r>
      <w:r w:rsidR="00542F9F" w:rsidRPr="005A3AFE">
        <w:t xml:space="preserve">Medium-term </w:t>
      </w:r>
      <w:r w:rsidR="005D3135" w:rsidRPr="005A3AFE">
        <w:t xml:space="preserve">labour force participation rates, and full-time and overall employment rates </w:t>
      </w:r>
      <w:r w:rsidR="00542F9F" w:rsidRPr="005A3AFE">
        <w:t xml:space="preserve">from 2025 onwards are not directly comparable with earlier years due to a change to how the labour force is defined. Caution should be exercised when interpreting shifts from the short- to medium-term for the </w:t>
      </w:r>
      <w:r w:rsidR="00024CCF">
        <w:t>2023</w:t>
      </w:r>
      <w:r w:rsidR="00886C60" w:rsidRPr="00886C60">
        <w:t>–</w:t>
      </w:r>
      <w:r w:rsidR="00024CCF">
        <w:t>2026</w:t>
      </w:r>
      <w:r w:rsidR="00542F9F" w:rsidRPr="005A3AFE">
        <w:t xml:space="preserve"> cohort</w:t>
      </w:r>
      <w:r w:rsidR="006016F1" w:rsidRPr="005A3AFE">
        <w:t>, as they partly reflect the change in methodology</w:t>
      </w:r>
      <w:r w:rsidR="00542F9F" w:rsidRPr="005A3AFE">
        <w:t>.</w:t>
      </w:r>
      <w:r w:rsidR="003D6E27">
        <w:br/>
      </w:r>
      <w:r w:rsidR="00542F9F" w:rsidRPr="005A3AFE">
        <w:t xml:space="preserve">See </w:t>
      </w:r>
      <w:r w:rsidR="00542F9F" w:rsidRPr="005A3AFE">
        <w:rPr>
          <w:b/>
          <w:bCs/>
        </w:rPr>
        <w:t>Appendix 1</w:t>
      </w:r>
      <w:r w:rsidR="00542F9F" w:rsidRPr="005A3AFE">
        <w:t xml:space="preserve"> </w:t>
      </w:r>
      <w:r w:rsidR="00533682">
        <w:t xml:space="preserve">in the 2025 GOS-L National Report </w:t>
      </w:r>
      <w:r w:rsidR="00542F9F" w:rsidRPr="005A3AFE">
        <w:t>for further information.</w:t>
      </w:r>
    </w:p>
    <w:p w14:paraId="46719783" w14:textId="77777777" w:rsidR="00F57051" w:rsidRPr="005A3AFE" w:rsidRDefault="00F57051" w:rsidP="001061E4">
      <w:pPr>
        <w:pStyle w:val="BaseFigureNotes"/>
        <w:sectPr w:rsidR="00F57051" w:rsidRPr="005A3AFE" w:rsidSect="00A11753">
          <w:footerReference w:type="default" r:id="rId60"/>
          <w:pgSz w:w="16840" w:h="11900" w:orient="landscape"/>
          <w:pgMar w:top="709" w:right="284" w:bottom="709" w:left="284" w:header="397" w:footer="397" w:gutter="0"/>
          <w:cols w:space="708"/>
          <w:docGrid w:linePitch="360"/>
        </w:sectPr>
      </w:pPr>
    </w:p>
    <w:p w14:paraId="35411BEC" w14:textId="77777777" w:rsidR="00910822" w:rsidRPr="005A3AFE" w:rsidRDefault="00910822" w:rsidP="00910822">
      <w:pPr>
        <w:pStyle w:val="Heading2"/>
      </w:pPr>
      <w:bookmarkStart w:id="159" w:name="_Toc136603830"/>
      <w:bookmarkStart w:id="160" w:name="_Toc136603878"/>
      <w:bookmarkStart w:id="161" w:name="_Toc136603926"/>
      <w:bookmarkStart w:id="162" w:name="_Toc136616394"/>
      <w:bookmarkStart w:id="163" w:name="_Toc136616442"/>
      <w:bookmarkStart w:id="164" w:name="_Toc136616490"/>
      <w:bookmarkStart w:id="165" w:name="_Toc136950965"/>
      <w:bookmarkStart w:id="166" w:name="_Toc192179853"/>
      <w:bookmarkStart w:id="167" w:name="_Toc243492344"/>
      <w:bookmarkEnd w:id="159"/>
      <w:bookmarkEnd w:id="160"/>
      <w:bookmarkEnd w:id="161"/>
      <w:bookmarkEnd w:id="162"/>
      <w:bookmarkEnd w:id="163"/>
      <w:bookmarkEnd w:id="164"/>
      <w:bookmarkEnd w:id="165"/>
      <w:r w:rsidRPr="005A3AFE">
        <w:lastRenderedPageBreak/>
        <w:t>Study area</w:t>
      </w:r>
      <w:bookmarkEnd w:id="166"/>
      <w:bookmarkEnd w:id="167"/>
    </w:p>
    <w:p w14:paraId="1DD8F0D9" w14:textId="00754E7F" w:rsidR="00910822" w:rsidRPr="007360CE" w:rsidRDefault="00910822" w:rsidP="0024373A">
      <w:pPr>
        <w:pStyle w:val="Bodycopy"/>
      </w:pPr>
      <w:r w:rsidRPr="007360CE">
        <w:t>Comparisons of full-time employment rates by study area show that while undergraduates from some study areas, particularly those with generalist degrees, have weaker employment outcomes soon after completing their course, the</w:t>
      </w:r>
      <w:r w:rsidR="00E17B1D">
        <w:t> </w:t>
      </w:r>
      <w:r w:rsidRPr="007360CE">
        <w:t>difference in employment outcomes across study areas tends to narrow over time (</w:t>
      </w:r>
      <w:r w:rsidRPr="007360CE">
        <w:rPr>
          <w:b/>
          <w:bCs/>
        </w:rPr>
        <w:fldChar w:fldCharType="begin"/>
      </w:r>
      <w:r w:rsidRPr="007360CE">
        <w:rPr>
          <w:b/>
          <w:bCs/>
        </w:rPr>
        <w:instrText xml:space="preserve"> REF _Ref135592725 \h  \* MERGEFORMAT </w:instrText>
      </w:r>
      <w:r w:rsidRPr="007360CE">
        <w:rPr>
          <w:b/>
          <w:bCs/>
        </w:rPr>
      </w:r>
      <w:r w:rsidRPr="007360CE">
        <w:rPr>
          <w:b/>
          <w:bCs/>
        </w:rPr>
        <w:fldChar w:fldCharType="separate"/>
      </w:r>
      <w:r w:rsidR="00487685" w:rsidRPr="007360CE">
        <w:rPr>
          <w:b/>
          <w:bCs/>
        </w:rPr>
        <w:t xml:space="preserve">Figure </w:t>
      </w:r>
      <w:r w:rsidRPr="007360CE">
        <w:rPr>
          <w:b/>
          <w:bCs/>
        </w:rPr>
        <w:fldChar w:fldCharType="end"/>
      </w:r>
      <w:r w:rsidR="00487685" w:rsidRPr="007360CE">
        <w:rPr>
          <w:b/>
          <w:bCs/>
        </w:rPr>
        <w:t>16</w:t>
      </w:r>
      <w:r w:rsidRPr="007360CE">
        <w:t>).</w:t>
      </w:r>
    </w:p>
    <w:p w14:paraId="5D0D2CFB" w14:textId="122DC925" w:rsidR="0023268A" w:rsidRPr="005A3AFE" w:rsidRDefault="0087433F" w:rsidP="0024373A">
      <w:pPr>
        <w:pStyle w:val="Bodycopy"/>
      </w:pPr>
      <w:r w:rsidRPr="005A3AFE">
        <w:t xml:space="preserve">In 2023, full-time employment rates for recent undergraduates ranged from </w:t>
      </w:r>
      <w:r w:rsidR="00D54450" w:rsidRPr="005A3AFE">
        <w:t>9</w:t>
      </w:r>
      <w:r w:rsidR="00962864" w:rsidRPr="005A3AFE">
        <w:t>6</w:t>
      </w:r>
      <w:r w:rsidR="00D54450" w:rsidRPr="005A3AFE">
        <w:t>.</w:t>
      </w:r>
      <w:r w:rsidR="00962864" w:rsidRPr="005A3AFE">
        <w:t>6</w:t>
      </w:r>
      <w:r w:rsidR="00D54450" w:rsidRPr="005A3AFE">
        <w:t xml:space="preserve"> per cent for Rehabilitation and </w:t>
      </w:r>
      <w:r w:rsidR="00962864" w:rsidRPr="005A3AFE">
        <w:t>100.0</w:t>
      </w:r>
      <w:r w:rsidR="00E17B1D">
        <w:t> </w:t>
      </w:r>
      <w:r w:rsidR="00D54450" w:rsidRPr="005A3AFE">
        <w:t xml:space="preserve">per cent for </w:t>
      </w:r>
      <w:r w:rsidR="00962864" w:rsidRPr="005A3AFE">
        <w:t xml:space="preserve">Pharmacy </w:t>
      </w:r>
      <w:r w:rsidR="005F678A" w:rsidRPr="005A3AFE">
        <w:t xml:space="preserve">to </w:t>
      </w:r>
      <w:r w:rsidR="007F3024" w:rsidRPr="005A3AFE">
        <w:t>56.7 per cent for Creative arts and 6</w:t>
      </w:r>
      <w:r w:rsidR="00B93F9A" w:rsidRPr="005A3AFE">
        <w:t>6</w:t>
      </w:r>
      <w:r w:rsidR="007F3024" w:rsidRPr="005A3AFE">
        <w:t>.</w:t>
      </w:r>
      <w:r w:rsidR="00B93F9A" w:rsidRPr="005A3AFE">
        <w:t>9</w:t>
      </w:r>
      <w:r w:rsidR="00F47FBB" w:rsidRPr="005A3AFE">
        <w:t xml:space="preserve"> per cent for Communications</w:t>
      </w:r>
      <w:r w:rsidR="00B93F9A" w:rsidRPr="005A3AFE">
        <w:rPr>
          <w:rFonts w:eastAsia="Times New Roman" w:cs="Arial"/>
        </w:rPr>
        <w:t>–</w:t>
      </w:r>
      <w:r w:rsidR="00F47FBB" w:rsidRPr="005A3AFE">
        <w:t xml:space="preserve"> a difference of</w:t>
      </w:r>
      <w:r w:rsidR="00B93F9A" w:rsidRPr="005A3AFE">
        <w:t xml:space="preserve"> 43.</w:t>
      </w:r>
      <w:r w:rsidR="00F53CBE">
        <w:t>3</w:t>
      </w:r>
      <w:r w:rsidR="00B93F9A" w:rsidRPr="005A3AFE">
        <w:t xml:space="preserve"> percentage points</w:t>
      </w:r>
      <w:r w:rsidR="007F3ED7" w:rsidRPr="005A3AFE">
        <w:t xml:space="preserve"> between the highest and lowest study areas.</w:t>
      </w:r>
    </w:p>
    <w:p w14:paraId="3A585A58" w14:textId="52A54791" w:rsidR="00B0319E" w:rsidRPr="005A3AFE" w:rsidRDefault="006B50D9" w:rsidP="0024373A">
      <w:pPr>
        <w:pStyle w:val="Bodycopy"/>
      </w:pPr>
      <w:r w:rsidRPr="005A3AFE">
        <w:t>In the mediu</w:t>
      </w:r>
      <w:r w:rsidR="00166526" w:rsidRPr="005A3AFE">
        <w:t>m</w:t>
      </w:r>
      <w:r w:rsidRPr="005A3AFE">
        <w:t xml:space="preserve">-term, the </w:t>
      </w:r>
      <w:r w:rsidR="00844494" w:rsidRPr="005A3AFE">
        <w:t>difference between the highest and lowest full-time employment rates across study areas for undergraduates had contracted to 18.5 percentage points</w:t>
      </w:r>
      <w:r w:rsidR="004964C3" w:rsidRPr="005A3AFE">
        <w:t xml:space="preserve">. This is partially driven by </w:t>
      </w:r>
      <w:r w:rsidR="00611E88" w:rsidRPr="005A3AFE">
        <w:t>improvement in outcomes for study areas with low short-term full-time employment rates</w:t>
      </w:r>
      <w:r w:rsidR="00BC1F1E">
        <w:t xml:space="preserve">; these study areas </w:t>
      </w:r>
      <w:r w:rsidR="002750E9" w:rsidRPr="005A3AFE">
        <w:t>report</w:t>
      </w:r>
      <w:r w:rsidR="00611E88" w:rsidRPr="005A3AFE">
        <w:t>ed</w:t>
      </w:r>
      <w:r w:rsidR="008F28A7" w:rsidRPr="005A3AFE">
        <w:t xml:space="preserve"> </w:t>
      </w:r>
      <w:r w:rsidR="00334851" w:rsidRPr="005A3AFE">
        <w:t xml:space="preserve">the highest </w:t>
      </w:r>
      <w:r w:rsidR="00141D10" w:rsidRPr="005A3AFE">
        <w:t>increases</w:t>
      </w:r>
      <w:r w:rsidR="008F28A7" w:rsidRPr="005A3AFE">
        <w:t xml:space="preserve"> </w:t>
      </w:r>
      <w:r w:rsidR="005757D3" w:rsidRPr="005A3AFE">
        <w:t>in</w:t>
      </w:r>
      <w:r w:rsidR="008F28A7" w:rsidRPr="005A3AFE">
        <w:t xml:space="preserve"> full-time employment </w:t>
      </w:r>
      <w:r w:rsidR="00611E88" w:rsidRPr="005A3AFE">
        <w:t>in the medium-term</w:t>
      </w:r>
      <w:r w:rsidR="00C24877">
        <w:t xml:space="preserve"> (</w:t>
      </w:r>
      <w:r w:rsidR="00C24877" w:rsidRPr="00A50F01">
        <w:rPr>
          <w:b/>
          <w:bCs/>
        </w:rPr>
        <w:t>Table 5</w:t>
      </w:r>
      <w:r w:rsidR="00C24877">
        <w:t>)</w:t>
      </w:r>
      <w:r w:rsidR="00A45E71" w:rsidRPr="005A3AFE">
        <w:t xml:space="preserve">. For example, the two </w:t>
      </w:r>
      <w:r w:rsidR="00B93F9A" w:rsidRPr="005A3AFE">
        <w:t>lowest</w:t>
      </w:r>
      <w:r w:rsidR="00A45E71" w:rsidRPr="005A3AFE">
        <w:t xml:space="preserve"> study areas</w:t>
      </w:r>
      <w:r w:rsidR="00B93F9A" w:rsidRPr="005A3AFE">
        <w:t xml:space="preserve"> for full-time employment</w:t>
      </w:r>
      <w:r w:rsidR="00A45E71" w:rsidRPr="005A3AFE">
        <w:t xml:space="preserve"> in 2023, Creative arts and Communications, had</w:t>
      </w:r>
      <w:r w:rsidR="00B93F9A" w:rsidRPr="005A3AFE">
        <w:t xml:space="preserve"> some of</w:t>
      </w:r>
      <w:r w:rsidR="00A45E71" w:rsidRPr="005A3AFE">
        <w:t xml:space="preserve"> the largest increases in full-time employment</w:t>
      </w:r>
      <w:r w:rsidR="00E22424" w:rsidRPr="005A3AFE">
        <w:t xml:space="preserve"> in the medium-term, by </w:t>
      </w:r>
      <w:r w:rsidR="00FA687C" w:rsidRPr="005A3AFE">
        <w:t>22.0 and 21.3 percentage points respectively.</w:t>
      </w:r>
    </w:p>
    <w:p w14:paraId="0211237C" w14:textId="58DC16C5" w:rsidR="007C30B7" w:rsidRPr="005A3AFE" w:rsidRDefault="00994031" w:rsidP="0024373A">
      <w:pPr>
        <w:pStyle w:val="Bodycopy"/>
      </w:pPr>
      <w:r>
        <w:t>While</w:t>
      </w:r>
      <w:r w:rsidR="00EC21AC" w:rsidRPr="005A3AFE">
        <w:t xml:space="preserve"> </w:t>
      </w:r>
      <w:r w:rsidR="00F54F4D" w:rsidRPr="005A3AFE">
        <w:t>full-time employment rate</w:t>
      </w:r>
      <w:r>
        <w:t>s</w:t>
      </w:r>
      <w:r w:rsidR="00F54F4D" w:rsidRPr="005A3AFE">
        <w:t xml:space="preserve"> </w:t>
      </w:r>
      <w:r w:rsidR="00B0319E" w:rsidRPr="005A3AFE">
        <w:t>decreased</w:t>
      </w:r>
      <w:r w:rsidR="00F54F4D" w:rsidRPr="005A3AFE">
        <w:t xml:space="preserve"> in variation across the s</w:t>
      </w:r>
      <w:r w:rsidR="00612E2F" w:rsidRPr="005A3AFE">
        <w:t>hort- to</w:t>
      </w:r>
      <w:r w:rsidR="00F54F4D" w:rsidRPr="005A3AFE">
        <w:t xml:space="preserve"> medium</w:t>
      </w:r>
      <w:r w:rsidR="000D07BB" w:rsidRPr="005A3AFE">
        <w:t>-</w:t>
      </w:r>
      <w:r w:rsidR="00F54F4D" w:rsidRPr="005A3AFE">
        <w:t>term</w:t>
      </w:r>
      <w:r w:rsidR="00B0319E" w:rsidRPr="005A3AFE">
        <w:t>, the variation in median salaries across study areas increased</w:t>
      </w:r>
      <w:r w:rsidR="000D07BB" w:rsidRPr="005A3AFE">
        <w:t xml:space="preserve"> </w:t>
      </w:r>
      <w:r w:rsidR="00B0319E" w:rsidRPr="005A3AFE">
        <w:t>over the medium-term.</w:t>
      </w:r>
      <w:r w:rsidR="00FC79A5" w:rsidRPr="005A3AFE">
        <w:t xml:space="preserve"> For example, </w:t>
      </w:r>
      <w:r w:rsidR="000D07BB" w:rsidRPr="005A3AFE">
        <w:t xml:space="preserve">the </w:t>
      </w:r>
      <w:r w:rsidR="00FC79A5" w:rsidRPr="005A3AFE">
        <w:t xml:space="preserve">median salary for undergraduates in </w:t>
      </w:r>
      <w:r w:rsidR="00B93F9A" w:rsidRPr="005A3AFE">
        <w:t>the short-term (</w:t>
      </w:r>
      <w:r w:rsidR="00FC79A5" w:rsidRPr="005A3AFE">
        <w:t>2023</w:t>
      </w:r>
      <w:r w:rsidR="00B93F9A" w:rsidRPr="005A3AFE">
        <w:t>)</w:t>
      </w:r>
      <w:r w:rsidR="00FC79A5" w:rsidRPr="005A3AFE">
        <w:t xml:space="preserve"> varied from </w:t>
      </w:r>
      <w:r w:rsidR="00B64E0F" w:rsidRPr="005A3AFE">
        <w:t xml:space="preserve">$56,900 for Pharmacy to </w:t>
      </w:r>
      <w:r w:rsidR="0075692C" w:rsidRPr="005A3AFE">
        <w:t>$83,</w:t>
      </w:r>
      <w:r w:rsidR="00B93F9A" w:rsidRPr="005A3AFE">
        <w:t>8</w:t>
      </w:r>
      <w:r w:rsidR="0075692C" w:rsidRPr="005A3AFE">
        <w:t>00 for Medicine.</w:t>
      </w:r>
      <w:r w:rsidR="00762908" w:rsidRPr="005A3AFE">
        <w:t xml:space="preserve"> In</w:t>
      </w:r>
      <w:r w:rsidR="00B93F9A" w:rsidRPr="005A3AFE">
        <w:t xml:space="preserve"> the medium-term</w:t>
      </w:r>
      <w:r w:rsidR="00762908" w:rsidRPr="005A3AFE">
        <w:t xml:space="preserve"> </w:t>
      </w:r>
      <w:r w:rsidR="00B93F9A" w:rsidRPr="005A3AFE">
        <w:t>(</w:t>
      </w:r>
      <w:r w:rsidR="00762908" w:rsidRPr="005A3AFE">
        <w:t>2026</w:t>
      </w:r>
      <w:r w:rsidR="00B93F9A" w:rsidRPr="005A3AFE">
        <w:t>)</w:t>
      </w:r>
      <w:r w:rsidR="00762908" w:rsidRPr="005A3AFE">
        <w:t xml:space="preserve">, </w:t>
      </w:r>
      <w:r w:rsidR="00012C74" w:rsidRPr="005A3AFE">
        <w:t>the</w:t>
      </w:r>
      <w:r w:rsidR="00762908" w:rsidRPr="005A3AFE">
        <w:t xml:space="preserve"> undergraduate median salary ranged from </w:t>
      </w:r>
      <w:r w:rsidR="00943409" w:rsidRPr="005A3AFE">
        <w:t xml:space="preserve">$76,400 for </w:t>
      </w:r>
      <w:r w:rsidR="00B43E56" w:rsidRPr="005A3AFE">
        <w:t>C</w:t>
      </w:r>
      <w:r w:rsidR="00943409" w:rsidRPr="005A3AFE">
        <w:t xml:space="preserve">reative arts to </w:t>
      </w:r>
      <w:r w:rsidR="00B43E56" w:rsidRPr="005A3AFE">
        <w:t>$1</w:t>
      </w:r>
      <w:r w:rsidR="00E47EFC" w:rsidRPr="005A3AFE">
        <w:t>24</w:t>
      </w:r>
      <w:r w:rsidR="00B43E56" w:rsidRPr="005A3AFE">
        <w:t>,</w:t>
      </w:r>
      <w:r w:rsidR="00E47EFC" w:rsidRPr="005A3AFE">
        <w:t>900</w:t>
      </w:r>
      <w:r w:rsidR="00B43E56" w:rsidRPr="005A3AFE">
        <w:t xml:space="preserve"> for </w:t>
      </w:r>
      <w:r w:rsidR="00F53CBE">
        <w:t>Medicine</w:t>
      </w:r>
      <w:r w:rsidR="00E47EFC" w:rsidRPr="005A3AFE">
        <w:t>.</w:t>
      </w:r>
    </w:p>
    <w:p w14:paraId="13414D60" w14:textId="375DCEFD" w:rsidR="0009194E" w:rsidRPr="005A3AFE" w:rsidRDefault="00493664" w:rsidP="0024373A">
      <w:pPr>
        <w:pStyle w:val="Bodycopy"/>
      </w:pPr>
      <w:r w:rsidRPr="005A3AFE">
        <w:t xml:space="preserve">Median salary growth </w:t>
      </w:r>
      <w:r w:rsidR="003A2731" w:rsidRPr="005A3AFE">
        <w:t xml:space="preserve">also </w:t>
      </w:r>
      <w:r w:rsidRPr="005A3AFE">
        <w:t xml:space="preserve">varied </w:t>
      </w:r>
      <w:r w:rsidR="00540C90" w:rsidRPr="005A3AFE">
        <w:t>between</w:t>
      </w:r>
      <w:r w:rsidRPr="005A3AFE">
        <w:t xml:space="preserve"> study areas</w:t>
      </w:r>
      <w:r w:rsidR="00540C90" w:rsidRPr="005A3AFE">
        <w:t xml:space="preserve"> in </w:t>
      </w:r>
      <w:r w:rsidRPr="005A3AFE">
        <w:t>the s</w:t>
      </w:r>
      <w:r w:rsidR="00612E2F" w:rsidRPr="005A3AFE">
        <w:t>hort- to</w:t>
      </w:r>
      <w:r w:rsidRPr="005A3AFE">
        <w:t xml:space="preserve"> medium-term. </w:t>
      </w:r>
      <w:r w:rsidR="00B0319E" w:rsidRPr="005A3AFE">
        <w:t xml:space="preserve">In 2023, Pharmacy undergraduates reported the lowest median salary of </w:t>
      </w:r>
      <w:r w:rsidR="00E17D85" w:rsidRPr="005A3AFE">
        <w:t>$</w:t>
      </w:r>
      <w:r w:rsidR="00CA6D22" w:rsidRPr="005A3AFE">
        <w:t xml:space="preserve">56,900. 3 years later, </w:t>
      </w:r>
      <w:r w:rsidR="009D5475" w:rsidRPr="005A3AFE">
        <w:t>reported salaries almost doubled to $99,100</w:t>
      </w:r>
      <w:r w:rsidR="00B52F6A" w:rsidRPr="005A3AFE">
        <w:t xml:space="preserve">, a growth rate of </w:t>
      </w:r>
      <w:r w:rsidR="00E6322D" w:rsidRPr="005A3AFE">
        <w:t>74.2 per cent</w:t>
      </w:r>
      <w:r w:rsidR="0028124E" w:rsidRPr="005A3AFE">
        <w:t>.</w:t>
      </w:r>
      <w:r w:rsidR="00047086" w:rsidRPr="005A3AFE">
        <w:t xml:space="preserve"> In contrast, Nursing undergraduates </w:t>
      </w:r>
      <w:r w:rsidR="00A710BC" w:rsidRPr="005A3AFE">
        <w:t xml:space="preserve">reported a median salary of </w:t>
      </w:r>
      <w:r w:rsidR="00A77806" w:rsidRPr="005A3AFE">
        <w:t>$70,000</w:t>
      </w:r>
      <w:r w:rsidR="004B491E" w:rsidRPr="005A3AFE">
        <w:t xml:space="preserve"> in the short-term and $89,700 in the medium-term</w:t>
      </w:r>
      <w:r w:rsidR="000150F4" w:rsidRPr="005A3AFE">
        <w:t xml:space="preserve">, a growth rate of only </w:t>
      </w:r>
      <w:r w:rsidR="00F41CCD" w:rsidRPr="005A3AFE">
        <w:t>28.1 per cent.</w:t>
      </w:r>
      <w:r w:rsidR="00950C47">
        <w:t xml:space="preserve"> </w:t>
      </w:r>
      <w:r w:rsidR="00950C47" w:rsidRPr="003D6E27">
        <w:t>Although</w:t>
      </w:r>
      <w:r w:rsidR="0009194E" w:rsidRPr="003D6E27">
        <w:t xml:space="preserve"> the high</w:t>
      </w:r>
      <w:r w:rsidR="00950C47" w:rsidRPr="003D6E27">
        <w:t xml:space="preserve"> full-time employment rates for graduates </w:t>
      </w:r>
      <w:r w:rsidR="0009194E" w:rsidRPr="003D6E27">
        <w:t>from both</w:t>
      </w:r>
      <w:r w:rsidR="00950C47" w:rsidRPr="003D6E27">
        <w:t xml:space="preserve"> study areas i</w:t>
      </w:r>
      <w:r w:rsidR="0009194E" w:rsidRPr="003D6E27">
        <w:t>ndicate strong demand</w:t>
      </w:r>
      <w:r w:rsidR="00950C47" w:rsidRPr="003D6E27">
        <w:t>, the differences in salary growth suggest that</w:t>
      </w:r>
      <w:r w:rsidR="0009194E" w:rsidRPr="003D6E27">
        <w:t xml:space="preserve"> industry specific factors shape</w:t>
      </w:r>
      <w:r w:rsidR="00950C47" w:rsidRPr="003D6E27">
        <w:t xml:space="preserve"> </w:t>
      </w:r>
      <w:r w:rsidR="0009194E" w:rsidRPr="003D6E27">
        <w:t>pay in the short- to medium-term</w:t>
      </w:r>
      <w:r w:rsidR="00950C47" w:rsidRPr="003D6E27">
        <w:t>.</w:t>
      </w:r>
    </w:p>
    <w:p w14:paraId="4A74C5D3" w14:textId="7087DDEC" w:rsidR="003529FC" w:rsidRPr="005A3AFE" w:rsidRDefault="003529FC" w:rsidP="0024373A">
      <w:pPr>
        <w:pStyle w:val="Bodycopy"/>
      </w:pPr>
      <w:r w:rsidRPr="005A3AFE">
        <w:t>Trends in employment outcomes for postgraduate coursework graduates were broadly similar to those observed for undergraduates</w:t>
      </w:r>
      <w:r w:rsidR="00095967" w:rsidRPr="00E17B1D">
        <w:rPr>
          <w:rStyle w:val="FootnoteReference"/>
          <w:sz w:val="20"/>
        </w:rPr>
        <w:footnoteReference w:id="17"/>
      </w:r>
      <w:r w:rsidRPr="00E17B1D">
        <w:t>.</w:t>
      </w:r>
      <w:r w:rsidR="00500B67" w:rsidRPr="005A3AFE">
        <w:t xml:space="preserve"> Graduates from vocationally oriented programs such as </w:t>
      </w:r>
      <w:r w:rsidR="00D37A50" w:rsidRPr="005A3AFE">
        <w:t>Nursing</w:t>
      </w:r>
      <w:r w:rsidR="00500B67" w:rsidRPr="005A3AFE">
        <w:t xml:space="preserve"> and Medicine </w:t>
      </w:r>
      <w:r w:rsidR="00D62111" w:rsidRPr="005A3AFE">
        <w:t xml:space="preserve">had </w:t>
      </w:r>
      <w:r w:rsidR="00500B67" w:rsidRPr="005A3AFE">
        <w:t>higher rates of full-time employment in the short-term compared to those from generalist study areas</w:t>
      </w:r>
      <w:r w:rsidR="00E17B1D">
        <w:t>,</w:t>
      </w:r>
      <w:r w:rsidR="00672016" w:rsidRPr="005A3AFE">
        <w:t xml:space="preserve"> such as Science and mathematics</w:t>
      </w:r>
      <w:r w:rsidR="00E17B1D">
        <w:t>,</w:t>
      </w:r>
      <w:r w:rsidR="00672016" w:rsidRPr="005A3AFE">
        <w:t xml:space="preserve"> and Communications</w:t>
      </w:r>
      <w:r w:rsidR="00DD0395" w:rsidRPr="005A3AFE">
        <w:t>,</w:t>
      </w:r>
      <w:r w:rsidR="00672016" w:rsidRPr="005A3AFE">
        <w:t xml:space="preserve"> </w:t>
      </w:r>
      <w:r w:rsidR="00DD0395" w:rsidRPr="005A3AFE">
        <w:t>though t</w:t>
      </w:r>
      <w:r w:rsidR="00672016" w:rsidRPr="005A3AFE">
        <w:t xml:space="preserve">his difference diminished over </w:t>
      </w:r>
      <w:r w:rsidR="00887F97" w:rsidRPr="005A3AFE">
        <w:t>the medium-term</w:t>
      </w:r>
      <w:r w:rsidR="00500B67" w:rsidRPr="005A3AFE">
        <w:t>.</w:t>
      </w:r>
      <w:r w:rsidR="00185BB1" w:rsidRPr="00185BB1">
        <w:rPr>
          <w:noProof/>
        </w:rPr>
        <w:t xml:space="preserve"> </w:t>
      </w:r>
    </w:p>
    <w:p w14:paraId="1286B9FD" w14:textId="5EA2C175" w:rsidR="00B921B4" w:rsidRPr="005A3AFE" w:rsidRDefault="00B921B4" w:rsidP="00B921B4">
      <w:pPr>
        <w:rPr>
          <w:rFonts w:ascii="ArialMT" w:hAnsi="ArialMT" w:cs="ArialMT"/>
          <w:lang w:val="en-GB"/>
        </w:rPr>
      </w:pPr>
    </w:p>
    <w:p w14:paraId="0C396FD0" w14:textId="2D69F1E3" w:rsidR="00B921B4" w:rsidRPr="005A3AFE" w:rsidRDefault="00B921B4" w:rsidP="00B921B4">
      <w:pPr>
        <w:rPr>
          <w:rFonts w:ascii="ArialMT" w:hAnsi="ArialMT" w:cs="ArialMT"/>
          <w:lang w:val="en-GB"/>
        </w:rPr>
        <w:sectPr w:rsidR="00B921B4" w:rsidRPr="005A3AFE" w:rsidSect="00A11753">
          <w:footerReference w:type="default" r:id="rId61"/>
          <w:pgSz w:w="11900" w:h="16840"/>
          <w:pgMar w:top="709" w:right="709" w:bottom="709" w:left="709" w:header="397" w:footer="397" w:gutter="0"/>
          <w:cols w:space="708"/>
          <w:docGrid w:linePitch="360"/>
        </w:sectPr>
      </w:pPr>
    </w:p>
    <w:p w14:paraId="4DF29D81" w14:textId="69050931" w:rsidR="00910822" w:rsidRPr="005A3AFE" w:rsidRDefault="00910822" w:rsidP="0008643D">
      <w:pPr>
        <w:pStyle w:val="Caption"/>
        <w:spacing w:before="0" w:after="60"/>
      </w:pPr>
      <w:bookmarkStart w:id="168" w:name="_Ref135592725"/>
      <w:bookmarkStart w:id="169" w:name="_Ref140658941"/>
      <w:bookmarkStart w:id="170" w:name="_Toc243492122"/>
      <w:r w:rsidRPr="005A3AFE">
        <w:lastRenderedPageBreak/>
        <w:t xml:space="preserve">Figure </w:t>
      </w:r>
      <w:bookmarkEnd w:id="168"/>
      <w:bookmarkEnd w:id="169"/>
      <w:r w:rsidR="00377B08" w:rsidRPr="005A3AFE">
        <w:fldChar w:fldCharType="begin"/>
      </w:r>
      <w:r w:rsidR="00377B08" w:rsidRPr="005A3AFE">
        <w:instrText xml:space="preserve"> SEQ Figure \* ARABIC </w:instrText>
      </w:r>
      <w:r w:rsidR="00377B08" w:rsidRPr="005A3AFE">
        <w:fldChar w:fldCharType="separate"/>
      </w:r>
      <w:r w:rsidR="008E1916">
        <w:rPr>
          <w:noProof/>
        </w:rPr>
        <w:t>16</w:t>
      </w:r>
      <w:r w:rsidR="00377B08" w:rsidRPr="005A3AFE">
        <w:fldChar w:fldCharType="end"/>
      </w:r>
      <w:r w:rsidR="003D6E27">
        <w:tab/>
      </w:r>
      <w:r w:rsidRPr="005A3AFE">
        <w:t>Domestic undergraduate</w:t>
      </w:r>
      <w:r w:rsidR="00E76AB3" w:rsidRPr="005A3AFE">
        <w:t xml:space="preserve"> </w:t>
      </w:r>
      <w:r w:rsidRPr="005A3AFE">
        <w:t>full-time employment rate in the short- and medium-term, by study area</w:t>
      </w:r>
      <w:bookmarkEnd w:id="170"/>
    </w:p>
    <w:p w14:paraId="32FF4963" w14:textId="4BBD777F" w:rsidR="00D6643C" w:rsidRDefault="0072351F" w:rsidP="00A5384A">
      <w:r w:rsidRPr="0072351F">
        <w:rPr>
          <w:noProof/>
        </w:rPr>
        <w:drawing>
          <wp:inline distT="0" distB="0" distL="0" distR="0" wp14:anchorId="3E9E115D" wp14:editId="6D102016">
            <wp:extent cx="10332720" cy="5676900"/>
            <wp:effectExtent l="0" t="0" r="0" b="0"/>
            <wp:docPr id="2068972973" name="Picture 1" descr="Clustered horizontal bar chart. Domestic undergraduate full-time employment rate in the short- and medium-term, by study area. Legend: Short-term (2023); Medium-term (2026)*. Percentage-point change is shown at the right of each category. Categories run from top to bottom by study area. Horizontal axis: full-time employment rate (%). Legend: Short-term (2023); Medium-term (2026)*; Percentage point change. Rehabilitation: short-term (2023), 96.6%; medium-term (2026)*, 97.2%; change, +0.6 percentage points | Pharmacy: short-term (2023), 100.0%; medium-term (2026)*, 96.8%; change, -3.2 percentage points | Medicine: short-term (2023), 95.2%; medium-term (2026)*, 95.9%; change, +0.7 percentage points | Engineering: short-term (2023), 89.6%; medium-term (2026)*, 95.6%; change, +6.0 percentage points | Law and paralegal studies: short-term (2023), 86.6%; medium-term (2026)*, 95.1%; change, +8.5 percentage points | Teacher education: short-term (2023), 91.3%; medium-term (2026)*, 94.9%; change, +3.6 percentage points | Business and management: short-term (2023), 85.8%; medium-term (2026)*, 94.8%; change, +9.0 percentage points | Nursing: short-term (2023), 89.7%; medium-term (2026)*, 94.5%; change, +4.8 percentage points | Tourism, hospitality, personal services, sport and recreation: short-term (2023), 71.4%; medium-term (2026)*, 94.4%; change, +23.0 percentage points | Dentistry: short-term (2023), 83.0%; medium-term (2026)*, 93.2%; change, +10.2 percentage points | Health services and support: short-term (2023), 80.3%; medium-term (2026)*, 93.2%; change, +12.9 percentage points | Veterinary science: short-term (2023), 92.9%; medium-term (2026)*, 93.1%; change, +0.2 percentage points | Social work: short-term (2023), 82.9%; medium-term (2026)*, 92.7%; change, +9.8 percentage points | Computing and information systems: short-term (2023), 76.5%; medium-term (2026)*, 92.4%; change, +15.9 percentage points | Total: short-term (2023), 80.2%; medium-term (2026)*, 91.8%; change, +11.6 percentage points | Agriculture and environmental studies: short-term (2023), 83.0%; medium-term (2026)*, 91.7%; change, +8.7 percentage points | Architecture and built environment: short-term (2023), 76.6%; medium-term (2026)*, 91.2%; change, +14.6 percentage points | Psychology: short-term (2023), 72.9%; medium-term (2026)*, 89.6%; change, +16.7 percentage points | Science and mathematics: short-term (2023), 71.2%; medium-term (2026)*, 89.3%; change, +18.1 percentage points | Humanities, culture and social sciences: short-term (2023), 73.2%; medium-term (2026)*, 89.0%; change, +15.8 percentage points | Communications: short-term (2023), 66.9%; medium-term (2026)*, 88.2%; change, +21.3 percentage points | Creative arts: short-term (2023), 56.7%; medium-term (2026)*, 78.7%; change, +22.0 percentage poi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72973" name="Picture 1" descr="Clustered horizontal bar chart. Domestic undergraduate full-time employment rate in the short- and medium-term, by study area. Legend: Short-term (2023); Medium-term (2026)*. Percentage-point change is shown at the right of each category. Categories run from top to bottom by study area. Horizontal axis: full-time employment rate (%). Legend: Short-term (2023); Medium-term (2026)*; Percentage point change. Rehabilitation: short-term (2023), 96.6%; medium-term (2026)*, 97.2%; change, +0.6 percentage points | Pharmacy: short-term (2023), 100.0%; medium-term (2026)*, 96.8%; change, -3.2 percentage points | Medicine: short-term (2023), 95.2%; medium-term (2026)*, 95.9%; change, +0.7 percentage points | Engineering: short-term (2023), 89.6%; medium-term (2026)*, 95.6%; change, +6.0 percentage points | Law and paralegal studies: short-term (2023), 86.6%; medium-term (2026)*, 95.1%; change, +8.5 percentage points | Teacher education: short-term (2023), 91.3%; medium-term (2026)*, 94.9%; change, +3.6 percentage points | Business and management: short-term (2023), 85.8%; medium-term (2026)*, 94.8%; change, +9.0 percentage points | Nursing: short-term (2023), 89.7%; medium-term (2026)*, 94.5%; change, +4.8 percentage points | Tourism, hospitality, personal services, sport and recreation: short-term (2023), 71.4%; medium-term (2026)*, 94.4%; change, +23.0 percentage points | Dentistry: short-term (2023), 83.0%; medium-term (2026)*, 93.2%; change, +10.2 percentage points | Health services and support: short-term (2023), 80.3%; medium-term (2026)*, 93.2%; change, +12.9 percentage points | Veterinary science: short-term (2023), 92.9%; medium-term (2026)*, 93.1%; change, +0.2 percentage points | Social work: short-term (2023), 82.9%; medium-term (2026)*, 92.7%; change, +9.8 percentage points | Computing and information systems: short-term (2023), 76.5%; medium-term (2026)*, 92.4%; change, +15.9 percentage points | Total: short-term (2023), 80.2%; medium-term (2026)*, 91.8%; change, +11.6 percentage points | Agriculture and environmental studies: short-term (2023), 83.0%; medium-term (2026)*, 91.7%; change, +8.7 percentage points | Architecture and built environment: short-term (2023), 76.6%; medium-term (2026)*, 91.2%; change, +14.6 percentage points | Psychology: short-term (2023), 72.9%; medium-term (2026)*, 89.6%; change, +16.7 percentage points | Science and mathematics: short-term (2023), 71.2%; medium-term (2026)*, 89.3%; change, +18.1 percentage points | Humanities, culture and social sciences: short-term (2023), 73.2%; medium-term (2026)*, 89.0%; change, +15.8 percentage points | Communications: short-term (2023), 66.9%; medium-term (2026)*, 88.2%; change, +21.3 percentage points | Creative arts: short-term (2023), 56.7%; medium-term (2026)*, 78.7%; change, +22.0 percentage points. "/>
                    <pic:cNvPicPr/>
                  </pic:nvPicPr>
                  <pic:blipFill>
                    <a:blip r:embed="rId62"/>
                    <a:stretch>
                      <a:fillRect/>
                    </a:stretch>
                  </pic:blipFill>
                  <pic:spPr>
                    <a:xfrm>
                      <a:off x="0" y="0"/>
                      <a:ext cx="10332720" cy="5676900"/>
                    </a:xfrm>
                    <a:prstGeom prst="rect">
                      <a:avLst/>
                    </a:prstGeom>
                  </pic:spPr>
                </pic:pic>
              </a:graphicData>
            </a:graphic>
          </wp:inline>
        </w:drawing>
      </w:r>
    </w:p>
    <w:p w14:paraId="14E129ED" w14:textId="643A72F8" w:rsidR="000D0D34" w:rsidRDefault="000D0D34" w:rsidP="0011422F">
      <w:pPr>
        <w:pStyle w:val="BaseFigureNotes"/>
        <w:ind w:left="283"/>
        <w:rPr>
          <w:lang w:eastAsia="en-AU"/>
        </w:rPr>
      </w:pPr>
      <w:r w:rsidRPr="00121BDC">
        <w:rPr>
          <w:b/>
          <w:bCs/>
          <w:lang w:eastAsia="en-AU"/>
        </w:rPr>
        <w:t>Note</w:t>
      </w:r>
      <w:r w:rsidRPr="005A3AFE">
        <w:rPr>
          <w:lang w:eastAsia="en-AU"/>
        </w:rPr>
        <w:t>: ‘ppts’ refers to percentage points, indicating the absolute change between two percentage values.</w:t>
      </w:r>
      <w:r w:rsidR="00185BB1" w:rsidRPr="00185BB1">
        <w:t xml:space="preserve"> </w:t>
      </w:r>
    </w:p>
    <w:p w14:paraId="1D12371A" w14:textId="77777777" w:rsidR="00121BDC" w:rsidRPr="005A3AFE" w:rsidRDefault="00121BDC" w:rsidP="0011422F">
      <w:pPr>
        <w:pStyle w:val="BaseFigureNotes"/>
        <w:ind w:left="227"/>
      </w:pPr>
      <w:r w:rsidRPr="00307711">
        <w:t>* Medium-term labour force participation rates, and full-time and overall employment rates from 2025 onwards</w:t>
      </w:r>
      <w:r w:rsidRPr="005A3AFE">
        <w:t xml:space="preserve"> are not directly comparable with earlier years due to a change to how the labour force is defined. Caution should be exercised when interpreting shifts from the short- to medium-term for the 2023</w:t>
      </w:r>
      <w:r w:rsidRPr="00886C60">
        <w:t>–</w:t>
      </w:r>
      <w:r w:rsidRPr="005A3AFE">
        <w:t xml:space="preserve">2026 cohort, as they partly reflect the change in methodology. See </w:t>
      </w:r>
      <w:r w:rsidRPr="005A3AFE">
        <w:rPr>
          <w:b/>
          <w:bCs/>
        </w:rPr>
        <w:t>Appendix 1</w:t>
      </w:r>
      <w:r w:rsidRPr="005A3AFE">
        <w:t xml:space="preserve"> </w:t>
      </w:r>
      <w:r>
        <w:t>in the 2025 GOS</w:t>
      </w:r>
      <w:r>
        <w:noBreakHyphen/>
        <w:t xml:space="preserve">L National Report </w:t>
      </w:r>
      <w:r w:rsidRPr="005A3AFE">
        <w:t>for further information.</w:t>
      </w:r>
    </w:p>
    <w:p w14:paraId="4C23E1AA" w14:textId="1A31050D" w:rsidR="00121BDC" w:rsidRPr="00121BDC" w:rsidRDefault="00121BDC" w:rsidP="00121BDC">
      <w:pPr>
        <w:rPr>
          <w:lang w:eastAsia="en-AU"/>
        </w:rPr>
        <w:sectPr w:rsidR="00121BDC" w:rsidRPr="00121BDC" w:rsidSect="0011422F">
          <w:footerReference w:type="default" r:id="rId63"/>
          <w:pgSz w:w="16840" w:h="11900" w:orient="landscape"/>
          <w:pgMar w:top="709" w:right="284" w:bottom="709" w:left="284" w:header="397" w:footer="397" w:gutter="0"/>
          <w:cols w:space="708"/>
          <w:docGrid w:linePitch="360"/>
        </w:sectPr>
      </w:pPr>
    </w:p>
    <w:p w14:paraId="4C62B27D" w14:textId="670DC29C" w:rsidR="00910822" w:rsidRPr="005A3AFE" w:rsidRDefault="00910822" w:rsidP="00D36197">
      <w:pPr>
        <w:pStyle w:val="Caption"/>
        <w:spacing w:before="0"/>
      </w:pPr>
      <w:bookmarkStart w:id="171" w:name="_Ref202262609"/>
      <w:bookmarkStart w:id="172" w:name="_Toc243492097"/>
      <w:r w:rsidRPr="005A3AFE">
        <w:lastRenderedPageBreak/>
        <w:t xml:space="preserve">Table </w:t>
      </w:r>
      <w:fldSimple w:instr=" SEQ Table \* ARABIC ">
        <w:r w:rsidR="00C4459D">
          <w:rPr>
            <w:noProof/>
          </w:rPr>
          <w:t>5</w:t>
        </w:r>
      </w:fldSimple>
      <w:bookmarkEnd w:id="171"/>
      <w:r w:rsidR="007F6B22">
        <w:tab/>
      </w:r>
      <w:r w:rsidRPr="005A3AFE">
        <w:t>Domestic undergraduate labour market and further study outcomes by study area</w:t>
      </w:r>
      <w:bookmarkEnd w:id="172"/>
    </w:p>
    <w:tbl>
      <w:tblPr>
        <w:tblW w:w="5000" w:type="pct"/>
        <w:tblLayout w:type="fixed"/>
        <w:tblCellMar>
          <w:left w:w="0" w:type="dxa"/>
          <w:right w:w="0" w:type="dxa"/>
        </w:tblCellMar>
        <w:tblLook w:val="0000" w:firstRow="0" w:lastRow="0" w:firstColumn="0" w:lastColumn="0" w:noHBand="0" w:noVBand="0"/>
        <w:tblCaption w:val="Table 5  Short- (2014) and medium-term (2017) outcomes for undergraduates by study area "/>
      </w:tblPr>
      <w:tblGrid>
        <w:gridCol w:w="1556"/>
        <w:gridCol w:w="1471"/>
        <w:gridCol w:w="1471"/>
        <w:gridCol w:w="1471"/>
        <w:gridCol w:w="1471"/>
        <w:gridCol w:w="1471"/>
        <w:gridCol w:w="1471"/>
        <w:gridCol w:w="1470"/>
        <w:gridCol w:w="1470"/>
        <w:gridCol w:w="1470"/>
        <w:gridCol w:w="1470"/>
      </w:tblGrid>
      <w:tr w:rsidR="00680839" w:rsidRPr="005A3AFE" w14:paraId="3FBC4EDC" w14:textId="77777777" w:rsidTr="003376D8">
        <w:trPr>
          <w:trHeight w:val="1780"/>
          <w:tblHeader/>
        </w:trPr>
        <w:tc>
          <w:tcPr>
            <w:tcW w:w="478" w:type="pct"/>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tcPr>
          <w:p w14:paraId="016632BE" w14:textId="77777777" w:rsidR="00680839" w:rsidRPr="00000117" w:rsidRDefault="00680839" w:rsidP="00000117">
            <w:pPr>
              <w:widowControl w:val="0"/>
              <w:autoSpaceDE w:val="0"/>
              <w:autoSpaceDN w:val="0"/>
              <w:adjustRightInd w:val="0"/>
              <w:spacing w:before="240" w:after="80" w:line="288" w:lineRule="auto"/>
              <w:ind w:left="57" w:right="57"/>
              <w:textAlignment w:val="center"/>
              <w:rPr>
                <w:rFonts w:eastAsia="MS Mincho" w:cs="Arial"/>
                <w:b/>
                <w:caps/>
                <w:szCs w:val="20"/>
                <w:lang w:val="en-GB"/>
              </w:rPr>
            </w:pPr>
            <w:r w:rsidRPr="00000117">
              <w:rPr>
                <w:rFonts w:eastAsia="MS Mincho" w:cs="Arial"/>
                <w:b/>
                <w:szCs w:val="20"/>
                <w:lang w:val="en-GB"/>
              </w:rPr>
              <w:t>Study</w:t>
            </w:r>
            <w:r w:rsidRPr="00000117">
              <w:rPr>
                <w:rFonts w:eastAsia="MS Mincho" w:cs="Arial"/>
                <w:b/>
                <w:caps/>
                <w:szCs w:val="20"/>
                <w:lang w:val="en-GB"/>
              </w:rPr>
              <w:t xml:space="preserve"> </w:t>
            </w:r>
            <w:r w:rsidRPr="00000117">
              <w:rPr>
                <w:rFonts w:eastAsia="MS Mincho" w:cs="Arial"/>
                <w:b/>
                <w:szCs w:val="20"/>
                <w:lang w:val="en-GB"/>
              </w:rPr>
              <w:t>area</w:t>
            </w:r>
          </w:p>
        </w:tc>
        <w:tc>
          <w:tcPr>
            <w:tcW w:w="452" w:type="pct"/>
            <w:tcBorders>
              <w:top w:val="single" w:sz="4" w:space="0" w:color="auto"/>
              <w:left w:val="single" w:sz="4" w:space="0" w:color="000000"/>
              <w:right w:val="single" w:sz="4" w:space="0" w:color="000000"/>
            </w:tcBorders>
            <w:vAlign w:val="center"/>
          </w:tcPr>
          <w:p w14:paraId="59876A1C" w14:textId="77777777" w:rsidR="00680839" w:rsidRPr="003376D8" w:rsidRDefault="00680839" w:rsidP="003376D8">
            <w:pPr>
              <w:widowControl w:val="0"/>
              <w:autoSpaceDE w:val="0"/>
              <w:autoSpaceDN w:val="0"/>
              <w:adjustRightInd w:val="0"/>
              <w:spacing w:line="288" w:lineRule="auto"/>
              <w:ind w:left="113"/>
              <w:textAlignment w:val="center"/>
              <w:rPr>
                <w:rFonts w:eastAsia="MS Mincho" w:cs="Arial"/>
                <w:b/>
                <w:szCs w:val="20"/>
                <w:lang w:val="en-GB"/>
              </w:rPr>
            </w:pPr>
            <w:r w:rsidRPr="003376D8">
              <w:rPr>
                <w:rFonts w:eastAsia="MS Mincho" w:cs="Arial"/>
                <w:b/>
                <w:szCs w:val="20"/>
                <w:lang w:val="en-GB"/>
              </w:rPr>
              <w:t>Full-time</w:t>
            </w:r>
          </w:p>
          <w:p w14:paraId="4321FF23" w14:textId="77777777" w:rsidR="00000117" w:rsidRPr="003376D8" w:rsidRDefault="00680839" w:rsidP="003376D8">
            <w:pPr>
              <w:widowControl w:val="0"/>
              <w:autoSpaceDE w:val="0"/>
              <w:autoSpaceDN w:val="0"/>
              <w:adjustRightInd w:val="0"/>
              <w:spacing w:line="288" w:lineRule="auto"/>
              <w:ind w:left="113"/>
              <w:textAlignment w:val="center"/>
              <w:rPr>
                <w:rFonts w:eastAsia="MS Mincho" w:cs="Arial"/>
                <w:bCs/>
                <w:caps/>
                <w:szCs w:val="20"/>
                <w:lang w:val="en-GB"/>
              </w:rPr>
            </w:pPr>
            <w:r w:rsidRPr="003376D8">
              <w:rPr>
                <w:rFonts w:eastAsia="MS Mincho" w:cs="Arial"/>
                <w:b/>
                <w:szCs w:val="20"/>
                <w:lang w:val="en-GB"/>
              </w:rPr>
              <w:t xml:space="preserve">Employment rate </w:t>
            </w:r>
            <w:r w:rsidRPr="003376D8">
              <w:rPr>
                <w:rFonts w:eastAsia="MS Mincho" w:cs="Arial"/>
                <w:bCs/>
                <w:szCs w:val="20"/>
                <w:lang w:val="en-GB"/>
              </w:rPr>
              <w:t>(%)</w:t>
            </w:r>
            <w:r w:rsidRPr="003376D8">
              <w:rPr>
                <w:rFonts w:cs="Arial"/>
                <w:bCs/>
                <w:szCs w:val="20"/>
                <w:vertAlign w:val="superscript"/>
              </w:rPr>
              <w:t xml:space="preserve">‡ </w:t>
            </w:r>
            <w:r w:rsidRPr="003376D8">
              <w:rPr>
                <w:rFonts w:eastAsia="MS Mincho" w:cs="Arial"/>
                <w:bCs/>
                <w:caps/>
                <w:szCs w:val="20"/>
                <w:lang w:val="en-GB"/>
              </w:rPr>
              <w:t>:</w:t>
            </w:r>
          </w:p>
          <w:p w14:paraId="24C40B5A" w14:textId="2C653EAB" w:rsidR="00680839" w:rsidRPr="003376D8" w:rsidRDefault="00680839" w:rsidP="003376D8">
            <w:pPr>
              <w:widowControl w:val="0"/>
              <w:autoSpaceDE w:val="0"/>
              <w:autoSpaceDN w:val="0"/>
              <w:adjustRightInd w:val="0"/>
              <w:spacing w:before="60" w:line="288" w:lineRule="auto"/>
              <w:ind w:left="113"/>
              <w:textAlignment w:val="center"/>
              <w:rPr>
                <w:rFonts w:eastAsia="MS Mincho" w:cs="Arial"/>
                <w:bCs/>
                <w:szCs w:val="20"/>
                <w:lang w:val="en-GB"/>
              </w:rPr>
            </w:pPr>
            <w:r w:rsidRPr="003376D8">
              <w:rPr>
                <w:rFonts w:eastAsia="MS Mincho" w:cs="Arial"/>
                <w:bCs/>
                <w:caps/>
                <w:szCs w:val="20"/>
                <w:lang w:val="en-GB"/>
              </w:rPr>
              <w:t>S</w:t>
            </w:r>
            <w:r w:rsidRPr="003376D8">
              <w:rPr>
                <w:rFonts w:eastAsia="MS Mincho" w:cs="Arial"/>
                <w:bCs/>
                <w:szCs w:val="20"/>
                <w:lang w:val="en-GB"/>
              </w:rPr>
              <w:t>hort-term (2023)</w:t>
            </w:r>
          </w:p>
        </w:tc>
        <w:tc>
          <w:tcPr>
            <w:tcW w:w="452" w:type="pct"/>
            <w:tcBorders>
              <w:top w:val="single" w:sz="4" w:space="0" w:color="auto"/>
              <w:left w:val="single" w:sz="4" w:space="0" w:color="000000"/>
              <w:right w:val="single" w:sz="4" w:space="0" w:color="000000"/>
            </w:tcBorders>
            <w:vAlign w:val="center"/>
          </w:tcPr>
          <w:p w14:paraId="2FE0D648" w14:textId="77777777" w:rsidR="00680839" w:rsidRPr="003376D8" w:rsidRDefault="00680839" w:rsidP="003376D8">
            <w:pPr>
              <w:widowControl w:val="0"/>
              <w:autoSpaceDE w:val="0"/>
              <w:autoSpaceDN w:val="0"/>
              <w:adjustRightInd w:val="0"/>
              <w:spacing w:line="288" w:lineRule="auto"/>
              <w:ind w:left="113"/>
              <w:textAlignment w:val="center"/>
              <w:rPr>
                <w:rFonts w:eastAsia="MS Mincho" w:cs="Arial"/>
                <w:b/>
                <w:szCs w:val="20"/>
                <w:lang w:val="en-GB"/>
              </w:rPr>
            </w:pPr>
            <w:r w:rsidRPr="003376D8">
              <w:rPr>
                <w:rFonts w:eastAsia="MS Mincho" w:cs="Arial"/>
                <w:b/>
                <w:szCs w:val="20"/>
                <w:lang w:val="en-GB"/>
              </w:rPr>
              <w:t>Full-time</w:t>
            </w:r>
          </w:p>
          <w:p w14:paraId="18748EE5" w14:textId="77777777" w:rsidR="00000117" w:rsidRPr="003376D8" w:rsidRDefault="00680839" w:rsidP="003376D8">
            <w:pPr>
              <w:widowControl w:val="0"/>
              <w:autoSpaceDE w:val="0"/>
              <w:autoSpaceDN w:val="0"/>
              <w:adjustRightInd w:val="0"/>
              <w:spacing w:line="288" w:lineRule="auto"/>
              <w:ind w:left="113"/>
              <w:textAlignment w:val="center"/>
              <w:rPr>
                <w:rFonts w:eastAsia="MS Mincho" w:cs="Arial"/>
                <w:bCs/>
                <w:caps/>
                <w:szCs w:val="20"/>
                <w:lang w:val="en-GB"/>
              </w:rPr>
            </w:pPr>
            <w:r w:rsidRPr="003376D8">
              <w:rPr>
                <w:rFonts w:eastAsia="MS Mincho" w:cs="Arial"/>
                <w:b/>
                <w:szCs w:val="20"/>
                <w:lang w:val="en-GB"/>
              </w:rPr>
              <w:t xml:space="preserve">Employment rate </w:t>
            </w:r>
            <w:r w:rsidRPr="003376D8">
              <w:rPr>
                <w:rFonts w:eastAsia="MS Mincho" w:cs="Arial"/>
                <w:bCs/>
                <w:szCs w:val="20"/>
                <w:lang w:val="en-GB"/>
              </w:rPr>
              <w:t>(%)</w:t>
            </w:r>
            <w:r w:rsidRPr="003376D8">
              <w:rPr>
                <w:rFonts w:cs="Arial"/>
                <w:bCs/>
                <w:szCs w:val="20"/>
                <w:vertAlign w:val="superscript"/>
              </w:rPr>
              <w:t xml:space="preserve">‡ </w:t>
            </w:r>
            <w:r w:rsidRPr="003376D8">
              <w:rPr>
                <w:rFonts w:eastAsia="MS Mincho" w:cs="Arial"/>
                <w:bCs/>
                <w:caps/>
                <w:szCs w:val="20"/>
                <w:lang w:val="en-GB"/>
              </w:rPr>
              <w:t>:</w:t>
            </w:r>
          </w:p>
          <w:p w14:paraId="6C9F6262" w14:textId="016EF333" w:rsidR="00680839" w:rsidRPr="003376D8" w:rsidRDefault="00680839" w:rsidP="003376D8">
            <w:pPr>
              <w:widowControl w:val="0"/>
              <w:autoSpaceDE w:val="0"/>
              <w:autoSpaceDN w:val="0"/>
              <w:adjustRightInd w:val="0"/>
              <w:spacing w:before="60" w:line="288" w:lineRule="auto"/>
              <w:ind w:left="113"/>
              <w:textAlignment w:val="center"/>
              <w:rPr>
                <w:rFonts w:eastAsia="MS Mincho" w:cs="Arial"/>
                <w:bCs/>
                <w:szCs w:val="20"/>
                <w:lang w:val="en-GB"/>
              </w:rPr>
            </w:pPr>
            <w:r w:rsidRPr="003376D8">
              <w:rPr>
                <w:rFonts w:eastAsia="MS Mincho" w:cs="Arial"/>
                <w:bCs/>
                <w:szCs w:val="20"/>
                <w:lang w:val="en-GB"/>
              </w:rPr>
              <w:t>Medium</w:t>
            </w:r>
            <w:r w:rsidRPr="003376D8">
              <w:rPr>
                <w:rFonts w:eastAsia="MS Mincho" w:cs="Arial"/>
                <w:bCs/>
                <w:szCs w:val="20"/>
                <w:lang w:val="en-GB"/>
              </w:rPr>
              <w:noBreakHyphen/>
              <w:t>term (2026)</w:t>
            </w:r>
          </w:p>
        </w:tc>
        <w:tc>
          <w:tcPr>
            <w:tcW w:w="452" w:type="pct"/>
            <w:tcBorders>
              <w:top w:val="single" w:sz="4" w:space="0" w:color="auto"/>
              <w:left w:val="single" w:sz="4" w:space="0" w:color="000000"/>
              <w:right w:val="single" w:sz="4" w:space="0" w:color="000000"/>
            </w:tcBorders>
            <w:tcMar>
              <w:top w:w="57" w:type="dxa"/>
              <w:left w:w="57" w:type="dxa"/>
              <w:bottom w:w="57" w:type="dxa"/>
              <w:right w:w="57" w:type="dxa"/>
            </w:tcMar>
            <w:vAlign w:val="center"/>
          </w:tcPr>
          <w:p w14:paraId="07488A81" w14:textId="77777777" w:rsidR="00680839" w:rsidRPr="003376D8" w:rsidRDefault="00680839" w:rsidP="003376D8">
            <w:pPr>
              <w:widowControl w:val="0"/>
              <w:autoSpaceDE w:val="0"/>
              <w:autoSpaceDN w:val="0"/>
              <w:adjustRightInd w:val="0"/>
              <w:spacing w:line="288" w:lineRule="auto"/>
              <w:ind w:left="113"/>
              <w:textAlignment w:val="center"/>
              <w:rPr>
                <w:rFonts w:eastAsia="MS Mincho" w:cs="Arial"/>
                <w:b/>
                <w:szCs w:val="20"/>
                <w:lang w:val="en-GB"/>
              </w:rPr>
            </w:pPr>
            <w:r w:rsidRPr="003376D8">
              <w:rPr>
                <w:rFonts w:eastAsia="MS Mincho" w:cs="Arial"/>
                <w:b/>
                <w:szCs w:val="20"/>
                <w:lang w:val="en-GB"/>
              </w:rPr>
              <w:t>Overall</w:t>
            </w:r>
          </w:p>
          <w:p w14:paraId="5D4CCD0B" w14:textId="77777777" w:rsidR="00000117" w:rsidRPr="003376D8" w:rsidRDefault="00680839" w:rsidP="003376D8">
            <w:pPr>
              <w:widowControl w:val="0"/>
              <w:autoSpaceDE w:val="0"/>
              <w:autoSpaceDN w:val="0"/>
              <w:adjustRightInd w:val="0"/>
              <w:spacing w:line="288" w:lineRule="auto"/>
              <w:ind w:left="113"/>
              <w:textAlignment w:val="center"/>
              <w:rPr>
                <w:rFonts w:eastAsia="MS Mincho" w:cs="Arial"/>
                <w:b/>
                <w:caps/>
                <w:szCs w:val="20"/>
                <w:lang w:val="en-GB"/>
              </w:rPr>
            </w:pPr>
            <w:r w:rsidRPr="003376D8">
              <w:rPr>
                <w:rFonts w:eastAsia="MS Mincho" w:cs="Arial"/>
                <w:b/>
                <w:szCs w:val="20"/>
                <w:lang w:val="en-GB"/>
              </w:rPr>
              <w:t>Employment rate (%)</w:t>
            </w:r>
            <w:r w:rsidRPr="003376D8">
              <w:rPr>
                <w:rFonts w:cs="Arial"/>
                <w:b/>
                <w:szCs w:val="20"/>
                <w:vertAlign w:val="superscript"/>
              </w:rPr>
              <w:t>‡</w:t>
            </w:r>
            <w:r w:rsidRPr="003376D8">
              <w:rPr>
                <w:rFonts w:eastAsia="MS Mincho" w:cs="Arial"/>
                <w:b/>
                <w:caps/>
                <w:szCs w:val="20"/>
                <w:lang w:val="en-GB"/>
              </w:rPr>
              <w:t>:</w:t>
            </w:r>
          </w:p>
          <w:p w14:paraId="6CCD2AAD" w14:textId="69AAECD6" w:rsidR="00680839" w:rsidRPr="003376D8" w:rsidRDefault="00680839" w:rsidP="003376D8">
            <w:pPr>
              <w:widowControl w:val="0"/>
              <w:autoSpaceDE w:val="0"/>
              <w:autoSpaceDN w:val="0"/>
              <w:adjustRightInd w:val="0"/>
              <w:spacing w:before="60" w:line="288" w:lineRule="auto"/>
              <w:ind w:left="113"/>
              <w:textAlignment w:val="center"/>
              <w:rPr>
                <w:rFonts w:eastAsia="MS Mincho" w:cs="Arial"/>
                <w:bCs/>
                <w:caps/>
                <w:szCs w:val="20"/>
                <w:lang w:val="en-GB"/>
              </w:rPr>
            </w:pPr>
            <w:r w:rsidRPr="003376D8">
              <w:rPr>
                <w:rFonts w:eastAsia="MS Mincho" w:cs="Arial"/>
                <w:bCs/>
                <w:caps/>
                <w:szCs w:val="20"/>
                <w:lang w:val="en-GB"/>
              </w:rPr>
              <w:t>S</w:t>
            </w:r>
            <w:r w:rsidRPr="003376D8">
              <w:rPr>
                <w:rFonts w:eastAsia="MS Mincho" w:cs="Arial"/>
                <w:bCs/>
                <w:szCs w:val="20"/>
                <w:lang w:val="en-GB"/>
              </w:rPr>
              <w:t>hort-term (2023)</w:t>
            </w:r>
          </w:p>
        </w:tc>
        <w:tc>
          <w:tcPr>
            <w:tcW w:w="452" w:type="pct"/>
            <w:tcBorders>
              <w:top w:val="single" w:sz="4" w:space="0" w:color="auto"/>
              <w:left w:val="single" w:sz="4" w:space="0" w:color="000000"/>
              <w:right w:val="single" w:sz="4" w:space="0" w:color="000000"/>
            </w:tcBorders>
            <w:vAlign w:val="center"/>
          </w:tcPr>
          <w:p w14:paraId="2A7EB088" w14:textId="77777777" w:rsidR="00680839" w:rsidRPr="003376D8" w:rsidRDefault="00680839" w:rsidP="003376D8">
            <w:pPr>
              <w:widowControl w:val="0"/>
              <w:autoSpaceDE w:val="0"/>
              <w:autoSpaceDN w:val="0"/>
              <w:adjustRightInd w:val="0"/>
              <w:spacing w:line="288" w:lineRule="auto"/>
              <w:ind w:left="113"/>
              <w:textAlignment w:val="center"/>
              <w:rPr>
                <w:rFonts w:eastAsia="MS Mincho" w:cs="Arial"/>
                <w:b/>
                <w:szCs w:val="20"/>
                <w:lang w:val="en-GB"/>
              </w:rPr>
            </w:pPr>
            <w:r w:rsidRPr="003376D8">
              <w:rPr>
                <w:rFonts w:eastAsia="MS Mincho" w:cs="Arial"/>
                <w:b/>
                <w:szCs w:val="20"/>
                <w:lang w:val="en-GB"/>
              </w:rPr>
              <w:t>Overall</w:t>
            </w:r>
          </w:p>
          <w:p w14:paraId="607D14CA" w14:textId="77777777" w:rsidR="00000117" w:rsidRPr="003376D8" w:rsidRDefault="00680839" w:rsidP="003376D8">
            <w:pPr>
              <w:widowControl w:val="0"/>
              <w:autoSpaceDE w:val="0"/>
              <w:autoSpaceDN w:val="0"/>
              <w:adjustRightInd w:val="0"/>
              <w:spacing w:line="288" w:lineRule="auto"/>
              <w:ind w:left="113"/>
              <w:textAlignment w:val="center"/>
              <w:rPr>
                <w:rFonts w:eastAsia="MS Mincho" w:cs="Arial"/>
                <w:b/>
                <w:szCs w:val="20"/>
                <w:lang w:val="en-GB"/>
              </w:rPr>
            </w:pPr>
            <w:r w:rsidRPr="003376D8">
              <w:rPr>
                <w:rFonts w:eastAsia="MS Mincho" w:cs="Arial"/>
                <w:b/>
                <w:szCs w:val="20"/>
                <w:lang w:val="en-GB"/>
              </w:rPr>
              <w:t>Employment rate (%)</w:t>
            </w:r>
            <w:r w:rsidRPr="003376D8">
              <w:rPr>
                <w:rFonts w:cs="Arial"/>
                <w:b/>
                <w:szCs w:val="20"/>
                <w:vertAlign w:val="superscript"/>
              </w:rPr>
              <w:t>‡</w:t>
            </w:r>
            <w:r w:rsidRPr="003376D8">
              <w:rPr>
                <w:rFonts w:eastAsia="MS Mincho" w:cs="Arial"/>
                <w:b/>
                <w:szCs w:val="20"/>
                <w:lang w:val="en-GB"/>
              </w:rPr>
              <w:t>:</w:t>
            </w:r>
          </w:p>
          <w:p w14:paraId="1F0BFFB1" w14:textId="578D3D7F" w:rsidR="00680839" w:rsidRPr="003376D8" w:rsidRDefault="00680839" w:rsidP="003376D8">
            <w:pPr>
              <w:widowControl w:val="0"/>
              <w:autoSpaceDE w:val="0"/>
              <w:autoSpaceDN w:val="0"/>
              <w:adjustRightInd w:val="0"/>
              <w:spacing w:before="60" w:line="288" w:lineRule="auto"/>
              <w:ind w:left="113"/>
              <w:textAlignment w:val="center"/>
              <w:rPr>
                <w:rFonts w:eastAsia="MS Mincho" w:cs="Arial"/>
                <w:bCs/>
                <w:caps/>
                <w:szCs w:val="20"/>
                <w:lang w:val="en-GB"/>
              </w:rPr>
            </w:pPr>
            <w:r w:rsidRPr="003376D8">
              <w:rPr>
                <w:rFonts w:eastAsia="MS Mincho" w:cs="Arial"/>
                <w:bCs/>
                <w:szCs w:val="20"/>
                <w:lang w:val="en-GB"/>
              </w:rPr>
              <w:t>Medium-term (2026)</w:t>
            </w:r>
          </w:p>
        </w:tc>
        <w:tc>
          <w:tcPr>
            <w:tcW w:w="452" w:type="pct"/>
            <w:tcBorders>
              <w:top w:val="single" w:sz="4" w:space="0" w:color="auto"/>
              <w:left w:val="single" w:sz="4" w:space="0" w:color="000000"/>
              <w:right w:val="single" w:sz="4" w:space="0" w:color="000000"/>
            </w:tcBorders>
            <w:tcMar>
              <w:top w:w="57" w:type="dxa"/>
              <w:left w:w="57" w:type="dxa"/>
              <w:bottom w:w="57" w:type="dxa"/>
              <w:right w:w="57" w:type="dxa"/>
            </w:tcMar>
            <w:vAlign w:val="center"/>
          </w:tcPr>
          <w:p w14:paraId="5B7C193E" w14:textId="77777777" w:rsidR="00000117" w:rsidRPr="003376D8" w:rsidRDefault="00680839" w:rsidP="003376D8">
            <w:pPr>
              <w:widowControl w:val="0"/>
              <w:autoSpaceDE w:val="0"/>
              <w:autoSpaceDN w:val="0"/>
              <w:adjustRightInd w:val="0"/>
              <w:spacing w:line="288" w:lineRule="auto"/>
              <w:ind w:left="113"/>
              <w:textAlignment w:val="center"/>
              <w:rPr>
                <w:rFonts w:eastAsia="MS Mincho" w:cs="Arial"/>
                <w:b/>
                <w:caps/>
                <w:szCs w:val="20"/>
                <w:lang w:val="en-GB"/>
              </w:rPr>
            </w:pPr>
            <w:r w:rsidRPr="003376D8">
              <w:rPr>
                <w:rFonts w:eastAsia="MS Mincho" w:cs="Arial"/>
                <w:b/>
                <w:szCs w:val="20"/>
                <w:lang w:val="en-GB"/>
              </w:rPr>
              <w:t>Labour force participation rate (%)</w:t>
            </w:r>
            <w:r w:rsidRPr="003376D8">
              <w:rPr>
                <w:rFonts w:cs="Arial"/>
                <w:b/>
                <w:szCs w:val="20"/>
                <w:vertAlign w:val="superscript"/>
              </w:rPr>
              <w:t>‡</w:t>
            </w:r>
            <w:r w:rsidRPr="003376D8">
              <w:rPr>
                <w:rFonts w:eastAsia="MS Mincho" w:cs="Arial"/>
                <w:b/>
                <w:caps/>
                <w:szCs w:val="20"/>
                <w:lang w:val="en-GB"/>
              </w:rPr>
              <w:t>:</w:t>
            </w:r>
          </w:p>
          <w:p w14:paraId="400FC20A" w14:textId="4E34D27E" w:rsidR="00680839" w:rsidRPr="003376D8" w:rsidRDefault="00680839" w:rsidP="003376D8">
            <w:pPr>
              <w:widowControl w:val="0"/>
              <w:autoSpaceDE w:val="0"/>
              <w:autoSpaceDN w:val="0"/>
              <w:adjustRightInd w:val="0"/>
              <w:spacing w:before="60" w:line="288" w:lineRule="auto"/>
              <w:ind w:left="113"/>
              <w:textAlignment w:val="center"/>
              <w:rPr>
                <w:rFonts w:eastAsia="MS Mincho" w:cs="Arial"/>
                <w:bCs/>
                <w:caps/>
                <w:szCs w:val="20"/>
                <w:lang w:val="en-GB"/>
              </w:rPr>
            </w:pPr>
            <w:r w:rsidRPr="003376D8">
              <w:rPr>
                <w:rFonts w:eastAsia="MS Mincho" w:cs="Arial"/>
                <w:bCs/>
                <w:caps/>
                <w:szCs w:val="20"/>
                <w:lang w:val="en-GB"/>
              </w:rPr>
              <w:t>S</w:t>
            </w:r>
            <w:r w:rsidRPr="003376D8">
              <w:rPr>
                <w:rFonts w:eastAsia="MS Mincho" w:cs="Arial"/>
                <w:bCs/>
                <w:szCs w:val="20"/>
                <w:lang w:val="en-GB"/>
              </w:rPr>
              <w:t>hort-term (2023)</w:t>
            </w:r>
          </w:p>
        </w:tc>
        <w:tc>
          <w:tcPr>
            <w:tcW w:w="452" w:type="pct"/>
            <w:tcBorders>
              <w:top w:val="single" w:sz="4" w:space="0" w:color="auto"/>
              <w:left w:val="single" w:sz="4" w:space="0" w:color="000000"/>
              <w:right w:val="single" w:sz="4" w:space="0" w:color="000000"/>
            </w:tcBorders>
            <w:vAlign w:val="center"/>
          </w:tcPr>
          <w:p w14:paraId="28FCCEC1" w14:textId="77777777" w:rsidR="00000117" w:rsidRPr="003376D8" w:rsidRDefault="00680839" w:rsidP="003376D8">
            <w:pPr>
              <w:widowControl w:val="0"/>
              <w:autoSpaceDE w:val="0"/>
              <w:autoSpaceDN w:val="0"/>
              <w:adjustRightInd w:val="0"/>
              <w:spacing w:line="288" w:lineRule="auto"/>
              <w:ind w:left="113"/>
              <w:textAlignment w:val="center"/>
              <w:rPr>
                <w:rFonts w:eastAsia="MS Mincho" w:cs="Arial"/>
                <w:b/>
                <w:szCs w:val="20"/>
                <w:lang w:val="en-GB"/>
              </w:rPr>
            </w:pPr>
            <w:r w:rsidRPr="003376D8">
              <w:rPr>
                <w:rFonts w:eastAsia="MS Mincho" w:cs="Arial"/>
                <w:b/>
                <w:szCs w:val="20"/>
                <w:lang w:val="en-GB"/>
              </w:rPr>
              <w:t>Labour force participation rate (%)</w:t>
            </w:r>
            <w:r w:rsidRPr="003376D8">
              <w:rPr>
                <w:rFonts w:cs="Arial"/>
                <w:b/>
                <w:szCs w:val="20"/>
                <w:vertAlign w:val="superscript"/>
              </w:rPr>
              <w:t>‡</w:t>
            </w:r>
            <w:r w:rsidRPr="003376D8">
              <w:rPr>
                <w:rFonts w:eastAsia="MS Mincho" w:cs="Arial"/>
                <w:b/>
                <w:szCs w:val="20"/>
                <w:lang w:val="en-GB"/>
              </w:rPr>
              <w:t>:</w:t>
            </w:r>
          </w:p>
          <w:p w14:paraId="2A5CE6E5" w14:textId="4044C315" w:rsidR="00680839" w:rsidRPr="003376D8" w:rsidRDefault="00680839" w:rsidP="003376D8">
            <w:pPr>
              <w:widowControl w:val="0"/>
              <w:autoSpaceDE w:val="0"/>
              <w:autoSpaceDN w:val="0"/>
              <w:adjustRightInd w:val="0"/>
              <w:spacing w:before="60" w:line="288" w:lineRule="auto"/>
              <w:ind w:left="113"/>
              <w:textAlignment w:val="center"/>
              <w:rPr>
                <w:rFonts w:eastAsia="MS Mincho" w:cs="Arial"/>
                <w:bCs/>
                <w:caps/>
                <w:szCs w:val="20"/>
                <w:lang w:val="en-GB"/>
              </w:rPr>
            </w:pPr>
            <w:r w:rsidRPr="003376D8">
              <w:rPr>
                <w:rFonts w:eastAsia="MS Mincho" w:cs="Arial"/>
                <w:bCs/>
                <w:szCs w:val="20"/>
                <w:lang w:val="en-GB"/>
              </w:rPr>
              <w:t>Medium-term (2026)</w:t>
            </w:r>
          </w:p>
        </w:tc>
        <w:tc>
          <w:tcPr>
            <w:tcW w:w="452" w:type="pct"/>
            <w:tcBorders>
              <w:top w:val="single" w:sz="4" w:space="0" w:color="auto"/>
              <w:left w:val="single" w:sz="4" w:space="0" w:color="000000"/>
              <w:right w:val="single" w:sz="4" w:space="0" w:color="000000"/>
            </w:tcBorders>
            <w:tcMar>
              <w:top w:w="57" w:type="dxa"/>
              <w:left w:w="57" w:type="dxa"/>
              <w:bottom w:w="57" w:type="dxa"/>
              <w:right w:w="0" w:type="dxa"/>
            </w:tcMar>
            <w:vAlign w:val="center"/>
          </w:tcPr>
          <w:p w14:paraId="2F02963A" w14:textId="23DC5958" w:rsidR="00000117" w:rsidRPr="003376D8" w:rsidRDefault="00680839" w:rsidP="003376D8">
            <w:pPr>
              <w:widowControl w:val="0"/>
              <w:autoSpaceDE w:val="0"/>
              <w:autoSpaceDN w:val="0"/>
              <w:adjustRightInd w:val="0"/>
              <w:spacing w:line="288" w:lineRule="auto"/>
              <w:ind w:left="28"/>
              <w:textAlignment w:val="center"/>
              <w:rPr>
                <w:rFonts w:ascii="Arial Bold" w:eastAsia="MS Mincho" w:hAnsi="Arial Bold" w:cs="Arial"/>
                <w:bCs/>
                <w:caps/>
                <w:spacing w:val="-6"/>
                <w:szCs w:val="20"/>
                <w:lang w:val="en-GB"/>
              </w:rPr>
            </w:pPr>
            <w:r w:rsidRPr="003376D8">
              <w:rPr>
                <w:rFonts w:ascii="Arial Bold" w:eastAsia="MS Mincho" w:hAnsi="Arial Bold" w:cs="Arial"/>
                <w:b/>
                <w:spacing w:val="-6"/>
                <w:szCs w:val="20"/>
                <w:lang w:val="en-GB"/>
              </w:rPr>
              <w:t>Median annual full</w:t>
            </w:r>
            <w:r w:rsidR="00000117" w:rsidRPr="003376D8">
              <w:rPr>
                <w:rFonts w:ascii="Arial Bold" w:eastAsia="MS Mincho" w:hAnsi="Arial Bold" w:cs="Arial"/>
                <w:b/>
                <w:spacing w:val="-6"/>
                <w:szCs w:val="20"/>
                <w:lang w:val="en-GB"/>
              </w:rPr>
              <w:noBreakHyphen/>
            </w:r>
            <w:r w:rsidRPr="003376D8">
              <w:rPr>
                <w:rFonts w:ascii="Arial Bold" w:eastAsia="MS Mincho" w:hAnsi="Arial Bold" w:cs="Arial"/>
                <w:b/>
                <w:spacing w:val="-6"/>
                <w:szCs w:val="20"/>
                <w:lang w:val="en-GB"/>
              </w:rPr>
              <w:t>time salary</w:t>
            </w:r>
            <w:r w:rsidR="00000117" w:rsidRPr="003376D8">
              <w:rPr>
                <w:rFonts w:ascii="Arial Bold" w:eastAsia="MS Mincho" w:hAnsi="Arial Bold" w:cs="Arial"/>
                <w:b/>
                <w:spacing w:val="-6"/>
                <w:szCs w:val="20"/>
                <w:lang w:val="en-GB"/>
              </w:rPr>
              <w:t> </w:t>
            </w:r>
            <w:r w:rsidRPr="003376D8">
              <w:rPr>
                <w:rFonts w:ascii="Arial Bold" w:eastAsia="MS Mincho" w:hAnsi="Arial Bold" w:cs="Arial"/>
                <w:b/>
                <w:spacing w:val="-6"/>
                <w:szCs w:val="20"/>
                <w:lang w:val="en-GB"/>
              </w:rPr>
              <w:t>($)</w:t>
            </w:r>
            <w:r w:rsidRPr="003376D8">
              <w:rPr>
                <w:rFonts w:ascii="Arial Bold" w:eastAsia="MS Mincho" w:hAnsi="Arial Bold" w:cs="Arial"/>
                <w:b/>
                <w:caps/>
                <w:spacing w:val="-6"/>
                <w:szCs w:val="20"/>
                <w:lang w:val="en-GB"/>
              </w:rPr>
              <w:t>:</w:t>
            </w:r>
            <w:r w:rsidRPr="003376D8">
              <w:rPr>
                <w:rFonts w:ascii="Arial Bold" w:eastAsia="MS Mincho" w:hAnsi="Arial Bold" w:cs="Arial"/>
                <w:bCs/>
                <w:caps/>
                <w:spacing w:val="-6"/>
                <w:szCs w:val="20"/>
                <w:lang w:val="en-GB"/>
              </w:rPr>
              <w:t xml:space="preserve"> </w:t>
            </w:r>
          </w:p>
          <w:p w14:paraId="6BF80E49" w14:textId="0A45B377" w:rsidR="00680839" w:rsidRPr="003376D8" w:rsidRDefault="00680839" w:rsidP="003376D8">
            <w:pPr>
              <w:widowControl w:val="0"/>
              <w:autoSpaceDE w:val="0"/>
              <w:autoSpaceDN w:val="0"/>
              <w:adjustRightInd w:val="0"/>
              <w:spacing w:before="60" w:line="288" w:lineRule="auto"/>
              <w:ind w:left="28"/>
              <w:textAlignment w:val="center"/>
              <w:rPr>
                <w:rFonts w:eastAsia="MS Mincho" w:cs="Arial"/>
                <w:bCs/>
                <w:caps/>
                <w:spacing w:val="-4"/>
                <w:szCs w:val="20"/>
                <w:lang w:val="en-GB"/>
              </w:rPr>
            </w:pPr>
            <w:r w:rsidRPr="003376D8">
              <w:rPr>
                <w:rFonts w:eastAsia="MS Mincho" w:cs="Arial"/>
                <w:bCs/>
                <w:caps/>
                <w:spacing w:val="-6"/>
                <w:szCs w:val="20"/>
                <w:lang w:val="en-GB"/>
              </w:rPr>
              <w:t>S</w:t>
            </w:r>
            <w:r w:rsidRPr="003376D8">
              <w:rPr>
                <w:rFonts w:eastAsia="MS Mincho" w:cs="Arial"/>
                <w:bCs/>
                <w:spacing w:val="-6"/>
                <w:szCs w:val="20"/>
                <w:lang w:val="en-GB"/>
              </w:rPr>
              <w:t>hort-term (2023)</w:t>
            </w:r>
          </w:p>
        </w:tc>
        <w:tc>
          <w:tcPr>
            <w:tcW w:w="452" w:type="pct"/>
            <w:tcBorders>
              <w:top w:val="single" w:sz="4" w:space="0" w:color="auto"/>
              <w:left w:val="single" w:sz="4" w:space="0" w:color="000000"/>
              <w:right w:val="single" w:sz="4" w:space="0" w:color="000000"/>
            </w:tcBorders>
            <w:vAlign w:val="center"/>
          </w:tcPr>
          <w:p w14:paraId="2AA3FEB9" w14:textId="77777777" w:rsidR="0069180F" w:rsidRDefault="00680839" w:rsidP="003376D8">
            <w:pPr>
              <w:widowControl w:val="0"/>
              <w:autoSpaceDE w:val="0"/>
              <w:autoSpaceDN w:val="0"/>
              <w:adjustRightInd w:val="0"/>
              <w:spacing w:after="60" w:line="288" w:lineRule="auto"/>
              <w:ind w:left="28"/>
              <w:textAlignment w:val="center"/>
              <w:rPr>
                <w:rFonts w:eastAsia="MS Mincho" w:cs="Arial"/>
                <w:bCs/>
                <w:spacing w:val="-4"/>
                <w:szCs w:val="20"/>
                <w:lang w:val="en-GB"/>
              </w:rPr>
            </w:pPr>
            <w:r w:rsidRPr="003376D8">
              <w:rPr>
                <w:rFonts w:eastAsia="MS Mincho" w:cs="Arial"/>
                <w:b/>
                <w:spacing w:val="-4"/>
                <w:szCs w:val="20"/>
                <w:lang w:val="en-GB"/>
              </w:rPr>
              <w:t>Median annual full</w:t>
            </w:r>
            <w:r w:rsidR="00000117" w:rsidRPr="003376D8">
              <w:rPr>
                <w:rFonts w:eastAsia="MS Mincho" w:cs="Arial"/>
                <w:b/>
                <w:spacing w:val="-4"/>
                <w:szCs w:val="20"/>
                <w:lang w:val="en-GB"/>
              </w:rPr>
              <w:noBreakHyphen/>
            </w:r>
            <w:r w:rsidRPr="003376D8">
              <w:rPr>
                <w:rFonts w:eastAsia="MS Mincho" w:cs="Arial"/>
                <w:b/>
                <w:spacing w:val="-4"/>
                <w:szCs w:val="20"/>
                <w:lang w:val="en-GB"/>
              </w:rPr>
              <w:t>time salary</w:t>
            </w:r>
            <w:r w:rsidR="0069180F">
              <w:rPr>
                <w:rFonts w:eastAsia="MS Mincho" w:cs="Arial"/>
                <w:b/>
                <w:spacing w:val="-4"/>
                <w:szCs w:val="20"/>
                <w:lang w:val="en-GB"/>
              </w:rPr>
              <w:t> </w:t>
            </w:r>
            <w:r w:rsidRPr="003376D8">
              <w:rPr>
                <w:rFonts w:eastAsia="MS Mincho" w:cs="Arial"/>
                <w:b/>
                <w:spacing w:val="-4"/>
                <w:szCs w:val="20"/>
                <w:lang w:val="en-GB"/>
              </w:rPr>
              <w:t>($):</w:t>
            </w:r>
            <w:r w:rsidRPr="003376D8">
              <w:rPr>
                <w:rFonts w:eastAsia="MS Mincho" w:cs="Arial"/>
                <w:bCs/>
                <w:spacing w:val="-4"/>
                <w:szCs w:val="20"/>
                <w:lang w:val="en-GB"/>
              </w:rPr>
              <w:t xml:space="preserve"> </w:t>
            </w:r>
          </w:p>
          <w:p w14:paraId="49129E81" w14:textId="309DA3DC" w:rsidR="00680839" w:rsidRPr="003376D8" w:rsidRDefault="00680839" w:rsidP="003376D8">
            <w:pPr>
              <w:widowControl w:val="0"/>
              <w:autoSpaceDE w:val="0"/>
              <w:autoSpaceDN w:val="0"/>
              <w:adjustRightInd w:val="0"/>
              <w:spacing w:after="60" w:line="288" w:lineRule="auto"/>
              <w:ind w:left="28"/>
              <w:textAlignment w:val="center"/>
              <w:rPr>
                <w:rFonts w:eastAsia="MS Mincho" w:cs="Arial"/>
                <w:bCs/>
                <w:caps/>
                <w:spacing w:val="-4"/>
                <w:szCs w:val="20"/>
                <w:lang w:val="en-GB"/>
              </w:rPr>
            </w:pPr>
            <w:r w:rsidRPr="003376D8">
              <w:rPr>
                <w:rFonts w:eastAsia="MS Mincho" w:cs="Arial"/>
                <w:bCs/>
                <w:spacing w:val="-4"/>
                <w:szCs w:val="20"/>
                <w:lang w:val="en-GB"/>
              </w:rPr>
              <w:t>Medium</w:t>
            </w:r>
            <w:r w:rsidR="0069180F">
              <w:rPr>
                <w:rFonts w:eastAsia="MS Mincho" w:cs="Arial"/>
                <w:bCs/>
                <w:spacing w:val="-4"/>
                <w:szCs w:val="20"/>
                <w:lang w:val="en-GB"/>
              </w:rPr>
              <w:noBreakHyphen/>
            </w:r>
            <w:r w:rsidRPr="003376D8">
              <w:rPr>
                <w:rFonts w:eastAsia="MS Mincho" w:cs="Arial"/>
                <w:bCs/>
                <w:spacing w:val="-4"/>
                <w:szCs w:val="20"/>
                <w:lang w:val="en-GB"/>
              </w:rPr>
              <w:t>term (2026)</w:t>
            </w:r>
          </w:p>
        </w:tc>
        <w:tc>
          <w:tcPr>
            <w:tcW w:w="452" w:type="pct"/>
            <w:tcBorders>
              <w:top w:val="single" w:sz="4" w:space="0" w:color="auto"/>
              <w:left w:val="single" w:sz="4" w:space="0" w:color="000000"/>
              <w:right w:val="single" w:sz="4" w:space="0" w:color="auto"/>
            </w:tcBorders>
            <w:vAlign w:val="center"/>
          </w:tcPr>
          <w:p w14:paraId="137441A1" w14:textId="2E57AA84" w:rsidR="00680839" w:rsidRPr="003376D8" w:rsidRDefault="00680839" w:rsidP="003376D8">
            <w:pPr>
              <w:widowControl w:val="0"/>
              <w:autoSpaceDE w:val="0"/>
              <w:autoSpaceDN w:val="0"/>
              <w:adjustRightInd w:val="0"/>
              <w:spacing w:after="60" w:line="288" w:lineRule="auto"/>
              <w:ind w:left="113"/>
              <w:textAlignment w:val="center"/>
              <w:rPr>
                <w:rFonts w:eastAsia="MS Mincho" w:cs="Arial"/>
                <w:b/>
                <w:caps/>
                <w:szCs w:val="20"/>
                <w:lang w:val="en-GB"/>
              </w:rPr>
            </w:pPr>
            <w:r w:rsidRPr="003376D8">
              <w:rPr>
                <w:rFonts w:eastAsia="MS Mincho" w:cs="Arial"/>
                <w:b/>
                <w:szCs w:val="20"/>
                <w:lang w:val="en-GB"/>
              </w:rPr>
              <w:t>In further full</w:t>
            </w:r>
            <w:r w:rsidR="003376D8">
              <w:rPr>
                <w:rFonts w:eastAsia="MS Mincho" w:cs="Arial"/>
                <w:b/>
                <w:szCs w:val="20"/>
                <w:lang w:val="en-GB"/>
              </w:rPr>
              <w:noBreakHyphen/>
            </w:r>
            <w:r w:rsidRPr="003376D8">
              <w:rPr>
                <w:rFonts w:eastAsia="MS Mincho" w:cs="Arial"/>
                <w:b/>
                <w:szCs w:val="20"/>
                <w:lang w:val="en-GB"/>
              </w:rPr>
              <w:t>time study (%):</w:t>
            </w:r>
          </w:p>
          <w:p w14:paraId="2D7C6500" w14:textId="6E06754F" w:rsidR="00680839" w:rsidRPr="003376D8" w:rsidRDefault="00680839" w:rsidP="003376D8">
            <w:pPr>
              <w:widowControl w:val="0"/>
              <w:autoSpaceDE w:val="0"/>
              <w:autoSpaceDN w:val="0"/>
              <w:adjustRightInd w:val="0"/>
              <w:spacing w:line="288" w:lineRule="auto"/>
              <w:ind w:left="113"/>
              <w:textAlignment w:val="center"/>
              <w:rPr>
                <w:rFonts w:eastAsia="MS Mincho" w:cs="Arial"/>
                <w:bCs/>
                <w:szCs w:val="20"/>
                <w:lang w:val="en-GB"/>
              </w:rPr>
            </w:pPr>
            <w:r w:rsidRPr="003376D8">
              <w:rPr>
                <w:rFonts w:eastAsia="MS Mincho" w:cs="Arial"/>
                <w:bCs/>
                <w:caps/>
                <w:szCs w:val="20"/>
                <w:lang w:val="en-GB"/>
              </w:rPr>
              <w:t>S</w:t>
            </w:r>
            <w:r w:rsidRPr="003376D8">
              <w:rPr>
                <w:rFonts w:eastAsia="MS Mincho" w:cs="Arial"/>
                <w:bCs/>
                <w:szCs w:val="20"/>
                <w:lang w:val="en-GB"/>
              </w:rPr>
              <w:t>hort-term (2023)</w:t>
            </w:r>
          </w:p>
        </w:tc>
        <w:tc>
          <w:tcPr>
            <w:tcW w:w="452" w:type="pct"/>
            <w:tcBorders>
              <w:top w:val="single" w:sz="4" w:space="0" w:color="auto"/>
              <w:left w:val="single" w:sz="4" w:space="0" w:color="000000"/>
              <w:right w:val="single" w:sz="4" w:space="0" w:color="auto"/>
            </w:tcBorders>
            <w:vAlign w:val="center"/>
          </w:tcPr>
          <w:p w14:paraId="0966C342" w14:textId="3CCF909D" w:rsidR="00680839" w:rsidRPr="003376D8" w:rsidRDefault="00680839" w:rsidP="003376D8">
            <w:pPr>
              <w:widowControl w:val="0"/>
              <w:autoSpaceDE w:val="0"/>
              <w:autoSpaceDN w:val="0"/>
              <w:adjustRightInd w:val="0"/>
              <w:spacing w:after="60" w:line="288" w:lineRule="auto"/>
              <w:ind w:left="113"/>
              <w:textAlignment w:val="center"/>
              <w:rPr>
                <w:rFonts w:eastAsia="MS Mincho" w:cs="Arial"/>
                <w:b/>
                <w:szCs w:val="20"/>
                <w:lang w:val="en-GB"/>
              </w:rPr>
            </w:pPr>
            <w:r w:rsidRPr="003376D8">
              <w:rPr>
                <w:rFonts w:eastAsia="MS Mincho" w:cs="Arial"/>
                <w:b/>
                <w:szCs w:val="20"/>
                <w:lang w:val="en-GB"/>
              </w:rPr>
              <w:t>In further full</w:t>
            </w:r>
            <w:r w:rsidR="003376D8">
              <w:rPr>
                <w:rFonts w:eastAsia="MS Mincho" w:cs="Arial"/>
                <w:b/>
                <w:szCs w:val="20"/>
                <w:lang w:val="en-GB"/>
              </w:rPr>
              <w:noBreakHyphen/>
            </w:r>
            <w:r w:rsidRPr="003376D8">
              <w:rPr>
                <w:rFonts w:eastAsia="MS Mincho" w:cs="Arial"/>
                <w:b/>
                <w:szCs w:val="20"/>
                <w:lang w:val="en-GB"/>
              </w:rPr>
              <w:t>time study (%):</w:t>
            </w:r>
          </w:p>
          <w:p w14:paraId="6A57A75B" w14:textId="465D6D8E" w:rsidR="00680839" w:rsidRPr="003376D8" w:rsidRDefault="00680839" w:rsidP="003376D8">
            <w:pPr>
              <w:widowControl w:val="0"/>
              <w:autoSpaceDE w:val="0"/>
              <w:autoSpaceDN w:val="0"/>
              <w:adjustRightInd w:val="0"/>
              <w:spacing w:line="288" w:lineRule="auto"/>
              <w:ind w:left="113"/>
              <w:textAlignment w:val="center"/>
              <w:rPr>
                <w:rFonts w:eastAsia="MS Mincho" w:cs="Arial"/>
                <w:bCs/>
                <w:szCs w:val="20"/>
                <w:lang w:val="en-GB"/>
              </w:rPr>
            </w:pPr>
            <w:r w:rsidRPr="003376D8">
              <w:rPr>
                <w:rFonts w:eastAsia="MS Mincho" w:cs="Arial"/>
                <w:bCs/>
                <w:szCs w:val="20"/>
                <w:lang w:val="en-GB"/>
              </w:rPr>
              <w:t>Medium-term (2026)</w:t>
            </w:r>
          </w:p>
        </w:tc>
      </w:tr>
      <w:tr w:rsidR="00910822" w:rsidRPr="005A3AFE" w14:paraId="6C0EA8C5"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77FC53B7" w14:textId="77777777" w:rsidR="00910822" w:rsidRPr="00680839" w:rsidRDefault="00910822" w:rsidP="00000117">
            <w:pPr>
              <w:spacing w:before="80" w:after="80" w:line="288" w:lineRule="auto"/>
              <w:ind w:left="57" w:right="57"/>
              <w:rPr>
                <w:rFonts w:eastAsia="Aptos" w:cs="Arial"/>
                <w:b/>
                <w:szCs w:val="20"/>
              </w:rPr>
            </w:pPr>
            <w:r w:rsidRPr="00680839">
              <w:rPr>
                <w:rFonts w:cs="Arial"/>
                <w:color w:val="000000"/>
                <w:szCs w:val="20"/>
              </w:rPr>
              <w:t>Agriculture and environmental studies</w:t>
            </w:r>
          </w:p>
        </w:tc>
        <w:tc>
          <w:tcPr>
            <w:tcW w:w="452" w:type="pct"/>
            <w:tcBorders>
              <w:top w:val="single" w:sz="4" w:space="0" w:color="000000"/>
              <w:left w:val="single" w:sz="4" w:space="0" w:color="000000"/>
              <w:bottom w:val="single" w:sz="4" w:space="0" w:color="000000"/>
              <w:right w:val="single" w:sz="4" w:space="0" w:color="000000"/>
            </w:tcBorders>
            <w:vAlign w:val="center"/>
          </w:tcPr>
          <w:p w14:paraId="26248034" w14:textId="02F9012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83.0</w:t>
            </w:r>
          </w:p>
        </w:tc>
        <w:tc>
          <w:tcPr>
            <w:tcW w:w="452" w:type="pct"/>
            <w:tcBorders>
              <w:top w:val="single" w:sz="4" w:space="0" w:color="000000"/>
              <w:left w:val="single" w:sz="4" w:space="0" w:color="000000"/>
              <w:bottom w:val="single" w:sz="4" w:space="0" w:color="000000"/>
              <w:right w:val="single" w:sz="4" w:space="0" w:color="000000"/>
            </w:tcBorders>
            <w:vAlign w:val="center"/>
          </w:tcPr>
          <w:p w14:paraId="61571F7C" w14:textId="102F38F4"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65FB4A8" w14:textId="276E261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A27E5B" w14:textId="5C083B7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D61D0E" w14:textId="61FFFE7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525A489" w14:textId="2799C67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260A4B" w14:textId="7C535A0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71,500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E658FA6" w14:textId="672282F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95,100</w:t>
            </w:r>
          </w:p>
        </w:tc>
        <w:tc>
          <w:tcPr>
            <w:tcW w:w="452" w:type="pct"/>
            <w:tcBorders>
              <w:top w:val="single" w:sz="4" w:space="0" w:color="000000"/>
              <w:left w:val="single" w:sz="4" w:space="0" w:color="000000"/>
              <w:bottom w:val="single" w:sz="4" w:space="0" w:color="000000"/>
              <w:right w:val="single" w:sz="4" w:space="0" w:color="000000"/>
            </w:tcBorders>
            <w:vAlign w:val="center"/>
          </w:tcPr>
          <w:p w14:paraId="4944BA2E" w14:textId="0252CEC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10.4</w:t>
            </w:r>
          </w:p>
        </w:tc>
        <w:tc>
          <w:tcPr>
            <w:tcW w:w="452" w:type="pct"/>
            <w:tcBorders>
              <w:top w:val="single" w:sz="4" w:space="0" w:color="000000"/>
              <w:left w:val="single" w:sz="4" w:space="0" w:color="000000"/>
              <w:bottom w:val="single" w:sz="4" w:space="0" w:color="000000"/>
              <w:right w:val="single" w:sz="4" w:space="0" w:color="auto"/>
            </w:tcBorders>
            <w:vAlign w:val="center"/>
          </w:tcPr>
          <w:p w14:paraId="6CA75FAF" w14:textId="0822B57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8.8</w:t>
            </w:r>
          </w:p>
        </w:tc>
      </w:tr>
      <w:tr w:rsidR="00910822" w:rsidRPr="005A3AFE" w14:paraId="0CC4F4AD"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96D7280"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Architecture and built environment</w:t>
            </w:r>
          </w:p>
        </w:tc>
        <w:tc>
          <w:tcPr>
            <w:tcW w:w="452" w:type="pct"/>
            <w:tcBorders>
              <w:top w:val="single" w:sz="4" w:space="0" w:color="000000"/>
              <w:left w:val="single" w:sz="4" w:space="0" w:color="000000"/>
              <w:bottom w:val="single" w:sz="4" w:space="0" w:color="000000"/>
              <w:right w:val="single" w:sz="4" w:space="0" w:color="000000"/>
            </w:tcBorders>
            <w:vAlign w:val="center"/>
          </w:tcPr>
          <w:p w14:paraId="46CE3F63" w14:textId="572E160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76.6</w:t>
            </w:r>
          </w:p>
        </w:tc>
        <w:tc>
          <w:tcPr>
            <w:tcW w:w="452" w:type="pct"/>
            <w:tcBorders>
              <w:top w:val="single" w:sz="4" w:space="0" w:color="000000"/>
              <w:left w:val="single" w:sz="4" w:space="0" w:color="000000"/>
              <w:bottom w:val="single" w:sz="4" w:space="0" w:color="000000"/>
              <w:right w:val="single" w:sz="4" w:space="0" w:color="000000"/>
            </w:tcBorders>
            <w:vAlign w:val="center"/>
          </w:tcPr>
          <w:p w14:paraId="71629D37" w14:textId="7B9E168E"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91.2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364887" w14:textId="3B91D333"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87.3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89657F" w14:textId="548F7AF6"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93.</w:t>
            </w:r>
            <w:r w:rsidR="00CD5FB8" w:rsidRPr="00680839">
              <w:rPr>
                <w:rFonts w:cs="Arial"/>
                <w:color w:val="3A3A3A"/>
                <w:szCs w:val="20"/>
              </w:rPr>
              <w:t>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0775C2" w14:textId="3706B0E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3D44ED" w14:textId="003E95B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8A33CF" w14:textId="1630EC6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70</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F25269" w14:textId="5E476D3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89,900</w:t>
            </w:r>
          </w:p>
        </w:tc>
        <w:tc>
          <w:tcPr>
            <w:tcW w:w="452" w:type="pct"/>
            <w:tcBorders>
              <w:top w:val="single" w:sz="4" w:space="0" w:color="000000"/>
              <w:left w:val="single" w:sz="4" w:space="0" w:color="000000"/>
              <w:bottom w:val="single" w:sz="4" w:space="0" w:color="000000"/>
              <w:right w:val="single" w:sz="4" w:space="0" w:color="000000"/>
            </w:tcBorders>
            <w:vAlign w:val="center"/>
          </w:tcPr>
          <w:p w14:paraId="0B504131" w14:textId="3982226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8.9</w:t>
            </w:r>
          </w:p>
        </w:tc>
        <w:tc>
          <w:tcPr>
            <w:tcW w:w="452" w:type="pct"/>
            <w:tcBorders>
              <w:top w:val="single" w:sz="4" w:space="0" w:color="000000"/>
              <w:left w:val="single" w:sz="4" w:space="0" w:color="000000"/>
              <w:bottom w:val="single" w:sz="4" w:space="0" w:color="000000"/>
              <w:right w:val="single" w:sz="4" w:space="0" w:color="auto"/>
            </w:tcBorders>
            <w:vAlign w:val="center"/>
          </w:tcPr>
          <w:p w14:paraId="20E1AD60" w14:textId="1D4BF652"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7.</w:t>
            </w:r>
            <w:r w:rsidR="00CD5FB8" w:rsidRPr="00680839">
              <w:rPr>
                <w:rFonts w:cs="Arial"/>
                <w:color w:val="000000"/>
                <w:szCs w:val="20"/>
              </w:rPr>
              <w:t>8</w:t>
            </w:r>
          </w:p>
        </w:tc>
      </w:tr>
      <w:tr w:rsidR="00910822" w:rsidRPr="005A3AFE" w14:paraId="430F20D7"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7AEB382F"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Business and management</w:t>
            </w:r>
          </w:p>
        </w:tc>
        <w:tc>
          <w:tcPr>
            <w:tcW w:w="452" w:type="pct"/>
            <w:tcBorders>
              <w:top w:val="single" w:sz="4" w:space="0" w:color="000000"/>
              <w:left w:val="single" w:sz="4" w:space="0" w:color="000000"/>
              <w:bottom w:val="single" w:sz="4" w:space="0" w:color="000000"/>
              <w:right w:val="single" w:sz="4" w:space="0" w:color="000000"/>
            </w:tcBorders>
            <w:vAlign w:val="center"/>
          </w:tcPr>
          <w:p w14:paraId="2CD74AC7" w14:textId="45F05EDA"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85</w:t>
            </w:r>
            <w:r w:rsidR="00910822" w:rsidRPr="00680839">
              <w:rPr>
                <w:rFonts w:cs="Arial"/>
                <w:color w:val="3A3A3A"/>
                <w:szCs w:val="20"/>
              </w:rPr>
              <w:t>.8</w:t>
            </w:r>
          </w:p>
        </w:tc>
        <w:tc>
          <w:tcPr>
            <w:tcW w:w="452" w:type="pct"/>
            <w:tcBorders>
              <w:top w:val="single" w:sz="4" w:space="0" w:color="000000"/>
              <w:left w:val="single" w:sz="4" w:space="0" w:color="000000"/>
              <w:bottom w:val="single" w:sz="4" w:space="0" w:color="000000"/>
              <w:right w:val="single" w:sz="4" w:space="0" w:color="000000"/>
            </w:tcBorders>
            <w:vAlign w:val="center"/>
          </w:tcPr>
          <w:p w14:paraId="5A5C76C1" w14:textId="3B925FAB"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94.</w:t>
            </w:r>
            <w:r w:rsidR="00CD5FB8" w:rsidRPr="00680839">
              <w:rPr>
                <w:rFonts w:cs="Arial"/>
                <w:color w:val="3A3A3A"/>
                <w:szCs w:val="20"/>
              </w:rPr>
              <w:t>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44A860" w14:textId="6564F8B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w:t>
            </w:r>
            <w:r w:rsidR="00910822" w:rsidRPr="00680839">
              <w:rPr>
                <w:rFonts w:cs="Arial"/>
                <w:color w:val="3A3A3A"/>
                <w:szCs w:val="20"/>
              </w:rPr>
              <w:t>.8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CFC31AE" w14:textId="1D0E000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0AD301" w14:textId="4D7140CE"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96.</w:t>
            </w:r>
            <w:r w:rsidR="00CD5FB8" w:rsidRPr="00680839">
              <w:rPr>
                <w:rFonts w:cs="Arial"/>
                <w:color w:val="3A3A3A"/>
                <w:szCs w:val="20"/>
              </w:rPr>
              <w:t>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4D8B55" w14:textId="20A3A09C"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94.</w:t>
            </w:r>
            <w:r w:rsidR="00CD5FB8" w:rsidRPr="00680839">
              <w:rPr>
                <w:rFonts w:cs="Arial"/>
                <w:color w:val="3A3A3A"/>
                <w:szCs w:val="20"/>
              </w:rPr>
              <w:t>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E6F7AB" w14:textId="21DACF2A"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70</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B85961" w14:textId="57F1D676"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95,000</w:t>
            </w:r>
          </w:p>
        </w:tc>
        <w:tc>
          <w:tcPr>
            <w:tcW w:w="452" w:type="pct"/>
            <w:tcBorders>
              <w:top w:val="single" w:sz="4" w:space="0" w:color="000000"/>
              <w:left w:val="single" w:sz="4" w:space="0" w:color="000000"/>
              <w:bottom w:val="single" w:sz="4" w:space="0" w:color="000000"/>
              <w:right w:val="single" w:sz="4" w:space="0" w:color="000000"/>
            </w:tcBorders>
            <w:vAlign w:val="center"/>
          </w:tcPr>
          <w:p w14:paraId="5B499443" w14:textId="47DE52A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9.2</w:t>
            </w:r>
          </w:p>
        </w:tc>
        <w:tc>
          <w:tcPr>
            <w:tcW w:w="452" w:type="pct"/>
            <w:tcBorders>
              <w:top w:val="single" w:sz="4" w:space="0" w:color="000000"/>
              <w:left w:val="single" w:sz="4" w:space="0" w:color="000000"/>
              <w:bottom w:val="single" w:sz="4" w:space="0" w:color="000000"/>
              <w:right w:val="single" w:sz="4" w:space="0" w:color="auto"/>
            </w:tcBorders>
            <w:vAlign w:val="center"/>
          </w:tcPr>
          <w:p w14:paraId="30C9A6C2" w14:textId="6C9601E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6.2</w:t>
            </w:r>
          </w:p>
        </w:tc>
      </w:tr>
      <w:tr w:rsidR="00910822" w:rsidRPr="005A3AFE" w14:paraId="3AAD354A"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366BB312" w14:textId="77777777" w:rsidR="00910822" w:rsidRPr="00680839" w:rsidRDefault="00910822" w:rsidP="006C2E0A">
            <w:pPr>
              <w:spacing w:before="80" w:after="80" w:line="288" w:lineRule="auto"/>
              <w:rPr>
                <w:rFonts w:eastAsia="Aptos" w:cs="Arial"/>
                <w:szCs w:val="20"/>
              </w:rPr>
            </w:pPr>
            <w:r w:rsidRPr="00680839">
              <w:rPr>
                <w:rFonts w:cs="Arial"/>
                <w:color w:val="000000"/>
                <w:szCs w:val="20"/>
              </w:rPr>
              <w:t>Communications</w:t>
            </w:r>
          </w:p>
        </w:tc>
        <w:tc>
          <w:tcPr>
            <w:tcW w:w="452" w:type="pct"/>
            <w:tcBorders>
              <w:top w:val="single" w:sz="4" w:space="0" w:color="000000"/>
              <w:left w:val="single" w:sz="4" w:space="0" w:color="000000"/>
              <w:bottom w:val="single" w:sz="4" w:space="0" w:color="000000"/>
              <w:right w:val="single" w:sz="4" w:space="0" w:color="000000"/>
            </w:tcBorders>
            <w:vAlign w:val="center"/>
          </w:tcPr>
          <w:p w14:paraId="5CC180A5" w14:textId="4176469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66.9</w:t>
            </w:r>
          </w:p>
        </w:tc>
        <w:tc>
          <w:tcPr>
            <w:tcW w:w="452" w:type="pct"/>
            <w:tcBorders>
              <w:top w:val="single" w:sz="4" w:space="0" w:color="000000"/>
              <w:left w:val="single" w:sz="4" w:space="0" w:color="000000"/>
              <w:bottom w:val="single" w:sz="4" w:space="0" w:color="000000"/>
              <w:right w:val="single" w:sz="4" w:space="0" w:color="000000"/>
            </w:tcBorders>
            <w:vAlign w:val="center"/>
          </w:tcPr>
          <w:p w14:paraId="0671223F" w14:textId="348DEBC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3B785E" w14:textId="5AD9E4C1"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86.</w:t>
            </w:r>
            <w:r w:rsidR="00CD5FB8" w:rsidRPr="00680839">
              <w:rPr>
                <w:rFonts w:cs="Arial"/>
                <w:color w:val="3A3A3A"/>
                <w:szCs w:val="20"/>
              </w:rPr>
              <w:t>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D8591CE" w14:textId="7BEFACB4"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3755A3" w14:textId="7DD18E1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90.6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DD4B31" w14:textId="2BCE8444"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86.1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D9A961B" w14:textId="34120923"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66,000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7D54AA" w14:textId="0A5D9EE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82</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vAlign w:val="center"/>
          </w:tcPr>
          <w:p w14:paraId="4925C2D7" w14:textId="4400C5F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10.3</w:t>
            </w:r>
          </w:p>
        </w:tc>
        <w:tc>
          <w:tcPr>
            <w:tcW w:w="452" w:type="pct"/>
            <w:tcBorders>
              <w:top w:val="single" w:sz="4" w:space="0" w:color="000000"/>
              <w:left w:val="single" w:sz="4" w:space="0" w:color="000000"/>
              <w:bottom w:val="single" w:sz="4" w:space="0" w:color="000000"/>
              <w:right w:val="single" w:sz="4" w:space="0" w:color="auto"/>
            </w:tcBorders>
            <w:vAlign w:val="center"/>
          </w:tcPr>
          <w:p w14:paraId="48B09E14" w14:textId="59244EA4"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11.2</w:t>
            </w:r>
          </w:p>
        </w:tc>
      </w:tr>
      <w:tr w:rsidR="00910822" w:rsidRPr="005A3AFE" w14:paraId="44597B8A"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1E2316D"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Computing and information systems</w:t>
            </w:r>
          </w:p>
        </w:tc>
        <w:tc>
          <w:tcPr>
            <w:tcW w:w="452" w:type="pct"/>
            <w:tcBorders>
              <w:top w:val="single" w:sz="4" w:space="0" w:color="000000"/>
              <w:left w:val="single" w:sz="4" w:space="0" w:color="000000"/>
              <w:bottom w:val="single" w:sz="4" w:space="0" w:color="000000"/>
              <w:right w:val="single" w:sz="4" w:space="0" w:color="000000"/>
            </w:tcBorders>
            <w:vAlign w:val="center"/>
          </w:tcPr>
          <w:p w14:paraId="7D8ED865" w14:textId="1FD924A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76</w:t>
            </w:r>
            <w:r w:rsidR="00910822" w:rsidRPr="00680839">
              <w:rPr>
                <w:rFonts w:cs="Arial"/>
                <w:color w:val="3A3A3A"/>
                <w:szCs w:val="20"/>
              </w:rPr>
              <w:t>.5</w:t>
            </w:r>
          </w:p>
        </w:tc>
        <w:tc>
          <w:tcPr>
            <w:tcW w:w="452" w:type="pct"/>
            <w:tcBorders>
              <w:top w:val="single" w:sz="4" w:space="0" w:color="000000"/>
              <w:left w:val="single" w:sz="4" w:space="0" w:color="000000"/>
              <w:bottom w:val="single" w:sz="4" w:space="0" w:color="000000"/>
              <w:right w:val="single" w:sz="4" w:space="0" w:color="000000"/>
            </w:tcBorders>
            <w:vAlign w:val="center"/>
          </w:tcPr>
          <w:p w14:paraId="6C108490" w14:textId="3A1EA509"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0BA7B7A" w14:textId="64873C0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83.4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1FD834" w14:textId="3166176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B61768" w14:textId="4C46C51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9ACECCB" w14:textId="2A38A53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A04CC76" w14:textId="4262F13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75,000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24A4DB" w14:textId="28336E9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102</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vAlign w:val="center"/>
          </w:tcPr>
          <w:p w14:paraId="59D5452A" w14:textId="0755FF5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7.5</w:t>
            </w:r>
          </w:p>
        </w:tc>
        <w:tc>
          <w:tcPr>
            <w:tcW w:w="452" w:type="pct"/>
            <w:tcBorders>
              <w:top w:val="single" w:sz="4" w:space="0" w:color="000000"/>
              <w:left w:val="single" w:sz="4" w:space="0" w:color="000000"/>
              <w:bottom w:val="single" w:sz="4" w:space="0" w:color="000000"/>
              <w:right w:val="single" w:sz="4" w:space="0" w:color="auto"/>
            </w:tcBorders>
            <w:vAlign w:val="center"/>
          </w:tcPr>
          <w:p w14:paraId="65CB53C4" w14:textId="7044335C"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5.</w:t>
            </w:r>
            <w:r w:rsidR="00CD5FB8" w:rsidRPr="00680839">
              <w:rPr>
                <w:rFonts w:cs="Arial"/>
                <w:color w:val="000000"/>
                <w:szCs w:val="20"/>
              </w:rPr>
              <w:t>2</w:t>
            </w:r>
          </w:p>
        </w:tc>
      </w:tr>
      <w:tr w:rsidR="00910822" w:rsidRPr="005A3AFE" w14:paraId="2F33F497"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37E54835"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Creative arts</w:t>
            </w:r>
          </w:p>
        </w:tc>
        <w:tc>
          <w:tcPr>
            <w:tcW w:w="452" w:type="pct"/>
            <w:tcBorders>
              <w:top w:val="single" w:sz="4" w:space="0" w:color="000000"/>
              <w:left w:val="single" w:sz="4" w:space="0" w:color="000000"/>
              <w:bottom w:val="single" w:sz="4" w:space="0" w:color="000000"/>
              <w:right w:val="single" w:sz="4" w:space="0" w:color="000000"/>
            </w:tcBorders>
            <w:vAlign w:val="center"/>
          </w:tcPr>
          <w:p w14:paraId="720FE262" w14:textId="2D5D7F6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56.7</w:t>
            </w:r>
          </w:p>
        </w:tc>
        <w:tc>
          <w:tcPr>
            <w:tcW w:w="452" w:type="pct"/>
            <w:tcBorders>
              <w:top w:val="single" w:sz="4" w:space="0" w:color="000000"/>
              <w:left w:val="single" w:sz="4" w:space="0" w:color="000000"/>
              <w:bottom w:val="single" w:sz="4" w:space="0" w:color="000000"/>
              <w:right w:val="single" w:sz="4" w:space="0" w:color="000000"/>
            </w:tcBorders>
            <w:vAlign w:val="center"/>
          </w:tcPr>
          <w:p w14:paraId="666CAE3A" w14:textId="7DB7E5E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78.7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64E52C" w14:textId="023D2E5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83.4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B8BDBA" w14:textId="5AF3BC6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w:t>
            </w:r>
            <w:r w:rsidR="00910822" w:rsidRPr="00680839">
              <w:rPr>
                <w:rFonts w:cs="Arial"/>
                <w:color w:val="3A3A3A"/>
                <w:szCs w:val="20"/>
              </w:rPr>
              <w:t>.3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1533C0D" w14:textId="6189E70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336A07" w14:textId="68DF564A"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86.</w:t>
            </w:r>
            <w:r w:rsidR="00CD5FB8" w:rsidRPr="00680839">
              <w:rPr>
                <w:rFonts w:cs="Arial"/>
                <w:color w:val="3A3A3A"/>
                <w:szCs w:val="20"/>
              </w:rPr>
              <w:t>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C778E4C" w14:textId="666CDFB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59,500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9AD372" w14:textId="074F3F9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76,400</w:t>
            </w:r>
          </w:p>
        </w:tc>
        <w:tc>
          <w:tcPr>
            <w:tcW w:w="452" w:type="pct"/>
            <w:tcBorders>
              <w:top w:val="single" w:sz="4" w:space="0" w:color="000000"/>
              <w:left w:val="single" w:sz="4" w:space="0" w:color="000000"/>
              <w:bottom w:val="single" w:sz="4" w:space="0" w:color="000000"/>
              <w:right w:val="single" w:sz="4" w:space="0" w:color="000000"/>
            </w:tcBorders>
            <w:vAlign w:val="center"/>
          </w:tcPr>
          <w:p w14:paraId="5BAEB473" w14:textId="79FFDAD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15.7</w:t>
            </w:r>
          </w:p>
        </w:tc>
        <w:tc>
          <w:tcPr>
            <w:tcW w:w="452" w:type="pct"/>
            <w:tcBorders>
              <w:top w:val="single" w:sz="4" w:space="0" w:color="000000"/>
              <w:left w:val="single" w:sz="4" w:space="0" w:color="000000"/>
              <w:bottom w:val="single" w:sz="4" w:space="0" w:color="000000"/>
              <w:right w:val="single" w:sz="4" w:space="0" w:color="auto"/>
            </w:tcBorders>
            <w:vAlign w:val="center"/>
          </w:tcPr>
          <w:p w14:paraId="584D7951" w14:textId="7AF3BA62"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12.</w:t>
            </w:r>
            <w:r w:rsidR="00CD5FB8" w:rsidRPr="00680839">
              <w:rPr>
                <w:rFonts w:cs="Arial"/>
                <w:color w:val="000000"/>
                <w:szCs w:val="20"/>
              </w:rPr>
              <w:t>4</w:t>
            </w:r>
          </w:p>
        </w:tc>
      </w:tr>
      <w:tr w:rsidR="00910822" w:rsidRPr="005A3AFE" w14:paraId="1CDC07E7"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773B085D"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Dentistry</w:t>
            </w:r>
          </w:p>
        </w:tc>
        <w:tc>
          <w:tcPr>
            <w:tcW w:w="452" w:type="pct"/>
            <w:tcBorders>
              <w:top w:val="single" w:sz="4" w:space="0" w:color="000000"/>
              <w:left w:val="single" w:sz="4" w:space="0" w:color="000000"/>
              <w:bottom w:val="single" w:sz="4" w:space="0" w:color="000000"/>
              <w:right w:val="single" w:sz="4" w:space="0" w:color="000000"/>
            </w:tcBorders>
            <w:vAlign w:val="center"/>
          </w:tcPr>
          <w:p w14:paraId="2EBCCAE0" w14:textId="5555F7C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83.0</w:t>
            </w:r>
          </w:p>
        </w:tc>
        <w:tc>
          <w:tcPr>
            <w:tcW w:w="452" w:type="pct"/>
            <w:tcBorders>
              <w:top w:val="single" w:sz="4" w:space="0" w:color="000000"/>
              <w:left w:val="single" w:sz="4" w:space="0" w:color="000000"/>
              <w:bottom w:val="single" w:sz="4" w:space="0" w:color="000000"/>
              <w:right w:val="single" w:sz="4" w:space="0" w:color="000000"/>
            </w:tcBorders>
            <w:vAlign w:val="center"/>
          </w:tcPr>
          <w:p w14:paraId="1BBFCD37" w14:textId="33A37A0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3088A7" w14:textId="3F6E73A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F7480E" w14:textId="41F1FC2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9435AC" w14:textId="259FCED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98.6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DBF999" w14:textId="4173FEE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94.3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0354FF" w14:textId="64BA7BB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n/a</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E0A27D" w14:textId="5786790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112,700</w:t>
            </w:r>
          </w:p>
        </w:tc>
        <w:tc>
          <w:tcPr>
            <w:tcW w:w="452" w:type="pct"/>
            <w:tcBorders>
              <w:top w:val="single" w:sz="4" w:space="0" w:color="000000"/>
              <w:left w:val="single" w:sz="4" w:space="0" w:color="000000"/>
              <w:bottom w:val="single" w:sz="4" w:space="0" w:color="000000"/>
              <w:right w:val="single" w:sz="4" w:space="0" w:color="000000"/>
            </w:tcBorders>
            <w:vAlign w:val="center"/>
          </w:tcPr>
          <w:p w14:paraId="29C665CF" w14:textId="5172DBA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7.1</w:t>
            </w:r>
          </w:p>
        </w:tc>
        <w:tc>
          <w:tcPr>
            <w:tcW w:w="452" w:type="pct"/>
            <w:tcBorders>
              <w:top w:val="single" w:sz="4" w:space="0" w:color="000000"/>
              <w:left w:val="single" w:sz="4" w:space="0" w:color="000000"/>
              <w:bottom w:val="single" w:sz="4" w:space="0" w:color="000000"/>
              <w:right w:val="single" w:sz="4" w:space="0" w:color="auto"/>
            </w:tcBorders>
            <w:vAlign w:val="center"/>
          </w:tcPr>
          <w:p w14:paraId="3B3C8C38" w14:textId="65AAB47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6.5</w:t>
            </w:r>
          </w:p>
        </w:tc>
      </w:tr>
      <w:tr w:rsidR="00910822" w:rsidRPr="005A3AFE" w14:paraId="47C3BA83"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4027EE4D"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Engineering</w:t>
            </w:r>
          </w:p>
        </w:tc>
        <w:tc>
          <w:tcPr>
            <w:tcW w:w="452" w:type="pct"/>
            <w:tcBorders>
              <w:top w:val="single" w:sz="4" w:space="0" w:color="000000"/>
              <w:left w:val="single" w:sz="4" w:space="0" w:color="000000"/>
              <w:bottom w:val="single" w:sz="4" w:space="0" w:color="000000"/>
              <w:right w:val="single" w:sz="4" w:space="0" w:color="000000"/>
            </w:tcBorders>
            <w:vAlign w:val="center"/>
          </w:tcPr>
          <w:p w14:paraId="56EDE174" w14:textId="2D48AF6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89.6</w:t>
            </w:r>
          </w:p>
        </w:tc>
        <w:tc>
          <w:tcPr>
            <w:tcW w:w="452" w:type="pct"/>
            <w:tcBorders>
              <w:top w:val="single" w:sz="4" w:space="0" w:color="000000"/>
              <w:left w:val="single" w:sz="4" w:space="0" w:color="000000"/>
              <w:bottom w:val="single" w:sz="4" w:space="0" w:color="000000"/>
              <w:right w:val="single" w:sz="4" w:space="0" w:color="000000"/>
            </w:tcBorders>
            <w:vAlign w:val="center"/>
          </w:tcPr>
          <w:p w14:paraId="7EEF050A" w14:textId="49E5925F"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95.</w:t>
            </w:r>
            <w:r w:rsidR="00CD5FB8" w:rsidRPr="00680839">
              <w:rPr>
                <w:rFonts w:cs="Arial"/>
                <w:color w:val="3A3A3A"/>
                <w:szCs w:val="20"/>
              </w:rPr>
              <w:t>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2A15209" w14:textId="6BABD26E"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91.</w:t>
            </w:r>
            <w:r w:rsidR="00CD5FB8" w:rsidRPr="00680839">
              <w:rPr>
                <w:rFonts w:cs="Arial"/>
                <w:color w:val="3A3A3A"/>
                <w:szCs w:val="20"/>
              </w:rPr>
              <w:t>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D4F16B" w14:textId="65E6D93A"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96.</w:t>
            </w:r>
            <w:r w:rsidR="00CD5FB8" w:rsidRPr="00680839">
              <w:rPr>
                <w:rFonts w:cs="Arial"/>
                <w:color w:val="3A3A3A"/>
                <w:szCs w:val="20"/>
              </w:rPr>
              <w:t>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3E8106" w14:textId="019FDE03"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96.4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E86D11" w14:textId="507A598C"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95.</w:t>
            </w:r>
            <w:r w:rsidR="00CD5FB8" w:rsidRPr="00680839">
              <w:rPr>
                <w:rFonts w:cs="Arial"/>
                <w:color w:val="3A3A3A"/>
                <w:szCs w:val="20"/>
              </w:rPr>
              <w:t>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0ACED41" w14:textId="6A01636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75</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16CCC6" w14:textId="5D79AB94"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107</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vAlign w:val="center"/>
          </w:tcPr>
          <w:p w14:paraId="36BAB2EE" w14:textId="221E7BA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8.7</w:t>
            </w:r>
          </w:p>
        </w:tc>
        <w:tc>
          <w:tcPr>
            <w:tcW w:w="452" w:type="pct"/>
            <w:tcBorders>
              <w:top w:val="single" w:sz="4" w:space="0" w:color="000000"/>
              <w:left w:val="single" w:sz="4" w:space="0" w:color="000000"/>
              <w:bottom w:val="single" w:sz="4" w:space="0" w:color="000000"/>
              <w:right w:val="single" w:sz="4" w:space="0" w:color="auto"/>
            </w:tcBorders>
            <w:vAlign w:val="center"/>
          </w:tcPr>
          <w:p w14:paraId="336F16A0" w14:textId="25C0CCD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6.8</w:t>
            </w:r>
          </w:p>
        </w:tc>
      </w:tr>
      <w:tr w:rsidR="00910822" w:rsidRPr="005A3AFE" w14:paraId="615F61F1"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3AD70AE2"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Health services and support</w:t>
            </w:r>
          </w:p>
        </w:tc>
        <w:tc>
          <w:tcPr>
            <w:tcW w:w="452" w:type="pct"/>
            <w:tcBorders>
              <w:top w:val="single" w:sz="4" w:space="0" w:color="000000"/>
              <w:left w:val="single" w:sz="4" w:space="0" w:color="000000"/>
              <w:bottom w:val="single" w:sz="4" w:space="0" w:color="000000"/>
              <w:right w:val="single" w:sz="4" w:space="0" w:color="000000"/>
            </w:tcBorders>
            <w:vAlign w:val="center"/>
          </w:tcPr>
          <w:p w14:paraId="66C94B07" w14:textId="7820A94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80.3</w:t>
            </w:r>
          </w:p>
        </w:tc>
        <w:tc>
          <w:tcPr>
            <w:tcW w:w="452" w:type="pct"/>
            <w:tcBorders>
              <w:top w:val="single" w:sz="4" w:space="0" w:color="000000"/>
              <w:left w:val="single" w:sz="4" w:space="0" w:color="000000"/>
              <w:bottom w:val="single" w:sz="4" w:space="0" w:color="000000"/>
              <w:right w:val="single" w:sz="4" w:space="0" w:color="000000"/>
            </w:tcBorders>
            <w:vAlign w:val="center"/>
          </w:tcPr>
          <w:p w14:paraId="53503DF5" w14:textId="12247EF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865C7DB" w14:textId="67A0113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B0ECF6" w14:textId="489CFEF0"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95.</w:t>
            </w:r>
            <w:r w:rsidR="00CD5FB8" w:rsidRPr="00680839">
              <w:rPr>
                <w:rFonts w:cs="Arial"/>
                <w:color w:val="3A3A3A"/>
                <w:szCs w:val="20"/>
              </w:rPr>
              <w:t>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7F4906" w14:textId="29C9D700"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93.</w:t>
            </w:r>
            <w:r w:rsidR="00CD5FB8" w:rsidRPr="00680839">
              <w:rPr>
                <w:rFonts w:cs="Arial"/>
                <w:color w:val="3A3A3A"/>
                <w:szCs w:val="20"/>
              </w:rPr>
              <w:t>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2132BC" w14:textId="12233AB7"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90.</w:t>
            </w:r>
            <w:r w:rsidR="00CD5FB8" w:rsidRPr="00680839">
              <w:rPr>
                <w:rFonts w:cs="Arial"/>
                <w:color w:val="3A3A3A"/>
                <w:szCs w:val="20"/>
              </w:rPr>
              <w:t>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A4420B" w14:textId="714CA78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71,400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8681A1" w14:textId="7DD1617A"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93,</w:t>
            </w:r>
            <w:r w:rsidR="00CD5FB8" w:rsidRPr="00680839">
              <w:rPr>
                <w:rFonts w:cs="Arial"/>
                <w:color w:val="3A3A3A"/>
                <w:szCs w:val="20"/>
              </w:rPr>
              <w:t>900</w:t>
            </w:r>
          </w:p>
        </w:tc>
        <w:tc>
          <w:tcPr>
            <w:tcW w:w="452" w:type="pct"/>
            <w:tcBorders>
              <w:top w:val="single" w:sz="4" w:space="0" w:color="000000"/>
              <w:left w:val="single" w:sz="4" w:space="0" w:color="000000"/>
              <w:bottom w:val="single" w:sz="4" w:space="0" w:color="000000"/>
              <w:right w:val="single" w:sz="4" w:space="0" w:color="000000"/>
            </w:tcBorders>
            <w:vAlign w:val="center"/>
          </w:tcPr>
          <w:p w14:paraId="7A27CAF6" w14:textId="4D0644D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17</w:t>
            </w:r>
            <w:r w:rsidR="00910822" w:rsidRPr="00680839">
              <w:rPr>
                <w:rFonts w:cs="Arial"/>
                <w:color w:val="000000"/>
                <w:szCs w:val="20"/>
              </w:rPr>
              <w:t>.3</w:t>
            </w:r>
          </w:p>
        </w:tc>
        <w:tc>
          <w:tcPr>
            <w:tcW w:w="452" w:type="pct"/>
            <w:tcBorders>
              <w:top w:val="single" w:sz="4" w:space="0" w:color="000000"/>
              <w:left w:val="single" w:sz="4" w:space="0" w:color="000000"/>
              <w:bottom w:val="single" w:sz="4" w:space="0" w:color="000000"/>
              <w:right w:val="single" w:sz="4" w:space="0" w:color="auto"/>
            </w:tcBorders>
            <w:vAlign w:val="center"/>
          </w:tcPr>
          <w:p w14:paraId="63A23886" w14:textId="22A025B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12.7</w:t>
            </w:r>
          </w:p>
        </w:tc>
      </w:tr>
      <w:tr w:rsidR="00910822" w:rsidRPr="005A3AFE" w14:paraId="6DEEA22C"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33D3EA8"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lastRenderedPageBreak/>
              <w:t>Humanities, culture and social sciences</w:t>
            </w:r>
          </w:p>
        </w:tc>
        <w:tc>
          <w:tcPr>
            <w:tcW w:w="452" w:type="pct"/>
            <w:tcBorders>
              <w:top w:val="single" w:sz="4" w:space="0" w:color="000000"/>
              <w:left w:val="single" w:sz="4" w:space="0" w:color="000000"/>
              <w:bottom w:val="single" w:sz="4" w:space="0" w:color="000000"/>
              <w:right w:val="single" w:sz="4" w:space="0" w:color="000000"/>
            </w:tcBorders>
            <w:vAlign w:val="center"/>
          </w:tcPr>
          <w:p w14:paraId="7F998047" w14:textId="543679C6"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73.</w:t>
            </w:r>
            <w:r w:rsidR="00CD5FB8" w:rsidRPr="00680839">
              <w:rPr>
                <w:rFonts w:cs="Arial"/>
                <w:color w:val="3A3A3A"/>
                <w:szCs w:val="20"/>
              </w:rPr>
              <w:t>2</w:t>
            </w:r>
          </w:p>
        </w:tc>
        <w:tc>
          <w:tcPr>
            <w:tcW w:w="452" w:type="pct"/>
            <w:tcBorders>
              <w:top w:val="single" w:sz="4" w:space="0" w:color="000000"/>
              <w:left w:val="single" w:sz="4" w:space="0" w:color="000000"/>
              <w:bottom w:val="single" w:sz="4" w:space="0" w:color="000000"/>
              <w:right w:val="single" w:sz="4" w:space="0" w:color="000000"/>
            </w:tcBorders>
            <w:vAlign w:val="center"/>
          </w:tcPr>
          <w:p w14:paraId="3EDB2E69" w14:textId="65695543"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w:t>
            </w:r>
            <w:r w:rsidR="00910822" w:rsidRPr="00680839">
              <w:rPr>
                <w:rFonts w:cs="Arial"/>
                <w:color w:val="3A3A3A"/>
                <w:szCs w:val="20"/>
              </w:rPr>
              <w:t>.0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9904D7B" w14:textId="2C51669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F951A2" w14:textId="3A57FB1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BD87B3" w14:textId="5BDD38B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0B9B52" w14:textId="31DEF6A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C526297" w14:textId="674B165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69</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9D37D6" w14:textId="1D5840F4"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90,</w:t>
            </w:r>
            <w:r w:rsidR="00CD5FB8" w:rsidRPr="00680839">
              <w:rPr>
                <w:rFonts w:cs="Arial"/>
                <w:color w:val="3A3A3A"/>
                <w:szCs w:val="20"/>
              </w:rPr>
              <w:t>600</w:t>
            </w:r>
          </w:p>
        </w:tc>
        <w:tc>
          <w:tcPr>
            <w:tcW w:w="452" w:type="pct"/>
            <w:tcBorders>
              <w:top w:val="single" w:sz="4" w:space="0" w:color="000000"/>
              <w:left w:val="single" w:sz="4" w:space="0" w:color="000000"/>
              <w:bottom w:val="single" w:sz="4" w:space="0" w:color="000000"/>
              <w:right w:val="single" w:sz="4" w:space="0" w:color="000000"/>
            </w:tcBorders>
            <w:vAlign w:val="center"/>
          </w:tcPr>
          <w:p w14:paraId="3D73E5AF" w14:textId="752784C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22.9</w:t>
            </w:r>
          </w:p>
        </w:tc>
        <w:tc>
          <w:tcPr>
            <w:tcW w:w="452" w:type="pct"/>
            <w:tcBorders>
              <w:top w:val="single" w:sz="4" w:space="0" w:color="000000"/>
              <w:left w:val="single" w:sz="4" w:space="0" w:color="000000"/>
              <w:bottom w:val="single" w:sz="4" w:space="0" w:color="000000"/>
              <w:right w:val="single" w:sz="4" w:space="0" w:color="auto"/>
            </w:tcBorders>
            <w:vAlign w:val="center"/>
          </w:tcPr>
          <w:p w14:paraId="223F355B" w14:textId="5965B7A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16.0</w:t>
            </w:r>
          </w:p>
        </w:tc>
      </w:tr>
      <w:tr w:rsidR="00910822" w:rsidRPr="005A3AFE" w14:paraId="2B4650B4"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76D06213"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Law and paralegal studies</w:t>
            </w:r>
          </w:p>
        </w:tc>
        <w:tc>
          <w:tcPr>
            <w:tcW w:w="452" w:type="pct"/>
            <w:tcBorders>
              <w:top w:val="single" w:sz="4" w:space="0" w:color="000000"/>
              <w:left w:val="single" w:sz="4" w:space="0" w:color="000000"/>
              <w:bottom w:val="single" w:sz="4" w:space="0" w:color="000000"/>
              <w:right w:val="single" w:sz="4" w:space="0" w:color="000000"/>
            </w:tcBorders>
            <w:vAlign w:val="center"/>
          </w:tcPr>
          <w:p w14:paraId="334F68EA" w14:textId="3F960DA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86.6</w:t>
            </w:r>
          </w:p>
        </w:tc>
        <w:tc>
          <w:tcPr>
            <w:tcW w:w="452" w:type="pct"/>
            <w:tcBorders>
              <w:top w:val="single" w:sz="4" w:space="0" w:color="000000"/>
              <w:left w:val="single" w:sz="4" w:space="0" w:color="000000"/>
              <w:bottom w:val="single" w:sz="4" w:space="0" w:color="000000"/>
              <w:right w:val="single" w:sz="4" w:space="0" w:color="000000"/>
            </w:tcBorders>
            <w:vAlign w:val="center"/>
          </w:tcPr>
          <w:p w14:paraId="0878B626" w14:textId="26A4B414"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95.1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9F07AD1" w14:textId="02B76F1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A46171" w14:textId="39A32576"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96.</w:t>
            </w:r>
            <w:r w:rsidR="00CD5FB8" w:rsidRPr="00680839">
              <w:rPr>
                <w:rFonts w:cs="Arial"/>
                <w:color w:val="3A3A3A"/>
                <w:szCs w:val="20"/>
              </w:rPr>
              <w:t>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3B0AC2" w14:textId="4C2BC2A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18A518" w14:textId="137B9A0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94.6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8263DB" w14:textId="609FA1D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73,100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3DB61B" w14:textId="1BBA1B0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103</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vAlign w:val="center"/>
          </w:tcPr>
          <w:p w14:paraId="4D7FF2DD" w14:textId="1AFDBD4E"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19.</w:t>
            </w:r>
            <w:r w:rsidR="00CD5FB8" w:rsidRPr="00680839">
              <w:rPr>
                <w:rFonts w:cs="Arial"/>
                <w:color w:val="000000"/>
                <w:szCs w:val="20"/>
              </w:rPr>
              <w:t>8</w:t>
            </w:r>
          </w:p>
        </w:tc>
        <w:tc>
          <w:tcPr>
            <w:tcW w:w="452" w:type="pct"/>
            <w:tcBorders>
              <w:top w:val="single" w:sz="4" w:space="0" w:color="000000"/>
              <w:left w:val="single" w:sz="4" w:space="0" w:color="000000"/>
              <w:bottom w:val="single" w:sz="4" w:space="0" w:color="000000"/>
              <w:right w:val="single" w:sz="4" w:space="0" w:color="auto"/>
            </w:tcBorders>
            <w:vAlign w:val="center"/>
          </w:tcPr>
          <w:p w14:paraId="4094E5F2" w14:textId="1E958A08"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6.</w:t>
            </w:r>
            <w:r w:rsidR="00CD5FB8" w:rsidRPr="00680839">
              <w:rPr>
                <w:rFonts w:cs="Arial"/>
                <w:color w:val="000000"/>
                <w:szCs w:val="20"/>
              </w:rPr>
              <w:t>9</w:t>
            </w:r>
          </w:p>
        </w:tc>
      </w:tr>
      <w:tr w:rsidR="00910822" w:rsidRPr="005A3AFE" w14:paraId="6947EFBE"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4392D06C"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Medicine</w:t>
            </w:r>
          </w:p>
        </w:tc>
        <w:tc>
          <w:tcPr>
            <w:tcW w:w="452" w:type="pct"/>
            <w:tcBorders>
              <w:top w:val="single" w:sz="4" w:space="0" w:color="000000"/>
              <w:left w:val="single" w:sz="4" w:space="0" w:color="000000"/>
              <w:bottom w:val="single" w:sz="4" w:space="0" w:color="000000"/>
              <w:right w:val="single" w:sz="4" w:space="0" w:color="000000"/>
            </w:tcBorders>
            <w:vAlign w:val="center"/>
          </w:tcPr>
          <w:p w14:paraId="7252A090" w14:textId="49A8E3D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95.2</w:t>
            </w:r>
          </w:p>
        </w:tc>
        <w:tc>
          <w:tcPr>
            <w:tcW w:w="452" w:type="pct"/>
            <w:tcBorders>
              <w:top w:val="single" w:sz="4" w:space="0" w:color="000000"/>
              <w:left w:val="single" w:sz="4" w:space="0" w:color="000000"/>
              <w:bottom w:val="single" w:sz="4" w:space="0" w:color="000000"/>
              <w:right w:val="single" w:sz="4" w:space="0" w:color="000000"/>
            </w:tcBorders>
            <w:vAlign w:val="center"/>
          </w:tcPr>
          <w:p w14:paraId="66E6B2A4" w14:textId="0FDF7FB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602102" w14:textId="269F370A"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DF24FD" w14:textId="744024A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97.5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89AE0E5" w14:textId="79766379"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93.</w:t>
            </w:r>
            <w:r w:rsidR="00CD5FB8" w:rsidRPr="00680839">
              <w:rPr>
                <w:rFonts w:cs="Arial"/>
                <w:color w:val="3A3A3A"/>
                <w:szCs w:val="20"/>
              </w:rPr>
              <w:t>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8B262B9" w14:textId="35177B79"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87.9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820928" w14:textId="5A15387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83,800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A614FB" w14:textId="2A003679"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124,900</w:t>
            </w:r>
          </w:p>
        </w:tc>
        <w:tc>
          <w:tcPr>
            <w:tcW w:w="452" w:type="pct"/>
            <w:tcBorders>
              <w:top w:val="single" w:sz="4" w:space="0" w:color="000000"/>
              <w:left w:val="single" w:sz="4" w:space="0" w:color="000000"/>
              <w:bottom w:val="single" w:sz="4" w:space="0" w:color="000000"/>
              <w:right w:val="single" w:sz="4" w:space="0" w:color="000000"/>
            </w:tcBorders>
            <w:vAlign w:val="center"/>
          </w:tcPr>
          <w:p w14:paraId="077FA5AC" w14:textId="641255AC"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14.</w:t>
            </w:r>
            <w:r w:rsidR="00CD5FB8" w:rsidRPr="00680839">
              <w:rPr>
                <w:rFonts w:cs="Arial"/>
                <w:color w:val="000000"/>
                <w:szCs w:val="20"/>
              </w:rPr>
              <w:t>7</w:t>
            </w:r>
          </w:p>
        </w:tc>
        <w:tc>
          <w:tcPr>
            <w:tcW w:w="452" w:type="pct"/>
            <w:tcBorders>
              <w:top w:val="single" w:sz="4" w:space="0" w:color="000000"/>
              <w:left w:val="single" w:sz="4" w:space="0" w:color="000000"/>
              <w:bottom w:val="single" w:sz="4" w:space="0" w:color="000000"/>
              <w:right w:val="single" w:sz="4" w:space="0" w:color="auto"/>
            </w:tcBorders>
            <w:vAlign w:val="center"/>
          </w:tcPr>
          <w:p w14:paraId="47036BB6" w14:textId="3AC1F66B"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18.5</w:t>
            </w:r>
          </w:p>
        </w:tc>
      </w:tr>
      <w:tr w:rsidR="00910822" w:rsidRPr="005A3AFE" w14:paraId="15228BC7"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7C548EF"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Nursing</w:t>
            </w:r>
          </w:p>
        </w:tc>
        <w:tc>
          <w:tcPr>
            <w:tcW w:w="452" w:type="pct"/>
            <w:tcBorders>
              <w:top w:val="single" w:sz="4" w:space="0" w:color="000000"/>
              <w:left w:val="single" w:sz="4" w:space="0" w:color="000000"/>
              <w:bottom w:val="single" w:sz="4" w:space="0" w:color="000000"/>
              <w:right w:val="single" w:sz="4" w:space="0" w:color="000000"/>
            </w:tcBorders>
            <w:vAlign w:val="center"/>
          </w:tcPr>
          <w:p w14:paraId="368BA46F" w14:textId="75FFAF1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89.7</w:t>
            </w:r>
          </w:p>
        </w:tc>
        <w:tc>
          <w:tcPr>
            <w:tcW w:w="452" w:type="pct"/>
            <w:tcBorders>
              <w:top w:val="single" w:sz="4" w:space="0" w:color="000000"/>
              <w:left w:val="single" w:sz="4" w:space="0" w:color="000000"/>
              <w:bottom w:val="single" w:sz="4" w:space="0" w:color="000000"/>
              <w:right w:val="single" w:sz="4" w:space="0" w:color="000000"/>
            </w:tcBorders>
            <w:vAlign w:val="center"/>
          </w:tcPr>
          <w:p w14:paraId="2630053A" w14:textId="6256077F"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94.</w:t>
            </w:r>
            <w:r w:rsidR="00CD5FB8" w:rsidRPr="00680839">
              <w:rPr>
                <w:rFonts w:cs="Arial"/>
                <w:color w:val="3A3A3A"/>
                <w:szCs w:val="20"/>
              </w:rPr>
              <w:t>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453FD0" w14:textId="2505ABE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AADDBD0" w14:textId="77163301"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97.</w:t>
            </w:r>
            <w:r w:rsidR="00CD5FB8" w:rsidRPr="00680839">
              <w:rPr>
                <w:rFonts w:cs="Arial"/>
                <w:color w:val="3A3A3A"/>
                <w:szCs w:val="20"/>
              </w:rPr>
              <w:t>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D69ED2" w14:textId="54BC18BF"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95.</w:t>
            </w:r>
            <w:r w:rsidR="00CD5FB8" w:rsidRPr="00680839">
              <w:rPr>
                <w:rFonts w:cs="Arial"/>
                <w:color w:val="3A3A3A"/>
                <w:szCs w:val="20"/>
              </w:rPr>
              <w:t>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697931D" w14:textId="72350531"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92.</w:t>
            </w:r>
            <w:r w:rsidR="00CD5FB8" w:rsidRPr="00680839">
              <w:rPr>
                <w:rFonts w:cs="Arial"/>
                <w:color w:val="3A3A3A"/>
                <w:szCs w:val="20"/>
              </w:rPr>
              <w:t>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F39B8C" w14:textId="7FCA949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70,000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A325CC" w14:textId="110DCFA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89,700</w:t>
            </w:r>
          </w:p>
        </w:tc>
        <w:tc>
          <w:tcPr>
            <w:tcW w:w="452" w:type="pct"/>
            <w:tcBorders>
              <w:top w:val="single" w:sz="4" w:space="0" w:color="000000"/>
              <w:left w:val="single" w:sz="4" w:space="0" w:color="000000"/>
              <w:bottom w:val="single" w:sz="4" w:space="0" w:color="000000"/>
              <w:right w:val="single" w:sz="4" w:space="0" w:color="000000"/>
            </w:tcBorders>
            <w:vAlign w:val="center"/>
          </w:tcPr>
          <w:p w14:paraId="50EDD814" w14:textId="1D22F767"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5</w:t>
            </w:r>
            <w:r w:rsidR="00CD5FB8" w:rsidRPr="00680839">
              <w:rPr>
                <w:rFonts w:cs="Arial"/>
                <w:color w:val="000000"/>
                <w:szCs w:val="20"/>
              </w:rPr>
              <w:t>.0</w:t>
            </w:r>
          </w:p>
        </w:tc>
        <w:tc>
          <w:tcPr>
            <w:tcW w:w="452" w:type="pct"/>
            <w:tcBorders>
              <w:top w:val="single" w:sz="4" w:space="0" w:color="000000"/>
              <w:left w:val="single" w:sz="4" w:space="0" w:color="000000"/>
              <w:bottom w:val="single" w:sz="4" w:space="0" w:color="000000"/>
              <w:right w:val="single" w:sz="4" w:space="0" w:color="auto"/>
            </w:tcBorders>
            <w:vAlign w:val="center"/>
          </w:tcPr>
          <w:p w14:paraId="4F87505B" w14:textId="1F169FC4"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8.</w:t>
            </w:r>
            <w:r w:rsidR="00CD5FB8" w:rsidRPr="00680839">
              <w:rPr>
                <w:rFonts w:cs="Arial"/>
                <w:color w:val="000000"/>
                <w:szCs w:val="20"/>
              </w:rPr>
              <w:t>4</w:t>
            </w:r>
          </w:p>
        </w:tc>
      </w:tr>
      <w:tr w:rsidR="00910822" w:rsidRPr="005A3AFE" w14:paraId="2F12FCFA"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6959072A"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Pharmacy</w:t>
            </w:r>
          </w:p>
        </w:tc>
        <w:tc>
          <w:tcPr>
            <w:tcW w:w="452" w:type="pct"/>
            <w:tcBorders>
              <w:top w:val="single" w:sz="4" w:space="0" w:color="000000"/>
              <w:left w:val="single" w:sz="4" w:space="0" w:color="000000"/>
              <w:bottom w:val="single" w:sz="4" w:space="0" w:color="000000"/>
              <w:right w:val="single" w:sz="4" w:space="0" w:color="000000"/>
            </w:tcBorders>
            <w:vAlign w:val="center"/>
          </w:tcPr>
          <w:p w14:paraId="1774C71A" w14:textId="1444C1B3"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100.0</w:t>
            </w:r>
          </w:p>
        </w:tc>
        <w:tc>
          <w:tcPr>
            <w:tcW w:w="452" w:type="pct"/>
            <w:tcBorders>
              <w:top w:val="single" w:sz="4" w:space="0" w:color="000000"/>
              <w:left w:val="single" w:sz="4" w:space="0" w:color="000000"/>
              <w:bottom w:val="single" w:sz="4" w:space="0" w:color="000000"/>
              <w:right w:val="single" w:sz="4" w:space="0" w:color="000000"/>
            </w:tcBorders>
            <w:vAlign w:val="center"/>
          </w:tcPr>
          <w:p w14:paraId="7606F90C" w14:textId="02EF30F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8D41F1" w14:textId="3D0D98CA"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99.</w:t>
            </w:r>
            <w:r w:rsidR="00CD5FB8" w:rsidRPr="00680839">
              <w:rPr>
                <w:rFonts w:cs="Arial"/>
                <w:color w:val="3A3A3A"/>
                <w:szCs w:val="20"/>
              </w:rPr>
              <w:t>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A276257" w14:textId="4320E1A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98.3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3F46865" w14:textId="70BA19C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55946E" w14:textId="5DE3792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90.1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82BFA1B" w14:textId="06F8D10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56,900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26B5D9" w14:textId="40A6AA9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99,100</w:t>
            </w:r>
          </w:p>
        </w:tc>
        <w:tc>
          <w:tcPr>
            <w:tcW w:w="452" w:type="pct"/>
            <w:tcBorders>
              <w:top w:val="single" w:sz="4" w:space="0" w:color="000000"/>
              <w:left w:val="single" w:sz="4" w:space="0" w:color="000000"/>
              <w:bottom w:val="single" w:sz="4" w:space="0" w:color="000000"/>
              <w:right w:val="single" w:sz="4" w:space="0" w:color="000000"/>
            </w:tcBorders>
            <w:vAlign w:val="center"/>
          </w:tcPr>
          <w:p w14:paraId="1A1B3015" w14:textId="774F4E3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13.9</w:t>
            </w:r>
          </w:p>
        </w:tc>
        <w:tc>
          <w:tcPr>
            <w:tcW w:w="452" w:type="pct"/>
            <w:tcBorders>
              <w:top w:val="single" w:sz="4" w:space="0" w:color="000000"/>
              <w:left w:val="single" w:sz="4" w:space="0" w:color="000000"/>
              <w:bottom w:val="single" w:sz="4" w:space="0" w:color="000000"/>
              <w:right w:val="single" w:sz="4" w:space="0" w:color="auto"/>
            </w:tcBorders>
            <w:vAlign w:val="center"/>
          </w:tcPr>
          <w:p w14:paraId="20105ED6" w14:textId="00FFAD1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11.9</w:t>
            </w:r>
          </w:p>
        </w:tc>
      </w:tr>
      <w:tr w:rsidR="00910822" w:rsidRPr="005A3AFE" w14:paraId="1B1D2CD5"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67FD65F"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Psychology</w:t>
            </w:r>
          </w:p>
        </w:tc>
        <w:tc>
          <w:tcPr>
            <w:tcW w:w="452" w:type="pct"/>
            <w:tcBorders>
              <w:top w:val="single" w:sz="4" w:space="0" w:color="000000"/>
              <w:left w:val="single" w:sz="4" w:space="0" w:color="000000"/>
              <w:bottom w:val="single" w:sz="4" w:space="0" w:color="000000"/>
              <w:right w:val="single" w:sz="4" w:space="0" w:color="000000"/>
            </w:tcBorders>
            <w:vAlign w:val="center"/>
          </w:tcPr>
          <w:p w14:paraId="714F9BED" w14:textId="06AE874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72.9</w:t>
            </w:r>
          </w:p>
        </w:tc>
        <w:tc>
          <w:tcPr>
            <w:tcW w:w="452" w:type="pct"/>
            <w:tcBorders>
              <w:top w:val="single" w:sz="4" w:space="0" w:color="000000"/>
              <w:left w:val="single" w:sz="4" w:space="0" w:color="000000"/>
              <w:bottom w:val="single" w:sz="4" w:space="0" w:color="000000"/>
              <w:right w:val="single" w:sz="4" w:space="0" w:color="000000"/>
            </w:tcBorders>
            <w:vAlign w:val="center"/>
          </w:tcPr>
          <w:p w14:paraId="161DD3C1" w14:textId="14AB3E54"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5141F2" w14:textId="2001777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55BA88B" w14:textId="798B29CA"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85DCF36" w14:textId="26ECA1E6"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90.</w:t>
            </w:r>
            <w:r w:rsidR="00CD5FB8" w:rsidRPr="00680839">
              <w:rPr>
                <w:rFonts w:cs="Arial"/>
                <w:color w:val="3A3A3A"/>
                <w:szCs w:val="20"/>
              </w:rPr>
              <w:t>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E3280E" w14:textId="6019EB7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w:t>
            </w:r>
            <w:r w:rsidR="00910822" w:rsidRPr="00680839">
              <w:rPr>
                <w:rFonts w:cs="Arial"/>
                <w:color w:val="3A3A3A"/>
                <w:szCs w:val="20"/>
              </w:rPr>
              <w:t>.3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8467F8" w14:textId="7795F7A9"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70,000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C95687D" w14:textId="0E3F4C8A"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92,500</w:t>
            </w:r>
          </w:p>
        </w:tc>
        <w:tc>
          <w:tcPr>
            <w:tcW w:w="452" w:type="pct"/>
            <w:tcBorders>
              <w:top w:val="single" w:sz="4" w:space="0" w:color="000000"/>
              <w:left w:val="single" w:sz="4" w:space="0" w:color="000000"/>
              <w:bottom w:val="single" w:sz="4" w:space="0" w:color="000000"/>
              <w:right w:val="single" w:sz="4" w:space="0" w:color="000000"/>
            </w:tcBorders>
            <w:vAlign w:val="center"/>
          </w:tcPr>
          <w:p w14:paraId="1AD6639F" w14:textId="0FCA62F9"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28.7</w:t>
            </w:r>
          </w:p>
        </w:tc>
        <w:tc>
          <w:tcPr>
            <w:tcW w:w="452" w:type="pct"/>
            <w:tcBorders>
              <w:top w:val="single" w:sz="4" w:space="0" w:color="000000"/>
              <w:left w:val="single" w:sz="4" w:space="0" w:color="000000"/>
              <w:bottom w:val="single" w:sz="4" w:space="0" w:color="000000"/>
              <w:right w:val="single" w:sz="4" w:space="0" w:color="auto"/>
            </w:tcBorders>
            <w:vAlign w:val="center"/>
          </w:tcPr>
          <w:p w14:paraId="2DB886EE" w14:textId="597B8F8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23.0</w:t>
            </w:r>
          </w:p>
        </w:tc>
      </w:tr>
      <w:tr w:rsidR="00910822" w:rsidRPr="005A3AFE" w14:paraId="63DA6FDC"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494DAF16"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Rehabilitation</w:t>
            </w:r>
          </w:p>
        </w:tc>
        <w:tc>
          <w:tcPr>
            <w:tcW w:w="452" w:type="pct"/>
            <w:tcBorders>
              <w:top w:val="single" w:sz="4" w:space="0" w:color="000000"/>
              <w:left w:val="single" w:sz="4" w:space="0" w:color="000000"/>
              <w:bottom w:val="single" w:sz="4" w:space="0" w:color="000000"/>
              <w:right w:val="single" w:sz="4" w:space="0" w:color="000000"/>
            </w:tcBorders>
            <w:vAlign w:val="center"/>
          </w:tcPr>
          <w:p w14:paraId="4442B250" w14:textId="08B2C445"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96.</w:t>
            </w:r>
            <w:r w:rsidR="00CD5FB8" w:rsidRPr="00680839">
              <w:rPr>
                <w:rFonts w:cs="Arial"/>
                <w:color w:val="3A3A3A"/>
                <w:szCs w:val="20"/>
              </w:rPr>
              <w:t>6</w:t>
            </w:r>
          </w:p>
        </w:tc>
        <w:tc>
          <w:tcPr>
            <w:tcW w:w="452" w:type="pct"/>
            <w:tcBorders>
              <w:top w:val="single" w:sz="4" w:space="0" w:color="000000"/>
              <w:left w:val="single" w:sz="4" w:space="0" w:color="000000"/>
              <w:bottom w:val="single" w:sz="4" w:space="0" w:color="000000"/>
              <w:right w:val="single" w:sz="4" w:space="0" w:color="000000"/>
            </w:tcBorders>
            <w:vAlign w:val="center"/>
          </w:tcPr>
          <w:p w14:paraId="4DBF804D" w14:textId="6B5971A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97.2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A9F0A0" w14:textId="3D584608"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97.</w:t>
            </w:r>
            <w:r w:rsidR="00CD5FB8" w:rsidRPr="00680839">
              <w:rPr>
                <w:rFonts w:cs="Arial"/>
                <w:color w:val="3A3A3A"/>
                <w:szCs w:val="20"/>
              </w:rPr>
              <w:t>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80FE20" w14:textId="160E574B"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97.</w:t>
            </w:r>
            <w:r w:rsidR="00CD5FB8" w:rsidRPr="00680839">
              <w:rPr>
                <w:rFonts w:cs="Arial"/>
                <w:color w:val="3A3A3A"/>
                <w:szCs w:val="20"/>
              </w:rPr>
              <w:t>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A1B67D" w14:textId="52343BA7"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97.</w:t>
            </w:r>
            <w:r w:rsidR="00CD5FB8" w:rsidRPr="00680839">
              <w:rPr>
                <w:rFonts w:cs="Arial"/>
                <w:color w:val="3A3A3A"/>
                <w:szCs w:val="20"/>
              </w:rPr>
              <w:t>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E2C157" w14:textId="37B0F48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1FE338" w14:textId="3B12EAFC"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70,</w:t>
            </w:r>
            <w:r w:rsidR="00CD5FB8" w:rsidRPr="00680839">
              <w:rPr>
                <w:rFonts w:cs="Arial"/>
                <w:color w:val="3A3A3A"/>
                <w:szCs w:val="20"/>
              </w:rPr>
              <w:t>700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5CD987" w14:textId="6BD9081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95,000</w:t>
            </w:r>
          </w:p>
        </w:tc>
        <w:tc>
          <w:tcPr>
            <w:tcW w:w="452" w:type="pct"/>
            <w:tcBorders>
              <w:top w:val="single" w:sz="4" w:space="0" w:color="000000"/>
              <w:left w:val="single" w:sz="4" w:space="0" w:color="000000"/>
              <w:bottom w:val="single" w:sz="4" w:space="0" w:color="000000"/>
              <w:right w:val="single" w:sz="4" w:space="0" w:color="000000"/>
            </w:tcBorders>
            <w:vAlign w:val="center"/>
          </w:tcPr>
          <w:p w14:paraId="3211BF06" w14:textId="3D42B51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2.2</w:t>
            </w:r>
          </w:p>
        </w:tc>
        <w:tc>
          <w:tcPr>
            <w:tcW w:w="452" w:type="pct"/>
            <w:tcBorders>
              <w:top w:val="single" w:sz="4" w:space="0" w:color="000000"/>
              <w:left w:val="single" w:sz="4" w:space="0" w:color="000000"/>
              <w:bottom w:val="single" w:sz="4" w:space="0" w:color="000000"/>
              <w:right w:val="single" w:sz="4" w:space="0" w:color="auto"/>
            </w:tcBorders>
            <w:vAlign w:val="center"/>
          </w:tcPr>
          <w:p w14:paraId="6DDA1EBF" w14:textId="1BAB230F"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5.</w:t>
            </w:r>
            <w:r w:rsidR="00CD5FB8" w:rsidRPr="00680839">
              <w:rPr>
                <w:rFonts w:cs="Arial"/>
                <w:color w:val="000000"/>
                <w:szCs w:val="20"/>
              </w:rPr>
              <w:t>4</w:t>
            </w:r>
          </w:p>
        </w:tc>
      </w:tr>
      <w:tr w:rsidR="00910822" w:rsidRPr="005A3AFE" w14:paraId="180158F0"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4E02291B"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Science and mathematics</w:t>
            </w:r>
          </w:p>
        </w:tc>
        <w:tc>
          <w:tcPr>
            <w:tcW w:w="452" w:type="pct"/>
            <w:tcBorders>
              <w:top w:val="single" w:sz="4" w:space="0" w:color="000000"/>
              <w:left w:val="single" w:sz="4" w:space="0" w:color="000000"/>
              <w:bottom w:val="single" w:sz="4" w:space="0" w:color="000000"/>
              <w:right w:val="single" w:sz="4" w:space="0" w:color="000000"/>
            </w:tcBorders>
            <w:vAlign w:val="center"/>
          </w:tcPr>
          <w:p w14:paraId="43EFD703" w14:textId="6C58426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71.2</w:t>
            </w:r>
          </w:p>
        </w:tc>
        <w:tc>
          <w:tcPr>
            <w:tcW w:w="452" w:type="pct"/>
            <w:tcBorders>
              <w:top w:val="single" w:sz="4" w:space="0" w:color="000000"/>
              <w:left w:val="single" w:sz="4" w:space="0" w:color="000000"/>
              <w:bottom w:val="single" w:sz="4" w:space="0" w:color="000000"/>
              <w:right w:val="single" w:sz="4" w:space="0" w:color="000000"/>
            </w:tcBorders>
            <w:vAlign w:val="center"/>
          </w:tcPr>
          <w:p w14:paraId="63185EA3" w14:textId="7B4218AA"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89.3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F3772C" w14:textId="25C4BE7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87.8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2F924C" w14:textId="26233374"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92.</w:t>
            </w:r>
            <w:r w:rsidR="00CD5FB8" w:rsidRPr="00680839">
              <w:rPr>
                <w:rFonts w:cs="Arial"/>
                <w:color w:val="3A3A3A"/>
                <w:szCs w:val="20"/>
              </w:rPr>
              <w:t>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0C5A1C" w14:textId="6D1A4A4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E9983F" w14:textId="387BB06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83.8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7828BF2" w14:textId="3E07BF3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70,000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3F7B56" w14:textId="5630C173"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88,000</w:t>
            </w:r>
          </w:p>
        </w:tc>
        <w:tc>
          <w:tcPr>
            <w:tcW w:w="452" w:type="pct"/>
            <w:tcBorders>
              <w:top w:val="single" w:sz="4" w:space="0" w:color="000000"/>
              <w:left w:val="single" w:sz="4" w:space="0" w:color="000000"/>
              <w:bottom w:val="single" w:sz="4" w:space="0" w:color="000000"/>
              <w:right w:val="single" w:sz="4" w:space="0" w:color="000000"/>
            </w:tcBorders>
            <w:vAlign w:val="center"/>
          </w:tcPr>
          <w:p w14:paraId="3C6B6377" w14:textId="5AF2CA6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33.4</w:t>
            </w:r>
          </w:p>
        </w:tc>
        <w:tc>
          <w:tcPr>
            <w:tcW w:w="452" w:type="pct"/>
            <w:tcBorders>
              <w:top w:val="single" w:sz="4" w:space="0" w:color="000000"/>
              <w:left w:val="single" w:sz="4" w:space="0" w:color="000000"/>
              <w:bottom w:val="single" w:sz="4" w:space="0" w:color="000000"/>
              <w:right w:val="single" w:sz="4" w:space="0" w:color="auto"/>
            </w:tcBorders>
            <w:vAlign w:val="center"/>
          </w:tcPr>
          <w:p w14:paraId="7ED3A22B" w14:textId="03E1E11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33.4</w:t>
            </w:r>
          </w:p>
        </w:tc>
      </w:tr>
      <w:tr w:rsidR="00910822" w:rsidRPr="005A3AFE" w14:paraId="6346F9DB"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6BDB8D9" w14:textId="77777777" w:rsidR="00910822" w:rsidRPr="00680839" w:rsidRDefault="00910822" w:rsidP="00000117">
            <w:pPr>
              <w:spacing w:before="80" w:after="80" w:line="288" w:lineRule="auto"/>
              <w:ind w:left="57" w:right="57"/>
              <w:rPr>
                <w:rFonts w:eastAsia="Aptos" w:cs="Arial"/>
                <w:szCs w:val="20"/>
              </w:rPr>
            </w:pPr>
            <w:r w:rsidRPr="00680839">
              <w:rPr>
                <w:rFonts w:cs="Arial"/>
                <w:color w:val="000000"/>
                <w:szCs w:val="20"/>
              </w:rPr>
              <w:t>Social work</w:t>
            </w:r>
          </w:p>
        </w:tc>
        <w:tc>
          <w:tcPr>
            <w:tcW w:w="452" w:type="pct"/>
            <w:tcBorders>
              <w:top w:val="single" w:sz="4" w:space="0" w:color="000000"/>
              <w:left w:val="single" w:sz="4" w:space="0" w:color="000000"/>
              <w:bottom w:val="single" w:sz="4" w:space="0" w:color="000000"/>
              <w:right w:val="single" w:sz="4" w:space="0" w:color="000000"/>
            </w:tcBorders>
            <w:vAlign w:val="center"/>
          </w:tcPr>
          <w:p w14:paraId="3768FF26" w14:textId="1764988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82.9</w:t>
            </w:r>
          </w:p>
        </w:tc>
        <w:tc>
          <w:tcPr>
            <w:tcW w:w="452" w:type="pct"/>
            <w:tcBorders>
              <w:top w:val="single" w:sz="4" w:space="0" w:color="000000"/>
              <w:left w:val="single" w:sz="4" w:space="0" w:color="000000"/>
              <w:bottom w:val="single" w:sz="4" w:space="0" w:color="000000"/>
              <w:right w:val="single" w:sz="4" w:space="0" w:color="000000"/>
            </w:tcBorders>
            <w:vAlign w:val="center"/>
          </w:tcPr>
          <w:p w14:paraId="521135FC" w14:textId="597DC2A4"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950F4F0" w14:textId="5F2E4D4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D186B6" w14:textId="716B8C8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96.7</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29C0C5" w14:textId="420718C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94.5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2D51870" w14:textId="25A710B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88.5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417567B" w14:textId="220CC6C5"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77,600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E5D85B2" w14:textId="22FF37F0"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97,000</w:t>
            </w:r>
          </w:p>
        </w:tc>
        <w:tc>
          <w:tcPr>
            <w:tcW w:w="452" w:type="pct"/>
            <w:tcBorders>
              <w:top w:val="single" w:sz="4" w:space="0" w:color="000000"/>
              <w:left w:val="single" w:sz="4" w:space="0" w:color="000000"/>
              <w:bottom w:val="single" w:sz="4" w:space="0" w:color="000000"/>
              <w:right w:val="single" w:sz="4" w:space="0" w:color="000000"/>
            </w:tcBorders>
            <w:vAlign w:val="center"/>
          </w:tcPr>
          <w:p w14:paraId="64DEF5C6" w14:textId="633B106C"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11.6</w:t>
            </w:r>
          </w:p>
        </w:tc>
        <w:tc>
          <w:tcPr>
            <w:tcW w:w="452" w:type="pct"/>
            <w:tcBorders>
              <w:top w:val="single" w:sz="4" w:space="0" w:color="000000"/>
              <w:left w:val="single" w:sz="4" w:space="0" w:color="000000"/>
              <w:bottom w:val="single" w:sz="4" w:space="0" w:color="000000"/>
              <w:right w:val="single" w:sz="4" w:space="0" w:color="auto"/>
            </w:tcBorders>
            <w:vAlign w:val="center"/>
          </w:tcPr>
          <w:p w14:paraId="58878D5C" w14:textId="3AB0E21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6.4</w:t>
            </w:r>
          </w:p>
        </w:tc>
      </w:tr>
      <w:tr w:rsidR="00910822" w:rsidRPr="005A3AFE" w14:paraId="6854A6EA"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34EC34EE" w14:textId="77777777" w:rsidR="00910822" w:rsidRPr="00680839" w:rsidRDefault="00910822" w:rsidP="00000117">
            <w:pPr>
              <w:spacing w:before="80" w:after="80" w:line="288" w:lineRule="auto"/>
              <w:ind w:left="57" w:right="57"/>
              <w:rPr>
                <w:rFonts w:eastAsia="Aptos" w:cs="Arial"/>
                <w:b/>
                <w:szCs w:val="20"/>
              </w:rPr>
            </w:pPr>
            <w:r w:rsidRPr="00680839">
              <w:rPr>
                <w:rFonts w:cs="Arial"/>
                <w:color w:val="000000"/>
                <w:szCs w:val="20"/>
              </w:rPr>
              <w:t>Teacher education</w:t>
            </w:r>
          </w:p>
        </w:tc>
        <w:tc>
          <w:tcPr>
            <w:tcW w:w="452" w:type="pct"/>
            <w:tcBorders>
              <w:top w:val="single" w:sz="4" w:space="0" w:color="000000"/>
              <w:left w:val="single" w:sz="4" w:space="0" w:color="000000"/>
              <w:bottom w:val="single" w:sz="4" w:space="0" w:color="000000"/>
              <w:right w:val="single" w:sz="4" w:space="0" w:color="000000"/>
            </w:tcBorders>
            <w:vAlign w:val="center"/>
          </w:tcPr>
          <w:p w14:paraId="64B7574A" w14:textId="247797A6"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91.3</w:t>
            </w:r>
          </w:p>
        </w:tc>
        <w:tc>
          <w:tcPr>
            <w:tcW w:w="452" w:type="pct"/>
            <w:tcBorders>
              <w:top w:val="single" w:sz="4" w:space="0" w:color="000000"/>
              <w:left w:val="single" w:sz="4" w:space="0" w:color="000000"/>
              <w:bottom w:val="single" w:sz="4" w:space="0" w:color="000000"/>
              <w:right w:val="single" w:sz="4" w:space="0" w:color="000000"/>
            </w:tcBorders>
            <w:vAlign w:val="center"/>
          </w:tcPr>
          <w:p w14:paraId="689CA100" w14:textId="2117DF6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94.9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D96526" w14:textId="41AED6ED"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95.3</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0A4F14" w14:textId="79C6388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96.9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8877CD" w14:textId="7BAE9637"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68BC88" w14:textId="04C57DC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1564B3" w14:textId="7B25219F"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75,000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C5292E" w14:textId="25D037D8"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95,000</w:t>
            </w:r>
          </w:p>
        </w:tc>
        <w:tc>
          <w:tcPr>
            <w:tcW w:w="452" w:type="pct"/>
            <w:tcBorders>
              <w:top w:val="single" w:sz="4" w:space="0" w:color="000000"/>
              <w:left w:val="single" w:sz="4" w:space="0" w:color="000000"/>
              <w:bottom w:val="single" w:sz="4" w:space="0" w:color="000000"/>
              <w:right w:val="single" w:sz="4" w:space="0" w:color="000000"/>
            </w:tcBorders>
            <w:vAlign w:val="center"/>
          </w:tcPr>
          <w:p w14:paraId="00C990D2" w14:textId="22237EF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7.4</w:t>
            </w:r>
          </w:p>
        </w:tc>
        <w:tc>
          <w:tcPr>
            <w:tcW w:w="452" w:type="pct"/>
            <w:tcBorders>
              <w:top w:val="single" w:sz="4" w:space="0" w:color="000000"/>
              <w:left w:val="single" w:sz="4" w:space="0" w:color="000000"/>
              <w:bottom w:val="single" w:sz="4" w:space="0" w:color="000000"/>
              <w:right w:val="single" w:sz="4" w:space="0" w:color="auto"/>
            </w:tcBorders>
            <w:vAlign w:val="center"/>
          </w:tcPr>
          <w:p w14:paraId="4FC58A3A" w14:textId="474216AB"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000000"/>
                <w:szCs w:val="20"/>
              </w:rPr>
              <w:t>4</w:t>
            </w:r>
            <w:r w:rsidR="00CD5FB8" w:rsidRPr="00680839">
              <w:rPr>
                <w:rFonts w:cs="Arial"/>
                <w:color w:val="000000"/>
                <w:szCs w:val="20"/>
              </w:rPr>
              <w:t>.7</w:t>
            </w:r>
          </w:p>
        </w:tc>
      </w:tr>
      <w:tr w:rsidR="00910822" w:rsidRPr="005A3AFE" w14:paraId="74E1A32F"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12944E21" w14:textId="63329F2E" w:rsidR="00910822" w:rsidRPr="00680839" w:rsidRDefault="00910822" w:rsidP="00121BDC">
            <w:pPr>
              <w:keepNext/>
              <w:spacing w:before="80" w:after="80" w:line="288" w:lineRule="auto"/>
              <w:ind w:left="57" w:right="57"/>
              <w:rPr>
                <w:rFonts w:eastAsia="Aptos" w:cs="Arial"/>
                <w:b/>
                <w:szCs w:val="20"/>
              </w:rPr>
            </w:pPr>
            <w:r w:rsidRPr="00680839">
              <w:rPr>
                <w:rFonts w:cs="Arial"/>
                <w:color w:val="000000"/>
                <w:szCs w:val="20"/>
              </w:rPr>
              <w:lastRenderedPageBreak/>
              <w:t>Tourism, hospitality, personal services, sport</w:t>
            </w:r>
            <w:r w:rsidR="00000117">
              <w:rPr>
                <w:rFonts w:cs="Arial"/>
                <w:color w:val="000000"/>
                <w:szCs w:val="20"/>
              </w:rPr>
              <w:t xml:space="preserve"> </w:t>
            </w:r>
            <w:r w:rsidRPr="00680839">
              <w:rPr>
                <w:rFonts w:cs="Arial"/>
                <w:color w:val="000000"/>
                <w:szCs w:val="20"/>
              </w:rPr>
              <w:t>and recreation</w:t>
            </w:r>
          </w:p>
        </w:tc>
        <w:tc>
          <w:tcPr>
            <w:tcW w:w="452" w:type="pct"/>
            <w:tcBorders>
              <w:top w:val="single" w:sz="4" w:space="0" w:color="000000"/>
              <w:left w:val="single" w:sz="4" w:space="0" w:color="000000"/>
              <w:bottom w:val="single" w:sz="4" w:space="0" w:color="000000"/>
              <w:right w:val="single" w:sz="4" w:space="0" w:color="000000"/>
            </w:tcBorders>
            <w:vAlign w:val="center"/>
          </w:tcPr>
          <w:p w14:paraId="5E8609C6" w14:textId="1F9C3586"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71.4</w:t>
            </w:r>
          </w:p>
        </w:tc>
        <w:tc>
          <w:tcPr>
            <w:tcW w:w="452" w:type="pct"/>
            <w:tcBorders>
              <w:top w:val="single" w:sz="4" w:space="0" w:color="000000"/>
              <w:left w:val="single" w:sz="4" w:space="0" w:color="000000"/>
              <w:bottom w:val="single" w:sz="4" w:space="0" w:color="000000"/>
              <w:right w:val="single" w:sz="4" w:space="0" w:color="000000"/>
            </w:tcBorders>
            <w:vAlign w:val="center"/>
          </w:tcPr>
          <w:p w14:paraId="5731DD33" w14:textId="07578855"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94.4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FFD96D" w14:textId="13735FBF"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87.2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44F3A8" w14:textId="6DD07F91"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97.6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442B53" w14:textId="0699AA02"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97.9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3F114D" w14:textId="5401960B"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87.5</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87A472" w14:textId="247DE76E" w:rsidR="00910822" w:rsidRPr="00680839" w:rsidRDefault="00910822" w:rsidP="00121BDC">
            <w:pPr>
              <w:keepNext/>
              <w:spacing w:before="80" w:after="80" w:line="288" w:lineRule="auto"/>
              <w:ind w:left="57" w:right="57"/>
              <w:jc w:val="center"/>
              <w:rPr>
                <w:rFonts w:eastAsia="Aptos" w:cs="Arial"/>
                <w:color w:val="000000"/>
                <w:szCs w:val="20"/>
              </w:rPr>
            </w:pPr>
            <w:r w:rsidRPr="00680839">
              <w:rPr>
                <w:rFonts w:cs="Arial"/>
                <w:color w:val="3A3A3A"/>
                <w:szCs w:val="20"/>
              </w:rPr>
              <w:t>n/a</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BC6B5A" w14:textId="3E9DFAC5"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3A3A3A"/>
                <w:szCs w:val="20"/>
              </w:rPr>
              <w:t>86,000</w:t>
            </w:r>
          </w:p>
        </w:tc>
        <w:tc>
          <w:tcPr>
            <w:tcW w:w="452" w:type="pct"/>
            <w:tcBorders>
              <w:top w:val="single" w:sz="4" w:space="0" w:color="000000"/>
              <w:left w:val="single" w:sz="4" w:space="0" w:color="000000"/>
              <w:bottom w:val="single" w:sz="4" w:space="0" w:color="000000"/>
              <w:right w:val="single" w:sz="4" w:space="0" w:color="000000"/>
            </w:tcBorders>
            <w:vAlign w:val="center"/>
          </w:tcPr>
          <w:p w14:paraId="5D6F2F8A" w14:textId="5606613E"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000000"/>
                <w:szCs w:val="20"/>
              </w:rPr>
              <w:t>15.0</w:t>
            </w:r>
          </w:p>
        </w:tc>
        <w:tc>
          <w:tcPr>
            <w:tcW w:w="452" w:type="pct"/>
            <w:tcBorders>
              <w:top w:val="single" w:sz="4" w:space="0" w:color="000000"/>
              <w:left w:val="single" w:sz="4" w:space="0" w:color="000000"/>
              <w:bottom w:val="single" w:sz="4" w:space="0" w:color="000000"/>
              <w:right w:val="single" w:sz="4" w:space="0" w:color="auto"/>
            </w:tcBorders>
            <w:vAlign w:val="center"/>
          </w:tcPr>
          <w:p w14:paraId="0D7FA4CA" w14:textId="5F0B1131" w:rsidR="00910822" w:rsidRPr="00680839" w:rsidRDefault="00CD5FB8" w:rsidP="00121BDC">
            <w:pPr>
              <w:keepNext/>
              <w:spacing w:before="80" w:after="80" w:line="288" w:lineRule="auto"/>
              <w:ind w:left="57" w:right="57"/>
              <w:jc w:val="center"/>
              <w:rPr>
                <w:rFonts w:eastAsia="Aptos" w:cs="Arial"/>
                <w:color w:val="000000"/>
                <w:szCs w:val="20"/>
              </w:rPr>
            </w:pPr>
            <w:r w:rsidRPr="00680839">
              <w:rPr>
                <w:rFonts w:cs="Arial"/>
                <w:color w:val="000000"/>
                <w:szCs w:val="20"/>
              </w:rPr>
              <w:t>5.6</w:t>
            </w:r>
          </w:p>
        </w:tc>
      </w:tr>
      <w:tr w:rsidR="00910822" w:rsidRPr="005A3AFE" w14:paraId="3467D41F"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F3E3F0F" w14:textId="77777777" w:rsidR="00910822" w:rsidRPr="00680839" w:rsidRDefault="00910822" w:rsidP="00000117">
            <w:pPr>
              <w:spacing w:before="80" w:after="80" w:line="288" w:lineRule="auto"/>
              <w:ind w:left="57" w:right="57"/>
              <w:rPr>
                <w:rFonts w:eastAsia="Aptos" w:cs="Arial"/>
                <w:b/>
                <w:szCs w:val="20"/>
              </w:rPr>
            </w:pPr>
            <w:r w:rsidRPr="00680839">
              <w:rPr>
                <w:rFonts w:cs="Arial"/>
                <w:color w:val="000000"/>
                <w:szCs w:val="20"/>
              </w:rPr>
              <w:t>Veterinary science</w:t>
            </w:r>
          </w:p>
        </w:tc>
        <w:tc>
          <w:tcPr>
            <w:tcW w:w="452" w:type="pct"/>
            <w:tcBorders>
              <w:top w:val="single" w:sz="4" w:space="0" w:color="000000"/>
              <w:left w:val="single" w:sz="4" w:space="0" w:color="000000"/>
              <w:bottom w:val="single" w:sz="4" w:space="0" w:color="000000"/>
              <w:right w:val="single" w:sz="4" w:space="0" w:color="000000"/>
            </w:tcBorders>
            <w:vAlign w:val="center"/>
          </w:tcPr>
          <w:p w14:paraId="6205D506" w14:textId="1763DB5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92.9</w:t>
            </w:r>
          </w:p>
        </w:tc>
        <w:tc>
          <w:tcPr>
            <w:tcW w:w="452" w:type="pct"/>
            <w:tcBorders>
              <w:top w:val="single" w:sz="4" w:space="0" w:color="000000"/>
              <w:left w:val="single" w:sz="4" w:space="0" w:color="000000"/>
              <w:bottom w:val="single" w:sz="4" w:space="0" w:color="000000"/>
              <w:right w:val="single" w:sz="4" w:space="0" w:color="000000"/>
            </w:tcBorders>
            <w:vAlign w:val="center"/>
          </w:tcPr>
          <w:p w14:paraId="14CA3853" w14:textId="69A639F7"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93.</w:t>
            </w:r>
            <w:r w:rsidR="00CD5FB8" w:rsidRPr="00680839">
              <w:rPr>
                <w:rFonts w:cs="Arial"/>
                <w:color w:val="3A3A3A"/>
                <w:szCs w:val="20"/>
              </w:rPr>
              <w:t>1</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DF8645" w14:textId="1A6885E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92.4</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2ECECC" w14:textId="029EFE6E" w:rsidR="00910822" w:rsidRPr="00680839" w:rsidRDefault="00910822" w:rsidP="00000117">
            <w:pPr>
              <w:spacing w:before="80" w:after="80" w:line="288" w:lineRule="auto"/>
              <w:ind w:left="57" w:right="57"/>
              <w:jc w:val="center"/>
              <w:rPr>
                <w:rFonts w:eastAsia="Aptos" w:cs="Arial"/>
                <w:color w:val="000000"/>
                <w:szCs w:val="20"/>
              </w:rPr>
            </w:pPr>
            <w:r w:rsidRPr="00680839">
              <w:rPr>
                <w:rFonts w:cs="Arial"/>
                <w:color w:val="3A3A3A"/>
                <w:szCs w:val="20"/>
              </w:rPr>
              <w:t>96.</w:t>
            </w:r>
            <w:r w:rsidR="00CD5FB8" w:rsidRPr="00680839">
              <w:rPr>
                <w:rFonts w:cs="Arial"/>
                <w:color w:val="3A3A3A"/>
                <w:szCs w:val="20"/>
              </w:rPr>
              <w:t>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C037C3" w14:textId="3A63AE8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93.8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27EA8A" w14:textId="7B72211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90.2</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75D7A8A" w14:textId="13A36DF1"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69,800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832C1C6" w14:textId="21657709"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3A3A3A"/>
                <w:szCs w:val="20"/>
              </w:rPr>
              <w:t>92</w:t>
            </w:r>
            <w:r w:rsidR="00910822" w:rsidRPr="00680839">
              <w:rPr>
                <w:rFonts w:cs="Arial"/>
                <w:color w:val="3A3A3A"/>
                <w:szCs w:val="20"/>
              </w:rPr>
              <w:t>,000</w:t>
            </w:r>
          </w:p>
        </w:tc>
        <w:tc>
          <w:tcPr>
            <w:tcW w:w="452" w:type="pct"/>
            <w:tcBorders>
              <w:top w:val="single" w:sz="4" w:space="0" w:color="000000"/>
              <w:left w:val="single" w:sz="4" w:space="0" w:color="000000"/>
              <w:bottom w:val="single" w:sz="4" w:space="0" w:color="000000"/>
              <w:right w:val="single" w:sz="4" w:space="0" w:color="000000"/>
            </w:tcBorders>
            <w:vAlign w:val="center"/>
          </w:tcPr>
          <w:p w14:paraId="6E4080E6" w14:textId="6D3D7162"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15.7</w:t>
            </w:r>
          </w:p>
        </w:tc>
        <w:tc>
          <w:tcPr>
            <w:tcW w:w="452" w:type="pct"/>
            <w:tcBorders>
              <w:top w:val="single" w:sz="4" w:space="0" w:color="000000"/>
              <w:left w:val="single" w:sz="4" w:space="0" w:color="000000"/>
              <w:bottom w:val="single" w:sz="4" w:space="0" w:color="000000"/>
              <w:right w:val="single" w:sz="4" w:space="0" w:color="auto"/>
            </w:tcBorders>
            <w:vAlign w:val="center"/>
          </w:tcPr>
          <w:p w14:paraId="3B9DEBB2" w14:textId="7E04DD6E" w:rsidR="00910822" w:rsidRPr="00680839" w:rsidRDefault="00CD5FB8" w:rsidP="00000117">
            <w:pPr>
              <w:spacing w:before="80" w:after="80" w:line="288" w:lineRule="auto"/>
              <w:ind w:left="57" w:right="57"/>
              <w:jc w:val="center"/>
              <w:rPr>
                <w:rFonts w:eastAsia="Aptos" w:cs="Arial"/>
                <w:color w:val="000000"/>
                <w:szCs w:val="20"/>
              </w:rPr>
            </w:pPr>
            <w:r w:rsidRPr="00680839">
              <w:rPr>
                <w:rFonts w:cs="Arial"/>
                <w:color w:val="000000"/>
                <w:szCs w:val="20"/>
              </w:rPr>
              <w:t>13.6</w:t>
            </w:r>
          </w:p>
        </w:tc>
      </w:tr>
      <w:tr w:rsidR="00910822" w:rsidRPr="005A3AFE" w14:paraId="7AAA06EA" w14:textId="77777777" w:rsidTr="003376D8">
        <w:trPr>
          <w:trHeight w:val="60"/>
        </w:trPr>
        <w:tc>
          <w:tcPr>
            <w:tcW w:w="478"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E41758B" w14:textId="6BE6E0F1" w:rsidR="00910822" w:rsidRPr="00680839" w:rsidRDefault="00105A00" w:rsidP="00000117">
            <w:pPr>
              <w:spacing w:before="80" w:after="80" w:line="288" w:lineRule="auto"/>
              <w:ind w:left="57" w:right="57"/>
              <w:rPr>
                <w:rFonts w:eastAsia="Aptos" w:cs="Arial"/>
                <w:b/>
                <w:szCs w:val="20"/>
              </w:rPr>
            </w:pPr>
            <w:r w:rsidRPr="00680839">
              <w:rPr>
                <w:rFonts w:cs="Arial"/>
                <w:b/>
                <w:color w:val="000000"/>
                <w:szCs w:val="20"/>
              </w:rPr>
              <w:t>All study areas</w:t>
            </w:r>
          </w:p>
        </w:tc>
        <w:tc>
          <w:tcPr>
            <w:tcW w:w="452" w:type="pct"/>
            <w:tcBorders>
              <w:top w:val="single" w:sz="4" w:space="0" w:color="000000"/>
              <w:left w:val="single" w:sz="4" w:space="0" w:color="000000"/>
              <w:bottom w:val="single" w:sz="4" w:space="0" w:color="000000"/>
              <w:right w:val="single" w:sz="4" w:space="0" w:color="000000"/>
            </w:tcBorders>
            <w:vAlign w:val="center"/>
          </w:tcPr>
          <w:p w14:paraId="00470588" w14:textId="71A7E400"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3A3A3A"/>
                <w:szCs w:val="20"/>
              </w:rPr>
              <w:t>80.2</w:t>
            </w:r>
          </w:p>
        </w:tc>
        <w:tc>
          <w:tcPr>
            <w:tcW w:w="452" w:type="pct"/>
            <w:tcBorders>
              <w:top w:val="single" w:sz="4" w:space="0" w:color="000000"/>
              <w:left w:val="single" w:sz="4" w:space="0" w:color="000000"/>
              <w:bottom w:val="single" w:sz="4" w:space="0" w:color="000000"/>
              <w:right w:val="single" w:sz="4" w:space="0" w:color="000000"/>
            </w:tcBorders>
            <w:vAlign w:val="center"/>
          </w:tcPr>
          <w:p w14:paraId="3FABD014" w14:textId="28FF201F" w:rsidR="00910822" w:rsidRPr="00680839" w:rsidRDefault="00910822" w:rsidP="00000117">
            <w:pPr>
              <w:spacing w:before="80" w:after="80" w:line="288" w:lineRule="auto"/>
              <w:ind w:left="57" w:right="57"/>
              <w:jc w:val="center"/>
              <w:rPr>
                <w:rFonts w:eastAsia="Aptos" w:cs="Arial"/>
                <w:b/>
                <w:bCs/>
                <w:color w:val="000000"/>
                <w:szCs w:val="20"/>
              </w:rPr>
            </w:pPr>
            <w:r w:rsidRPr="00680839">
              <w:rPr>
                <w:rFonts w:cs="Arial"/>
                <w:b/>
                <w:color w:val="3A3A3A"/>
                <w:szCs w:val="20"/>
              </w:rPr>
              <w:t>91.</w:t>
            </w:r>
            <w:r w:rsidR="00CD5FB8" w:rsidRPr="00680839">
              <w:rPr>
                <w:rFonts w:cs="Arial"/>
                <w:b/>
                <w:bCs/>
                <w:color w:val="3A3A3A"/>
                <w:szCs w:val="20"/>
              </w:rPr>
              <w:t>8</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5A6669" w14:textId="72B7AB51"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3A3A3A"/>
                <w:szCs w:val="20"/>
              </w:rPr>
              <w:t>90.0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0179586" w14:textId="6AC27C23" w:rsidR="00910822" w:rsidRPr="00680839" w:rsidRDefault="00910822" w:rsidP="00000117">
            <w:pPr>
              <w:spacing w:before="80" w:after="80" w:line="288" w:lineRule="auto"/>
              <w:ind w:left="57" w:right="57"/>
              <w:jc w:val="center"/>
              <w:rPr>
                <w:rFonts w:eastAsia="Aptos" w:cs="Arial"/>
                <w:b/>
                <w:bCs/>
                <w:color w:val="000000"/>
                <w:szCs w:val="20"/>
              </w:rPr>
            </w:pPr>
            <w:r w:rsidRPr="00680839">
              <w:rPr>
                <w:rFonts w:cs="Arial"/>
                <w:b/>
                <w:color w:val="3A3A3A"/>
                <w:szCs w:val="20"/>
              </w:rPr>
              <w:t>94.6</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D0052E" w14:textId="115B1586"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3A3A3A"/>
                <w:szCs w:val="20"/>
              </w:rPr>
              <w:t>93.0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6384D6" w14:textId="5BE6E9C4"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3A3A3A"/>
                <w:szCs w:val="20"/>
              </w:rPr>
              <w:t>89.9</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EBD863" w14:textId="37949903"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3A3A3A"/>
                <w:szCs w:val="20"/>
              </w:rPr>
              <w:t>71,400</w:t>
            </w:r>
          </w:p>
        </w:tc>
        <w:tc>
          <w:tcPr>
            <w:tcW w:w="4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D93538" w14:textId="68A0711D"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3A3A3A"/>
                <w:szCs w:val="20"/>
              </w:rPr>
              <w:t>93,500</w:t>
            </w:r>
          </w:p>
        </w:tc>
        <w:tc>
          <w:tcPr>
            <w:tcW w:w="452" w:type="pct"/>
            <w:tcBorders>
              <w:top w:val="single" w:sz="4" w:space="0" w:color="000000"/>
              <w:left w:val="single" w:sz="4" w:space="0" w:color="000000"/>
              <w:bottom w:val="single" w:sz="4" w:space="0" w:color="000000"/>
              <w:right w:val="single" w:sz="4" w:space="0" w:color="000000"/>
            </w:tcBorders>
            <w:vAlign w:val="center"/>
          </w:tcPr>
          <w:p w14:paraId="3BDB645C" w14:textId="3E09B203" w:rsidR="00910822" w:rsidRPr="00680839" w:rsidRDefault="00CD5FB8" w:rsidP="00000117">
            <w:pPr>
              <w:spacing w:before="80" w:after="80" w:line="288" w:lineRule="auto"/>
              <w:ind w:left="57" w:right="57"/>
              <w:jc w:val="center"/>
              <w:rPr>
                <w:rFonts w:eastAsia="Aptos" w:cs="Arial"/>
                <w:b/>
                <w:bCs/>
                <w:color w:val="000000"/>
                <w:szCs w:val="20"/>
              </w:rPr>
            </w:pPr>
            <w:r w:rsidRPr="00680839">
              <w:rPr>
                <w:rFonts w:cs="Arial"/>
                <w:b/>
                <w:bCs/>
                <w:color w:val="000000"/>
                <w:szCs w:val="20"/>
              </w:rPr>
              <w:t>16</w:t>
            </w:r>
            <w:r w:rsidR="00910822" w:rsidRPr="00680839">
              <w:rPr>
                <w:rFonts w:cs="Arial"/>
                <w:b/>
                <w:color w:val="000000"/>
                <w:szCs w:val="20"/>
              </w:rPr>
              <w:t>.5</w:t>
            </w:r>
          </w:p>
        </w:tc>
        <w:tc>
          <w:tcPr>
            <w:tcW w:w="452" w:type="pct"/>
            <w:tcBorders>
              <w:top w:val="single" w:sz="4" w:space="0" w:color="000000"/>
              <w:left w:val="single" w:sz="4" w:space="0" w:color="000000"/>
              <w:bottom w:val="single" w:sz="4" w:space="0" w:color="000000"/>
              <w:right w:val="single" w:sz="4" w:space="0" w:color="auto"/>
            </w:tcBorders>
            <w:vAlign w:val="center"/>
          </w:tcPr>
          <w:p w14:paraId="6AA5EE0B" w14:textId="14177CDA" w:rsidR="00910822" w:rsidRPr="00680839" w:rsidRDefault="00910822" w:rsidP="00000117">
            <w:pPr>
              <w:spacing w:before="80" w:after="80" w:line="288" w:lineRule="auto"/>
              <w:ind w:left="57" w:right="57"/>
              <w:jc w:val="center"/>
              <w:rPr>
                <w:rFonts w:eastAsia="Aptos" w:cs="Arial"/>
                <w:b/>
                <w:bCs/>
                <w:color w:val="000000"/>
                <w:szCs w:val="20"/>
              </w:rPr>
            </w:pPr>
            <w:r w:rsidRPr="00680839">
              <w:rPr>
                <w:rFonts w:cs="Arial"/>
                <w:b/>
                <w:color w:val="000000"/>
                <w:szCs w:val="20"/>
              </w:rPr>
              <w:t>13.</w:t>
            </w:r>
            <w:r w:rsidR="00CD5FB8" w:rsidRPr="00680839">
              <w:rPr>
                <w:rFonts w:cs="Arial"/>
                <w:b/>
                <w:bCs/>
                <w:color w:val="000000"/>
                <w:szCs w:val="20"/>
              </w:rPr>
              <w:t>7</w:t>
            </w:r>
          </w:p>
        </w:tc>
      </w:tr>
    </w:tbl>
    <w:p w14:paraId="1A1EF5A9" w14:textId="77777777" w:rsidR="00910822" w:rsidRPr="005A3AFE" w:rsidRDefault="00910822" w:rsidP="00E57178">
      <w:pPr>
        <w:pStyle w:val="BaseFigureNotes"/>
        <w:spacing w:before="120"/>
      </w:pPr>
      <w:r w:rsidRPr="004E5A65">
        <w:rPr>
          <w:b/>
          <w:bCs/>
        </w:rPr>
        <w:t>Note</w:t>
      </w:r>
      <w:r w:rsidRPr="005A3AFE">
        <w:t>: A blank cell indicates there is no data for that cell and n/a indicates a suppressed value (n&lt;25).</w:t>
      </w:r>
    </w:p>
    <w:p w14:paraId="1513CED4" w14:textId="692207C4" w:rsidR="00910822" w:rsidRPr="00680839" w:rsidRDefault="006016F1" w:rsidP="00A55102">
      <w:pPr>
        <w:pStyle w:val="BaseFigureNotes"/>
      </w:pPr>
      <w:r w:rsidRPr="005A3AFE">
        <w:rPr>
          <w:rFonts w:cs="Arial"/>
        </w:rPr>
        <w:t xml:space="preserve">‡ </w:t>
      </w:r>
      <w:r w:rsidRPr="005A3AFE">
        <w:t>Medium-term labour force participation rates, and full-time and overall employment rates from 2025 onwards are not directly comparable with earlier years due to a change to how the labour force is defined. Caution should be exercised when interpreting shifts from the short- to medium-term for the 202</w:t>
      </w:r>
      <w:r w:rsidR="00B921B4" w:rsidRPr="005A3AFE">
        <w:t>3</w:t>
      </w:r>
      <w:r w:rsidR="00886C60" w:rsidRPr="00886C60">
        <w:t>–</w:t>
      </w:r>
      <w:r w:rsidRPr="005A3AFE">
        <w:t>202</w:t>
      </w:r>
      <w:r w:rsidR="00B921B4" w:rsidRPr="005A3AFE">
        <w:t>6</w:t>
      </w:r>
      <w:r w:rsidRPr="005A3AFE">
        <w:t xml:space="preserve"> cohort, as they partly reflect the change in methodology. See </w:t>
      </w:r>
      <w:r w:rsidRPr="005A3AFE">
        <w:rPr>
          <w:b/>
          <w:bCs/>
        </w:rPr>
        <w:t>Appendix 1</w:t>
      </w:r>
      <w:r w:rsidRPr="005A3AFE">
        <w:t xml:space="preserve"> </w:t>
      </w:r>
      <w:r w:rsidR="00533682">
        <w:t xml:space="preserve">in the 2025 GOS-L National Report </w:t>
      </w:r>
      <w:r w:rsidRPr="005A3AFE">
        <w:t>for further information.</w:t>
      </w:r>
    </w:p>
    <w:p w14:paraId="33F2547D" w14:textId="77777777" w:rsidR="00910822" w:rsidRPr="005A3AFE" w:rsidRDefault="00910822" w:rsidP="00910822">
      <w:pPr>
        <w:widowControl w:val="0"/>
        <w:suppressAutoHyphens/>
        <w:autoSpaceDE w:val="0"/>
        <w:autoSpaceDN w:val="0"/>
        <w:adjustRightInd w:val="0"/>
        <w:spacing w:before="142" w:line="290" w:lineRule="atLeast"/>
        <w:textAlignment w:val="center"/>
        <w:rPr>
          <w:rFonts w:ascii="ArialMT" w:hAnsi="ArialMT" w:cs="ArialMT"/>
          <w:lang w:val="en-GB"/>
        </w:rPr>
        <w:sectPr w:rsidR="00910822" w:rsidRPr="005A3AFE" w:rsidSect="00A11753">
          <w:footerReference w:type="default" r:id="rId64"/>
          <w:pgSz w:w="16840" w:h="11900" w:orient="landscape"/>
          <w:pgMar w:top="709" w:right="284" w:bottom="709" w:left="284" w:header="397" w:footer="397" w:gutter="0"/>
          <w:cols w:space="708"/>
          <w:docGrid w:linePitch="360"/>
        </w:sectPr>
      </w:pPr>
    </w:p>
    <w:p w14:paraId="6D6FA124" w14:textId="3109FDD0" w:rsidR="00B83377" w:rsidRPr="005A3AFE" w:rsidRDefault="00B83377" w:rsidP="005A0EDE">
      <w:pPr>
        <w:pStyle w:val="Heading2"/>
      </w:pPr>
      <w:bookmarkStart w:id="173" w:name="_Gender_pay_gap"/>
      <w:bookmarkStart w:id="174" w:name="_Toc243492345"/>
      <w:bookmarkStart w:id="175" w:name="_Toc192179854"/>
      <w:bookmarkEnd w:id="173"/>
      <w:r w:rsidRPr="005A3AFE">
        <w:lastRenderedPageBreak/>
        <w:t>Gender pay gap</w:t>
      </w:r>
      <w:bookmarkEnd w:id="174"/>
    </w:p>
    <w:p w14:paraId="596A5CC7" w14:textId="70CF7A2E" w:rsidR="00911C05" w:rsidRPr="005A3AFE" w:rsidRDefault="009F77F4" w:rsidP="006C2E0A">
      <w:pPr>
        <w:pStyle w:val="Body"/>
        <w:spacing w:after="200"/>
        <w:rPr>
          <w:lang w:val="en-GB"/>
        </w:rPr>
      </w:pPr>
      <w:r w:rsidRPr="005A3AFE">
        <w:t>As outlined in</w:t>
      </w:r>
      <w:r w:rsidR="00E25D28" w:rsidRPr="005A3AFE">
        <w:t xml:space="preserve"> </w:t>
      </w:r>
      <w:r w:rsidR="00253844" w:rsidRPr="005A3AFE">
        <w:rPr>
          <w:u w:val="single"/>
        </w:rPr>
        <w:fldChar w:fldCharType="begin"/>
      </w:r>
      <w:r w:rsidR="00253844" w:rsidRPr="005A3AFE">
        <w:rPr>
          <w:u w:val="single"/>
        </w:rPr>
        <w:instrText xml:space="preserve"> REF _Ref229691915 \h  \* MERGEFORMAT </w:instrText>
      </w:r>
      <w:r w:rsidR="00253844" w:rsidRPr="005A3AFE">
        <w:rPr>
          <w:u w:val="single"/>
        </w:rPr>
      </w:r>
      <w:r w:rsidR="00253844" w:rsidRPr="005A3AFE">
        <w:rPr>
          <w:u w:val="single"/>
        </w:rPr>
        <w:fldChar w:fldCharType="separate"/>
      </w:r>
      <w:r w:rsidR="00253844" w:rsidRPr="005A3AFE">
        <w:rPr>
          <w:u w:val="single"/>
        </w:rPr>
        <w:t>Demographic and equity groups</w:t>
      </w:r>
      <w:r w:rsidR="00253844" w:rsidRPr="005A3AFE">
        <w:rPr>
          <w:u w:val="single"/>
        </w:rPr>
        <w:fldChar w:fldCharType="end"/>
      </w:r>
      <w:r w:rsidR="004D040A" w:rsidRPr="0036340F">
        <w:t>,</w:t>
      </w:r>
      <w:r w:rsidR="00253844" w:rsidRPr="005A3AFE">
        <w:t xml:space="preserve"> </w:t>
      </w:r>
      <w:r w:rsidR="00D30C45" w:rsidRPr="005A3AFE">
        <w:t xml:space="preserve">female undergraduates </w:t>
      </w:r>
      <w:r w:rsidR="004F0D6E" w:rsidRPr="005A3AFE">
        <w:t xml:space="preserve">reported </w:t>
      </w:r>
      <w:r w:rsidR="00307A89" w:rsidRPr="005A3AFE">
        <w:t xml:space="preserve">employment outcomes </w:t>
      </w:r>
      <w:r w:rsidR="00D2282A">
        <w:t>that</w:t>
      </w:r>
      <w:r w:rsidR="00D2282A" w:rsidRPr="005A3AFE">
        <w:t xml:space="preserve"> </w:t>
      </w:r>
      <w:r w:rsidR="00307A89" w:rsidRPr="005A3AFE">
        <w:t xml:space="preserve">were broadly similar to males in the </w:t>
      </w:r>
      <w:r w:rsidR="003D002C" w:rsidRPr="005A3AFE">
        <w:t>short</w:t>
      </w:r>
      <w:r w:rsidR="00612E2F" w:rsidRPr="005A3AFE">
        <w:t>- and</w:t>
      </w:r>
      <w:r w:rsidR="00307A89" w:rsidRPr="005A3AFE">
        <w:t xml:space="preserve"> </w:t>
      </w:r>
      <w:r w:rsidR="001805F3" w:rsidRPr="005A3AFE">
        <w:t>medium</w:t>
      </w:r>
      <w:r w:rsidR="00077E88" w:rsidRPr="005A3AFE">
        <w:t>-</w:t>
      </w:r>
      <w:r w:rsidR="00307A89" w:rsidRPr="005A3AFE">
        <w:t xml:space="preserve">term. However, female undergraduates reported </w:t>
      </w:r>
      <w:r w:rsidR="004F0D6E" w:rsidRPr="005A3AFE">
        <w:t>lower median salaries compared to their male peers in the short-term</w:t>
      </w:r>
      <w:r w:rsidR="00277FF6" w:rsidRPr="005A3AFE">
        <w:t xml:space="preserve"> </w:t>
      </w:r>
      <w:r w:rsidR="00C35A04" w:rsidRPr="005A3AFE">
        <w:t xml:space="preserve">(a </w:t>
      </w:r>
      <w:r w:rsidR="00540401">
        <w:t>difference</w:t>
      </w:r>
      <w:r w:rsidR="00C35A04" w:rsidRPr="005A3AFE">
        <w:t xml:space="preserve"> of $3,900</w:t>
      </w:r>
      <w:r w:rsidR="00540401">
        <w:t>,</w:t>
      </w:r>
      <w:r w:rsidR="00C35A04" w:rsidRPr="005A3AFE">
        <w:t xml:space="preserve"> or </w:t>
      </w:r>
      <w:r w:rsidR="00540401">
        <w:t xml:space="preserve">gender pay gap of </w:t>
      </w:r>
      <w:r w:rsidR="00C35A04" w:rsidRPr="005A3AFE">
        <w:t>5.</w:t>
      </w:r>
      <w:r w:rsidR="00B93F9A" w:rsidRPr="005A3AFE">
        <w:t>3</w:t>
      </w:r>
      <w:r w:rsidR="00C35A04" w:rsidRPr="005A3AFE">
        <w:t xml:space="preserve"> per cent)</w:t>
      </w:r>
      <w:r w:rsidR="004F0D6E" w:rsidRPr="005A3AFE">
        <w:t>, and this difference increased in the medium</w:t>
      </w:r>
      <w:r w:rsidR="00077E88" w:rsidRPr="005A3AFE">
        <w:t>-</w:t>
      </w:r>
      <w:r w:rsidR="004F0D6E" w:rsidRPr="005A3AFE">
        <w:t>term</w:t>
      </w:r>
      <w:r w:rsidR="00C35A04" w:rsidRPr="005A3AFE">
        <w:t xml:space="preserve"> </w:t>
      </w:r>
      <w:r w:rsidR="003B0CCE" w:rsidRPr="005A3AFE">
        <w:t>(</w:t>
      </w:r>
      <w:r w:rsidR="00C35A04" w:rsidRPr="005A3AFE">
        <w:t>$8,000</w:t>
      </w:r>
      <w:r w:rsidR="00540401">
        <w:t>,</w:t>
      </w:r>
      <w:r w:rsidR="00C35A04" w:rsidRPr="005A3AFE">
        <w:t xml:space="preserve"> or </w:t>
      </w:r>
      <w:r w:rsidR="00540401">
        <w:t xml:space="preserve">a gender pay gap of </w:t>
      </w:r>
      <w:r w:rsidR="003B0CCE" w:rsidRPr="005A3AFE">
        <w:t>8.</w:t>
      </w:r>
      <w:r w:rsidR="00D12958" w:rsidRPr="005A3AFE">
        <w:t>1 per cent)</w:t>
      </w:r>
      <w:r w:rsidR="00293A1A" w:rsidRPr="005A3AFE">
        <w:t>.</w:t>
      </w:r>
      <w:r w:rsidR="00884DE7" w:rsidRPr="00E17B1D">
        <w:rPr>
          <w:rStyle w:val="FootnoteReference"/>
          <w:sz w:val="20"/>
        </w:rPr>
        <w:footnoteReference w:id="18"/>
      </w:r>
      <w:r w:rsidR="00FA4877" w:rsidRPr="00E17B1D">
        <w:t xml:space="preserve"> </w:t>
      </w:r>
      <w:r w:rsidR="00911C05" w:rsidRPr="005A3AFE">
        <w:rPr>
          <w:lang w:val="en-GB"/>
        </w:rPr>
        <w:t>The gender pay gap is more pronounced for postgraduate coursework graduates, who experienced a gap of 1</w:t>
      </w:r>
      <w:r w:rsidR="00B93F9A" w:rsidRPr="005A3AFE">
        <w:rPr>
          <w:lang w:val="en-GB"/>
        </w:rPr>
        <w:t>0</w:t>
      </w:r>
      <w:r w:rsidR="00911C05" w:rsidRPr="005A3AFE">
        <w:rPr>
          <w:lang w:val="en-GB"/>
        </w:rPr>
        <w:t>.</w:t>
      </w:r>
      <w:r w:rsidR="00F53CBE">
        <w:rPr>
          <w:lang w:val="en-GB"/>
        </w:rPr>
        <w:t>6</w:t>
      </w:r>
      <w:r w:rsidR="00911C05" w:rsidRPr="005A3AFE">
        <w:rPr>
          <w:lang w:val="en-GB"/>
        </w:rPr>
        <w:t xml:space="preserve"> per cent in 2023 and </w:t>
      </w:r>
      <w:r w:rsidR="00B93F9A" w:rsidRPr="005A3AFE">
        <w:rPr>
          <w:lang w:val="en-GB"/>
        </w:rPr>
        <w:t>10</w:t>
      </w:r>
      <w:r w:rsidR="00911C05" w:rsidRPr="005A3AFE">
        <w:rPr>
          <w:lang w:val="en-GB"/>
        </w:rPr>
        <w:t>.</w:t>
      </w:r>
      <w:r w:rsidR="00F53CBE">
        <w:rPr>
          <w:lang w:val="en-GB"/>
        </w:rPr>
        <w:t>8</w:t>
      </w:r>
      <w:r w:rsidR="00911C05" w:rsidRPr="005A3AFE">
        <w:rPr>
          <w:lang w:val="en-GB"/>
        </w:rPr>
        <w:t xml:space="preserve"> per cent in 2026 between female and male graduates. Furthermore, in contrast to undergraduates, this gap has remained relatively stable over the long-term. Postgraduate research graduates reported the lowest gender pay gaps</w:t>
      </w:r>
      <w:r w:rsidR="00283FC4">
        <w:rPr>
          <w:lang w:val="en-GB"/>
        </w:rPr>
        <w:t xml:space="preserve">—a </w:t>
      </w:r>
      <w:r w:rsidR="00911C05" w:rsidRPr="005A3AFE">
        <w:rPr>
          <w:lang w:val="en-GB"/>
        </w:rPr>
        <w:t>pay gap of 1.</w:t>
      </w:r>
      <w:r w:rsidR="00B93F9A" w:rsidRPr="005A3AFE">
        <w:rPr>
          <w:lang w:val="en-GB"/>
        </w:rPr>
        <w:t>9</w:t>
      </w:r>
      <w:r w:rsidR="00911C05" w:rsidRPr="005A3AFE">
        <w:rPr>
          <w:lang w:val="en-GB"/>
        </w:rPr>
        <w:t xml:space="preserve"> per cent in the short</w:t>
      </w:r>
      <w:r w:rsidR="00077E88" w:rsidRPr="005A3AFE">
        <w:rPr>
          <w:lang w:val="en-GB"/>
        </w:rPr>
        <w:t>-</w:t>
      </w:r>
      <w:r w:rsidR="00911C05" w:rsidRPr="005A3AFE">
        <w:rPr>
          <w:lang w:val="en-GB"/>
        </w:rPr>
        <w:t>term to 1.</w:t>
      </w:r>
      <w:r w:rsidR="00B93F9A" w:rsidRPr="005A3AFE">
        <w:rPr>
          <w:lang w:val="en-GB"/>
        </w:rPr>
        <w:t>4</w:t>
      </w:r>
      <w:r w:rsidR="00911C05" w:rsidRPr="005A3AFE">
        <w:rPr>
          <w:lang w:val="en-GB"/>
        </w:rPr>
        <w:t xml:space="preserve"> per cent in the medium</w:t>
      </w:r>
      <w:r w:rsidR="00077E88" w:rsidRPr="005A3AFE">
        <w:rPr>
          <w:lang w:val="en-GB"/>
        </w:rPr>
        <w:t>-</w:t>
      </w:r>
      <w:r w:rsidR="00911C05" w:rsidRPr="005A3AFE">
        <w:rPr>
          <w:lang w:val="en-GB"/>
        </w:rPr>
        <w:t>term.</w:t>
      </w:r>
    </w:p>
    <w:p w14:paraId="3C5A2E01" w14:textId="50AC3833" w:rsidR="0050795E" w:rsidRPr="005A3AFE" w:rsidRDefault="00B83377" w:rsidP="00373D3A">
      <w:pPr>
        <w:pStyle w:val="Caption"/>
      </w:pPr>
      <w:bookmarkStart w:id="176" w:name="_Ref207357055"/>
      <w:bookmarkStart w:id="177" w:name="_Toc243492123"/>
      <w:r w:rsidRPr="005A3AFE">
        <w:t xml:space="preserve">Figure </w:t>
      </w:r>
      <w:bookmarkEnd w:id="176"/>
      <w:r w:rsidR="00377B08" w:rsidRPr="005A3AFE">
        <w:fldChar w:fldCharType="begin"/>
      </w:r>
      <w:r w:rsidR="00377B08" w:rsidRPr="005A3AFE">
        <w:instrText xml:space="preserve"> SEQ Figure \* ARABIC </w:instrText>
      </w:r>
      <w:r w:rsidR="00377B08" w:rsidRPr="005A3AFE">
        <w:fldChar w:fldCharType="separate"/>
      </w:r>
      <w:r w:rsidR="008E1916">
        <w:rPr>
          <w:noProof/>
        </w:rPr>
        <w:t>17</w:t>
      </w:r>
      <w:r w:rsidR="00377B08" w:rsidRPr="005A3AFE">
        <w:fldChar w:fldCharType="end"/>
      </w:r>
      <w:r w:rsidR="00373D3A">
        <w:tab/>
      </w:r>
      <w:r w:rsidR="00504836" w:rsidRPr="005A3AFE">
        <w:t>M</w:t>
      </w:r>
      <w:r w:rsidR="009A28DB" w:rsidRPr="005A3AFE">
        <w:t>edian annual full-time salary</w:t>
      </w:r>
      <w:r w:rsidRPr="005A3AFE">
        <w:t xml:space="preserve"> by gender</w:t>
      </w:r>
      <w:r w:rsidR="00B93F9A" w:rsidRPr="005A3AFE">
        <w:t xml:space="preserve"> and </w:t>
      </w:r>
      <w:r w:rsidR="00156AF6">
        <w:t>study level</w:t>
      </w:r>
      <w:bookmarkEnd w:id="177"/>
    </w:p>
    <w:p w14:paraId="126C049B" w14:textId="77777777" w:rsidR="0036472A" w:rsidRDefault="0036472A" w:rsidP="0036472A">
      <w:pPr>
        <w:pStyle w:val="BodyText"/>
        <w:spacing w:before="120" w:after="120"/>
        <w:jc w:val="center"/>
      </w:pPr>
      <w:r w:rsidRPr="0036472A">
        <w:rPr>
          <w:noProof/>
        </w:rPr>
        <w:drawing>
          <wp:inline distT="0" distB="0" distL="0" distR="0" wp14:anchorId="2B025B2F" wp14:editId="157B2CE5">
            <wp:extent cx="6408000" cy="6013067"/>
            <wp:effectExtent l="0" t="0" r="0" b="6985"/>
            <wp:docPr id="636579290" name="Picture 1" descr="Composite chart. Median annual full-time salary by gender and study level. Three panels, left to right: Undergraduate; Postgraduate coursework; Postgraduate research. Legend in each panel: Male; Female. Categories: Short-term (2023); Medium-term (2026). Vertical axis: median annual full-time salary ($). Undergraduate: Male: Short-term (2023): $74,000; Medium-term (2026): $99,000 Female: Short-term (2023): $70,100; Medium-term (2026): $91,000 | Postgraduate coursework: Male: Short-term (2023): $105,000; Medium-term (2026): $130,000 Female: Short-term (2023): $93,900; Medium-term (2026): $116,000 | Postgraduate research: Male: Short-term (2023): $100,000; Medium-term (2026): $125,000 Female: Short-term (2023): $98,100; Medium-term (2026): $123,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79290" name="Picture 1" descr="Composite chart. Median annual full-time salary by gender and study level. Three panels, left to right: Undergraduate; Postgraduate coursework; Postgraduate research. Legend in each panel: Male; Female. Categories: Short-term (2023); Medium-term (2026). Vertical axis: median annual full-time salary ($). Undergraduate: Male: Short-term (2023): $74,000; Medium-term (2026): $99,000 Female: Short-term (2023): $70,100; Medium-term (2026): $91,000 | Postgraduate coursework: Male: Short-term (2023): $105,000; Medium-term (2026): $130,000 Female: Short-term (2023): $93,900; Medium-term (2026): $116,000 | Postgraduate research: Male: Short-term (2023): $100,000; Medium-term (2026): $125,000 Female: Short-term (2023): $98,100; Medium-term (2026): $123,200 "/>
                    <pic:cNvPicPr/>
                  </pic:nvPicPr>
                  <pic:blipFill>
                    <a:blip r:embed="rId65"/>
                    <a:stretch>
                      <a:fillRect/>
                    </a:stretch>
                  </pic:blipFill>
                  <pic:spPr>
                    <a:xfrm>
                      <a:off x="0" y="0"/>
                      <a:ext cx="6408000" cy="6013067"/>
                    </a:xfrm>
                    <a:prstGeom prst="rect">
                      <a:avLst/>
                    </a:prstGeom>
                  </pic:spPr>
                </pic:pic>
              </a:graphicData>
            </a:graphic>
          </wp:inline>
        </w:drawing>
      </w:r>
    </w:p>
    <w:p w14:paraId="0D69688D" w14:textId="60F0D6C4" w:rsidR="00293A1A" w:rsidRPr="005A3AFE" w:rsidRDefault="00293A1A" w:rsidP="0036472A">
      <w:pPr>
        <w:pStyle w:val="BodyText"/>
        <w:spacing w:before="120" w:after="120"/>
      </w:pPr>
      <w:r w:rsidRPr="005A3AFE">
        <w:t xml:space="preserve">The medium-term </w:t>
      </w:r>
      <w:r w:rsidR="00540401">
        <w:t xml:space="preserve">gender </w:t>
      </w:r>
      <w:r w:rsidRPr="005A3AFE">
        <w:t>pay gap of 8.1 per cent in 2026</w:t>
      </w:r>
      <w:r w:rsidR="009940BC" w:rsidRPr="005A3AFE">
        <w:t xml:space="preserve"> is a notable increase from 5.5 per cent in 2025</w:t>
      </w:r>
      <w:r w:rsidR="00540401">
        <w:t>, but is lower than the two previous highs</w:t>
      </w:r>
      <w:r w:rsidR="00002EE7" w:rsidRPr="005A3AFE">
        <w:t xml:space="preserve"> reported</w:t>
      </w:r>
      <w:r w:rsidR="009940BC" w:rsidRPr="005A3AFE">
        <w:t xml:space="preserve"> </w:t>
      </w:r>
      <w:r w:rsidR="00540401">
        <w:t xml:space="preserve">in </w:t>
      </w:r>
      <w:r w:rsidR="00002EE7" w:rsidRPr="005A3AFE">
        <w:t>2020</w:t>
      </w:r>
      <w:r w:rsidR="00540401">
        <w:t xml:space="preserve"> and 2023</w:t>
      </w:r>
      <w:r w:rsidR="009940BC" w:rsidRPr="005A3AFE">
        <w:t>.</w:t>
      </w:r>
      <w:r w:rsidR="00D96906" w:rsidRPr="005A3AFE">
        <w:t xml:space="preserve"> </w:t>
      </w:r>
      <w:r w:rsidR="00540401">
        <w:t>Strong wages growth occurred</w:t>
      </w:r>
      <w:r w:rsidR="00832877">
        <w:t xml:space="preserve"> for undergraduates</w:t>
      </w:r>
      <w:r w:rsidR="00540401">
        <w:t xml:space="preserve"> </w:t>
      </w:r>
      <w:r w:rsidR="00540401" w:rsidRPr="005A3AFE">
        <w:t xml:space="preserve">during </w:t>
      </w:r>
      <w:r w:rsidR="00540401">
        <w:t xml:space="preserve">2022 and 2023, </w:t>
      </w:r>
      <w:r w:rsidR="00540401" w:rsidRPr="005A3AFE">
        <w:t xml:space="preserve">a period </w:t>
      </w:r>
      <w:r w:rsidR="00540401">
        <w:t xml:space="preserve">of </w:t>
      </w:r>
      <w:r w:rsidR="00540401" w:rsidRPr="00882D6E">
        <w:t>favourable employment conditions due to reduced competition for job vacancies</w:t>
      </w:r>
      <w:r w:rsidR="00540401">
        <w:t>. As the 3</w:t>
      </w:r>
      <w:r w:rsidR="00B45AF5">
        <w:noBreakHyphen/>
      </w:r>
      <w:r w:rsidR="00540401">
        <w:t xml:space="preserve">year </w:t>
      </w:r>
      <w:r w:rsidR="00832877">
        <w:t xml:space="preserve">growth </w:t>
      </w:r>
      <w:r w:rsidR="00E61CE7">
        <w:t xml:space="preserve">periods move beyond 2022 and 2023, the average growth </w:t>
      </w:r>
      <w:r w:rsidR="00832877">
        <w:t>h</w:t>
      </w:r>
      <w:r w:rsidR="00E61CE7">
        <w:t>as since declined.</w:t>
      </w:r>
    </w:p>
    <w:p w14:paraId="101FC5F9" w14:textId="0391CB86" w:rsidR="00B83377" w:rsidRPr="005A3AFE" w:rsidRDefault="00B83377" w:rsidP="00B83377">
      <w:pPr>
        <w:pStyle w:val="Caption"/>
      </w:pPr>
      <w:bookmarkStart w:id="178" w:name="_Ref207301623"/>
      <w:bookmarkStart w:id="179" w:name="_Toc243492124"/>
      <w:r w:rsidRPr="005A3AFE">
        <w:lastRenderedPageBreak/>
        <w:t xml:space="preserve">Figure </w:t>
      </w:r>
      <w:bookmarkEnd w:id="178"/>
      <w:r w:rsidR="00377B08" w:rsidRPr="005A3AFE">
        <w:fldChar w:fldCharType="begin"/>
      </w:r>
      <w:r w:rsidR="00377B08" w:rsidRPr="005A3AFE">
        <w:instrText xml:space="preserve"> SEQ Figure \* ARABIC </w:instrText>
      </w:r>
      <w:r w:rsidR="00377B08" w:rsidRPr="005A3AFE">
        <w:fldChar w:fldCharType="separate"/>
      </w:r>
      <w:r w:rsidR="008E1916">
        <w:rPr>
          <w:noProof/>
        </w:rPr>
        <w:t>18</w:t>
      </w:r>
      <w:r w:rsidR="00377B08" w:rsidRPr="005A3AFE">
        <w:fldChar w:fldCharType="end"/>
      </w:r>
      <w:r w:rsidR="007F6B22">
        <w:tab/>
      </w:r>
      <w:r w:rsidRPr="005A3AFE">
        <w:t>Undergraduate gender pay gap, medium-term, and 3-year salary growth by gender</w:t>
      </w:r>
      <w:bookmarkEnd w:id="179"/>
    </w:p>
    <w:p w14:paraId="17ABB952" w14:textId="41666386" w:rsidR="00243D85" w:rsidRDefault="00CE592B" w:rsidP="006E562E">
      <w:pPr>
        <w:rPr>
          <w:lang w:eastAsia="en-AU"/>
        </w:rPr>
      </w:pPr>
      <w:r>
        <w:rPr>
          <w:noProof/>
          <w:lang w:eastAsia="en-AU"/>
        </w:rPr>
        <w:drawing>
          <wp:inline distT="0" distB="0" distL="0" distR="0" wp14:anchorId="0CC6817E" wp14:editId="776D95BA">
            <wp:extent cx="6657340" cy="3133725"/>
            <wp:effectExtent l="0" t="0" r="0" b="9525"/>
            <wp:docPr id="129578900" name="Picture 26" descr="Combination column and line chart showing the undergraduate medium-term gender pay gap and 3-year salary growth by gender. Columns show the medium-term gender pay gap, using the right vertical axis from 0% to 10%. Two trend lines show 3-year salary growth, using the left vertical axis from 0% to 40%: a skinny line for males and a thicker line for females. For 2017 | 2020: gender pay gap 8.6%, male salary growth 27.8%, female salary growth 21.8%. 2018 | 2021: 6.1%, 25.0%, 23.1%. 2019 | 2022: 6.8%, 29.2%, 25.1%. 2020 | 2023: 9.0%, 33.6%, 24.6%. 2021 | 2024: 7.6%, 35.3%, 30.8%. 2022 | 2025: 5.5%, 35.7%, 31.9%. 2023 | 2026: 8.1%, 33.8%,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8900" name="Picture 26" descr="Combination column and line chart showing the undergraduate medium-term gender pay gap and 3-year salary growth by gender. Columns show the medium-term gender pay gap, using the right vertical axis from 0% to 10%. Two trend lines show 3-year salary growth, using the left vertical axis from 0% to 40%: a skinny line for males and a thicker line for females. For 2017 | 2020: gender pay gap 8.6%, male salary growth 27.8%, female salary growth 21.8%. 2018 | 2021: 6.1%, 25.0%, 23.1%. 2019 | 2022: 6.8%, 29.2%, 25.1%. 2020 | 2023: 9.0%, 33.6%, 24.6%. 2021 | 2024: 7.6%, 35.3%, 30.8%. 2022 | 2025: 5.5%, 35.7%, 31.9%. 2023 | 2026: 8.1%, 33.8%, 29.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7340" cy="3133725"/>
                    </a:xfrm>
                    <a:prstGeom prst="rect">
                      <a:avLst/>
                    </a:prstGeom>
                    <a:noFill/>
                  </pic:spPr>
                </pic:pic>
              </a:graphicData>
            </a:graphic>
          </wp:inline>
        </w:drawing>
      </w:r>
    </w:p>
    <w:p w14:paraId="03A7A44B" w14:textId="100610CD" w:rsidR="00884DE7" w:rsidRPr="001D1A95" w:rsidRDefault="00884DE7" w:rsidP="00A55102">
      <w:pPr>
        <w:pStyle w:val="BaseFigureNotes"/>
        <w:spacing w:after="240"/>
        <w:ind w:left="567" w:hanging="567"/>
        <w:rPr>
          <w:lang w:eastAsia="en-AU"/>
        </w:rPr>
      </w:pPr>
      <w:r w:rsidRPr="00B45AF5">
        <w:rPr>
          <w:b/>
          <w:bCs/>
          <w:lang w:eastAsia="en-AU"/>
        </w:rPr>
        <w:t>Note:</w:t>
      </w:r>
      <w:r w:rsidR="00CE592B">
        <w:rPr>
          <w:b/>
          <w:bCs/>
          <w:lang w:eastAsia="en-AU"/>
        </w:rPr>
        <w:t xml:space="preserve"> </w:t>
      </w:r>
      <w:r w:rsidR="00CE592B">
        <w:t>T</w:t>
      </w:r>
      <w:r w:rsidRPr="001D1A95">
        <w:t>he gender pay gap is calculated as 100 x (Male median salary – Female median salary)/Male median salary, consistent with the methodology used by the Workplace Gender Equality Agency (WGEA).</w:t>
      </w:r>
    </w:p>
    <w:p w14:paraId="4E0F59B3" w14:textId="65EBBA0F" w:rsidR="00407F5F" w:rsidRPr="005A3AFE" w:rsidRDefault="00407F5F" w:rsidP="005A0EDE">
      <w:pPr>
        <w:pStyle w:val="Body"/>
      </w:pPr>
      <w:r w:rsidRPr="005A3AFE">
        <w:t>Female graduates often earn less than male graduates, even within the same field of education. For example</w:t>
      </w:r>
      <w:r w:rsidR="007B2893" w:rsidRPr="005A3AFE">
        <w:t xml:space="preserve">, female undergraduates from the Business and management study area reported a median salary $2,000 less than males in 2023, 4 to 6 months after course completion, and this gap increased to $8,000 in 2026. Notably however, there were several study areas where females reported broadly similar median salaries to males in the short- and medium-term including Nursing, Communications and Creative arts. See </w:t>
      </w:r>
      <w:r w:rsidR="007B2893" w:rsidRPr="00A50F01">
        <w:rPr>
          <w:b/>
          <w:bCs/>
        </w:rPr>
        <w:t xml:space="preserve">Appendix </w:t>
      </w:r>
      <w:r w:rsidR="00487685" w:rsidRPr="00A50F01">
        <w:rPr>
          <w:b/>
          <w:bCs/>
        </w:rPr>
        <w:t>2</w:t>
      </w:r>
      <w:r w:rsidR="007B2893" w:rsidRPr="005A3AFE">
        <w:t xml:space="preserve"> for a complete breakdown of median salaries by study area and gender in the short- and medium-term.</w:t>
      </w:r>
    </w:p>
    <w:p w14:paraId="3DE60BDC" w14:textId="3DADC29A" w:rsidR="00B83377" w:rsidRPr="00B45AF5" w:rsidRDefault="00B83377" w:rsidP="00B45AF5">
      <w:pPr>
        <w:pStyle w:val="Body"/>
        <w:spacing w:after="240"/>
        <w:rPr>
          <w:spacing w:val="-4"/>
        </w:rPr>
      </w:pPr>
      <w:r w:rsidRPr="00B45AF5">
        <w:rPr>
          <w:spacing w:val="-4"/>
        </w:rPr>
        <w:t>There may be many factors influencing these results, such as differences in the breadth of graduates’ skillsets, differences in career progression and job switching, life-</w:t>
      </w:r>
      <w:r w:rsidR="00FE105D" w:rsidRPr="00B45AF5">
        <w:rPr>
          <w:spacing w:val="-4"/>
        </w:rPr>
        <w:t xml:space="preserve">stage </w:t>
      </w:r>
      <w:r w:rsidRPr="00B45AF5">
        <w:rPr>
          <w:spacing w:val="-4"/>
        </w:rPr>
        <w:t>impacts (including caring responsibilities), and personal preferences.</w:t>
      </w:r>
    </w:p>
    <w:p w14:paraId="729FFF19" w14:textId="18061F28" w:rsidR="00910822" w:rsidRPr="005A3AFE" w:rsidRDefault="00910822" w:rsidP="00910822">
      <w:pPr>
        <w:pStyle w:val="Heading2"/>
      </w:pPr>
      <w:bookmarkStart w:id="180" w:name="_Toc243492346"/>
      <w:r w:rsidRPr="005A3AFE">
        <w:t>Institution</w:t>
      </w:r>
      <w:bookmarkEnd w:id="175"/>
      <w:bookmarkEnd w:id="180"/>
    </w:p>
    <w:p w14:paraId="7F0A4B0E" w14:textId="77777777" w:rsidR="00910822" w:rsidRPr="005A3AFE" w:rsidRDefault="00910822" w:rsidP="00B45AF5">
      <w:pPr>
        <w:pStyle w:val="Heading3"/>
        <w:ind w:left="993" w:hanging="993"/>
      </w:pPr>
      <w:bookmarkStart w:id="181" w:name="_Toc243492347"/>
      <w:r w:rsidRPr="005A3AFE">
        <w:t>Institution type</w:t>
      </w:r>
      <w:bookmarkEnd w:id="181"/>
    </w:p>
    <w:p w14:paraId="48EE445B" w14:textId="6A9FC3A0" w:rsidR="00910822" w:rsidRPr="005A3AFE" w:rsidRDefault="00910822" w:rsidP="00A33BD9">
      <w:pPr>
        <w:pStyle w:val="Body"/>
      </w:pPr>
      <w:r w:rsidRPr="00A33BD9">
        <w:rPr>
          <w:rFonts w:eastAsiaTheme="minorHAnsi"/>
        </w:rPr>
        <w:t>In 202</w:t>
      </w:r>
      <w:r w:rsidR="009321D9" w:rsidRPr="00A33BD9">
        <w:rPr>
          <w:rFonts w:eastAsiaTheme="minorHAnsi"/>
        </w:rPr>
        <w:t>6</w:t>
      </w:r>
      <w:r w:rsidRPr="00A33BD9">
        <w:rPr>
          <w:rFonts w:eastAsiaTheme="minorHAnsi"/>
        </w:rPr>
        <w:t>, 94.</w:t>
      </w:r>
      <w:r w:rsidR="00D665DD" w:rsidRPr="00A33BD9">
        <w:rPr>
          <w:rFonts w:eastAsiaTheme="minorHAnsi"/>
        </w:rPr>
        <w:t>4</w:t>
      </w:r>
      <w:r w:rsidRPr="00A33BD9">
        <w:rPr>
          <w:rFonts w:eastAsiaTheme="minorHAnsi"/>
        </w:rPr>
        <w:t xml:space="preserve"> per cent of total domestic respondents </w:t>
      </w:r>
      <w:r w:rsidR="00B16FD8" w:rsidRPr="00A33BD9">
        <w:rPr>
          <w:rFonts w:eastAsiaTheme="minorHAnsi"/>
        </w:rPr>
        <w:t>for</w:t>
      </w:r>
      <w:r w:rsidRPr="00A33BD9">
        <w:rPr>
          <w:rFonts w:eastAsiaTheme="minorHAnsi"/>
        </w:rPr>
        <w:t xml:space="preserve"> the GOS-L completed a qualification at a university, while 5.</w:t>
      </w:r>
      <w:r w:rsidR="00971FC0" w:rsidRPr="00A33BD9">
        <w:rPr>
          <w:rFonts w:eastAsiaTheme="minorHAnsi"/>
        </w:rPr>
        <w:t>6</w:t>
      </w:r>
      <w:r w:rsidRPr="00A33BD9">
        <w:rPr>
          <w:rFonts w:eastAsiaTheme="minorHAnsi"/>
        </w:rPr>
        <w:t xml:space="preserve"> per cent were from a non-university higher education institution (NUHEI).</w:t>
      </w:r>
      <w:bookmarkStart w:id="182" w:name="_Hlk171435446"/>
      <w:r w:rsidRPr="00E17B1D">
        <w:rPr>
          <w:rStyle w:val="FootnoteReference"/>
          <w:rFonts w:cs="Times New Roman"/>
          <w:sz w:val="20"/>
        </w:rPr>
        <w:footnoteReference w:id="19"/>
      </w:r>
      <w:r w:rsidRPr="00E17B1D">
        <w:t xml:space="preserve"> </w:t>
      </w:r>
    </w:p>
    <w:p w14:paraId="7CDC8FCF" w14:textId="1380C278" w:rsidR="002810CD" w:rsidRPr="005A3AFE" w:rsidRDefault="00910822" w:rsidP="002810CD">
      <w:pPr>
        <w:pStyle w:val="Body"/>
      </w:pPr>
      <w:r w:rsidRPr="005A3AFE">
        <w:t>In general, NUHEIs have greater proportions of postgraduates, international graduates and older graduates than universities. Graduates from NUHEIs also tend to cluster in</w:t>
      </w:r>
      <w:r w:rsidR="002810CD">
        <w:t xml:space="preserve"> a</w:t>
      </w:r>
      <w:r w:rsidRPr="005A3AFE">
        <w:t xml:space="preserve"> </w:t>
      </w:r>
      <w:r w:rsidR="002810CD" w:rsidRPr="005A3AFE">
        <w:t>few study areas</w:t>
      </w:r>
      <w:r w:rsidR="002810CD">
        <w:t xml:space="preserve"> with</w:t>
      </w:r>
      <w:r w:rsidR="00CC2CEF">
        <w:t xml:space="preserve"> </w:t>
      </w:r>
      <w:r w:rsidR="00884DE7">
        <w:t>graduates</w:t>
      </w:r>
      <w:r w:rsidR="00CC2CEF">
        <w:t xml:space="preserve"> from</w:t>
      </w:r>
      <w:r w:rsidR="002810CD">
        <w:t xml:space="preserve"> Creative Arts (22.0 per cent) and Health services and support (17.7 per cent) making up just under half of the NUHEI undergraduate cohort. At the postgraduate coursework level, over half of NUHEI graduates</w:t>
      </w:r>
      <w:r w:rsidR="00CC2CEF">
        <w:t xml:space="preserve"> were</w:t>
      </w:r>
      <w:r w:rsidR="00884DE7">
        <w:t xml:space="preserve"> from</w:t>
      </w:r>
      <w:r w:rsidR="002810CD">
        <w:t xml:space="preserve"> Business and management (36.7 per cent) and Law and paralegal studies (31.3 per cent)</w:t>
      </w:r>
      <w:r w:rsidR="002810CD" w:rsidRPr="005A3AFE">
        <w:t>.</w:t>
      </w:r>
    </w:p>
    <w:bookmarkEnd w:id="182"/>
    <w:p w14:paraId="421AC60E" w14:textId="3319D38E" w:rsidR="002810CD" w:rsidRPr="005A3AFE" w:rsidRDefault="002810CD" w:rsidP="00B45AF5">
      <w:pPr>
        <w:pStyle w:val="Body"/>
        <w:spacing w:after="240"/>
      </w:pPr>
      <w:r w:rsidRPr="005A3AFE">
        <w:t>Undergraduates from universities report higher full-time employment, overall employment and labour force participation than undergraduates from NUHEIs in both the short- and medium-term (</w:t>
      </w:r>
      <w:r w:rsidRPr="005A3AFE">
        <w:rPr>
          <w:b/>
          <w:bCs/>
        </w:rPr>
        <w:fldChar w:fldCharType="begin"/>
      </w:r>
      <w:r w:rsidRPr="005A3AFE">
        <w:rPr>
          <w:b/>
          <w:bCs/>
        </w:rPr>
        <w:instrText xml:space="preserve"> REF _Ref207357679 \h  \* MERGEFORMAT </w:instrText>
      </w:r>
      <w:r w:rsidRPr="005A3AFE">
        <w:rPr>
          <w:b/>
          <w:bCs/>
        </w:rPr>
      </w:r>
      <w:r w:rsidRPr="005A3AFE">
        <w:rPr>
          <w:b/>
          <w:bCs/>
        </w:rPr>
        <w:fldChar w:fldCharType="separate"/>
      </w:r>
      <w:r w:rsidRPr="005A3AFE">
        <w:rPr>
          <w:b/>
          <w:bCs/>
        </w:rPr>
        <w:t xml:space="preserve">Table </w:t>
      </w:r>
      <w:r w:rsidRPr="005A3AFE">
        <w:rPr>
          <w:b/>
          <w:bCs/>
          <w:noProof/>
        </w:rPr>
        <w:t>6</w:t>
      </w:r>
      <w:r w:rsidRPr="005A3AFE">
        <w:rPr>
          <w:b/>
          <w:bCs/>
        </w:rPr>
        <w:fldChar w:fldCharType="end"/>
      </w:r>
      <w:r w:rsidRPr="005A3AFE">
        <w:t xml:space="preserve">). Notably, although undergraduates from universities reported only slightly higher median salaries than undergraduates from NUHEIs in the short-term, this </w:t>
      </w:r>
      <w:r>
        <w:t>difference</w:t>
      </w:r>
      <w:r w:rsidRPr="005A3AFE">
        <w:t xml:space="preserve"> widened in the medium-term.</w:t>
      </w:r>
      <w:r w:rsidRPr="00866806">
        <w:t xml:space="preserve"> </w:t>
      </w:r>
      <w:r>
        <w:t xml:space="preserve">The differences in employment outcomes for graduates from universities and NUHEIs may partly explained by differences in study areas: the largest share of </w:t>
      </w:r>
      <w:r w:rsidR="00CC2CEF">
        <w:t>under</w:t>
      </w:r>
      <w:r>
        <w:t xml:space="preserve">graduates </w:t>
      </w:r>
      <w:r>
        <w:lastRenderedPageBreak/>
        <w:t>from NUHEIs came from Creative arts (22.0 per cent), a study area with comparatively low employment outcomes in the short- to medium-term. In contrast, only 4.3 per cent of</w:t>
      </w:r>
      <w:r w:rsidR="00CC2CEF">
        <w:t xml:space="preserve"> university</w:t>
      </w:r>
      <w:r>
        <w:t xml:space="preserve"> </w:t>
      </w:r>
      <w:r w:rsidR="00CC2CEF">
        <w:t>undergraduates</w:t>
      </w:r>
      <w:r>
        <w:t xml:space="preserve"> were from Creative arts.</w:t>
      </w:r>
    </w:p>
    <w:p w14:paraId="343D5D59" w14:textId="4A6BFB60" w:rsidR="002F3BDC" w:rsidRPr="005A3AFE" w:rsidRDefault="002F3BDC" w:rsidP="00A33BD9">
      <w:pPr>
        <w:pStyle w:val="Caption"/>
      </w:pPr>
      <w:bookmarkStart w:id="183" w:name="_Ref207357679"/>
      <w:bookmarkStart w:id="184" w:name="_Toc243492098"/>
      <w:r w:rsidRPr="005A3AFE">
        <w:t xml:space="preserve">Table </w:t>
      </w:r>
      <w:fldSimple w:instr=" SEQ Table \* ARABIC ">
        <w:r w:rsidR="00C4459D">
          <w:rPr>
            <w:noProof/>
          </w:rPr>
          <w:t>6</w:t>
        </w:r>
      </w:fldSimple>
      <w:bookmarkEnd w:id="183"/>
      <w:r w:rsidR="00B45AF5">
        <w:tab/>
      </w:r>
      <w:r w:rsidRPr="005A3AFE">
        <w:t xml:space="preserve">Short- and medium-term domestic graduate employment and study outcomes by </w:t>
      </w:r>
      <w:r w:rsidR="00156AF6">
        <w:t>study level</w:t>
      </w:r>
      <w:r w:rsidRPr="005A3AFE">
        <w:t xml:space="preserve"> and institution type</w:t>
      </w:r>
      <w:bookmarkEnd w:id="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91"/>
        <w:gridCol w:w="1733"/>
        <w:gridCol w:w="1733"/>
        <w:gridCol w:w="1734"/>
      </w:tblGrid>
      <w:tr w:rsidR="00484B60" w:rsidRPr="005A3AFE" w14:paraId="27A20B38" w14:textId="77777777" w:rsidTr="00205213">
        <w:trPr>
          <w:trHeight w:val="1410"/>
        </w:trPr>
        <w:tc>
          <w:tcPr>
            <w:tcW w:w="3681" w:type="dxa"/>
            <w:hideMark/>
          </w:tcPr>
          <w:p w14:paraId="186249C5" w14:textId="08B6E159" w:rsidR="00484B60" w:rsidRPr="00205213" w:rsidRDefault="00205213" w:rsidP="00205213">
            <w:pPr>
              <w:keepNext/>
              <w:spacing w:before="360" w:after="120"/>
              <w:rPr>
                <w:rFonts w:eastAsia="Times New Roman" w:cs="Arial"/>
                <w:b/>
                <w:bCs/>
                <w:szCs w:val="20"/>
                <w:lang w:eastAsia="en-AU"/>
              </w:rPr>
            </w:pPr>
            <w:r w:rsidRPr="00205213">
              <w:rPr>
                <w:rFonts w:eastAsia="Times New Roman" w:cs="Arial"/>
                <w:b/>
                <w:bCs/>
                <w:szCs w:val="20"/>
                <w:lang w:eastAsia="en-AU"/>
              </w:rPr>
              <w:t>Category</w:t>
            </w:r>
          </w:p>
        </w:tc>
        <w:tc>
          <w:tcPr>
            <w:tcW w:w="1591" w:type="dxa"/>
            <w:noWrap/>
            <w:vAlign w:val="center"/>
            <w:hideMark/>
          </w:tcPr>
          <w:p w14:paraId="38E9FEBA" w14:textId="0A0F7C3B" w:rsidR="00484B60" w:rsidRPr="00484B60" w:rsidRDefault="00484B60" w:rsidP="00205213">
            <w:pPr>
              <w:keepNext/>
              <w:spacing w:before="120" w:after="120"/>
              <w:ind w:left="170"/>
              <w:rPr>
                <w:rFonts w:eastAsia="Times New Roman" w:cs="Arial"/>
                <w:color w:val="000000"/>
                <w:szCs w:val="20"/>
                <w:lang w:eastAsia="en-AU"/>
              </w:rPr>
            </w:pPr>
            <w:r w:rsidRPr="00C24FE6">
              <w:rPr>
                <w:rFonts w:eastAsia="Times New Roman" w:cs="Arial"/>
                <w:b/>
                <w:bCs/>
                <w:color w:val="000000"/>
                <w:szCs w:val="20"/>
                <w:lang w:eastAsia="en-AU"/>
              </w:rPr>
              <w:t>Universities:</w:t>
            </w:r>
            <w:r>
              <w:rPr>
                <w:rFonts w:eastAsia="Times New Roman" w:cs="Arial"/>
                <w:color w:val="000000"/>
                <w:szCs w:val="20"/>
                <w:lang w:eastAsia="en-AU"/>
              </w:rPr>
              <w:t xml:space="preserve"> </w:t>
            </w:r>
            <w:r w:rsidRPr="00484B60">
              <w:rPr>
                <w:rFonts w:eastAsia="Times New Roman" w:cs="Arial"/>
                <w:color w:val="000000"/>
                <w:szCs w:val="20"/>
                <w:lang w:eastAsia="en-AU"/>
              </w:rPr>
              <w:t>Short-term (2023)</w:t>
            </w:r>
          </w:p>
        </w:tc>
        <w:tc>
          <w:tcPr>
            <w:tcW w:w="1733" w:type="dxa"/>
            <w:vAlign w:val="center"/>
          </w:tcPr>
          <w:p w14:paraId="0DB4C46A" w14:textId="04DD58B4" w:rsidR="00484B60" w:rsidRPr="00484B60" w:rsidRDefault="00484B60" w:rsidP="00205213">
            <w:pPr>
              <w:keepNext/>
              <w:spacing w:before="120" w:after="120"/>
              <w:ind w:left="170"/>
              <w:rPr>
                <w:rFonts w:eastAsia="Times New Roman" w:cs="Arial"/>
                <w:color w:val="000000"/>
                <w:szCs w:val="20"/>
                <w:lang w:eastAsia="en-AU"/>
              </w:rPr>
            </w:pPr>
            <w:r w:rsidRPr="00C24FE6">
              <w:rPr>
                <w:rFonts w:eastAsia="Times New Roman" w:cs="Arial"/>
                <w:b/>
                <w:bCs/>
                <w:color w:val="000000"/>
                <w:szCs w:val="20"/>
                <w:lang w:eastAsia="en-AU"/>
              </w:rPr>
              <w:t>NUHEIs:</w:t>
            </w:r>
            <w:r>
              <w:rPr>
                <w:rFonts w:eastAsia="Times New Roman" w:cs="Arial"/>
                <w:color w:val="000000"/>
                <w:szCs w:val="20"/>
                <w:lang w:eastAsia="en-AU"/>
              </w:rPr>
              <w:t xml:space="preserve"> </w:t>
            </w:r>
            <w:r w:rsidRPr="00484B60">
              <w:rPr>
                <w:rFonts w:eastAsia="Times New Roman" w:cs="Arial"/>
                <w:color w:val="000000"/>
                <w:szCs w:val="20"/>
                <w:lang w:eastAsia="en-AU"/>
              </w:rPr>
              <w:t>Short</w:t>
            </w:r>
            <w:r w:rsidR="00205213">
              <w:rPr>
                <w:rFonts w:eastAsia="Times New Roman" w:cs="Arial"/>
                <w:color w:val="000000"/>
                <w:szCs w:val="20"/>
                <w:lang w:eastAsia="en-AU"/>
              </w:rPr>
              <w:noBreakHyphen/>
            </w:r>
            <w:r w:rsidRPr="00484B60">
              <w:rPr>
                <w:rFonts w:eastAsia="Times New Roman" w:cs="Arial"/>
                <w:color w:val="000000"/>
                <w:szCs w:val="20"/>
                <w:lang w:eastAsia="en-AU"/>
              </w:rPr>
              <w:t>term (2023)</w:t>
            </w:r>
          </w:p>
        </w:tc>
        <w:tc>
          <w:tcPr>
            <w:tcW w:w="1733" w:type="dxa"/>
            <w:noWrap/>
            <w:vAlign w:val="center"/>
            <w:hideMark/>
          </w:tcPr>
          <w:p w14:paraId="2CBFDD4A" w14:textId="45DAFFA9" w:rsidR="00484B60" w:rsidRPr="00484B60" w:rsidRDefault="00484B60" w:rsidP="00205213">
            <w:pPr>
              <w:keepNext/>
              <w:spacing w:before="120" w:after="120"/>
              <w:ind w:left="170"/>
              <w:rPr>
                <w:rFonts w:eastAsia="Times New Roman" w:cs="Arial"/>
                <w:color w:val="000000"/>
                <w:szCs w:val="20"/>
                <w:lang w:eastAsia="en-AU"/>
              </w:rPr>
            </w:pPr>
            <w:r w:rsidRPr="00C24FE6">
              <w:rPr>
                <w:rFonts w:eastAsia="Times New Roman" w:cs="Arial"/>
                <w:b/>
                <w:bCs/>
                <w:color w:val="000000"/>
                <w:szCs w:val="20"/>
                <w:lang w:eastAsia="en-AU"/>
              </w:rPr>
              <w:t>Universities:</w:t>
            </w:r>
            <w:r>
              <w:rPr>
                <w:rFonts w:eastAsia="Times New Roman" w:cs="Arial"/>
                <w:color w:val="000000"/>
                <w:szCs w:val="20"/>
                <w:lang w:eastAsia="en-AU"/>
              </w:rPr>
              <w:t xml:space="preserve"> </w:t>
            </w:r>
            <w:r w:rsidRPr="00484B60">
              <w:rPr>
                <w:rFonts w:eastAsia="Times New Roman" w:cs="Arial"/>
                <w:color w:val="000000"/>
                <w:szCs w:val="20"/>
                <w:lang w:eastAsia="en-AU"/>
              </w:rPr>
              <w:t>Medium-term (2026)</w:t>
            </w:r>
          </w:p>
        </w:tc>
        <w:tc>
          <w:tcPr>
            <w:tcW w:w="1734" w:type="dxa"/>
            <w:vAlign w:val="center"/>
          </w:tcPr>
          <w:p w14:paraId="6ADFD2AC" w14:textId="5ACE57E0" w:rsidR="00484B60" w:rsidRPr="00484B60" w:rsidRDefault="00484B60" w:rsidP="00205213">
            <w:pPr>
              <w:keepNext/>
              <w:spacing w:before="120" w:after="120"/>
              <w:ind w:left="170"/>
              <w:rPr>
                <w:rFonts w:eastAsia="Times New Roman" w:cs="Arial"/>
                <w:color w:val="000000"/>
                <w:szCs w:val="20"/>
                <w:lang w:eastAsia="en-AU"/>
              </w:rPr>
            </w:pPr>
            <w:r w:rsidRPr="00C24FE6">
              <w:rPr>
                <w:rFonts w:eastAsia="Times New Roman" w:cs="Arial"/>
                <w:b/>
                <w:bCs/>
                <w:color w:val="000000"/>
                <w:szCs w:val="20"/>
                <w:lang w:eastAsia="en-AU"/>
              </w:rPr>
              <w:t>NUHEIs:</w:t>
            </w:r>
            <w:r>
              <w:rPr>
                <w:rFonts w:eastAsia="Times New Roman" w:cs="Arial"/>
                <w:color w:val="000000"/>
                <w:szCs w:val="20"/>
                <w:lang w:eastAsia="en-AU"/>
              </w:rPr>
              <w:t xml:space="preserve"> </w:t>
            </w:r>
            <w:r w:rsidRPr="00484B60">
              <w:rPr>
                <w:rFonts w:eastAsia="Times New Roman" w:cs="Arial"/>
                <w:color w:val="000000"/>
                <w:szCs w:val="20"/>
                <w:lang w:eastAsia="en-AU"/>
              </w:rPr>
              <w:t>Medium-term (2026)</w:t>
            </w:r>
          </w:p>
        </w:tc>
      </w:tr>
      <w:tr w:rsidR="00A17AAB" w:rsidRPr="005A3AFE" w14:paraId="1BE3B722" w14:textId="77777777" w:rsidTr="00205213">
        <w:trPr>
          <w:trHeight w:val="300"/>
        </w:trPr>
        <w:tc>
          <w:tcPr>
            <w:tcW w:w="3681" w:type="dxa"/>
            <w:vAlign w:val="center"/>
            <w:hideMark/>
          </w:tcPr>
          <w:p w14:paraId="59F98E86" w14:textId="77777777" w:rsidR="00205213" w:rsidRDefault="00205213" w:rsidP="00205213">
            <w:pPr>
              <w:keepNext/>
              <w:spacing w:before="120" w:after="120"/>
              <w:rPr>
                <w:rFonts w:eastAsia="Times New Roman" w:cs="Arial"/>
                <w:b/>
                <w:bCs/>
                <w:color w:val="000000"/>
                <w:szCs w:val="20"/>
                <w:lang w:val="en-GB" w:eastAsia="en-AU"/>
              </w:rPr>
            </w:pPr>
            <w:r w:rsidRPr="00B45AF5">
              <w:rPr>
                <w:rFonts w:eastAsia="Times New Roman" w:cs="Arial"/>
                <w:b/>
                <w:bCs/>
                <w:color w:val="000000"/>
                <w:szCs w:val="20"/>
                <w:lang w:val="en-GB" w:eastAsia="en-AU"/>
              </w:rPr>
              <w:t>Full-time employment rate (%)*</w:t>
            </w:r>
            <w:r>
              <w:rPr>
                <w:rFonts w:eastAsia="Times New Roman" w:cs="Arial"/>
                <w:b/>
                <w:bCs/>
                <w:color w:val="000000"/>
                <w:szCs w:val="20"/>
                <w:lang w:val="en-GB" w:eastAsia="en-AU"/>
              </w:rPr>
              <w:t>:</w:t>
            </w:r>
          </w:p>
          <w:p w14:paraId="2837EFCE" w14:textId="70ED483F"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Undergraduate</w:t>
            </w:r>
          </w:p>
        </w:tc>
        <w:tc>
          <w:tcPr>
            <w:tcW w:w="1591" w:type="dxa"/>
            <w:noWrap/>
            <w:vAlign w:val="center"/>
          </w:tcPr>
          <w:p w14:paraId="04F766F7"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80.6</w:t>
            </w:r>
          </w:p>
        </w:tc>
        <w:tc>
          <w:tcPr>
            <w:tcW w:w="1733" w:type="dxa"/>
            <w:noWrap/>
            <w:vAlign w:val="center"/>
          </w:tcPr>
          <w:p w14:paraId="2235BCE4"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65.3</w:t>
            </w:r>
          </w:p>
        </w:tc>
        <w:tc>
          <w:tcPr>
            <w:tcW w:w="1733" w:type="dxa"/>
            <w:noWrap/>
            <w:vAlign w:val="center"/>
          </w:tcPr>
          <w:p w14:paraId="029C4249"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92.0</w:t>
            </w:r>
          </w:p>
        </w:tc>
        <w:tc>
          <w:tcPr>
            <w:tcW w:w="1734" w:type="dxa"/>
            <w:noWrap/>
            <w:vAlign w:val="center"/>
          </w:tcPr>
          <w:p w14:paraId="3FA79AA0"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83.3</w:t>
            </w:r>
          </w:p>
        </w:tc>
      </w:tr>
      <w:tr w:rsidR="00A17AAB" w:rsidRPr="005A3AFE" w14:paraId="43D2AB10" w14:textId="77777777" w:rsidTr="00205213">
        <w:trPr>
          <w:trHeight w:val="300"/>
        </w:trPr>
        <w:tc>
          <w:tcPr>
            <w:tcW w:w="3681" w:type="dxa"/>
            <w:vAlign w:val="center"/>
            <w:hideMark/>
          </w:tcPr>
          <w:p w14:paraId="6520D83D" w14:textId="77777777" w:rsidR="00205213" w:rsidRDefault="00205213" w:rsidP="00205213">
            <w:pPr>
              <w:keepNext/>
              <w:spacing w:before="120" w:after="120"/>
              <w:rPr>
                <w:rFonts w:eastAsia="Times New Roman" w:cs="Arial"/>
                <w:b/>
                <w:bCs/>
                <w:color w:val="000000"/>
                <w:szCs w:val="20"/>
                <w:lang w:val="en-GB" w:eastAsia="en-AU"/>
              </w:rPr>
            </w:pPr>
            <w:r w:rsidRPr="00B45AF5">
              <w:rPr>
                <w:rFonts w:eastAsia="Times New Roman" w:cs="Arial"/>
                <w:b/>
                <w:bCs/>
                <w:color w:val="000000"/>
                <w:szCs w:val="20"/>
                <w:lang w:val="en-GB" w:eastAsia="en-AU"/>
              </w:rPr>
              <w:t>Full-time employment rate (%)*</w:t>
            </w:r>
            <w:r>
              <w:rPr>
                <w:rFonts w:eastAsia="Times New Roman" w:cs="Arial"/>
                <w:b/>
                <w:bCs/>
                <w:color w:val="000000"/>
                <w:szCs w:val="20"/>
                <w:lang w:val="en-GB" w:eastAsia="en-AU"/>
              </w:rPr>
              <w:t>:</w:t>
            </w:r>
          </w:p>
          <w:p w14:paraId="09F55704" w14:textId="2F3A2817"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themeColor="text1"/>
                <w:szCs w:val="20"/>
                <w:lang w:eastAsia="en-AU"/>
              </w:rPr>
              <w:t>Postgraduate coursework</w:t>
            </w:r>
          </w:p>
        </w:tc>
        <w:tc>
          <w:tcPr>
            <w:tcW w:w="1591" w:type="dxa"/>
            <w:noWrap/>
            <w:vAlign w:val="center"/>
          </w:tcPr>
          <w:p w14:paraId="2417E8C1"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90.1</w:t>
            </w:r>
          </w:p>
        </w:tc>
        <w:tc>
          <w:tcPr>
            <w:tcW w:w="1733" w:type="dxa"/>
            <w:noWrap/>
            <w:vAlign w:val="center"/>
          </w:tcPr>
          <w:p w14:paraId="444905B6"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92.1</w:t>
            </w:r>
          </w:p>
        </w:tc>
        <w:tc>
          <w:tcPr>
            <w:tcW w:w="1733" w:type="dxa"/>
            <w:noWrap/>
            <w:vAlign w:val="center"/>
          </w:tcPr>
          <w:p w14:paraId="406CE98A"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95.0</w:t>
            </w:r>
          </w:p>
        </w:tc>
        <w:tc>
          <w:tcPr>
            <w:tcW w:w="1734" w:type="dxa"/>
            <w:noWrap/>
            <w:vAlign w:val="center"/>
          </w:tcPr>
          <w:p w14:paraId="2D48257B"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95.9</w:t>
            </w:r>
          </w:p>
        </w:tc>
      </w:tr>
      <w:tr w:rsidR="00A17AAB" w:rsidRPr="005A3AFE" w14:paraId="4445A2DD" w14:textId="77777777" w:rsidTr="00205213">
        <w:trPr>
          <w:trHeight w:val="300"/>
        </w:trPr>
        <w:tc>
          <w:tcPr>
            <w:tcW w:w="3681" w:type="dxa"/>
            <w:vAlign w:val="center"/>
            <w:hideMark/>
          </w:tcPr>
          <w:p w14:paraId="64E75B86" w14:textId="77777777" w:rsidR="00205213" w:rsidRDefault="00205213" w:rsidP="00205213">
            <w:pPr>
              <w:keepNext/>
              <w:spacing w:before="120" w:after="120"/>
              <w:rPr>
                <w:rFonts w:eastAsia="Times New Roman" w:cs="Arial"/>
                <w:b/>
                <w:bCs/>
                <w:color w:val="000000"/>
                <w:szCs w:val="20"/>
                <w:lang w:val="en-GB" w:eastAsia="en-AU"/>
              </w:rPr>
            </w:pPr>
            <w:r w:rsidRPr="00B45AF5">
              <w:rPr>
                <w:rFonts w:eastAsia="Times New Roman" w:cs="Arial"/>
                <w:b/>
                <w:bCs/>
                <w:color w:val="000000"/>
                <w:szCs w:val="20"/>
                <w:lang w:val="en-GB" w:eastAsia="en-AU"/>
              </w:rPr>
              <w:t>Overall employment rate (%)*</w:t>
            </w:r>
            <w:r>
              <w:rPr>
                <w:rFonts w:eastAsia="Times New Roman" w:cs="Arial"/>
                <w:b/>
                <w:bCs/>
                <w:color w:val="000000"/>
                <w:szCs w:val="20"/>
                <w:lang w:val="en-GB" w:eastAsia="en-AU"/>
              </w:rPr>
              <w:t>:</w:t>
            </w:r>
          </w:p>
          <w:p w14:paraId="7F251414" w14:textId="076C683B"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Undergraduate</w:t>
            </w:r>
          </w:p>
        </w:tc>
        <w:tc>
          <w:tcPr>
            <w:tcW w:w="1591" w:type="dxa"/>
            <w:noWrap/>
            <w:vAlign w:val="center"/>
          </w:tcPr>
          <w:p w14:paraId="4C8050E1"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90.2</w:t>
            </w:r>
          </w:p>
        </w:tc>
        <w:tc>
          <w:tcPr>
            <w:tcW w:w="1733" w:type="dxa"/>
            <w:noWrap/>
            <w:vAlign w:val="center"/>
          </w:tcPr>
          <w:p w14:paraId="71ABAD43"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83.8</w:t>
            </w:r>
          </w:p>
        </w:tc>
        <w:tc>
          <w:tcPr>
            <w:tcW w:w="1733" w:type="dxa"/>
            <w:noWrap/>
            <w:vAlign w:val="center"/>
          </w:tcPr>
          <w:p w14:paraId="6222E843"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94.7</w:t>
            </w:r>
          </w:p>
        </w:tc>
        <w:tc>
          <w:tcPr>
            <w:tcW w:w="1734" w:type="dxa"/>
            <w:noWrap/>
            <w:vAlign w:val="center"/>
          </w:tcPr>
          <w:p w14:paraId="7035352B"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91.0</w:t>
            </w:r>
          </w:p>
        </w:tc>
      </w:tr>
      <w:tr w:rsidR="00A17AAB" w:rsidRPr="005A3AFE" w14:paraId="2C1493D7" w14:textId="77777777" w:rsidTr="00205213">
        <w:trPr>
          <w:trHeight w:val="300"/>
        </w:trPr>
        <w:tc>
          <w:tcPr>
            <w:tcW w:w="3681" w:type="dxa"/>
            <w:vAlign w:val="center"/>
            <w:hideMark/>
          </w:tcPr>
          <w:p w14:paraId="44CAE978" w14:textId="77777777" w:rsidR="00205213" w:rsidRDefault="00205213" w:rsidP="00205213">
            <w:pPr>
              <w:keepNext/>
              <w:spacing w:before="120" w:after="120"/>
              <w:rPr>
                <w:rFonts w:eastAsia="Times New Roman" w:cs="Arial"/>
                <w:b/>
                <w:bCs/>
                <w:color w:val="000000"/>
                <w:szCs w:val="20"/>
                <w:lang w:val="en-GB" w:eastAsia="en-AU"/>
              </w:rPr>
            </w:pPr>
            <w:r w:rsidRPr="00B45AF5">
              <w:rPr>
                <w:rFonts w:eastAsia="Times New Roman" w:cs="Arial"/>
                <w:b/>
                <w:bCs/>
                <w:color w:val="000000"/>
                <w:szCs w:val="20"/>
                <w:lang w:val="en-GB" w:eastAsia="en-AU"/>
              </w:rPr>
              <w:t>Overall employment rate (%)*</w:t>
            </w:r>
            <w:r>
              <w:rPr>
                <w:rFonts w:eastAsia="Times New Roman" w:cs="Arial"/>
                <w:b/>
                <w:bCs/>
                <w:color w:val="000000"/>
                <w:szCs w:val="20"/>
                <w:lang w:val="en-GB" w:eastAsia="en-AU"/>
              </w:rPr>
              <w:t>:</w:t>
            </w:r>
          </w:p>
          <w:p w14:paraId="3E85D605" w14:textId="4A233C3E"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Postgraduate coursework</w:t>
            </w:r>
          </w:p>
        </w:tc>
        <w:tc>
          <w:tcPr>
            <w:tcW w:w="1591" w:type="dxa"/>
            <w:noWrap/>
            <w:vAlign w:val="center"/>
          </w:tcPr>
          <w:p w14:paraId="2F706093"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94.3</w:t>
            </w:r>
          </w:p>
        </w:tc>
        <w:tc>
          <w:tcPr>
            <w:tcW w:w="1733" w:type="dxa"/>
            <w:noWrap/>
            <w:vAlign w:val="center"/>
          </w:tcPr>
          <w:p w14:paraId="0535AA51"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95.0</w:t>
            </w:r>
          </w:p>
        </w:tc>
        <w:tc>
          <w:tcPr>
            <w:tcW w:w="1733" w:type="dxa"/>
            <w:noWrap/>
            <w:vAlign w:val="center"/>
          </w:tcPr>
          <w:p w14:paraId="76D3A0C4"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96.5</w:t>
            </w:r>
          </w:p>
        </w:tc>
        <w:tc>
          <w:tcPr>
            <w:tcW w:w="1734" w:type="dxa"/>
            <w:noWrap/>
            <w:vAlign w:val="center"/>
          </w:tcPr>
          <w:p w14:paraId="2FCB7A03"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96.5</w:t>
            </w:r>
          </w:p>
        </w:tc>
      </w:tr>
      <w:tr w:rsidR="00A17AAB" w:rsidRPr="005A3AFE" w14:paraId="0A24AE07" w14:textId="77777777" w:rsidTr="00205213">
        <w:trPr>
          <w:trHeight w:val="300"/>
        </w:trPr>
        <w:tc>
          <w:tcPr>
            <w:tcW w:w="3681" w:type="dxa"/>
            <w:vAlign w:val="center"/>
            <w:hideMark/>
          </w:tcPr>
          <w:p w14:paraId="0326C2C4" w14:textId="77777777" w:rsidR="00205213" w:rsidRDefault="00205213" w:rsidP="00205213">
            <w:pPr>
              <w:keepNext/>
              <w:spacing w:before="120" w:after="120"/>
              <w:rPr>
                <w:rFonts w:eastAsia="Times New Roman" w:cs="Arial"/>
                <w:b/>
                <w:bCs/>
                <w:color w:val="000000"/>
                <w:szCs w:val="20"/>
                <w:lang w:eastAsia="en-AU"/>
              </w:rPr>
            </w:pPr>
            <w:r w:rsidRPr="00B45AF5">
              <w:rPr>
                <w:rFonts w:eastAsia="Times New Roman" w:cs="Arial"/>
                <w:b/>
                <w:bCs/>
                <w:color w:val="000000"/>
                <w:szCs w:val="20"/>
                <w:lang w:eastAsia="en-AU"/>
              </w:rPr>
              <w:t>Labour force participation rate (%)*</w:t>
            </w:r>
            <w:r>
              <w:rPr>
                <w:rFonts w:eastAsia="Times New Roman" w:cs="Arial"/>
                <w:b/>
                <w:bCs/>
                <w:color w:val="000000"/>
                <w:szCs w:val="20"/>
                <w:lang w:eastAsia="en-AU"/>
              </w:rPr>
              <w:t>:</w:t>
            </w:r>
          </w:p>
          <w:p w14:paraId="0CC9E83E" w14:textId="31B4E0F4"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Undergraduate</w:t>
            </w:r>
          </w:p>
        </w:tc>
        <w:tc>
          <w:tcPr>
            <w:tcW w:w="1591" w:type="dxa"/>
            <w:noWrap/>
            <w:vAlign w:val="center"/>
          </w:tcPr>
          <w:p w14:paraId="38DF4E64"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93.1</w:t>
            </w:r>
          </w:p>
        </w:tc>
        <w:tc>
          <w:tcPr>
            <w:tcW w:w="1733" w:type="dxa"/>
            <w:noWrap/>
            <w:vAlign w:val="center"/>
          </w:tcPr>
          <w:p w14:paraId="69CF312F"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89.7</w:t>
            </w:r>
          </w:p>
        </w:tc>
        <w:tc>
          <w:tcPr>
            <w:tcW w:w="1733" w:type="dxa"/>
            <w:noWrap/>
            <w:vAlign w:val="center"/>
          </w:tcPr>
          <w:p w14:paraId="4C9ED6A1"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90.1</w:t>
            </w:r>
          </w:p>
        </w:tc>
        <w:tc>
          <w:tcPr>
            <w:tcW w:w="1734" w:type="dxa"/>
            <w:noWrap/>
            <w:vAlign w:val="center"/>
          </w:tcPr>
          <w:p w14:paraId="049CB050"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84.8</w:t>
            </w:r>
          </w:p>
        </w:tc>
      </w:tr>
      <w:tr w:rsidR="00A17AAB" w:rsidRPr="005A3AFE" w14:paraId="561FF186" w14:textId="77777777" w:rsidTr="00205213">
        <w:trPr>
          <w:trHeight w:val="300"/>
        </w:trPr>
        <w:tc>
          <w:tcPr>
            <w:tcW w:w="3681" w:type="dxa"/>
            <w:vAlign w:val="center"/>
            <w:hideMark/>
          </w:tcPr>
          <w:p w14:paraId="07CC1A1E" w14:textId="77777777" w:rsidR="00205213" w:rsidRDefault="00205213" w:rsidP="00205213">
            <w:pPr>
              <w:keepNext/>
              <w:spacing w:before="120" w:after="120"/>
              <w:rPr>
                <w:rFonts w:eastAsia="Times New Roman" w:cs="Arial"/>
                <w:b/>
                <w:bCs/>
                <w:color w:val="000000"/>
                <w:szCs w:val="20"/>
                <w:lang w:eastAsia="en-AU"/>
              </w:rPr>
            </w:pPr>
            <w:r w:rsidRPr="00B45AF5">
              <w:rPr>
                <w:rFonts w:eastAsia="Times New Roman" w:cs="Arial"/>
                <w:b/>
                <w:bCs/>
                <w:color w:val="000000"/>
                <w:szCs w:val="20"/>
                <w:lang w:eastAsia="en-AU"/>
              </w:rPr>
              <w:t>Labour force participation rate (%)*</w:t>
            </w:r>
            <w:r>
              <w:rPr>
                <w:rFonts w:eastAsia="Times New Roman" w:cs="Arial"/>
                <w:b/>
                <w:bCs/>
                <w:color w:val="000000"/>
                <w:szCs w:val="20"/>
                <w:lang w:eastAsia="en-AU"/>
              </w:rPr>
              <w:t>:</w:t>
            </w:r>
          </w:p>
          <w:p w14:paraId="3C350887" w14:textId="0D36BBB7"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Postgraduate coursework</w:t>
            </w:r>
          </w:p>
        </w:tc>
        <w:tc>
          <w:tcPr>
            <w:tcW w:w="1591" w:type="dxa"/>
            <w:noWrap/>
            <w:vAlign w:val="center"/>
          </w:tcPr>
          <w:p w14:paraId="5994EF8B"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96.3</w:t>
            </w:r>
          </w:p>
        </w:tc>
        <w:tc>
          <w:tcPr>
            <w:tcW w:w="1733" w:type="dxa"/>
            <w:noWrap/>
            <w:vAlign w:val="center"/>
          </w:tcPr>
          <w:p w14:paraId="41B692CB"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96.0</w:t>
            </w:r>
          </w:p>
        </w:tc>
        <w:tc>
          <w:tcPr>
            <w:tcW w:w="1733" w:type="dxa"/>
            <w:noWrap/>
            <w:vAlign w:val="center"/>
          </w:tcPr>
          <w:p w14:paraId="142A53C9"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93.0</w:t>
            </w:r>
          </w:p>
        </w:tc>
        <w:tc>
          <w:tcPr>
            <w:tcW w:w="1734" w:type="dxa"/>
            <w:noWrap/>
            <w:vAlign w:val="center"/>
          </w:tcPr>
          <w:p w14:paraId="36DCF7EC"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93.6</w:t>
            </w:r>
          </w:p>
        </w:tc>
      </w:tr>
      <w:tr w:rsidR="00A17AAB" w:rsidRPr="005A3AFE" w14:paraId="59D4C9DA" w14:textId="77777777" w:rsidTr="00205213">
        <w:trPr>
          <w:trHeight w:val="300"/>
        </w:trPr>
        <w:tc>
          <w:tcPr>
            <w:tcW w:w="3681" w:type="dxa"/>
            <w:vAlign w:val="center"/>
            <w:hideMark/>
          </w:tcPr>
          <w:p w14:paraId="23A9C002" w14:textId="77777777" w:rsidR="00205213" w:rsidRDefault="00205213" w:rsidP="00205213">
            <w:pPr>
              <w:keepNext/>
              <w:spacing w:before="120" w:after="120"/>
              <w:rPr>
                <w:rFonts w:eastAsia="Times New Roman" w:cs="Arial"/>
                <w:b/>
                <w:bCs/>
                <w:color w:val="000000"/>
                <w:szCs w:val="20"/>
                <w:lang w:val="en-GB" w:eastAsia="en-AU"/>
              </w:rPr>
            </w:pPr>
            <w:r w:rsidRPr="00B45AF5">
              <w:rPr>
                <w:rFonts w:eastAsia="Times New Roman" w:cs="Arial"/>
                <w:b/>
                <w:bCs/>
                <w:color w:val="000000"/>
                <w:szCs w:val="20"/>
                <w:lang w:val="en-GB" w:eastAsia="en-AU"/>
              </w:rPr>
              <w:t>Median annual full-time salary ($)</w:t>
            </w:r>
            <w:r>
              <w:rPr>
                <w:rFonts w:eastAsia="Times New Roman" w:cs="Arial"/>
                <w:b/>
                <w:bCs/>
                <w:color w:val="000000"/>
                <w:szCs w:val="20"/>
                <w:lang w:val="en-GB" w:eastAsia="en-AU"/>
              </w:rPr>
              <w:t>:</w:t>
            </w:r>
          </w:p>
          <w:p w14:paraId="1F4C6DA3" w14:textId="3440592C"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Undergraduate</w:t>
            </w:r>
          </w:p>
        </w:tc>
        <w:tc>
          <w:tcPr>
            <w:tcW w:w="1591" w:type="dxa"/>
            <w:noWrap/>
            <w:vAlign w:val="center"/>
          </w:tcPr>
          <w:p w14:paraId="5216B68B"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71,400</w:t>
            </w:r>
          </w:p>
        </w:tc>
        <w:tc>
          <w:tcPr>
            <w:tcW w:w="1733" w:type="dxa"/>
            <w:noWrap/>
            <w:vAlign w:val="center"/>
          </w:tcPr>
          <w:p w14:paraId="4C65D267"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70,000</w:t>
            </w:r>
          </w:p>
        </w:tc>
        <w:tc>
          <w:tcPr>
            <w:tcW w:w="1733" w:type="dxa"/>
            <w:noWrap/>
            <w:vAlign w:val="center"/>
          </w:tcPr>
          <w:p w14:paraId="7945A66F"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93,900</w:t>
            </w:r>
          </w:p>
        </w:tc>
        <w:tc>
          <w:tcPr>
            <w:tcW w:w="1734" w:type="dxa"/>
            <w:noWrap/>
            <w:vAlign w:val="center"/>
          </w:tcPr>
          <w:p w14:paraId="000EFB8C"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80,000</w:t>
            </w:r>
          </w:p>
        </w:tc>
      </w:tr>
      <w:tr w:rsidR="00A17AAB" w:rsidRPr="005A3AFE" w14:paraId="206691A6" w14:textId="77777777" w:rsidTr="00205213">
        <w:trPr>
          <w:trHeight w:val="300"/>
        </w:trPr>
        <w:tc>
          <w:tcPr>
            <w:tcW w:w="3681" w:type="dxa"/>
            <w:vAlign w:val="center"/>
            <w:hideMark/>
          </w:tcPr>
          <w:p w14:paraId="439B7345" w14:textId="77777777" w:rsidR="00205213" w:rsidRDefault="00205213" w:rsidP="00205213">
            <w:pPr>
              <w:keepNext/>
              <w:spacing w:before="120" w:after="120"/>
              <w:rPr>
                <w:rFonts w:eastAsia="Times New Roman" w:cs="Arial"/>
                <w:b/>
                <w:bCs/>
                <w:color w:val="000000"/>
                <w:szCs w:val="20"/>
                <w:lang w:val="en-GB" w:eastAsia="en-AU"/>
              </w:rPr>
            </w:pPr>
            <w:r w:rsidRPr="00B45AF5">
              <w:rPr>
                <w:rFonts w:eastAsia="Times New Roman" w:cs="Arial"/>
                <w:b/>
                <w:bCs/>
                <w:color w:val="000000"/>
                <w:szCs w:val="20"/>
                <w:lang w:val="en-GB" w:eastAsia="en-AU"/>
              </w:rPr>
              <w:t>Median annual full-time salary ($)</w:t>
            </w:r>
            <w:r>
              <w:rPr>
                <w:rFonts w:eastAsia="Times New Roman" w:cs="Arial"/>
                <w:b/>
                <w:bCs/>
                <w:color w:val="000000"/>
                <w:szCs w:val="20"/>
                <w:lang w:val="en-GB" w:eastAsia="en-AU"/>
              </w:rPr>
              <w:t>:</w:t>
            </w:r>
          </w:p>
          <w:p w14:paraId="53509F8A" w14:textId="7150CB7D"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Postgraduate coursework</w:t>
            </w:r>
          </w:p>
        </w:tc>
        <w:tc>
          <w:tcPr>
            <w:tcW w:w="1591" w:type="dxa"/>
            <w:noWrap/>
            <w:vAlign w:val="center"/>
          </w:tcPr>
          <w:p w14:paraId="57055576"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98,000</w:t>
            </w:r>
          </w:p>
        </w:tc>
        <w:tc>
          <w:tcPr>
            <w:tcW w:w="1733" w:type="dxa"/>
            <w:noWrap/>
            <w:vAlign w:val="center"/>
          </w:tcPr>
          <w:p w14:paraId="02AC7207"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97,700</w:t>
            </w:r>
          </w:p>
        </w:tc>
        <w:tc>
          <w:tcPr>
            <w:tcW w:w="1733" w:type="dxa"/>
            <w:noWrap/>
            <w:vAlign w:val="center"/>
          </w:tcPr>
          <w:p w14:paraId="2C9F2812"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120,000</w:t>
            </w:r>
          </w:p>
        </w:tc>
        <w:tc>
          <w:tcPr>
            <w:tcW w:w="1734" w:type="dxa"/>
            <w:noWrap/>
            <w:vAlign w:val="center"/>
          </w:tcPr>
          <w:p w14:paraId="70D116DA"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129,400</w:t>
            </w:r>
          </w:p>
        </w:tc>
      </w:tr>
      <w:tr w:rsidR="00A17AAB" w:rsidRPr="005A3AFE" w14:paraId="17162983" w14:textId="77777777" w:rsidTr="00205213">
        <w:trPr>
          <w:trHeight w:val="300"/>
        </w:trPr>
        <w:tc>
          <w:tcPr>
            <w:tcW w:w="3681" w:type="dxa"/>
            <w:vAlign w:val="center"/>
            <w:hideMark/>
          </w:tcPr>
          <w:p w14:paraId="3677FEB0" w14:textId="77777777" w:rsidR="00205213" w:rsidRDefault="00205213" w:rsidP="00205213">
            <w:pPr>
              <w:keepNext/>
              <w:spacing w:before="120" w:after="120"/>
              <w:rPr>
                <w:rFonts w:eastAsia="Times New Roman" w:cs="Arial"/>
                <w:b/>
                <w:bCs/>
                <w:color w:val="000000"/>
                <w:szCs w:val="20"/>
                <w:lang w:eastAsia="en-AU"/>
              </w:rPr>
            </w:pPr>
            <w:r w:rsidRPr="00B45AF5">
              <w:rPr>
                <w:rFonts w:eastAsia="Times New Roman" w:cs="Arial"/>
                <w:b/>
                <w:bCs/>
                <w:color w:val="000000"/>
                <w:szCs w:val="20"/>
                <w:lang w:eastAsia="en-AU"/>
              </w:rPr>
              <w:t>In further full-time study (%)</w:t>
            </w:r>
            <w:r>
              <w:rPr>
                <w:rFonts w:eastAsia="Times New Roman" w:cs="Arial"/>
                <w:b/>
                <w:bCs/>
                <w:color w:val="000000"/>
                <w:szCs w:val="20"/>
                <w:lang w:eastAsia="en-AU"/>
              </w:rPr>
              <w:t>:</w:t>
            </w:r>
          </w:p>
          <w:p w14:paraId="5AA5BE18" w14:textId="099F11BC"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Undergraduate</w:t>
            </w:r>
          </w:p>
        </w:tc>
        <w:tc>
          <w:tcPr>
            <w:tcW w:w="1591" w:type="dxa"/>
            <w:noWrap/>
            <w:vAlign w:val="center"/>
          </w:tcPr>
          <w:p w14:paraId="237A9568"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16.6</w:t>
            </w:r>
          </w:p>
        </w:tc>
        <w:tc>
          <w:tcPr>
            <w:tcW w:w="1733" w:type="dxa"/>
            <w:noWrap/>
            <w:vAlign w:val="center"/>
          </w:tcPr>
          <w:p w14:paraId="30C285D5"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14.3</w:t>
            </w:r>
          </w:p>
        </w:tc>
        <w:tc>
          <w:tcPr>
            <w:tcW w:w="1733" w:type="dxa"/>
            <w:noWrap/>
            <w:vAlign w:val="center"/>
          </w:tcPr>
          <w:p w14:paraId="3195080F"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13.8</w:t>
            </w:r>
          </w:p>
        </w:tc>
        <w:tc>
          <w:tcPr>
            <w:tcW w:w="1734" w:type="dxa"/>
            <w:noWrap/>
            <w:vAlign w:val="center"/>
          </w:tcPr>
          <w:p w14:paraId="3D62EC75" w14:textId="77777777" w:rsidR="00A17AAB" w:rsidRPr="00B45AF5" w:rsidRDefault="00A17AAB" w:rsidP="00423A7C">
            <w:pPr>
              <w:keepNext/>
              <w:spacing w:before="120" w:after="120"/>
              <w:jc w:val="center"/>
              <w:rPr>
                <w:rFonts w:eastAsia="Times New Roman" w:cs="Arial"/>
                <w:color w:val="000000"/>
                <w:szCs w:val="20"/>
                <w:lang w:eastAsia="en-AU"/>
              </w:rPr>
            </w:pPr>
            <w:r w:rsidRPr="00B45AF5">
              <w:rPr>
                <w:rFonts w:cs="Arial"/>
                <w:color w:val="000000"/>
                <w:szCs w:val="20"/>
              </w:rPr>
              <w:t>10.2</w:t>
            </w:r>
          </w:p>
        </w:tc>
      </w:tr>
      <w:tr w:rsidR="00A17AAB" w:rsidRPr="005A3AFE" w14:paraId="6C6F55ED" w14:textId="77777777" w:rsidTr="00205213">
        <w:trPr>
          <w:trHeight w:val="300"/>
        </w:trPr>
        <w:tc>
          <w:tcPr>
            <w:tcW w:w="3681" w:type="dxa"/>
            <w:vAlign w:val="center"/>
          </w:tcPr>
          <w:p w14:paraId="13A7455A" w14:textId="77777777" w:rsidR="00205213" w:rsidRDefault="00205213" w:rsidP="00205213">
            <w:pPr>
              <w:keepNext/>
              <w:spacing w:before="120" w:after="120"/>
              <w:rPr>
                <w:rFonts w:eastAsia="Times New Roman" w:cs="Arial"/>
                <w:b/>
                <w:bCs/>
                <w:color w:val="000000"/>
                <w:szCs w:val="20"/>
                <w:lang w:eastAsia="en-AU"/>
              </w:rPr>
            </w:pPr>
            <w:r w:rsidRPr="00B45AF5">
              <w:rPr>
                <w:rFonts w:eastAsia="Times New Roman" w:cs="Arial"/>
                <w:b/>
                <w:bCs/>
                <w:color w:val="000000"/>
                <w:szCs w:val="20"/>
                <w:lang w:eastAsia="en-AU"/>
              </w:rPr>
              <w:t>In further full-time study (%)</w:t>
            </w:r>
            <w:r>
              <w:rPr>
                <w:rFonts w:eastAsia="Times New Roman" w:cs="Arial"/>
                <w:b/>
                <w:bCs/>
                <w:color w:val="000000"/>
                <w:szCs w:val="20"/>
                <w:lang w:eastAsia="en-AU"/>
              </w:rPr>
              <w:t>:</w:t>
            </w:r>
          </w:p>
          <w:p w14:paraId="4843345F" w14:textId="2588FEE4" w:rsidR="00A17AAB" w:rsidRPr="00B45AF5" w:rsidRDefault="00A17AAB" w:rsidP="00205213">
            <w:pPr>
              <w:keepNext/>
              <w:spacing w:before="120" w:after="120"/>
              <w:rPr>
                <w:rFonts w:eastAsia="Times New Roman" w:cs="Arial"/>
                <w:color w:val="000000"/>
                <w:szCs w:val="20"/>
                <w:lang w:eastAsia="en-AU"/>
              </w:rPr>
            </w:pPr>
            <w:r w:rsidRPr="00B45AF5">
              <w:rPr>
                <w:rFonts w:eastAsia="Times New Roman" w:cs="Arial"/>
                <w:color w:val="000000"/>
                <w:szCs w:val="20"/>
                <w:lang w:eastAsia="en-AU"/>
              </w:rPr>
              <w:t>Postgraduate coursework</w:t>
            </w:r>
          </w:p>
        </w:tc>
        <w:tc>
          <w:tcPr>
            <w:tcW w:w="1591" w:type="dxa"/>
            <w:noWrap/>
            <w:vAlign w:val="center"/>
          </w:tcPr>
          <w:p w14:paraId="553CF9AD" w14:textId="77777777" w:rsidR="00A17AAB" w:rsidRPr="00B45AF5" w:rsidRDefault="00A17AAB" w:rsidP="00423A7C">
            <w:pPr>
              <w:keepNext/>
              <w:spacing w:before="120" w:after="120"/>
              <w:jc w:val="center"/>
              <w:rPr>
                <w:rFonts w:cs="Arial"/>
                <w:color w:val="000000"/>
                <w:szCs w:val="20"/>
              </w:rPr>
            </w:pPr>
            <w:r w:rsidRPr="00B45AF5">
              <w:rPr>
                <w:rFonts w:cs="Arial"/>
                <w:color w:val="000000"/>
                <w:szCs w:val="20"/>
              </w:rPr>
              <w:t>6.2</w:t>
            </w:r>
          </w:p>
        </w:tc>
        <w:tc>
          <w:tcPr>
            <w:tcW w:w="1733" w:type="dxa"/>
            <w:noWrap/>
            <w:vAlign w:val="center"/>
          </w:tcPr>
          <w:p w14:paraId="1F434189" w14:textId="77777777" w:rsidR="00A17AAB" w:rsidRPr="00B45AF5" w:rsidRDefault="00A17AAB" w:rsidP="00423A7C">
            <w:pPr>
              <w:keepNext/>
              <w:spacing w:before="120" w:after="120"/>
              <w:jc w:val="center"/>
              <w:rPr>
                <w:rFonts w:cs="Arial"/>
                <w:color w:val="000000"/>
                <w:szCs w:val="20"/>
              </w:rPr>
            </w:pPr>
            <w:r w:rsidRPr="00B45AF5">
              <w:rPr>
                <w:rFonts w:cs="Arial"/>
                <w:color w:val="000000"/>
                <w:szCs w:val="20"/>
              </w:rPr>
              <w:t>5.5</w:t>
            </w:r>
          </w:p>
        </w:tc>
        <w:tc>
          <w:tcPr>
            <w:tcW w:w="1733" w:type="dxa"/>
            <w:noWrap/>
            <w:vAlign w:val="center"/>
          </w:tcPr>
          <w:p w14:paraId="7235D685" w14:textId="77777777" w:rsidR="00A17AAB" w:rsidRPr="00B45AF5" w:rsidRDefault="00A17AAB" w:rsidP="00423A7C">
            <w:pPr>
              <w:keepNext/>
              <w:spacing w:before="120" w:after="120"/>
              <w:jc w:val="center"/>
              <w:rPr>
                <w:rFonts w:cs="Arial"/>
                <w:color w:val="000000"/>
                <w:szCs w:val="20"/>
              </w:rPr>
            </w:pPr>
            <w:r w:rsidRPr="00B45AF5">
              <w:rPr>
                <w:rFonts w:cs="Arial"/>
                <w:color w:val="000000"/>
                <w:szCs w:val="20"/>
              </w:rPr>
              <w:t>5.1</w:t>
            </w:r>
          </w:p>
        </w:tc>
        <w:tc>
          <w:tcPr>
            <w:tcW w:w="1734" w:type="dxa"/>
            <w:noWrap/>
            <w:vAlign w:val="center"/>
          </w:tcPr>
          <w:p w14:paraId="16739D89" w14:textId="77777777" w:rsidR="00A17AAB" w:rsidRPr="00B45AF5" w:rsidRDefault="00A17AAB" w:rsidP="00423A7C">
            <w:pPr>
              <w:keepNext/>
              <w:spacing w:before="120" w:after="120"/>
              <w:jc w:val="center"/>
              <w:rPr>
                <w:rFonts w:cs="Arial"/>
                <w:color w:val="000000"/>
                <w:szCs w:val="20"/>
              </w:rPr>
            </w:pPr>
            <w:r w:rsidRPr="00B45AF5">
              <w:rPr>
                <w:rFonts w:cs="Arial"/>
                <w:color w:val="000000"/>
                <w:szCs w:val="20"/>
              </w:rPr>
              <w:t>3.0</w:t>
            </w:r>
          </w:p>
        </w:tc>
      </w:tr>
    </w:tbl>
    <w:p w14:paraId="586F4887" w14:textId="05E35D61" w:rsidR="002F3BDC" w:rsidRPr="005A3AFE" w:rsidRDefault="002F3BDC" w:rsidP="00B45AF5">
      <w:pPr>
        <w:pStyle w:val="BaseFigureNotes"/>
        <w:spacing w:before="120" w:after="240"/>
      </w:pPr>
      <w:r w:rsidRPr="005A3AFE">
        <w:t xml:space="preserve">* Medium-term </w:t>
      </w:r>
      <w:r w:rsidR="005D3135" w:rsidRPr="005A3AFE">
        <w:t xml:space="preserve">labour force participation rates, and full-time and overall employment rates </w:t>
      </w:r>
      <w:r w:rsidRPr="005A3AFE">
        <w:t>from 2025 onwards are not directly comparable with earlier years due to a change to how the labour force is defined. Caution should be exercised when interpreting shifts from the short- to medium-term for the 202</w:t>
      </w:r>
      <w:r w:rsidR="00B921B4" w:rsidRPr="005A3AFE">
        <w:t>3</w:t>
      </w:r>
      <w:r w:rsidR="00886C60" w:rsidRPr="00886C60">
        <w:t>–</w:t>
      </w:r>
      <w:r w:rsidRPr="005A3AFE">
        <w:t>202</w:t>
      </w:r>
      <w:r w:rsidR="00B921B4" w:rsidRPr="005A3AFE">
        <w:t>6</w:t>
      </w:r>
      <w:r w:rsidRPr="005A3AFE">
        <w:t xml:space="preserve"> cohort</w:t>
      </w:r>
      <w:r w:rsidR="006016F1" w:rsidRPr="005A3AFE">
        <w:t>, as they partly reflect the change in methodology</w:t>
      </w:r>
      <w:r w:rsidRPr="005A3AFE">
        <w:t xml:space="preserve">. See </w:t>
      </w:r>
      <w:r w:rsidRPr="005A3AFE">
        <w:rPr>
          <w:b/>
          <w:bCs/>
        </w:rPr>
        <w:t>Appendix 1</w:t>
      </w:r>
      <w:r w:rsidRPr="005A3AFE">
        <w:t xml:space="preserve"> </w:t>
      </w:r>
      <w:r w:rsidR="00533682">
        <w:t xml:space="preserve">in the 2025 GOS-L National Report </w:t>
      </w:r>
      <w:r w:rsidRPr="005A3AFE">
        <w:t>for further information.</w:t>
      </w:r>
    </w:p>
    <w:p w14:paraId="2B46ED45" w14:textId="61164DD2" w:rsidR="00423A7C" w:rsidRDefault="006F57BB" w:rsidP="00A771E5">
      <w:pPr>
        <w:pStyle w:val="Body"/>
        <w:spacing w:after="240"/>
        <w:rPr>
          <w:spacing w:val="-4"/>
        </w:rPr>
      </w:pPr>
      <w:r w:rsidRPr="005A3AFE">
        <w:t xml:space="preserve">At the </w:t>
      </w:r>
      <w:r w:rsidR="0010359C" w:rsidRPr="005A3AFE">
        <w:t>p</w:t>
      </w:r>
      <w:r w:rsidRPr="005A3AFE">
        <w:t xml:space="preserve">ostgraduate coursework level, </w:t>
      </w:r>
      <w:r w:rsidR="000F63A2" w:rsidRPr="005A3AFE">
        <w:t xml:space="preserve">graduates from NUHEIs reported slightly higher full-time </w:t>
      </w:r>
      <w:r w:rsidR="00F731FA" w:rsidRPr="005A3AFE">
        <w:t xml:space="preserve">employment </w:t>
      </w:r>
      <w:r w:rsidR="000F63A2" w:rsidRPr="005A3AFE">
        <w:t>rates in the short-term compared to university graduates, 92.1 percent and 90.1 per cent respectively</w:t>
      </w:r>
      <w:r w:rsidR="006C3A55" w:rsidRPr="005A3AFE">
        <w:t xml:space="preserve">, but this difference </w:t>
      </w:r>
      <w:r w:rsidR="00FF36A4" w:rsidRPr="005A3AFE">
        <w:t>decreased</w:t>
      </w:r>
      <w:r w:rsidR="006C3A55" w:rsidRPr="005A3AFE">
        <w:t xml:space="preserve"> in the medium-term, to 95.9 for graduates from NUHEIs and 95.0 for graduates from universities.</w:t>
      </w:r>
      <w:r w:rsidR="00FF36A4" w:rsidRPr="005A3AFE">
        <w:t xml:space="preserve"> </w:t>
      </w:r>
      <w:r w:rsidR="006B1667" w:rsidRPr="005A3AFE">
        <w:t xml:space="preserve">Notably, in contrast to </w:t>
      </w:r>
      <w:r w:rsidR="005B62A9" w:rsidRPr="005A3AFE">
        <w:t>results at the undergraduate level, median salaries for postgraduate coursework graduates were similar in the short-term, but</w:t>
      </w:r>
      <w:r w:rsidR="00ED1082" w:rsidRPr="005A3AFE">
        <w:t xml:space="preserve"> </w:t>
      </w:r>
      <w:r w:rsidR="00D5398A" w:rsidRPr="005A3AFE">
        <w:t xml:space="preserve">in the medium-term </w:t>
      </w:r>
      <w:r w:rsidR="00ED1082" w:rsidRPr="005A3AFE">
        <w:t>postgraduate coursework graduates from NUHEIs reported higher median salaries</w:t>
      </w:r>
      <w:r w:rsidR="0010359C" w:rsidRPr="005A3AFE">
        <w:rPr>
          <w:rFonts w:ascii="ArialMT" w:hAnsi="ArialMT"/>
        </w:rPr>
        <w:t xml:space="preserve"> – </w:t>
      </w:r>
      <w:r w:rsidR="00ED1082" w:rsidRPr="005A3AFE">
        <w:t>$129,400 compared to $120,000 for university graduates</w:t>
      </w:r>
      <w:r w:rsidR="00D5398A" w:rsidRPr="005A3AFE">
        <w:t>.</w:t>
      </w:r>
      <w:r w:rsidR="00CC2CEF" w:rsidRPr="00CC2CEF">
        <w:t xml:space="preserve"> </w:t>
      </w:r>
      <w:r w:rsidR="00CC2CEF">
        <w:t xml:space="preserve">As with the undergraduate results, these differences may be partly explained by study area differences. </w:t>
      </w:r>
      <w:r w:rsidR="007B7D31" w:rsidRPr="00B45AF5">
        <w:rPr>
          <w:spacing w:val="-4"/>
        </w:rPr>
        <w:t>The m</w:t>
      </w:r>
      <w:r w:rsidR="00CC2CEF" w:rsidRPr="00B45AF5">
        <w:rPr>
          <w:spacing w:val="-4"/>
        </w:rPr>
        <w:t>ajority of NUHEI postgraduate coursework graduates were from Business and management (36.7 per cent) and Law and paralegal studies (31.3 per cent)</w:t>
      </w:r>
      <w:r w:rsidR="00884DE7" w:rsidRPr="00B45AF5">
        <w:rPr>
          <w:spacing w:val="-4"/>
        </w:rPr>
        <w:t>—graduates from these</w:t>
      </w:r>
      <w:r w:rsidR="00CC2CEF" w:rsidRPr="00B45AF5">
        <w:rPr>
          <w:spacing w:val="-4"/>
        </w:rPr>
        <w:t xml:space="preserve"> study areas reported high employment and median salary outcomes</w:t>
      </w:r>
      <w:r w:rsidR="00884DE7" w:rsidRPr="00B45AF5">
        <w:rPr>
          <w:spacing w:val="-4"/>
        </w:rPr>
        <w:t xml:space="preserve"> in the medium-term</w:t>
      </w:r>
      <w:r w:rsidR="00CC2CEF" w:rsidRPr="00B45AF5">
        <w:rPr>
          <w:spacing w:val="-4"/>
        </w:rPr>
        <w:t xml:space="preserve"> (see </w:t>
      </w:r>
      <w:r w:rsidR="00CC2CEF" w:rsidRPr="00B45AF5">
        <w:rPr>
          <w:b/>
          <w:bCs/>
          <w:spacing w:val="-4"/>
        </w:rPr>
        <w:t xml:space="preserve">Appendix </w:t>
      </w:r>
      <w:r w:rsidR="00C4459D" w:rsidRPr="00B45AF5">
        <w:rPr>
          <w:b/>
          <w:bCs/>
          <w:spacing w:val="-4"/>
        </w:rPr>
        <w:t>2</w:t>
      </w:r>
      <w:r w:rsidR="00CC2CEF" w:rsidRPr="00B45AF5">
        <w:rPr>
          <w:spacing w:val="-4"/>
        </w:rPr>
        <w:t>).</w:t>
      </w:r>
      <w:r w:rsidR="00423A7C">
        <w:rPr>
          <w:spacing w:val="-4"/>
        </w:rPr>
        <w:br w:type="page"/>
      </w:r>
    </w:p>
    <w:p w14:paraId="13035847" w14:textId="070343C4" w:rsidR="00423A7C" w:rsidRDefault="00910822" w:rsidP="000B18F6">
      <w:pPr>
        <w:pStyle w:val="Heading3"/>
        <w:spacing w:after="240"/>
        <w:ind w:left="993" w:hanging="993"/>
      </w:pPr>
      <w:bookmarkStart w:id="185" w:name="_Toc243492348"/>
      <w:r w:rsidRPr="005A3AFE">
        <w:lastRenderedPageBreak/>
        <w:t>Comparative university outcomes</w:t>
      </w:r>
      <w:bookmarkEnd w:id="185"/>
    </w:p>
    <w:p w14:paraId="442FE369" w14:textId="77777777" w:rsidR="00937DE6" w:rsidRPr="00937DE6" w:rsidRDefault="00937DE6" w:rsidP="00937DE6">
      <w:pPr>
        <w:pStyle w:val="Calloutbox"/>
        <w:framePr w:wrap="notBeside"/>
        <w:spacing w:before="120" w:after="120"/>
        <w:ind w:left="1984" w:right="2381"/>
        <w:rPr>
          <w:sz w:val="8"/>
          <w:szCs w:val="8"/>
        </w:rPr>
      </w:pPr>
    </w:p>
    <w:p w14:paraId="47597EC1" w14:textId="508CCA0B" w:rsidR="00423A7C" w:rsidRPr="00423A7C" w:rsidRDefault="0024373A" w:rsidP="00937DE6">
      <w:pPr>
        <w:pStyle w:val="Calloutbox"/>
        <w:framePr w:wrap="notBeside"/>
        <w:spacing w:before="120" w:after="120"/>
        <w:ind w:left="1984" w:right="2381"/>
      </w:pPr>
      <w:r>
        <w:t>Notwithstanding differences in course offerings, student populations and</w:t>
      </w:r>
      <w:r w:rsidR="00937DE6">
        <w:t> </w:t>
      </w:r>
      <w:r>
        <w:t>local labour markets, some universities achieve higher rates of full</w:t>
      </w:r>
      <w:r w:rsidR="00937DE6">
        <w:noBreakHyphen/>
      </w:r>
      <w:r>
        <w:t>time employment than others over the medium-term.</w:t>
      </w:r>
    </w:p>
    <w:p w14:paraId="554158D0" w14:textId="75C94CB5" w:rsidR="00910822" w:rsidRPr="005A3AFE" w:rsidRDefault="00910822" w:rsidP="00937DE6">
      <w:pPr>
        <w:pStyle w:val="Body"/>
        <w:spacing w:before="480"/>
      </w:pPr>
      <w:bookmarkStart w:id="186" w:name="_Hlk149647409"/>
      <w:r w:rsidRPr="005A3AFE">
        <w:t xml:space="preserve">Employment and salary outcomes vary across institutions. Note that factors beyond the quality of teaching, careers advice and other internal influences can affect results for institutions. These include study area </w:t>
      </w:r>
      <w:r w:rsidR="0067510C" w:rsidRPr="005A3AFE">
        <w:t xml:space="preserve">and study mode </w:t>
      </w:r>
      <w:r w:rsidRPr="005A3AFE">
        <w:t>offerings, the composition of the student population</w:t>
      </w:r>
      <w:r w:rsidR="00F8335F" w:rsidRPr="005A3AFE">
        <w:t>,</w:t>
      </w:r>
      <w:r w:rsidRPr="005A3AFE">
        <w:t xml:space="preserve"> and variations in state/territory and regional labour markets. </w:t>
      </w:r>
    </w:p>
    <w:p w14:paraId="46F9124E" w14:textId="5FD35F8D" w:rsidR="00910822" w:rsidRPr="005A3AFE" w:rsidRDefault="00910822" w:rsidP="00910822">
      <w:pPr>
        <w:widowControl w:val="0"/>
        <w:suppressAutoHyphens/>
        <w:autoSpaceDE w:val="0"/>
        <w:autoSpaceDN w:val="0"/>
        <w:adjustRightInd w:val="0"/>
        <w:spacing w:before="120" w:line="280" w:lineRule="atLeast"/>
        <w:textAlignment w:val="center"/>
        <w:rPr>
          <w:rFonts w:ascii="ArialMT" w:hAnsi="ArialMT"/>
        </w:rPr>
      </w:pPr>
      <w:r w:rsidRPr="005A3AFE">
        <w:t xml:space="preserve">To assist interpretation of results, 90 per cent confidence intervals are included in the figures and tables that follow, which indicate the confidence intervals for the survey estimates. </w:t>
      </w:r>
      <w:r w:rsidRPr="005A3AFE">
        <w:rPr>
          <w:rFonts w:ascii="ArialMT" w:hAnsi="ArialMT"/>
        </w:rPr>
        <w:t xml:space="preserve">Note that where </w:t>
      </w:r>
      <w:r w:rsidRPr="005A3AFE">
        <w:t xml:space="preserve">confidence intervals for institution </w:t>
      </w:r>
      <w:proofErr w:type="gramStart"/>
      <w:r w:rsidRPr="005A3AFE">
        <w:t>estimates</w:t>
      </w:r>
      <w:proofErr w:type="gramEnd"/>
      <w:r w:rsidRPr="005A3AFE">
        <w:t xml:space="preserve"> overlap, as seen in</w:t>
      </w:r>
      <w:r w:rsidR="00FF36A4" w:rsidRPr="005A3AFE">
        <w:t xml:space="preserve"> </w:t>
      </w:r>
      <w:r w:rsidR="00FF36A4" w:rsidRPr="005A3AFE">
        <w:rPr>
          <w:b/>
          <w:bCs/>
        </w:rPr>
        <w:fldChar w:fldCharType="begin"/>
      </w:r>
      <w:r w:rsidR="00FF36A4" w:rsidRPr="005A3AFE">
        <w:rPr>
          <w:b/>
          <w:bCs/>
        </w:rPr>
        <w:instrText xml:space="preserve"> REF _Ref229754729 \h  \* MERGEFORMAT </w:instrText>
      </w:r>
      <w:r w:rsidR="00FF36A4" w:rsidRPr="005A3AFE">
        <w:rPr>
          <w:b/>
          <w:bCs/>
        </w:rPr>
      </w:r>
      <w:r w:rsidR="00FF36A4" w:rsidRPr="005A3AFE">
        <w:rPr>
          <w:b/>
          <w:bCs/>
        </w:rPr>
        <w:fldChar w:fldCharType="separate"/>
      </w:r>
      <w:r w:rsidR="00487685" w:rsidRPr="0036340F">
        <w:rPr>
          <w:b/>
          <w:bCs/>
        </w:rPr>
        <w:t xml:space="preserve">Figure </w:t>
      </w:r>
      <w:r w:rsidR="00487685" w:rsidRPr="0036340F">
        <w:rPr>
          <w:b/>
          <w:bCs/>
          <w:noProof/>
        </w:rPr>
        <w:t>19</w:t>
      </w:r>
      <w:r w:rsidR="00FF36A4" w:rsidRPr="005A3AFE">
        <w:rPr>
          <w:b/>
          <w:bCs/>
        </w:rPr>
        <w:fldChar w:fldCharType="end"/>
      </w:r>
      <w:r w:rsidRPr="005A3AFE">
        <w:t xml:space="preserve"> and</w:t>
      </w:r>
      <w:r w:rsidR="00FF36A4" w:rsidRPr="005A3AFE">
        <w:t xml:space="preserve"> </w:t>
      </w:r>
      <w:r w:rsidR="00FF36A4" w:rsidRPr="005A3AFE">
        <w:rPr>
          <w:b/>
          <w:bCs/>
        </w:rPr>
        <w:fldChar w:fldCharType="begin"/>
      </w:r>
      <w:r w:rsidR="00FF36A4" w:rsidRPr="005A3AFE">
        <w:rPr>
          <w:b/>
          <w:bCs/>
        </w:rPr>
        <w:instrText xml:space="preserve"> REF _Ref229754754 \h  \* MERGEFORMAT </w:instrText>
      </w:r>
      <w:r w:rsidR="00FF36A4" w:rsidRPr="005A3AFE">
        <w:rPr>
          <w:b/>
          <w:bCs/>
        </w:rPr>
      </w:r>
      <w:r w:rsidR="00FF36A4" w:rsidRPr="005A3AFE">
        <w:rPr>
          <w:b/>
          <w:bCs/>
        </w:rPr>
        <w:fldChar w:fldCharType="separate"/>
      </w:r>
      <w:r w:rsidR="00487685" w:rsidRPr="0036340F">
        <w:rPr>
          <w:b/>
          <w:bCs/>
        </w:rPr>
        <w:t xml:space="preserve">Figure </w:t>
      </w:r>
      <w:r w:rsidR="00487685" w:rsidRPr="0036340F">
        <w:rPr>
          <w:b/>
          <w:bCs/>
          <w:noProof/>
        </w:rPr>
        <w:t>20</w:t>
      </w:r>
      <w:r w:rsidR="00FF36A4" w:rsidRPr="005A3AFE">
        <w:rPr>
          <w:b/>
          <w:bCs/>
        </w:rPr>
        <w:fldChar w:fldCharType="end"/>
      </w:r>
      <w:r w:rsidRPr="005A3AFE">
        <w:rPr>
          <w:b/>
          <w:bCs/>
        </w:rPr>
        <w:t>,</w:t>
      </w:r>
      <w:r w:rsidRPr="005A3AFE">
        <w:t xml:space="preserve"> it cannot be inferred that there is or is not a significant difference in full-time employment outcomes in a statistical sense.</w:t>
      </w:r>
      <w:r w:rsidRPr="00E17B1D">
        <w:rPr>
          <w:rStyle w:val="FootnoteReference"/>
          <w:rFonts w:ascii="ArialMT" w:hAnsi="ArialMT"/>
          <w:bCs/>
          <w:sz w:val="20"/>
          <w:szCs w:val="20"/>
        </w:rPr>
        <w:footnoteReference w:id="20"/>
      </w:r>
    </w:p>
    <w:p w14:paraId="23FEF53E" w14:textId="2AE5BB9C" w:rsidR="00910822" w:rsidRPr="005A3AFE" w:rsidRDefault="00910822" w:rsidP="00910822">
      <w:pPr>
        <w:widowControl w:val="0"/>
        <w:suppressAutoHyphens/>
        <w:autoSpaceDE w:val="0"/>
        <w:autoSpaceDN w:val="0"/>
        <w:adjustRightInd w:val="0"/>
        <w:spacing w:before="120" w:line="280" w:lineRule="atLeast"/>
        <w:textAlignment w:val="center"/>
        <w:rPr>
          <w:rFonts w:ascii="ArialMT" w:hAnsi="ArialMT"/>
        </w:rPr>
      </w:pPr>
      <w:r w:rsidRPr="005A3AFE">
        <w:rPr>
          <w:rFonts w:ascii="ArialMT" w:hAnsi="ArialMT"/>
        </w:rPr>
        <w:t>Notwithstanding differences in course offerings, student populations and local labour markets, it appears there is differentiation among universities, with some achieving higher rates of full-time employment and median salaries than others.</w:t>
      </w:r>
      <w:r w:rsidR="00FF36A4" w:rsidRPr="005A3AFE">
        <w:rPr>
          <w:rFonts w:ascii="ArialMT" w:hAnsi="ArialMT"/>
        </w:rPr>
        <w:t xml:space="preserve"> </w:t>
      </w:r>
      <w:r w:rsidRPr="005A3AFE">
        <w:rPr>
          <w:rFonts w:ascii="ArialMT" w:hAnsi="ArialMT"/>
        </w:rPr>
        <w:t xml:space="preserve">There were greater variations in outcomes for domestic undergraduates in the short-term compared to the medium-term. </w:t>
      </w:r>
      <w:r w:rsidR="00F53CBE" w:rsidRPr="00F53CBE">
        <w:rPr>
          <w:rFonts w:ascii="ArialMT" w:hAnsi="ArialMT"/>
        </w:rPr>
        <w:t>Full-time employment rates for recent undergraduates ranged from a low of 66.5 per cent at Victoria University to a high of 92.8 per cent at Charles Sturt University, a difference of 26.3 per cent. Three years after course completion, full-time employment rates ranged from 85.9 per cent at the University of Melbourne to 97.0 per cent at Charles Darwin University, a difference of 11.1 percentage points.</w:t>
      </w:r>
    </w:p>
    <w:p w14:paraId="5008344F" w14:textId="2297DF80" w:rsidR="003D481A" w:rsidRPr="005A3AFE" w:rsidRDefault="005F2B1F" w:rsidP="00910822">
      <w:pPr>
        <w:widowControl w:val="0"/>
        <w:suppressAutoHyphens/>
        <w:autoSpaceDE w:val="0"/>
        <w:autoSpaceDN w:val="0"/>
        <w:adjustRightInd w:val="0"/>
        <w:spacing w:before="120" w:line="280" w:lineRule="atLeast"/>
        <w:textAlignment w:val="center"/>
        <w:rPr>
          <w:rFonts w:ascii="ArialMT" w:hAnsi="ArialMT"/>
        </w:rPr>
      </w:pPr>
      <w:r w:rsidRPr="005A3AFE">
        <w:rPr>
          <w:rFonts w:ascii="ArialMT" w:hAnsi="ArialMT"/>
        </w:rPr>
        <w:t xml:space="preserve">Despite the varying rates of full-time employment </w:t>
      </w:r>
      <w:r w:rsidR="002B622F" w:rsidRPr="005A3AFE">
        <w:rPr>
          <w:rFonts w:ascii="ArialMT" w:hAnsi="ArialMT"/>
        </w:rPr>
        <w:t xml:space="preserve">between universities </w:t>
      </w:r>
      <w:r w:rsidR="008306BA" w:rsidRPr="005A3AFE">
        <w:rPr>
          <w:rFonts w:ascii="ArialMT" w:hAnsi="ArialMT"/>
        </w:rPr>
        <w:t>i</w:t>
      </w:r>
      <w:r w:rsidR="002B622F" w:rsidRPr="005A3AFE">
        <w:rPr>
          <w:rFonts w:ascii="ArialMT" w:hAnsi="ArialMT"/>
        </w:rPr>
        <w:t>n the short-term,</w:t>
      </w:r>
      <w:r w:rsidR="00D178EA" w:rsidRPr="005A3AFE">
        <w:rPr>
          <w:rFonts w:ascii="ArialMT" w:hAnsi="ArialMT"/>
        </w:rPr>
        <w:t xml:space="preserve"> </w:t>
      </w:r>
      <w:r w:rsidR="00AF6E03" w:rsidRPr="005A3AFE">
        <w:rPr>
          <w:rFonts w:ascii="ArialMT" w:hAnsi="ArialMT"/>
        </w:rPr>
        <w:t>full-time employment</w:t>
      </w:r>
      <w:r w:rsidR="00D178EA" w:rsidRPr="005A3AFE">
        <w:rPr>
          <w:rFonts w:ascii="ArialMT" w:hAnsi="ArialMT"/>
        </w:rPr>
        <w:t xml:space="preserve"> rates were broadly consistent</w:t>
      </w:r>
      <w:r w:rsidR="00357ADA" w:rsidRPr="005A3AFE">
        <w:rPr>
          <w:rFonts w:ascii="ArialMT" w:hAnsi="ArialMT"/>
        </w:rPr>
        <w:t xml:space="preserve"> for most universities</w:t>
      </w:r>
      <w:r w:rsidR="00D178EA" w:rsidRPr="005A3AFE">
        <w:rPr>
          <w:rFonts w:ascii="ArialMT" w:hAnsi="ArialMT"/>
        </w:rPr>
        <w:t xml:space="preserve"> </w:t>
      </w:r>
      <w:r w:rsidR="00C52FBD" w:rsidRPr="005A3AFE">
        <w:rPr>
          <w:rFonts w:ascii="ArialMT" w:hAnsi="ArialMT"/>
        </w:rPr>
        <w:t>in</w:t>
      </w:r>
      <w:r w:rsidR="00D178EA" w:rsidRPr="005A3AFE">
        <w:rPr>
          <w:rFonts w:ascii="ArialMT" w:hAnsi="ArialMT"/>
        </w:rPr>
        <w:t xml:space="preserve"> the medium-term</w:t>
      </w:r>
      <w:r w:rsidR="008306BA" w:rsidRPr="005A3AFE">
        <w:rPr>
          <w:rFonts w:ascii="ArialMT" w:hAnsi="ArialMT"/>
        </w:rPr>
        <w:t xml:space="preserve">, as shown </w:t>
      </w:r>
      <w:r w:rsidR="0010359C" w:rsidRPr="005A3AFE">
        <w:rPr>
          <w:rFonts w:ascii="ArialMT" w:hAnsi="ArialMT"/>
        </w:rPr>
        <w:t xml:space="preserve">in </w:t>
      </w:r>
      <w:r w:rsidR="00FF36A4" w:rsidRPr="005A3AFE">
        <w:rPr>
          <w:rFonts w:ascii="ArialMT" w:hAnsi="ArialMT"/>
          <w:b/>
          <w:bCs/>
        </w:rPr>
        <w:fldChar w:fldCharType="begin"/>
      </w:r>
      <w:r w:rsidR="00FF36A4" w:rsidRPr="005A3AFE">
        <w:rPr>
          <w:rFonts w:ascii="ArialMT" w:hAnsi="ArialMT"/>
          <w:b/>
          <w:bCs/>
        </w:rPr>
        <w:instrText xml:space="preserve"> REF _Ref229754729 \h  \* MERGEFORMAT </w:instrText>
      </w:r>
      <w:r w:rsidR="00FF36A4" w:rsidRPr="005A3AFE">
        <w:rPr>
          <w:rFonts w:ascii="ArialMT" w:hAnsi="ArialMT"/>
          <w:b/>
          <w:bCs/>
        </w:rPr>
      </w:r>
      <w:r w:rsidR="00FF36A4" w:rsidRPr="005A3AFE">
        <w:rPr>
          <w:rFonts w:ascii="ArialMT" w:hAnsi="ArialMT"/>
          <w:b/>
          <w:bCs/>
        </w:rPr>
        <w:fldChar w:fldCharType="separate"/>
      </w:r>
      <w:r w:rsidR="00487685" w:rsidRPr="0036340F">
        <w:rPr>
          <w:b/>
          <w:bCs/>
        </w:rPr>
        <w:t xml:space="preserve">Figure </w:t>
      </w:r>
      <w:r w:rsidR="00487685" w:rsidRPr="0036340F">
        <w:rPr>
          <w:b/>
          <w:bCs/>
          <w:noProof/>
        </w:rPr>
        <w:t>19</w:t>
      </w:r>
      <w:r w:rsidR="00FF36A4" w:rsidRPr="005A3AFE">
        <w:rPr>
          <w:rFonts w:ascii="ArialMT" w:hAnsi="ArialMT"/>
          <w:b/>
          <w:bCs/>
        </w:rPr>
        <w:fldChar w:fldCharType="end"/>
      </w:r>
      <w:r w:rsidR="00C52FBD" w:rsidRPr="005A3AFE">
        <w:rPr>
          <w:rFonts w:ascii="ArialMT" w:hAnsi="ArialMT"/>
          <w:b/>
        </w:rPr>
        <w:fldChar w:fldCharType="begin"/>
      </w:r>
      <w:r w:rsidR="00C52FBD" w:rsidRPr="005A3AFE">
        <w:rPr>
          <w:rFonts w:ascii="ArialMT" w:hAnsi="ArialMT"/>
          <w:b/>
        </w:rPr>
        <w:instrText xml:space="preserve"> REF _Ref140659573 \h  \* MERGEFORMAT </w:instrText>
      </w:r>
      <w:r w:rsidR="00C52FBD" w:rsidRPr="005A3AFE">
        <w:rPr>
          <w:rFonts w:ascii="ArialMT" w:hAnsi="ArialMT"/>
          <w:b/>
        </w:rPr>
      </w:r>
      <w:r w:rsidR="00C52FBD" w:rsidRPr="005A3AFE">
        <w:rPr>
          <w:rFonts w:ascii="ArialMT" w:hAnsi="ArialMT"/>
          <w:b/>
        </w:rPr>
        <w:fldChar w:fldCharType="separate"/>
      </w:r>
      <w:r w:rsidR="00C52FBD" w:rsidRPr="005A3AFE">
        <w:rPr>
          <w:rFonts w:ascii="ArialMT" w:hAnsi="ArialMT"/>
          <w:b/>
        </w:rPr>
        <w:fldChar w:fldCharType="end"/>
      </w:r>
      <w:r w:rsidR="00C52FBD" w:rsidRPr="005A3AFE">
        <w:rPr>
          <w:rFonts w:ascii="ArialMT" w:hAnsi="ArialMT"/>
        </w:rPr>
        <w:t>.</w:t>
      </w:r>
    </w:p>
    <w:p w14:paraId="07130F30" w14:textId="77777777" w:rsidR="00910822" w:rsidRPr="00373D3A" w:rsidRDefault="00910822" w:rsidP="00910822">
      <w:pPr>
        <w:widowControl w:val="0"/>
        <w:suppressAutoHyphens/>
        <w:autoSpaceDE w:val="0"/>
        <w:autoSpaceDN w:val="0"/>
        <w:adjustRightInd w:val="0"/>
        <w:spacing w:before="120" w:line="280" w:lineRule="atLeast"/>
        <w:textAlignment w:val="center"/>
        <w:rPr>
          <w:rFonts w:ascii="ArialMT" w:hAnsi="ArialMT"/>
          <w:spacing w:val="-4"/>
        </w:rPr>
      </w:pPr>
      <w:r w:rsidRPr="00373D3A">
        <w:rPr>
          <w:rFonts w:ascii="ArialMT" w:hAnsi="ArialMT"/>
          <w:spacing w:val="-4"/>
        </w:rPr>
        <w:t>A similar pattern was observed for median salaries across universities, however, unlike differences in full-time employment rates which narrowed over the 3 years, differences in short-term median salaries persisted into the medium-term.</w:t>
      </w:r>
    </w:p>
    <w:bookmarkEnd w:id="186"/>
    <w:p w14:paraId="35539BE7" w14:textId="77777777" w:rsidR="00F53CBE" w:rsidRDefault="00F53CBE" w:rsidP="00910822">
      <w:pPr>
        <w:widowControl w:val="0"/>
        <w:suppressAutoHyphens/>
        <w:autoSpaceDE w:val="0"/>
        <w:autoSpaceDN w:val="0"/>
        <w:adjustRightInd w:val="0"/>
        <w:spacing w:before="120" w:line="280" w:lineRule="atLeast"/>
        <w:textAlignment w:val="center"/>
        <w:rPr>
          <w:rFonts w:ascii="ArialMT" w:hAnsi="ArialMT"/>
        </w:rPr>
      </w:pPr>
      <w:r w:rsidRPr="00F53CBE">
        <w:rPr>
          <w:rFonts w:ascii="ArialMT" w:hAnsi="ArialMT"/>
        </w:rPr>
        <w:t>Similar variations in full-time employment rates across universities existed at the postgraduate coursework level, albeit less pronounced – there was a 19.5 percentage point difference in short-term full-time employment rates, which narrowed to 11.7 percentage points 3 years later.</w:t>
      </w:r>
    </w:p>
    <w:p w14:paraId="50A66F69" w14:textId="6A7F6BB3" w:rsidR="00910822" w:rsidRPr="005A3AFE" w:rsidRDefault="00910822" w:rsidP="00910822">
      <w:pPr>
        <w:widowControl w:val="0"/>
        <w:suppressAutoHyphens/>
        <w:autoSpaceDE w:val="0"/>
        <w:autoSpaceDN w:val="0"/>
        <w:adjustRightInd w:val="0"/>
        <w:spacing w:before="120" w:line="280" w:lineRule="atLeast"/>
        <w:textAlignment w:val="center"/>
      </w:pPr>
      <w:r w:rsidRPr="005A3AFE">
        <w:rPr>
          <w:rFonts w:ascii="ArialMT" w:hAnsi="ArialMT"/>
        </w:rPr>
        <w:t>Comparative institutional results are not available at postgraduate research graduate level, as there are too few survey responses. Also, d</w:t>
      </w:r>
      <w:r w:rsidRPr="005A3AFE">
        <w:t>ue to the smaller sample sizes of NUHEIs, there is insufficient data at the NUHEI institution level to do the same level of analysis.</w:t>
      </w:r>
    </w:p>
    <w:p w14:paraId="3A56E39F" w14:textId="77777777" w:rsidR="00B921B4" w:rsidRPr="005A3AFE" w:rsidRDefault="00B921B4" w:rsidP="00B921B4"/>
    <w:p w14:paraId="366B1C42" w14:textId="77777777" w:rsidR="00B921B4" w:rsidRPr="005A3AFE" w:rsidRDefault="00B921B4" w:rsidP="00B921B4">
      <w:pPr>
        <w:rPr>
          <w:rFonts w:ascii="ArialMT" w:hAnsi="ArialMT"/>
        </w:rPr>
        <w:sectPr w:rsidR="00B921B4" w:rsidRPr="005A3AFE" w:rsidSect="00A11753">
          <w:headerReference w:type="even" r:id="rId67"/>
          <w:headerReference w:type="default" r:id="rId68"/>
          <w:footerReference w:type="default" r:id="rId69"/>
          <w:headerReference w:type="first" r:id="rId70"/>
          <w:footerReference w:type="first" r:id="rId71"/>
          <w:pgSz w:w="11900" w:h="16840"/>
          <w:pgMar w:top="709" w:right="709" w:bottom="709" w:left="709" w:header="397" w:footer="397" w:gutter="0"/>
          <w:cols w:space="708"/>
          <w:docGrid w:linePitch="360"/>
        </w:sectPr>
      </w:pPr>
    </w:p>
    <w:p w14:paraId="7D260D8E" w14:textId="1A21B56C" w:rsidR="0013086D" w:rsidRDefault="00910822" w:rsidP="0013086D">
      <w:pPr>
        <w:pStyle w:val="Caption"/>
        <w:spacing w:before="0" w:after="60"/>
      </w:pPr>
      <w:bookmarkStart w:id="188" w:name="_Ref140659573"/>
      <w:bookmarkStart w:id="189" w:name="_Ref229754729"/>
      <w:bookmarkStart w:id="190" w:name="_Toc243492125"/>
      <w:r w:rsidRPr="005A3AFE">
        <w:lastRenderedPageBreak/>
        <w:t xml:space="preserve">Figure </w:t>
      </w:r>
      <w:bookmarkEnd w:id="188"/>
      <w:r w:rsidR="00377B08" w:rsidRPr="005A3AFE">
        <w:fldChar w:fldCharType="begin"/>
      </w:r>
      <w:r w:rsidR="00377B08" w:rsidRPr="005A3AFE">
        <w:instrText xml:space="preserve"> SEQ Figure \* ARABIC </w:instrText>
      </w:r>
      <w:r w:rsidR="00377B08" w:rsidRPr="005A3AFE">
        <w:fldChar w:fldCharType="separate"/>
      </w:r>
      <w:r w:rsidR="008E1916">
        <w:rPr>
          <w:noProof/>
        </w:rPr>
        <w:t>19</w:t>
      </w:r>
      <w:r w:rsidR="00377B08" w:rsidRPr="005A3AFE">
        <w:fldChar w:fldCharType="end"/>
      </w:r>
      <w:bookmarkEnd w:id="189"/>
      <w:r w:rsidR="00373D3A">
        <w:tab/>
      </w:r>
      <w:r w:rsidRPr="005A3AFE">
        <w:t xml:space="preserve">Domestic undergraduate </w:t>
      </w:r>
      <w:r w:rsidR="00C42522" w:rsidRPr="005A3AFE">
        <w:t>short- and medium-term</w:t>
      </w:r>
      <w:r w:rsidRPr="005A3AFE">
        <w:t xml:space="preserve"> full-time employment rate by university (% with 90% confidence intervals)</w:t>
      </w:r>
      <w:bookmarkEnd w:id="190"/>
    </w:p>
    <w:p w14:paraId="694656A3" w14:textId="7573B650" w:rsidR="00D5549E" w:rsidRPr="005A3AFE" w:rsidRDefault="008C035C" w:rsidP="00D5549E">
      <w:pPr>
        <w:rPr>
          <w:lang w:eastAsia="en-AU"/>
        </w:rPr>
      </w:pPr>
      <w:r w:rsidRPr="008C035C">
        <w:rPr>
          <w:noProof/>
          <w:lang w:eastAsia="en-AU"/>
        </w:rPr>
        <w:drawing>
          <wp:inline distT="0" distB="0" distL="0" distR="0" wp14:anchorId="73261FFC" wp14:editId="153D6BDE">
            <wp:extent cx="10332720" cy="5373370"/>
            <wp:effectExtent l="0" t="0" r="0" b="0"/>
            <wp:docPr id="1198481395" name="Picture 1" descr="Grouped column chart showing full-time employment rate (%) by institution for Short-term (2023) and Medium-term (2026). Error bars are shown for both series. The vertical axis ranges from 0% to 100%.&#10;&#10;Charles Darwin University: Short-term 82.3%; Medium-term 97.0%.&#10;The Australian National University: Short-term 81.7%; Medium-term 96.2%.&#10;Charles Sturt University: Short-term 92.8%; Medium-term 95.3%.&#10;Central Queensland University: Short-term 84.4%; Medium-term 95.2%.&#10;Bond University: Short-term 71.4%; Medium-term 95.0%.&#10;University of Southern Queensland: Short-term 86.3%; Medium-term 94.9%.&#10;James Cook University: Short-term 91.4%; Medium-term 94.6%.&#10;Queensland University of Technology: Short-term 81.7%; Medium-term 94.5%.&#10;University of Canberra: Short-term 87.3%; Medium-term 94.4%.&#10;University of Tasmania: Short-term 84.0%; Medium-term 94.4%.&#10;University of Newcastle: Short-term 85.8%; Medium-term 94.2%.&#10;University of New England: Short-term 89.3%; Medium-term 94.1%.&#10;The University of South Australia*: Short-term 82.9%; Medium-term 94.0%.&#10;Australian Catholic University: Short-term 87.3%; Medium-term 93.9%.&#10;University of Technology Sydney: Short-term 78.0%; Medium-term 93.7%.&#10;University of New South Wales: Short-term 82.0%; Medium-term 93.7%.&#10;The University of Queensland: Short-term 81.2%; Medium-term 93.4%.&#10;University of the Sunshine Coast: Short-term 80.9%; Medium-term 93.1%.&#10;Macquarie University: Short-term 81.2%; Medium-term 92.8%.&#10;Curtin University: Short-term 81.0%; Medium-term 92.7%.&#10;Monash University: Short-term 82.9%; Medium-term 92.6%.&#10;The University of Adelaide*: Short-term 77.1%; Medium-term 92.1%.&#10;All Universities: Short-term 80.6%; Medium-term 92.0%.&#10;University of Wollongong: Short-term 80.3%; Medium-term 92.0%.&#10;The University of Notre Dame Australia: Short-term 83.2%; Medium-term 91.9%.&#10;Deakin University: Short-term 81.8%; Medium-term 91.9%.&#10;Edith Cowan University: Short-term 74.7%; Medium-term 91.6%.&#10;Flinders University: Short-term 79.5%; Medium-term 91.5%.&#10;The University of Sydney: Short-term 80.8%; Medium-term 91.5%.&#10;Swinburne University of Technology: Short-term 72.7%; Medium-term 91.2%.&#10;Southern Cross University: Short-term 86.0%; Medium-term 90.9%.&#10;Federation University Australia: Short-term 77.0%; Medium-term 90.6%.&#10;The University of Western Australia: Short-term 72.2%; Medium-term 88.8%.&#10;Griffith University: Short-term 75.2%; Medium-term 88.7%.&#10;La Trobe University: Short-term 79.7%; Medium-term 88.0%.&#10;Western Sydney University: Short-term 77.4%; Medium-term 87.8%.&#10;RMIT University: Short-term 73.6%; Medium-term 86.8%.&#10;Torrens University: Short-term 69.6%; Medium-term 86.7%.&#10;Murdoch University: Short-term 71.6%; Medium-term 86.5%.&#10;Victoria University: Short-term 66.5%; Medium-term 86.3%.&#10;The University of Melbourne: Short-term 67.7%; Medium-term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81395" name="Picture 1" descr="Grouped column chart showing full-time employment rate (%) by institution for Short-term (2023) and Medium-term (2026). Error bars are shown for both series. The vertical axis ranges from 0% to 100%.&#10;&#10;Charles Darwin University: Short-term 82.3%; Medium-term 97.0%.&#10;The Australian National University: Short-term 81.7%; Medium-term 96.2%.&#10;Charles Sturt University: Short-term 92.8%; Medium-term 95.3%.&#10;Central Queensland University: Short-term 84.4%; Medium-term 95.2%.&#10;Bond University: Short-term 71.4%; Medium-term 95.0%.&#10;University of Southern Queensland: Short-term 86.3%; Medium-term 94.9%.&#10;James Cook University: Short-term 91.4%; Medium-term 94.6%.&#10;Queensland University of Technology: Short-term 81.7%; Medium-term 94.5%.&#10;University of Canberra: Short-term 87.3%; Medium-term 94.4%.&#10;University of Tasmania: Short-term 84.0%; Medium-term 94.4%.&#10;University of Newcastle: Short-term 85.8%; Medium-term 94.2%.&#10;University of New England: Short-term 89.3%; Medium-term 94.1%.&#10;The University of South Australia*: Short-term 82.9%; Medium-term 94.0%.&#10;Australian Catholic University: Short-term 87.3%; Medium-term 93.9%.&#10;University of Technology Sydney: Short-term 78.0%; Medium-term 93.7%.&#10;University of New South Wales: Short-term 82.0%; Medium-term 93.7%.&#10;The University of Queensland: Short-term 81.2%; Medium-term 93.4%.&#10;University of the Sunshine Coast: Short-term 80.9%; Medium-term 93.1%.&#10;Macquarie University: Short-term 81.2%; Medium-term 92.8%.&#10;Curtin University: Short-term 81.0%; Medium-term 92.7%.&#10;Monash University: Short-term 82.9%; Medium-term 92.6%.&#10;The University of Adelaide*: Short-term 77.1%; Medium-term 92.1%.&#10;All Universities: Short-term 80.6%; Medium-term 92.0%.&#10;University of Wollongong: Short-term 80.3%; Medium-term 92.0%.&#10;The University of Notre Dame Australia: Short-term 83.2%; Medium-term 91.9%.&#10;Deakin University: Short-term 81.8%; Medium-term 91.9%.&#10;Edith Cowan University: Short-term 74.7%; Medium-term 91.6%.&#10;Flinders University: Short-term 79.5%; Medium-term 91.5%.&#10;The University of Sydney: Short-term 80.8%; Medium-term 91.5%.&#10;Swinburne University of Technology: Short-term 72.7%; Medium-term 91.2%.&#10;Southern Cross University: Short-term 86.0%; Medium-term 90.9%.&#10;Federation University Australia: Short-term 77.0%; Medium-term 90.6%.&#10;The University of Western Australia: Short-term 72.2%; Medium-term 88.8%.&#10;Griffith University: Short-term 75.2%; Medium-term 88.7%.&#10;La Trobe University: Short-term 79.7%; Medium-term 88.0%.&#10;Western Sydney University: Short-term 77.4%; Medium-term 87.8%.&#10;RMIT University: Short-term 73.6%; Medium-term 86.8%.&#10;Torrens University: Short-term 69.6%; Medium-term 86.7%.&#10;Murdoch University: Short-term 71.6%; Medium-term 86.5%.&#10;Victoria University: Short-term 66.5%; Medium-term 86.3%.&#10;The University of Melbourne: Short-term 67.7%; Medium-term 85.9%."/>
                    <pic:cNvPicPr/>
                  </pic:nvPicPr>
                  <pic:blipFill>
                    <a:blip r:embed="rId72"/>
                    <a:stretch>
                      <a:fillRect/>
                    </a:stretch>
                  </pic:blipFill>
                  <pic:spPr>
                    <a:xfrm>
                      <a:off x="0" y="0"/>
                      <a:ext cx="10332720" cy="5373370"/>
                    </a:xfrm>
                    <a:prstGeom prst="rect">
                      <a:avLst/>
                    </a:prstGeom>
                  </pic:spPr>
                </pic:pic>
              </a:graphicData>
            </a:graphic>
          </wp:inline>
        </w:drawing>
      </w:r>
    </w:p>
    <w:p w14:paraId="56B6E985" w14:textId="69CED16C" w:rsidR="00A771E5" w:rsidRPr="00B45AF5" w:rsidRDefault="0043708B" w:rsidP="00C4161E">
      <w:pPr>
        <w:pStyle w:val="BaseFigureNotes"/>
        <w:ind w:left="510" w:hanging="567"/>
      </w:pPr>
      <w:r w:rsidRPr="00B45AF5">
        <w:rPr>
          <w:b/>
          <w:bCs/>
        </w:rPr>
        <w:t>Note:</w:t>
      </w:r>
      <w:r w:rsidR="00A771E5">
        <w:t xml:space="preserve"> </w:t>
      </w:r>
      <w:r w:rsidR="00A55102">
        <w:t xml:space="preserve">1. </w:t>
      </w:r>
      <w:r w:rsidR="00A23D69">
        <w:t>Institutional r</w:t>
      </w:r>
      <w:r w:rsidRPr="0043708B">
        <w:t xml:space="preserve">esults are influenced by factors such as student characteristics, </w:t>
      </w:r>
      <w:r w:rsidR="00A23D69">
        <w:t xml:space="preserve">course offerings and variations in regional labour market conditions. Results </w:t>
      </w:r>
      <w:r w:rsidRPr="0043708B">
        <w:t>should</w:t>
      </w:r>
      <w:r w:rsidR="00A23D69">
        <w:t xml:space="preserve"> therefore</w:t>
      </w:r>
      <w:r w:rsidRPr="0043708B">
        <w:t xml:space="preserve"> not be interpreted as a</w:t>
      </w:r>
      <w:r w:rsidR="006C1B31">
        <w:t xml:space="preserve"> </w:t>
      </w:r>
      <w:r w:rsidRPr="0043708B">
        <w:t>measure of institutional performance</w:t>
      </w:r>
      <w:r w:rsidR="00A23D69">
        <w:t xml:space="preserve"> in isolation</w:t>
      </w:r>
      <w:r w:rsidRPr="0043708B">
        <w:t>.</w:t>
      </w:r>
    </w:p>
    <w:p w14:paraId="4D9E4B14" w14:textId="422CDE05" w:rsidR="00E804EC" w:rsidRPr="00D66DA2" w:rsidRDefault="00A55102" w:rsidP="00A55102">
      <w:pPr>
        <w:pStyle w:val="BaseFigureNotes"/>
        <w:spacing w:after="120"/>
        <w:ind w:left="510"/>
        <w:rPr>
          <w:b/>
          <w:bCs/>
          <w:spacing w:val="-4"/>
        </w:rPr>
      </w:pPr>
      <w:r>
        <w:rPr>
          <w:spacing w:val="-4"/>
        </w:rPr>
        <w:t xml:space="preserve">2. </w:t>
      </w:r>
      <w:r w:rsidR="00E804EC" w:rsidRPr="00D66DA2">
        <w:rPr>
          <w:spacing w:val="-4"/>
        </w:rPr>
        <w:t xml:space="preserve">Medium-term </w:t>
      </w:r>
      <w:r w:rsidR="00843288" w:rsidRPr="00D66DA2">
        <w:rPr>
          <w:spacing w:val="-4"/>
        </w:rPr>
        <w:t xml:space="preserve">full-time employment rates </w:t>
      </w:r>
      <w:r w:rsidR="00E804EC" w:rsidRPr="00D66DA2">
        <w:rPr>
          <w:spacing w:val="-4"/>
        </w:rPr>
        <w:t>from 2025 onwards are not directly comparable with earlier years due to a change to how the labour force is defined. Caution should be exercised when interpreting shifts from the short- to medium-term for the 202</w:t>
      </w:r>
      <w:r w:rsidR="00B921B4" w:rsidRPr="00D66DA2">
        <w:rPr>
          <w:spacing w:val="-4"/>
        </w:rPr>
        <w:t>3</w:t>
      </w:r>
      <w:r w:rsidR="00886C60" w:rsidRPr="00886C60">
        <w:rPr>
          <w:spacing w:val="-4"/>
        </w:rPr>
        <w:t>–</w:t>
      </w:r>
      <w:r w:rsidR="00E804EC" w:rsidRPr="00D66DA2">
        <w:rPr>
          <w:spacing w:val="-4"/>
        </w:rPr>
        <w:t>202</w:t>
      </w:r>
      <w:r w:rsidR="00B921B4" w:rsidRPr="00D66DA2">
        <w:rPr>
          <w:spacing w:val="-4"/>
        </w:rPr>
        <w:t>6</w:t>
      </w:r>
      <w:r w:rsidR="00E804EC" w:rsidRPr="00D66DA2">
        <w:rPr>
          <w:spacing w:val="-4"/>
        </w:rPr>
        <w:t xml:space="preserve"> cohort</w:t>
      </w:r>
      <w:r w:rsidR="006016F1" w:rsidRPr="00D66DA2">
        <w:rPr>
          <w:spacing w:val="-4"/>
        </w:rPr>
        <w:t>, as they partly reflect the change in methodology</w:t>
      </w:r>
      <w:r w:rsidR="00E804EC" w:rsidRPr="00D66DA2">
        <w:rPr>
          <w:spacing w:val="-4"/>
        </w:rPr>
        <w:t xml:space="preserve">. See </w:t>
      </w:r>
      <w:r w:rsidR="00E804EC" w:rsidRPr="00D66DA2">
        <w:rPr>
          <w:b/>
          <w:bCs/>
          <w:spacing w:val="-4"/>
        </w:rPr>
        <w:t>Appendix 1</w:t>
      </w:r>
      <w:r w:rsidR="00E804EC" w:rsidRPr="00D66DA2">
        <w:rPr>
          <w:spacing w:val="-4"/>
        </w:rPr>
        <w:t xml:space="preserve"> </w:t>
      </w:r>
      <w:r w:rsidR="00533682" w:rsidRPr="00D66DA2">
        <w:rPr>
          <w:spacing w:val="-4"/>
        </w:rPr>
        <w:t xml:space="preserve">in the 2025 GOS-L National Report </w:t>
      </w:r>
      <w:r w:rsidR="00E804EC" w:rsidRPr="00D66DA2">
        <w:rPr>
          <w:spacing w:val="-4"/>
        </w:rPr>
        <w:t>for further information.</w:t>
      </w:r>
    </w:p>
    <w:p w14:paraId="63D0577B" w14:textId="07F00D17" w:rsidR="00E804EC" w:rsidRPr="005A3AFE" w:rsidRDefault="00283FC4" w:rsidP="00A55102">
      <w:pPr>
        <w:pStyle w:val="BaseFigureNotes"/>
        <w:rPr>
          <w:lang w:eastAsia="en-AU"/>
        </w:rPr>
        <w:sectPr w:rsidR="00E804EC" w:rsidRPr="005A3AFE" w:rsidSect="00A11753">
          <w:footerReference w:type="default" r:id="rId73"/>
          <w:pgSz w:w="16840" w:h="11900" w:orient="landscape"/>
          <w:pgMar w:top="709" w:right="284" w:bottom="709" w:left="284" w:header="397" w:footer="397" w:gutter="0"/>
          <w:cols w:space="708"/>
          <w:docGrid w:linePitch="360"/>
        </w:sectPr>
      </w:pPr>
      <w:r>
        <w:t>*</w:t>
      </w:r>
      <w:r w:rsidR="00B921B4" w:rsidRPr="005A3AFE">
        <w:t xml:space="preserve"> As of January 2026, the University of Adelaide and the University of South Australia have merged to form Adelaide University</w:t>
      </w:r>
      <w:r w:rsidR="0010359C" w:rsidRPr="005A3AFE">
        <w:t>.</w:t>
      </w:r>
      <w:r w:rsidR="003B196A">
        <w:t xml:space="preserve"> </w:t>
      </w:r>
      <w:r w:rsidR="003B196A" w:rsidRPr="003B196A">
        <w:rPr>
          <w:lang w:eastAsia="en-AU"/>
        </w:rPr>
        <w:t>Data for the 2</w:t>
      </w:r>
      <w:r w:rsidR="003B196A">
        <w:rPr>
          <w:lang w:eastAsia="en-AU"/>
        </w:rPr>
        <w:t xml:space="preserve">026 GOS-L </w:t>
      </w:r>
      <w:r w:rsidR="003B196A" w:rsidRPr="003B196A">
        <w:rPr>
          <w:lang w:eastAsia="en-AU"/>
        </w:rPr>
        <w:t xml:space="preserve">were collected </w:t>
      </w:r>
      <w:r w:rsidR="003B196A">
        <w:rPr>
          <w:lang w:eastAsia="en-AU"/>
        </w:rPr>
        <w:t xml:space="preserve">and reported </w:t>
      </w:r>
      <w:r w:rsidR="003B196A" w:rsidRPr="003B196A">
        <w:rPr>
          <w:lang w:eastAsia="en-AU"/>
        </w:rPr>
        <w:t xml:space="preserve">separately </w:t>
      </w:r>
      <w:r w:rsidR="003B196A">
        <w:rPr>
          <w:lang w:eastAsia="en-AU"/>
        </w:rPr>
        <w:t>for</w:t>
      </w:r>
      <w:r w:rsidR="003B196A" w:rsidRPr="003B196A">
        <w:rPr>
          <w:lang w:eastAsia="en-AU"/>
        </w:rPr>
        <w:t xml:space="preserve"> the University of Adelaide and the University of South Australia.</w:t>
      </w:r>
    </w:p>
    <w:p w14:paraId="6631319A" w14:textId="4A83376B" w:rsidR="00910822" w:rsidRPr="005A3AFE" w:rsidRDefault="00910822" w:rsidP="00DD49F3">
      <w:pPr>
        <w:pStyle w:val="Caption"/>
        <w:spacing w:before="0" w:after="60"/>
      </w:pPr>
      <w:bookmarkStart w:id="191" w:name="_Ref140659565"/>
      <w:bookmarkStart w:id="192" w:name="_Ref229754754"/>
      <w:bookmarkStart w:id="193" w:name="_Toc243492126"/>
      <w:r w:rsidRPr="005A3AFE">
        <w:lastRenderedPageBreak/>
        <w:t xml:space="preserve">Figure </w:t>
      </w:r>
      <w:bookmarkEnd w:id="191"/>
      <w:r w:rsidR="00377B08" w:rsidRPr="005A3AFE">
        <w:fldChar w:fldCharType="begin"/>
      </w:r>
      <w:r w:rsidR="00377B08" w:rsidRPr="005A3AFE">
        <w:instrText xml:space="preserve"> SEQ Figure \* ARABIC </w:instrText>
      </w:r>
      <w:r w:rsidR="00377B08" w:rsidRPr="005A3AFE">
        <w:fldChar w:fldCharType="separate"/>
      </w:r>
      <w:r w:rsidR="008E1916">
        <w:rPr>
          <w:noProof/>
        </w:rPr>
        <w:t>20</w:t>
      </w:r>
      <w:r w:rsidR="00377B08" w:rsidRPr="005A3AFE">
        <w:fldChar w:fldCharType="end"/>
      </w:r>
      <w:bookmarkEnd w:id="192"/>
      <w:r w:rsidR="0064792E">
        <w:tab/>
      </w:r>
      <w:r w:rsidRPr="005A3AFE">
        <w:t xml:space="preserve">Domestic postgraduate coursework </w:t>
      </w:r>
      <w:r w:rsidR="00C42522" w:rsidRPr="005A3AFE">
        <w:t>short- and medium-term</w:t>
      </w:r>
      <w:r w:rsidRPr="005A3AFE">
        <w:t xml:space="preserve"> full-time employment rate by university (% with 90% confidence intervals)</w:t>
      </w:r>
      <w:bookmarkEnd w:id="193"/>
    </w:p>
    <w:p w14:paraId="2CB7B130" w14:textId="7A55F3FC" w:rsidR="00191EB1" w:rsidRPr="005A3AFE" w:rsidRDefault="007420CA" w:rsidP="002A75B1">
      <w:pPr>
        <w:pStyle w:val="Body"/>
        <w:spacing w:before="40" w:after="0"/>
        <w:rPr>
          <w:rFonts w:eastAsia="Calibri"/>
          <w:lang w:val="en-GB" w:eastAsia="en-AU"/>
        </w:rPr>
      </w:pPr>
      <w:r w:rsidRPr="007420CA">
        <w:rPr>
          <w:rFonts w:eastAsia="Calibri"/>
          <w:noProof/>
          <w:lang w:val="en-GB" w:eastAsia="en-AU"/>
        </w:rPr>
        <w:drawing>
          <wp:inline distT="0" distB="0" distL="0" distR="0" wp14:anchorId="4E7E0BB9" wp14:editId="58C65009">
            <wp:extent cx="10332720" cy="5395595"/>
            <wp:effectExtent l="0" t="0" r="0" b="0"/>
            <wp:docPr id="1563736751" name="Picture 1" descr="Grouped column chart showing full-time employment rate (%) by institution for Short-term (2023) and Medium-term (2026). Error bars are shown for both series. The vertical axis ranges from 0% to 100%.&#10;&#10;Murdoch University: Short-term 86.0%; Medium-term 100.0%.&#10;University of Newcastle: Short-term 89.2%; Medium-term 98.0%.&#10;Macquarie University: Short-term 92.2%; Medium-term 97.7%.&#10;Australian Catholic University: Short-term 96.7%; Medium-term 97.5%.&#10;Edith Cowan University: Short-term 90.6%; Medium-term 97.3%.&#10;Queensland University of Technology: Short-term 91.6%; Medium-term 97.2%.&#10;The University of Notre Dame Australia: Short-term 97.1%; Medium-term 97.1%.&#10;Australian University of Theology: Short-term 93.2%; Medium-term 96.8%.&#10;University of Canberra: Short-term 94.1%; Medium-term 96.6%.&#10;Federation University Australia: Short-term 95.4%; Medium-term 96.5%.&#10;The University of South Australia*: Short-term 92.0%; Medium-term 96.4%.&#10;The Australian National University: Short-term 88.9%; Medium-term 96.2%.&#10;Swinburne University of Technology: Short-term 88.2%; Medium-term 96.1%.&#10;The University of Sydney: Short-term 88.6%; Medium-term 96.0%.&#10;Flinders University: Short-term 90.6%; Medium-term 95.9%.&#10;Bond University: Short-term 88.9%; Medium-term 95.7%.&#10;University of New South Wales: Short-term 91.8%; Medium-term 95.6%.&#10;The University of Western Australia: Short-term 90.3%; Medium-term 95.6%.&#10;University of Tasmania: Short-term 93.4%; Medium-term 95.6%.&#10;Deakin University: Short-term 90.5%; Medium-term 95.5%.&#10;University of Southern Queensland: Short-term 85.6%; Medium-term 95.4%.&#10;University of Technology Sydney: Short-term 88.0%; Medium-term 95.1%.&#10;Charles Darwin University: Short-term 87.1%; Medium-term 95.1%.&#10;Central Queensland University: Short-term 93.6%; Medium-term 95.0%.&#10;All Universities: Short-term 90.1%; Medium-term 95.0%.&#10;James Cook University: Short-term 92.9%; Medium-term 94.9%.&#10;University of New England: Short-term 89.4%; Medium-term 94.3%.&#10;RMIT University: Short-term 89.6%; Medium-term 94.3%.&#10;Charles Sturt University: Short-term 93.2%; Medium-term 94.1%.&#10;Monash University: Short-term 89.0%; Medium-term 94.0%.&#10;The University of Melbourne: Short-term 87.7%; Medium-term 94.0%.&#10;Curtin University: Short-term 87.0%; Medium-term 93.9%.&#10;La Trobe University: Short-term 91.2%; Medium-term 93.9%.&#10;The University of Queensland: Short-term 87.5%; Medium-term 93.8%.&#10;Western Sydney University: Short-term 89.8%; Medium-term 93.6%.&#10;The University of Adelaide*: Short-term 90.5%; Medium-term 93.5%.&#10;Southern Cross University: Short-term 90.7%; Medium-term 93.4%.&#10;University of the Sunshine Coast: Short-term 83.3%; Medium-term 92.7%.&#10;University of Wollongong: Short-term 90.5%; Medium-term 92.6%.&#10;University of Divinity: Short-term 92.7%; Medium-term 92.5%.&#10;Griffith University: Short-term 89.1%; Medium-term 92.3%.&#10;Torrens University: Short-term 77.6%; Medium-term 89.8%.&#10;Victoria University: Short-term 82.4%; Medium-term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36751" name="Picture 1" descr="Grouped column chart showing full-time employment rate (%) by institution for Short-term (2023) and Medium-term (2026). Error bars are shown for both series. The vertical axis ranges from 0% to 100%.&#10;&#10;Murdoch University: Short-term 86.0%; Medium-term 100.0%.&#10;University of Newcastle: Short-term 89.2%; Medium-term 98.0%.&#10;Macquarie University: Short-term 92.2%; Medium-term 97.7%.&#10;Australian Catholic University: Short-term 96.7%; Medium-term 97.5%.&#10;Edith Cowan University: Short-term 90.6%; Medium-term 97.3%.&#10;Queensland University of Technology: Short-term 91.6%; Medium-term 97.2%.&#10;The University of Notre Dame Australia: Short-term 97.1%; Medium-term 97.1%.&#10;Australian University of Theology: Short-term 93.2%; Medium-term 96.8%.&#10;University of Canberra: Short-term 94.1%; Medium-term 96.6%.&#10;Federation University Australia: Short-term 95.4%; Medium-term 96.5%.&#10;The University of South Australia*: Short-term 92.0%; Medium-term 96.4%.&#10;The Australian National University: Short-term 88.9%; Medium-term 96.2%.&#10;Swinburne University of Technology: Short-term 88.2%; Medium-term 96.1%.&#10;The University of Sydney: Short-term 88.6%; Medium-term 96.0%.&#10;Flinders University: Short-term 90.6%; Medium-term 95.9%.&#10;Bond University: Short-term 88.9%; Medium-term 95.7%.&#10;University of New South Wales: Short-term 91.8%; Medium-term 95.6%.&#10;The University of Western Australia: Short-term 90.3%; Medium-term 95.6%.&#10;University of Tasmania: Short-term 93.4%; Medium-term 95.6%.&#10;Deakin University: Short-term 90.5%; Medium-term 95.5%.&#10;University of Southern Queensland: Short-term 85.6%; Medium-term 95.4%.&#10;University of Technology Sydney: Short-term 88.0%; Medium-term 95.1%.&#10;Charles Darwin University: Short-term 87.1%; Medium-term 95.1%.&#10;Central Queensland University: Short-term 93.6%; Medium-term 95.0%.&#10;All Universities: Short-term 90.1%; Medium-term 95.0%.&#10;James Cook University: Short-term 92.9%; Medium-term 94.9%.&#10;University of New England: Short-term 89.4%; Medium-term 94.3%.&#10;RMIT University: Short-term 89.6%; Medium-term 94.3%.&#10;Charles Sturt University: Short-term 93.2%; Medium-term 94.1%.&#10;Monash University: Short-term 89.0%; Medium-term 94.0%.&#10;The University of Melbourne: Short-term 87.7%; Medium-term 94.0%.&#10;Curtin University: Short-term 87.0%; Medium-term 93.9%.&#10;La Trobe University: Short-term 91.2%; Medium-term 93.9%.&#10;The University of Queensland: Short-term 87.5%; Medium-term 93.8%.&#10;Western Sydney University: Short-term 89.8%; Medium-term 93.6%.&#10;The University of Adelaide*: Short-term 90.5%; Medium-term 93.5%.&#10;Southern Cross University: Short-term 90.7%; Medium-term 93.4%.&#10;University of the Sunshine Coast: Short-term 83.3%; Medium-term 92.7%.&#10;University of Wollongong: Short-term 90.5%; Medium-term 92.6%.&#10;University of Divinity: Short-term 92.7%; Medium-term 92.5%.&#10;Griffith University: Short-term 89.1%; Medium-term 92.3%.&#10;Torrens University: Short-term 77.6%; Medium-term 89.8%.&#10;Victoria University: Short-term 82.4%; Medium-term 88.3%."/>
                    <pic:cNvPicPr/>
                  </pic:nvPicPr>
                  <pic:blipFill>
                    <a:blip r:embed="rId74"/>
                    <a:stretch>
                      <a:fillRect/>
                    </a:stretch>
                  </pic:blipFill>
                  <pic:spPr>
                    <a:xfrm>
                      <a:off x="0" y="0"/>
                      <a:ext cx="10332720" cy="5395595"/>
                    </a:xfrm>
                    <a:prstGeom prst="rect">
                      <a:avLst/>
                    </a:prstGeom>
                  </pic:spPr>
                </pic:pic>
              </a:graphicData>
            </a:graphic>
          </wp:inline>
        </w:drawing>
      </w:r>
    </w:p>
    <w:p w14:paraId="4D3922A9" w14:textId="3EB44FC5" w:rsidR="00A23D69" w:rsidRPr="005A3AFE" w:rsidRDefault="00A23D69" w:rsidP="00C43B9E">
      <w:pPr>
        <w:pStyle w:val="BaseFigureNotes"/>
        <w:spacing w:before="0" w:after="60"/>
        <w:ind w:left="720" w:hanging="720"/>
      </w:pPr>
      <w:r w:rsidRPr="00D66DA2">
        <w:rPr>
          <w:b/>
          <w:bCs/>
        </w:rPr>
        <w:t>Note</w:t>
      </w:r>
      <w:r w:rsidR="003A0D4C" w:rsidRPr="00D66DA2">
        <w:rPr>
          <w:b/>
          <w:bCs/>
        </w:rPr>
        <w:t>:</w:t>
      </w:r>
      <w:r w:rsidR="00D66DA2">
        <w:rPr>
          <w:b/>
          <w:bCs/>
        </w:rPr>
        <w:tab/>
      </w:r>
      <w:r w:rsidR="003A0D4C">
        <w:t xml:space="preserve">1. </w:t>
      </w:r>
      <w:r>
        <w:t>Institutional r</w:t>
      </w:r>
      <w:r w:rsidRPr="0043708B">
        <w:t xml:space="preserve">esults are influenced by factors such as student characteristics, </w:t>
      </w:r>
      <w:r>
        <w:t xml:space="preserve">course offerings and variations in regional labour market conditions. Results </w:t>
      </w:r>
      <w:r w:rsidRPr="0043708B">
        <w:t>should</w:t>
      </w:r>
      <w:r>
        <w:t xml:space="preserve"> therefore</w:t>
      </w:r>
      <w:r w:rsidRPr="0043708B">
        <w:t xml:space="preserve"> not be interpreted as a measure of institutional performance</w:t>
      </w:r>
      <w:r w:rsidR="003A0D4C">
        <w:t xml:space="preserve"> in isolation</w:t>
      </w:r>
      <w:r w:rsidRPr="0043708B">
        <w:t>.</w:t>
      </w:r>
      <w:r w:rsidR="00F53CBE" w:rsidRPr="00F53CBE">
        <w:t xml:space="preserve"> CIs are not displayed when estimates are 0% or 100%.</w:t>
      </w:r>
    </w:p>
    <w:p w14:paraId="3D20BB1D" w14:textId="087F4CDF" w:rsidR="00DC42E7" w:rsidRPr="005A3AFE" w:rsidRDefault="003A0D4C" w:rsidP="00D66DA2">
      <w:pPr>
        <w:pStyle w:val="BaseFigureNotes"/>
        <w:ind w:left="720"/>
      </w:pPr>
      <w:r>
        <w:t xml:space="preserve">2. </w:t>
      </w:r>
      <w:r w:rsidR="00DC42E7" w:rsidRPr="00886C60">
        <w:rPr>
          <w:spacing w:val="-2"/>
        </w:rPr>
        <w:t xml:space="preserve">Medium-term </w:t>
      </w:r>
      <w:r w:rsidR="00843288" w:rsidRPr="00886C60">
        <w:rPr>
          <w:spacing w:val="-2"/>
        </w:rPr>
        <w:t xml:space="preserve">full-time employment rates </w:t>
      </w:r>
      <w:r w:rsidR="00DC42E7" w:rsidRPr="00886C60">
        <w:rPr>
          <w:spacing w:val="-2"/>
        </w:rPr>
        <w:t>from 2025 onwards are not directly comparable with earlier years due to a change to how the labour force is defined. Caution should be exercised when interpreting shifts from the short- to medium-term for the 202</w:t>
      </w:r>
      <w:r w:rsidR="00B921B4" w:rsidRPr="00886C60">
        <w:rPr>
          <w:spacing w:val="-2"/>
        </w:rPr>
        <w:t>3</w:t>
      </w:r>
      <w:r w:rsidR="00886C60" w:rsidRPr="00886C60">
        <w:rPr>
          <w:spacing w:val="-2"/>
        </w:rPr>
        <w:t>–</w:t>
      </w:r>
      <w:r w:rsidR="00DC42E7" w:rsidRPr="00886C60">
        <w:rPr>
          <w:spacing w:val="-2"/>
        </w:rPr>
        <w:t>202</w:t>
      </w:r>
      <w:r w:rsidR="00B921B4" w:rsidRPr="00886C60">
        <w:rPr>
          <w:spacing w:val="-2"/>
        </w:rPr>
        <w:t>6</w:t>
      </w:r>
      <w:r w:rsidR="00DC42E7" w:rsidRPr="00886C60">
        <w:rPr>
          <w:spacing w:val="-2"/>
        </w:rPr>
        <w:t xml:space="preserve"> cohort</w:t>
      </w:r>
      <w:r w:rsidR="006016F1" w:rsidRPr="00886C60">
        <w:rPr>
          <w:spacing w:val="-2"/>
        </w:rPr>
        <w:t>, as they partly reflect the change in methodology</w:t>
      </w:r>
      <w:r w:rsidR="00DC42E7" w:rsidRPr="00886C60">
        <w:rPr>
          <w:spacing w:val="-2"/>
        </w:rPr>
        <w:t xml:space="preserve">. </w:t>
      </w:r>
      <w:r w:rsidR="00DC42E7" w:rsidRPr="00886C60">
        <w:rPr>
          <w:spacing w:val="-4"/>
        </w:rPr>
        <w:t xml:space="preserve">See </w:t>
      </w:r>
      <w:r w:rsidR="00DC42E7" w:rsidRPr="00886C60">
        <w:rPr>
          <w:b/>
          <w:bCs/>
          <w:spacing w:val="-4"/>
        </w:rPr>
        <w:t>Appendix 1</w:t>
      </w:r>
      <w:r w:rsidR="00DC42E7" w:rsidRPr="00886C60">
        <w:rPr>
          <w:spacing w:val="-4"/>
        </w:rPr>
        <w:t xml:space="preserve"> </w:t>
      </w:r>
      <w:r w:rsidR="00533682" w:rsidRPr="00886C60">
        <w:rPr>
          <w:spacing w:val="-4"/>
        </w:rPr>
        <w:t xml:space="preserve">in the 2025 GOS-L National Report </w:t>
      </w:r>
      <w:r w:rsidR="00DC42E7" w:rsidRPr="00886C60">
        <w:rPr>
          <w:spacing w:val="-4"/>
        </w:rPr>
        <w:t>for further information.</w:t>
      </w:r>
    </w:p>
    <w:p w14:paraId="6EB8C30F" w14:textId="0C0D4FC9" w:rsidR="00910822" w:rsidRPr="005A3AFE" w:rsidRDefault="00283FC4" w:rsidP="00A55102">
      <w:pPr>
        <w:pStyle w:val="BaseFigureNotes"/>
        <w:spacing w:after="60"/>
        <w:rPr>
          <w:b/>
        </w:rPr>
        <w:sectPr w:rsidR="00910822" w:rsidRPr="005A3AFE" w:rsidSect="00A11753">
          <w:footerReference w:type="default" r:id="rId75"/>
          <w:pgSz w:w="16840" w:h="11900" w:orient="landscape"/>
          <w:pgMar w:top="709" w:right="284" w:bottom="709" w:left="284" w:header="397" w:footer="397" w:gutter="0"/>
          <w:cols w:space="708"/>
          <w:docGrid w:linePitch="360"/>
        </w:sectPr>
      </w:pPr>
      <w:r>
        <w:t>*</w:t>
      </w:r>
      <w:r w:rsidR="00B921B4" w:rsidRPr="005A3AFE">
        <w:t xml:space="preserve"> As of January 2026, the University of Adelaide and the University of South Australia have merged to form Adelaide University</w:t>
      </w:r>
      <w:r w:rsidR="003B196A">
        <w:t xml:space="preserve">. </w:t>
      </w:r>
      <w:r w:rsidR="003B196A" w:rsidRPr="003B196A">
        <w:rPr>
          <w:lang w:eastAsia="en-AU"/>
        </w:rPr>
        <w:t>Data for the 2</w:t>
      </w:r>
      <w:r w:rsidR="003B196A">
        <w:rPr>
          <w:lang w:eastAsia="en-AU"/>
        </w:rPr>
        <w:t xml:space="preserve">026 GOS-L </w:t>
      </w:r>
      <w:r w:rsidR="003B196A" w:rsidRPr="003B196A">
        <w:rPr>
          <w:lang w:eastAsia="en-AU"/>
        </w:rPr>
        <w:t xml:space="preserve">were collected </w:t>
      </w:r>
      <w:r w:rsidR="003B196A">
        <w:rPr>
          <w:lang w:eastAsia="en-AU"/>
        </w:rPr>
        <w:t xml:space="preserve">and reported </w:t>
      </w:r>
      <w:r w:rsidR="003B196A" w:rsidRPr="003B196A">
        <w:rPr>
          <w:lang w:eastAsia="en-AU"/>
        </w:rPr>
        <w:t xml:space="preserve">separately </w:t>
      </w:r>
      <w:r w:rsidR="003B196A">
        <w:rPr>
          <w:lang w:eastAsia="en-AU"/>
        </w:rPr>
        <w:t>for</w:t>
      </w:r>
      <w:r w:rsidR="003B196A" w:rsidRPr="003B196A">
        <w:rPr>
          <w:lang w:eastAsia="en-AU"/>
        </w:rPr>
        <w:t xml:space="preserve"> the University of Adelaide and the University of South Australia.</w:t>
      </w:r>
    </w:p>
    <w:p w14:paraId="19F1F3D2" w14:textId="71CAACBF" w:rsidR="00244416" w:rsidRPr="00A869B4" w:rsidRDefault="00244416" w:rsidP="00A01394">
      <w:pPr>
        <w:pStyle w:val="Heading1"/>
      </w:pPr>
      <w:bookmarkStart w:id="194" w:name="_International_graduate_results"/>
      <w:bookmarkStart w:id="195" w:name="_Toc192179857"/>
      <w:bookmarkStart w:id="196" w:name="_Toc243492349"/>
      <w:bookmarkStart w:id="197" w:name="_Toc244083897"/>
      <w:bookmarkEnd w:id="194"/>
      <w:r w:rsidRPr="00A869B4">
        <w:lastRenderedPageBreak/>
        <w:t>International graduate results</w:t>
      </w:r>
      <w:bookmarkEnd w:id="195"/>
      <w:bookmarkEnd w:id="196"/>
      <w:bookmarkEnd w:id="197"/>
    </w:p>
    <w:p w14:paraId="25B46B69" w14:textId="06EA74A1" w:rsidR="00177A30" w:rsidRPr="005A3AFE" w:rsidRDefault="00177A30" w:rsidP="00177A30">
      <w:pPr>
        <w:spacing w:before="120" w:after="120" w:line="300" w:lineRule="auto"/>
        <w:rPr>
          <w:rFonts w:eastAsia="Times New Roman" w:cs="Times New Roman"/>
          <w:szCs w:val="20"/>
        </w:rPr>
      </w:pPr>
      <w:r w:rsidRPr="005A3AFE">
        <w:rPr>
          <w:rFonts w:eastAsia="Times New Roman" w:cs="Times New Roman"/>
          <w:szCs w:val="20"/>
        </w:rPr>
        <w:t>The GOS-L collects sufficient survey responses to enable high-level reporting of medium-term employment outcomes for international graduates, providing further context regarding the employment pathways of this graduate cohort.</w:t>
      </w:r>
      <w:r w:rsidR="00320D73" w:rsidRPr="00E17B1D">
        <w:rPr>
          <w:rStyle w:val="FootnoteReference"/>
          <w:rFonts w:eastAsia="Times New Roman" w:cs="Times New Roman"/>
          <w:sz w:val="20"/>
          <w:szCs w:val="20"/>
        </w:rPr>
        <w:footnoteReference w:id="21"/>
      </w:r>
    </w:p>
    <w:p w14:paraId="1589651A" w14:textId="47751DB3" w:rsidR="00177A30" w:rsidRPr="005A3AFE" w:rsidRDefault="00177A30" w:rsidP="00177A30">
      <w:pPr>
        <w:spacing w:before="120" w:after="120" w:line="300" w:lineRule="auto"/>
        <w:rPr>
          <w:rFonts w:eastAsia="Times New Roman" w:cs="Times New Roman"/>
          <w:szCs w:val="20"/>
        </w:rPr>
      </w:pPr>
      <w:r w:rsidRPr="005A3AFE">
        <w:rPr>
          <w:rFonts w:eastAsia="Times New Roman" w:cs="Times New Roman"/>
          <w:szCs w:val="20"/>
        </w:rPr>
        <w:t xml:space="preserve">It should be noted that differences in employment </w:t>
      </w:r>
      <w:r w:rsidR="007917D8" w:rsidRPr="005A3AFE">
        <w:rPr>
          <w:rFonts w:eastAsia="Times New Roman" w:cs="Times New Roman"/>
          <w:szCs w:val="20"/>
        </w:rPr>
        <w:t xml:space="preserve">and </w:t>
      </w:r>
      <w:r w:rsidR="007D2FB3" w:rsidRPr="005A3AFE">
        <w:rPr>
          <w:rFonts w:eastAsia="Times New Roman" w:cs="Times New Roman"/>
          <w:szCs w:val="20"/>
        </w:rPr>
        <w:t xml:space="preserve">further study </w:t>
      </w:r>
      <w:r w:rsidRPr="005A3AFE">
        <w:rPr>
          <w:rFonts w:eastAsia="Times New Roman" w:cs="Times New Roman"/>
          <w:szCs w:val="20"/>
        </w:rPr>
        <w:t>outcomes between international and domestic graduates are affected by a range of factors</w:t>
      </w:r>
      <w:bookmarkStart w:id="198" w:name="_Hlk153360374"/>
      <w:r w:rsidR="003C0193" w:rsidRPr="005A3AFE">
        <w:rPr>
          <w:rFonts w:eastAsia="Times New Roman" w:cs="Times New Roman"/>
          <w:szCs w:val="20"/>
        </w:rPr>
        <w:t>, such as demographic and study area differences</w:t>
      </w:r>
      <w:r w:rsidR="00CB57AF" w:rsidRPr="005A3AFE">
        <w:rPr>
          <w:rFonts w:eastAsia="Times New Roman" w:cs="Times New Roman"/>
          <w:szCs w:val="20"/>
        </w:rPr>
        <w:t>.</w:t>
      </w:r>
    </w:p>
    <w:p w14:paraId="52F854A3" w14:textId="38C863C3" w:rsidR="00177A30" w:rsidRPr="005A3AFE" w:rsidRDefault="00177A30" w:rsidP="00177A30">
      <w:pPr>
        <w:spacing w:before="120" w:after="120" w:line="300" w:lineRule="auto"/>
        <w:rPr>
          <w:rFonts w:eastAsia="Times New Roman" w:cs="Times New Roman"/>
          <w:szCs w:val="20"/>
        </w:rPr>
      </w:pPr>
      <w:r w:rsidRPr="005A3AFE">
        <w:rPr>
          <w:rFonts w:eastAsia="Times New Roman" w:cs="Times New Roman"/>
          <w:szCs w:val="20"/>
        </w:rPr>
        <w:t>Note, too, that international graduate median salaries are reported for international graduates working in Australia only</w:t>
      </w:r>
      <w:r w:rsidR="0051348E">
        <w:rPr>
          <w:rFonts w:eastAsia="Times New Roman" w:cs="Times New Roman"/>
          <w:szCs w:val="20"/>
        </w:rPr>
        <w:t>.</w:t>
      </w:r>
      <w:r w:rsidR="0051348E" w:rsidRPr="00E17B1D">
        <w:rPr>
          <w:rStyle w:val="FootnoteReference"/>
          <w:rFonts w:eastAsia="Times New Roman" w:cs="Times New Roman"/>
          <w:sz w:val="20"/>
          <w:szCs w:val="20"/>
        </w:rPr>
        <w:footnoteReference w:id="22"/>
      </w:r>
      <w:r w:rsidRPr="00E17B1D">
        <w:rPr>
          <w:rFonts w:eastAsia="Times New Roman" w:cs="Times New Roman"/>
          <w:szCs w:val="20"/>
        </w:rPr>
        <w:t xml:space="preserve"> </w:t>
      </w:r>
      <w:r w:rsidRPr="005A3AFE">
        <w:rPr>
          <w:rFonts w:eastAsia="Times New Roman" w:cs="Times New Roman"/>
          <w:szCs w:val="20"/>
        </w:rPr>
        <w:t xml:space="preserve">Meanwhile, </w:t>
      </w:r>
      <w:r w:rsidR="00DF1BC0" w:rsidRPr="005A3AFE">
        <w:rPr>
          <w:rFonts w:eastAsia="Times New Roman" w:cs="Times New Roman"/>
          <w:szCs w:val="20"/>
        </w:rPr>
        <w:t xml:space="preserve">all other </w:t>
      </w:r>
      <w:r w:rsidRPr="005A3AFE">
        <w:rPr>
          <w:rFonts w:eastAsia="Times New Roman" w:cs="Times New Roman"/>
          <w:szCs w:val="20"/>
        </w:rPr>
        <w:t xml:space="preserve">rates related to </w:t>
      </w:r>
      <w:r w:rsidR="001A370C" w:rsidRPr="005A3AFE">
        <w:rPr>
          <w:rFonts w:eastAsia="Times New Roman" w:cs="Times New Roman"/>
          <w:szCs w:val="20"/>
        </w:rPr>
        <w:t xml:space="preserve">employment and further study outcomes, as well as skills utilisation, </w:t>
      </w:r>
      <w:r w:rsidRPr="005A3AFE">
        <w:rPr>
          <w:rFonts w:eastAsia="Times New Roman" w:cs="Times New Roman"/>
          <w:szCs w:val="20"/>
        </w:rPr>
        <w:t xml:space="preserve">are for </w:t>
      </w:r>
      <w:r w:rsidRPr="005A3AFE">
        <w:rPr>
          <w:rFonts w:eastAsia="Times New Roman" w:cs="Times New Roman"/>
          <w:i/>
          <w:szCs w:val="20"/>
        </w:rPr>
        <w:t>all</w:t>
      </w:r>
      <w:r w:rsidRPr="005A3AFE">
        <w:rPr>
          <w:rFonts w:eastAsia="Times New Roman" w:cs="Times New Roman"/>
          <w:szCs w:val="20"/>
        </w:rPr>
        <w:t xml:space="preserve"> international graduates</w:t>
      </w:r>
      <w:r w:rsidR="001C5AC9" w:rsidRPr="005A3AFE">
        <w:rPr>
          <w:rFonts w:eastAsia="Times New Roman" w:cs="Times New Roman"/>
          <w:szCs w:val="20"/>
        </w:rPr>
        <w:t>, regardless of their location at the time of the survey</w:t>
      </w:r>
      <w:r w:rsidRPr="005A3AFE">
        <w:rPr>
          <w:rFonts w:eastAsia="Times New Roman" w:cs="Times New Roman"/>
          <w:szCs w:val="20"/>
        </w:rPr>
        <w:t>.</w:t>
      </w:r>
    </w:p>
    <w:p w14:paraId="74EB7CF6" w14:textId="52BB3833" w:rsidR="00F0544F" w:rsidRPr="005A3AFE" w:rsidRDefault="00F0544F" w:rsidP="00E17E16">
      <w:pPr>
        <w:pStyle w:val="Heading2"/>
        <w:rPr>
          <w:sz w:val="24"/>
          <w:szCs w:val="24"/>
        </w:rPr>
      </w:pPr>
      <w:bookmarkStart w:id="199" w:name="_Ref229664078"/>
      <w:bookmarkStart w:id="200" w:name="_Toc243492350"/>
      <w:r w:rsidRPr="005A3AFE">
        <w:t>International graduate profile</w:t>
      </w:r>
      <w:r w:rsidR="00F36D62" w:rsidRPr="005A3AFE">
        <w:t xml:space="preserve"> </w:t>
      </w:r>
      <w:r w:rsidR="00F36D62" w:rsidRPr="006C2E0A">
        <w:rPr>
          <w:sz w:val="28"/>
          <w:szCs w:val="28"/>
        </w:rPr>
        <w:t>(based on responses to th</w:t>
      </w:r>
      <w:r w:rsidR="00FE75CE" w:rsidRPr="006C2E0A">
        <w:rPr>
          <w:sz w:val="28"/>
          <w:szCs w:val="28"/>
        </w:rPr>
        <w:t xml:space="preserve">e </w:t>
      </w:r>
      <w:r w:rsidR="00F36D62" w:rsidRPr="006C2E0A">
        <w:rPr>
          <w:sz w:val="28"/>
          <w:szCs w:val="28"/>
        </w:rPr>
        <w:t>202</w:t>
      </w:r>
      <w:r w:rsidR="00E25F00" w:rsidRPr="006C2E0A">
        <w:rPr>
          <w:sz w:val="28"/>
          <w:szCs w:val="28"/>
        </w:rPr>
        <w:t>6</w:t>
      </w:r>
      <w:r w:rsidR="00F36D62" w:rsidRPr="006C2E0A">
        <w:rPr>
          <w:sz w:val="28"/>
          <w:szCs w:val="28"/>
        </w:rPr>
        <w:t xml:space="preserve"> GOS-L</w:t>
      </w:r>
      <w:r w:rsidR="00F36D62" w:rsidRPr="006C2E0A">
        <w:rPr>
          <w:sz w:val="28"/>
          <w:szCs w:val="28"/>
          <w:vertAlign w:val="superscript"/>
        </w:rPr>
        <w:footnoteReference w:id="23"/>
      </w:r>
      <w:r w:rsidR="00F36D62" w:rsidRPr="006C2E0A">
        <w:rPr>
          <w:sz w:val="28"/>
          <w:szCs w:val="28"/>
        </w:rPr>
        <w:t>)</w:t>
      </w:r>
      <w:bookmarkEnd w:id="199"/>
      <w:bookmarkEnd w:id="200"/>
    </w:p>
    <w:p w14:paraId="31ED237A" w14:textId="44D59797" w:rsidR="009B2826" w:rsidRPr="005A3AFE" w:rsidRDefault="00FE75CE" w:rsidP="00FE75CE">
      <w:pPr>
        <w:pStyle w:val="Body"/>
      </w:pPr>
      <w:r w:rsidRPr="005A3AFE">
        <w:t>The profile of international graduates across study levels differ</w:t>
      </w:r>
      <w:r w:rsidR="00436D75" w:rsidRPr="005A3AFE">
        <w:t>ed</w:t>
      </w:r>
      <w:r w:rsidRPr="005A3AFE">
        <w:t xml:space="preserve"> to the domestic graduate profile.</w:t>
      </w:r>
    </w:p>
    <w:p w14:paraId="73754BC1" w14:textId="71A2D525" w:rsidR="007053E6" w:rsidRDefault="00B4219F" w:rsidP="00AA0B58">
      <w:pPr>
        <w:pStyle w:val="Body"/>
        <w:spacing w:after="360"/>
      </w:pPr>
      <w:r w:rsidRPr="005A3AFE">
        <w:t xml:space="preserve">Domestic graduates were predominantly undergraduates, while international graduates were predominantly </w:t>
      </w:r>
      <w:r w:rsidR="00622B51" w:rsidRPr="005A3AFE">
        <w:t>postgraduate coursework</w:t>
      </w:r>
      <w:r w:rsidR="00217507" w:rsidRPr="005A3AFE">
        <w:t xml:space="preserve"> graduates</w:t>
      </w:r>
      <w:r w:rsidR="00622B51" w:rsidRPr="005A3AFE">
        <w:t xml:space="preserve">. </w:t>
      </w:r>
      <w:r w:rsidR="00793200" w:rsidRPr="005A3AFE">
        <w:t>P</w:t>
      </w:r>
      <w:r w:rsidR="00DD32CE" w:rsidRPr="005A3AFE">
        <w:t xml:space="preserve">ostgraduate research graduates </w:t>
      </w:r>
      <w:r w:rsidR="00536788" w:rsidRPr="005A3AFE">
        <w:t xml:space="preserve">account for a </w:t>
      </w:r>
      <w:r w:rsidR="009E4D43" w:rsidRPr="005A3AFE">
        <w:t xml:space="preserve">higher proportion of the </w:t>
      </w:r>
      <w:r w:rsidR="00793200" w:rsidRPr="005A3AFE">
        <w:t xml:space="preserve">international graduate cohort (16.3 per cent) compared to the domestic </w:t>
      </w:r>
      <w:r w:rsidR="009E4D43" w:rsidRPr="005A3AFE">
        <w:t xml:space="preserve">graduate </w:t>
      </w:r>
      <w:r w:rsidR="00793200" w:rsidRPr="005A3AFE">
        <w:t>cohort (5.5 per cent).</w:t>
      </w:r>
    </w:p>
    <w:p w14:paraId="4875DAD9" w14:textId="3F1D4246" w:rsidR="00937DE6" w:rsidRPr="00AA0B58" w:rsidRDefault="00937DE6" w:rsidP="004B0E69">
      <w:pPr>
        <w:pStyle w:val="Infographictitle"/>
      </w:pPr>
      <w:bookmarkStart w:id="201" w:name="_Toc244083898"/>
      <w:r w:rsidRPr="00AA0B58">
        <w:t>Infographic 2: Domestic and international respondent profile comparison</w:t>
      </w:r>
      <w:bookmarkEnd w:id="201"/>
    </w:p>
    <w:p w14:paraId="0F636554" w14:textId="4A11A899" w:rsidR="007053E6" w:rsidRPr="005A3AFE" w:rsidRDefault="00E022EB" w:rsidP="002F2F86">
      <w:pPr>
        <w:pStyle w:val="Body"/>
      </w:pPr>
      <w:r>
        <w:rPr>
          <w:noProof/>
        </w:rPr>
        <w:drawing>
          <wp:inline distT="0" distB="0" distL="0" distR="0" wp14:anchorId="40FF7D35" wp14:editId="3016B288">
            <wp:extent cx="6657340" cy="3216910"/>
            <wp:effectExtent l="0" t="0" r="0" b="2540"/>
            <wp:docPr id="57839557" name="Picture 29" descr="Chart comparing the proportion of domestic and international graduate responses by study level. Legend: Domestic; International. Categories are Undergraduate, Postgraduate coursework and Postgraduate research. Undergraduate: Domestic 55.4%; International 37.5%. Postgraduate coursework: Domestic 39.0%; International 46.1%. Postgraduate research: Domestic 5.5%; International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9557" name="Picture 29" descr="Chart comparing the proportion of domestic and international graduate responses by study level. Legend: Domestic; International. Categories are Undergraduate, Postgraduate coursework and Postgraduate research. Undergraduate: Domestic 55.4%; International 37.5%. Postgraduate coursework: Domestic 39.0%; International 46.1%. Postgraduate research: Domestic 5.5%; International 16.3%."/>
                    <pic:cNvPicPr>
                      <a:picLocks noChangeAspect="1" noChangeArrowheads="1"/>
                    </pic:cNvPicPr>
                  </pic:nvPicPr>
                  <pic:blipFill rotWithShape="1">
                    <a:blip r:embed="rId76">
                      <a:extLst>
                        <a:ext uri="{28A0092B-C50C-407E-A947-70E740481C1C}">
                          <a14:useLocalDpi xmlns:a14="http://schemas.microsoft.com/office/drawing/2010/main" val="0"/>
                        </a:ext>
                      </a:extLst>
                    </a:blip>
                    <a:srcRect t="10114"/>
                    <a:stretch>
                      <a:fillRect/>
                    </a:stretch>
                  </pic:blipFill>
                  <pic:spPr bwMode="auto">
                    <a:xfrm>
                      <a:off x="0" y="0"/>
                      <a:ext cx="6657340" cy="3216910"/>
                    </a:xfrm>
                    <a:prstGeom prst="rect">
                      <a:avLst/>
                    </a:prstGeom>
                    <a:noFill/>
                    <a:ln>
                      <a:noFill/>
                    </a:ln>
                    <a:extLst>
                      <a:ext uri="{53640926-AAD7-44D8-BBD7-CCE9431645EC}">
                        <a14:shadowObscured xmlns:a14="http://schemas.microsoft.com/office/drawing/2010/main"/>
                      </a:ext>
                    </a:extLst>
                  </pic:spPr>
                </pic:pic>
              </a:graphicData>
            </a:graphic>
          </wp:inline>
        </w:drawing>
      </w:r>
    </w:p>
    <w:p w14:paraId="471D8EFB" w14:textId="0A374503" w:rsidR="00296168" w:rsidRDefault="00032C35" w:rsidP="00AA0B58">
      <w:pPr>
        <w:pStyle w:val="Body"/>
        <w:spacing w:after="360"/>
      </w:pPr>
      <w:r w:rsidRPr="005A3AFE">
        <w:t>At</w:t>
      </w:r>
      <w:r w:rsidR="00FE75CE" w:rsidRPr="005A3AFE">
        <w:t xml:space="preserve"> the undergraduate and postgraduate coursework </w:t>
      </w:r>
      <w:r w:rsidRPr="005A3AFE">
        <w:t xml:space="preserve">levels, international graduates </w:t>
      </w:r>
      <w:r w:rsidR="00E8241C" w:rsidRPr="005A3AFE">
        <w:t>tended</w:t>
      </w:r>
      <w:r w:rsidRPr="005A3AFE">
        <w:t xml:space="preserve"> to be younger</w:t>
      </w:r>
      <w:r w:rsidR="00692063" w:rsidRPr="005A3AFE">
        <w:t xml:space="preserve"> compared to domestic graduates</w:t>
      </w:r>
      <w:r w:rsidRPr="005A3AFE">
        <w:t>.</w:t>
      </w:r>
      <w:r w:rsidR="00FE75CE" w:rsidRPr="005A3AFE">
        <w:t xml:space="preserve"> This difference was most notable at the postgraduate coursework level</w:t>
      </w:r>
      <w:r w:rsidR="007E3234" w:rsidRPr="005A3AFE">
        <w:t xml:space="preserve">, where </w:t>
      </w:r>
      <w:r w:rsidR="005243E3" w:rsidRPr="005A3AFE">
        <w:t xml:space="preserve">graduates aged 30 and under </w:t>
      </w:r>
      <w:r w:rsidR="00F36049" w:rsidRPr="005A3AFE">
        <w:t xml:space="preserve">made up </w:t>
      </w:r>
      <w:r w:rsidR="005243E3" w:rsidRPr="005A3AFE">
        <w:t>just under half</w:t>
      </w:r>
      <w:r w:rsidR="00FE75CE" w:rsidRPr="005A3AFE">
        <w:t xml:space="preserve"> of the international </w:t>
      </w:r>
      <w:r w:rsidR="005243E3" w:rsidRPr="005A3AFE">
        <w:t xml:space="preserve">postgraduate coursework </w:t>
      </w:r>
      <w:r w:rsidR="00F36049" w:rsidRPr="005A3AFE">
        <w:t>respondents, but only</w:t>
      </w:r>
      <w:r w:rsidR="00466792" w:rsidRPr="005A3AFE">
        <w:t xml:space="preserve"> around</w:t>
      </w:r>
      <w:r w:rsidR="00FF36A4" w:rsidRPr="005A3AFE">
        <w:t xml:space="preserve"> 1</w:t>
      </w:r>
      <w:r w:rsidR="002D7262">
        <w:t> </w:t>
      </w:r>
      <w:r w:rsidR="00FF36A4" w:rsidRPr="005A3AFE">
        <w:t>in</w:t>
      </w:r>
      <w:r w:rsidR="002D7262">
        <w:t> </w:t>
      </w:r>
      <w:r w:rsidR="00FF36A4" w:rsidRPr="005A3AFE">
        <w:t>5</w:t>
      </w:r>
      <w:r w:rsidR="006E680A" w:rsidRPr="005A3AFE">
        <w:t xml:space="preserve"> domestic postgraduate coursework graduates were</w:t>
      </w:r>
      <w:r w:rsidR="00FE75CE" w:rsidRPr="005A3AFE">
        <w:t xml:space="preserve"> aged 30 and under</w:t>
      </w:r>
      <w:r w:rsidR="006E680A" w:rsidRPr="005A3AFE">
        <w:t>.</w:t>
      </w:r>
      <w:r w:rsidR="00FE75CE" w:rsidRPr="005A3AFE">
        <w:t xml:space="preserve"> This age differential between </w:t>
      </w:r>
      <w:r w:rsidR="00FE75CE" w:rsidRPr="005A3AFE">
        <w:lastRenderedPageBreak/>
        <w:t xml:space="preserve">international and domestic graduates is a key factor in understanding differences in labour market outcomes, occupation types and further study outcomes presented in this </w:t>
      </w:r>
      <w:r w:rsidR="00283FC4">
        <w:t>section</w:t>
      </w:r>
      <w:r w:rsidR="00A771E5">
        <w:t>.</w:t>
      </w:r>
    </w:p>
    <w:p w14:paraId="11D027B2" w14:textId="42926E96" w:rsidR="00AA0B58" w:rsidRDefault="008522DF" w:rsidP="004B0E69">
      <w:pPr>
        <w:pStyle w:val="Infographictitle"/>
      </w:pPr>
      <w:bookmarkStart w:id="202" w:name="_Toc244083899"/>
      <w:r>
        <w:t xml:space="preserve">Infographic 3: </w:t>
      </w:r>
      <w:r w:rsidR="00937DE6">
        <w:t>Graduate age by study level and citizenship status</w:t>
      </w:r>
      <w:bookmarkEnd w:id="202"/>
    </w:p>
    <w:p w14:paraId="76677631" w14:textId="5B32E1EA" w:rsidR="0046373F" w:rsidRDefault="00E022EB" w:rsidP="002F2F86">
      <w:pPr>
        <w:pStyle w:val="Body"/>
      </w:pPr>
      <w:r>
        <w:rPr>
          <w:noProof/>
        </w:rPr>
        <w:drawing>
          <wp:inline distT="0" distB="0" distL="0" distR="0" wp14:anchorId="002EA6EB" wp14:editId="35C9BDEA">
            <wp:extent cx="6551710" cy="2736000"/>
            <wp:effectExtent l="0" t="0" r="1905" b="7620"/>
            <wp:docPr id="271325651" name="Picture 30" descr="Chart comparing graduate age by study level and citizenship status. The chart is grouped into Undergraduate, Postgraduate coursework and Postgraduate research. Each study level compares Domestic and International graduates. Legend: 30 and under; Over 30. Undergraduate: Domestic, 30 and under 66.3%, Over 30 33.7%; International, 30 and under 83.6%, Over 30 16.4%. Postgraduate coursework: Domestic, 30 and under 19.2%, Over 30 80.8%; International, 30 and under 46.1%, Over 30 53.9%. Postgraduate research: Domestic, 30 and under 10.8%, Over 30 89.2%; International, 30 and under 6.6%, Over 30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25651" name="Picture 30" descr="Chart comparing graduate age by study level and citizenship status. The chart is grouped into Undergraduate, Postgraduate coursework and Postgraduate research. Each study level compares Domestic and International graduates. Legend: 30 and under; Over 30. Undergraduate: Domestic, 30 and under 66.3%, Over 30 33.7%; International, 30 and under 83.6%, Over 30 16.4%. Postgraduate coursework: Domestic, 30 and under 19.2%, Over 30 80.8%; International, 30 and under 46.1%, Over 30 53.9%. Postgraduate research: Domestic, 30 and under 10.8%, Over 30 89.2%; International, 30 and under 6.6%, Over 30 93.4%."/>
                    <pic:cNvPicPr>
                      <a:picLocks noChangeAspect="1" noChangeArrowheads="1"/>
                    </pic:cNvPicPr>
                  </pic:nvPicPr>
                  <pic:blipFill rotWithShape="1">
                    <a:blip r:embed="rId77">
                      <a:extLst>
                        <a:ext uri="{28A0092B-C50C-407E-A947-70E740481C1C}">
                          <a14:useLocalDpi xmlns:a14="http://schemas.microsoft.com/office/drawing/2010/main" val="0"/>
                        </a:ext>
                      </a:extLst>
                    </a:blip>
                    <a:srcRect l="3924" t="7959" b="1"/>
                    <a:stretch>
                      <a:fillRect/>
                    </a:stretch>
                  </pic:blipFill>
                  <pic:spPr bwMode="auto">
                    <a:xfrm>
                      <a:off x="0" y="0"/>
                      <a:ext cx="6551710" cy="2736000"/>
                    </a:xfrm>
                    <a:prstGeom prst="rect">
                      <a:avLst/>
                    </a:prstGeom>
                    <a:noFill/>
                    <a:ln>
                      <a:noFill/>
                    </a:ln>
                    <a:extLst>
                      <a:ext uri="{53640926-AAD7-44D8-BBD7-CCE9431645EC}">
                        <a14:shadowObscured xmlns:a14="http://schemas.microsoft.com/office/drawing/2010/main"/>
                      </a:ext>
                    </a:extLst>
                  </pic:spPr>
                </pic:pic>
              </a:graphicData>
            </a:graphic>
          </wp:inline>
        </w:drawing>
      </w:r>
    </w:p>
    <w:p w14:paraId="22CC3EED" w14:textId="77777777" w:rsidR="006C2E0A" w:rsidRDefault="006C2E0A" w:rsidP="002F2F86">
      <w:pPr>
        <w:pStyle w:val="Body"/>
      </w:pPr>
    </w:p>
    <w:p w14:paraId="2F8D0AF4" w14:textId="77777777" w:rsidR="00EB29BD" w:rsidRDefault="00EB29BD" w:rsidP="002F2F86">
      <w:pPr>
        <w:pStyle w:val="Body"/>
        <w:sectPr w:rsidR="00EB29BD" w:rsidSect="00A11753">
          <w:footerReference w:type="default" r:id="rId78"/>
          <w:pgSz w:w="11900" w:h="16840"/>
          <w:pgMar w:top="709" w:right="709" w:bottom="709" w:left="709" w:header="397" w:footer="397" w:gutter="0"/>
          <w:cols w:space="708"/>
          <w:docGrid w:linePitch="360"/>
        </w:sectPr>
      </w:pPr>
    </w:p>
    <w:p w14:paraId="7B49661F" w14:textId="0341B710" w:rsidR="00296168" w:rsidRDefault="00B870B7" w:rsidP="00AA0B58">
      <w:pPr>
        <w:pStyle w:val="Body"/>
        <w:spacing w:after="240"/>
      </w:pPr>
      <w:r w:rsidRPr="005A3AFE">
        <w:lastRenderedPageBreak/>
        <w:t xml:space="preserve">International graduates predominantly come from a small number of countries. </w:t>
      </w:r>
      <w:r w:rsidR="0055729E" w:rsidRPr="005A3AFE">
        <w:t xml:space="preserve">At the undergraduate and postgraduate coursework levels, </w:t>
      </w:r>
      <w:r w:rsidR="00CB0D38" w:rsidRPr="005A3AFE">
        <w:t xml:space="preserve">graduates from China (excludes SARs and Taiwan), India and Nepal </w:t>
      </w:r>
      <w:r w:rsidR="00951315" w:rsidRPr="005A3AFE">
        <w:t>account</w:t>
      </w:r>
      <w:r w:rsidR="00154442" w:rsidRPr="005A3AFE">
        <w:t>ed</w:t>
      </w:r>
      <w:r w:rsidR="00951315" w:rsidRPr="005A3AFE">
        <w:t xml:space="preserve"> for </w:t>
      </w:r>
      <w:r w:rsidR="00F53CBE" w:rsidRPr="00F53CBE">
        <w:t>a substantial proportion</w:t>
      </w:r>
      <w:r w:rsidR="00951315" w:rsidRPr="005A3AFE">
        <w:t xml:space="preserve"> of all international graduates. </w:t>
      </w:r>
      <w:r w:rsidR="001B0E80" w:rsidRPr="005A3AFE">
        <w:t>At the postgraduate research level, there was</w:t>
      </w:r>
      <w:r w:rsidR="00F50FAB" w:rsidRPr="005A3AFE">
        <w:t xml:space="preserve"> more variation in source countries</w:t>
      </w:r>
      <w:r w:rsidR="00C12E2C" w:rsidRPr="005A3AFE">
        <w:t xml:space="preserve"> </w:t>
      </w:r>
      <w:r w:rsidR="00F1696C" w:rsidRPr="005A3AFE">
        <w:t xml:space="preserve">with </w:t>
      </w:r>
      <w:r w:rsidR="00C12E2C" w:rsidRPr="005A3AFE">
        <w:t xml:space="preserve">graduates from </w:t>
      </w:r>
      <w:r w:rsidR="00F1696C" w:rsidRPr="005A3AFE">
        <w:t>the top 5 source countries only accounting for</w:t>
      </w:r>
      <w:r w:rsidR="00C12E2C" w:rsidRPr="005A3AFE">
        <w:t xml:space="preserve"> a total of</w:t>
      </w:r>
      <w:r w:rsidR="00F1696C" w:rsidRPr="005A3AFE">
        <w:t xml:space="preserve"> </w:t>
      </w:r>
      <w:r w:rsidR="00393741" w:rsidRPr="005A3AFE">
        <w:t>39.</w:t>
      </w:r>
      <w:r w:rsidR="00095967" w:rsidRPr="005A3AFE">
        <w:t>8</w:t>
      </w:r>
      <w:r w:rsidR="00393741" w:rsidRPr="005A3AFE">
        <w:t xml:space="preserve"> per cent </w:t>
      </w:r>
      <w:r w:rsidR="00C12E2C" w:rsidRPr="005A3AFE">
        <w:t>of the international graduate cohort.</w:t>
      </w:r>
      <w:r w:rsidR="00044175" w:rsidRPr="00044175">
        <w:rPr>
          <w:noProof/>
        </w:rPr>
        <w:t xml:space="preserve"> </w:t>
      </w:r>
    </w:p>
    <w:p w14:paraId="71E99527" w14:textId="4216A457" w:rsidR="00DD49F3" w:rsidRDefault="00937DE6" w:rsidP="004B0E69">
      <w:pPr>
        <w:pStyle w:val="Infographictitle"/>
      </w:pPr>
      <w:bookmarkStart w:id="203" w:name="_Toc244083900"/>
      <w:r>
        <w:t xml:space="preserve">Infographic </w:t>
      </w:r>
      <w:r w:rsidR="008522DF">
        <w:t>4</w:t>
      </w:r>
      <w:r>
        <w:t>: Top 5 source countries by study level</w:t>
      </w:r>
      <w:bookmarkEnd w:id="203"/>
    </w:p>
    <w:p w14:paraId="215B49D7" w14:textId="53902045" w:rsidR="007E361D" w:rsidRDefault="00AA0B58" w:rsidP="002F2F86">
      <w:pPr>
        <w:pStyle w:val="Body"/>
        <w:sectPr w:rsidR="007E361D" w:rsidSect="00A11753">
          <w:footerReference w:type="default" r:id="rId79"/>
          <w:pgSz w:w="16840" w:h="11900" w:orient="landscape"/>
          <w:pgMar w:top="709" w:right="284" w:bottom="709" w:left="284" w:header="397" w:footer="397" w:gutter="0"/>
          <w:cols w:space="708"/>
          <w:docGrid w:linePitch="360"/>
        </w:sectPr>
      </w:pPr>
      <w:r w:rsidRPr="00AA0B58">
        <w:rPr>
          <w:noProof/>
        </w:rPr>
        <w:drawing>
          <wp:inline distT="0" distB="0" distL="0" distR="0" wp14:anchorId="32072E0E" wp14:editId="62E864EA">
            <wp:extent cx="10296000" cy="5428938"/>
            <wp:effectExtent l="0" t="0" r="0" b="635"/>
            <wp:docPr id="1245346735" name="Picture 1" descr="Stacked horizontal bar chart showing the top five source countries by study level.&#10;&#10;Undergraduate: China (excludes SARs and Taiwan), 17.3%; Nepal, 11.5%; India, 8.3%; Vietnam, 5.3%; Indonesia, 4.8%.&#10;&#10;Postgraduate coursework: China (excludes SARs and Taiwan), 21.3%; Nepal, 4.6%; India, 17.7%; Indonesia, 3.8%; Hong Kong (SAR of China), 2.9%.&#10;&#10;Postgraduate research: China (excludes SARs and Taiwan), 11.5%; India, 8.2%; Vietnam, 5.3%; Sri Lanka, 6.6%; Bangladesh,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46735" name="Picture 1" descr="Stacked horizontal bar chart showing the top five source countries by study level.&#10;&#10;Undergraduate: China (excludes SARs and Taiwan), 17.3%; Nepal, 11.5%; India, 8.3%; Vietnam, 5.3%; Indonesia, 4.8%.&#10;&#10;Postgraduate coursework: China (excludes SARs and Taiwan), 21.3%; Nepal, 4.6%; India, 17.7%; Indonesia, 3.8%; Hong Kong (SAR of China), 2.9%.&#10;&#10;Postgraduate research: China (excludes SARs and Taiwan), 11.5%; India, 8.2%; Vietnam, 5.3%; Sri Lanka, 6.6%; Bangladesh, 5.6%."/>
                    <pic:cNvPicPr/>
                  </pic:nvPicPr>
                  <pic:blipFill>
                    <a:blip r:embed="rId80"/>
                    <a:stretch>
                      <a:fillRect/>
                    </a:stretch>
                  </pic:blipFill>
                  <pic:spPr>
                    <a:xfrm>
                      <a:off x="0" y="0"/>
                      <a:ext cx="10296000" cy="5428938"/>
                    </a:xfrm>
                    <a:prstGeom prst="rect">
                      <a:avLst/>
                    </a:prstGeom>
                  </pic:spPr>
                </pic:pic>
              </a:graphicData>
            </a:graphic>
          </wp:inline>
        </w:drawing>
      </w:r>
    </w:p>
    <w:p w14:paraId="1BD3C1EA" w14:textId="4C93A0B8" w:rsidR="00177A30" w:rsidRPr="005A3AFE" w:rsidRDefault="006C042D" w:rsidP="00D61F66">
      <w:pPr>
        <w:pStyle w:val="Heading2"/>
        <w:rPr>
          <w:lang w:val="en-GB"/>
        </w:rPr>
      </w:pPr>
      <w:bookmarkStart w:id="204" w:name="_Toc243492351"/>
      <w:bookmarkEnd w:id="198"/>
      <w:r w:rsidRPr="005A3AFE">
        <w:rPr>
          <w:lang w:val="en-GB"/>
        </w:rPr>
        <w:lastRenderedPageBreak/>
        <w:t>Comparative outcomes: international and domestic graduates</w:t>
      </w:r>
      <w:bookmarkEnd w:id="204"/>
    </w:p>
    <w:p w14:paraId="3E1785CC" w14:textId="4D5FEC60" w:rsidR="00E6385C" w:rsidRPr="005A3AFE" w:rsidRDefault="004174AC" w:rsidP="00B40E8D">
      <w:pPr>
        <w:spacing w:before="120" w:after="120" w:line="300" w:lineRule="auto"/>
        <w:rPr>
          <w:rFonts w:eastAsia="Times New Roman" w:cs="Times New Roman"/>
          <w:szCs w:val="20"/>
        </w:rPr>
      </w:pPr>
      <w:r w:rsidRPr="005A3AFE">
        <w:rPr>
          <w:rFonts w:eastAsia="Times New Roman" w:cs="Times New Roman"/>
          <w:szCs w:val="20"/>
        </w:rPr>
        <w:t>Short-term empl</w:t>
      </w:r>
      <w:r w:rsidR="00831EC6" w:rsidRPr="005A3AFE">
        <w:rPr>
          <w:rFonts w:eastAsia="Times New Roman" w:cs="Times New Roman"/>
          <w:szCs w:val="20"/>
        </w:rPr>
        <w:t>oyment outcomes for international graduates are typically lower than for domestic graduates, and these trends continued for the 2023</w:t>
      </w:r>
      <w:r w:rsidR="00886C60" w:rsidRPr="00886C60">
        <w:rPr>
          <w:rFonts w:eastAsia="Times New Roman" w:cs="Times New Roman"/>
          <w:szCs w:val="20"/>
        </w:rPr>
        <w:t>–</w:t>
      </w:r>
      <w:r w:rsidR="00831EC6" w:rsidRPr="005A3AFE">
        <w:rPr>
          <w:rFonts w:eastAsia="Times New Roman" w:cs="Times New Roman"/>
          <w:szCs w:val="20"/>
        </w:rPr>
        <w:t xml:space="preserve">2026 cohort. </w:t>
      </w:r>
      <w:r w:rsidR="00DA1917" w:rsidRPr="005A3AFE">
        <w:rPr>
          <w:rFonts w:eastAsia="Times New Roman" w:cs="Times New Roman"/>
          <w:szCs w:val="20"/>
        </w:rPr>
        <w:t xml:space="preserve">While employment rates for international graduates </w:t>
      </w:r>
      <w:r w:rsidR="006E4BED" w:rsidRPr="005A3AFE">
        <w:rPr>
          <w:rFonts w:eastAsia="Times New Roman" w:cs="Times New Roman"/>
          <w:szCs w:val="20"/>
        </w:rPr>
        <w:t>increased</w:t>
      </w:r>
      <w:r w:rsidR="00EB5603" w:rsidRPr="005A3AFE">
        <w:rPr>
          <w:rFonts w:eastAsia="Times New Roman" w:cs="Times New Roman"/>
          <w:szCs w:val="20"/>
        </w:rPr>
        <w:t xml:space="preserve"> 3 years later, </w:t>
      </w:r>
      <w:r w:rsidR="006B3125">
        <w:rPr>
          <w:rFonts w:eastAsia="Times New Roman" w:cs="Times New Roman"/>
          <w:szCs w:val="20"/>
        </w:rPr>
        <w:t>differences</w:t>
      </w:r>
      <w:r w:rsidR="006B3125" w:rsidRPr="005A3AFE">
        <w:rPr>
          <w:rFonts w:eastAsia="Times New Roman" w:cs="Times New Roman"/>
          <w:szCs w:val="20"/>
        </w:rPr>
        <w:t xml:space="preserve"> </w:t>
      </w:r>
      <w:r w:rsidR="00EB5603" w:rsidRPr="005A3AFE">
        <w:rPr>
          <w:rFonts w:eastAsia="Times New Roman" w:cs="Times New Roman"/>
          <w:szCs w:val="20"/>
        </w:rPr>
        <w:t xml:space="preserve">in full-time employment and median salary </w:t>
      </w:r>
      <w:r w:rsidR="006B3125">
        <w:rPr>
          <w:rFonts w:eastAsia="Times New Roman" w:cs="Times New Roman"/>
          <w:szCs w:val="20"/>
        </w:rPr>
        <w:t xml:space="preserve">with their domestic counterparts </w:t>
      </w:r>
      <w:r w:rsidR="00EB5603" w:rsidRPr="005A3AFE">
        <w:rPr>
          <w:rFonts w:eastAsia="Times New Roman" w:cs="Times New Roman"/>
          <w:szCs w:val="20"/>
        </w:rPr>
        <w:t>remain</w:t>
      </w:r>
      <w:r w:rsidR="006E4BED" w:rsidRPr="005A3AFE">
        <w:rPr>
          <w:rFonts w:eastAsia="Times New Roman" w:cs="Times New Roman"/>
          <w:szCs w:val="20"/>
        </w:rPr>
        <w:t>ed</w:t>
      </w:r>
      <w:r w:rsidR="00EB5603" w:rsidRPr="005A3AFE">
        <w:rPr>
          <w:rFonts w:eastAsia="Times New Roman" w:cs="Times New Roman"/>
          <w:szCs w:val="20"/>
        </w:rPr>
        <w:t>.</w:t>
      </w:r>
      <w:r w:rsidR="00E8031F" w:rsidRPr="005A3AFE">
        <w:rPr>
          <w:rFonts w:eastAsia="Times New Roman" w:cs="Times New Roman"/>
          <w:szCs w:val="20"/>
        </w:rPr>
        <w:t xml:space="preserve"> </w:t>
      </w:r>
    </w:p>
    <w:p w14:paraId="6E79401F" w14:textId="64558993" w:rsidR="00D351B7" w:rsidRPr="005A3AFE" w:rsidRDefault="003C06A3" w:rsidP="003C06A3">
      <w:pPr>
        <w:pStyle w:val="Heading3"/>
      </w:pPr>
      <w:bookmarkStart w:id="205" w:name="_Toc243492352"/>
      <w:r w:rsidRPr="005A3AFE">
        <w:t>Undergraduate comparisons</w:t>
      </w:r>
      <w:bookmarkEnd w:id="205"/>
    </w:p>
    <w:p w14:paraId="6C2E4349" w14:textId="0939CD69" w:rsidR="00AE3B47" w:rsidRPr="005A3AFE" w:rsidRDefault="00AE3B47" w:rsidP="003C06A3">
      <w:pPr>
        <w:pStyle w:val="Body"/>
      </w:pPr>
      <w:r w:rsidRPr="005A3AFE">
        <w:t>International undergraduates reported lower overall employment</w:t>
      </w:r>
      <w:r w:rsidR="00AD3093" w:rsidRPr="005A3AFE">
        <w:t xml:space="preserve"> (a difference of </w:t>
      </w:r>
      <w:r w:rsidR="008F1B6C" w:rsidRPr="005A3AFE">
        <w:t>14.1 per</w:t>
      </w:r>
      <w:r w:rsidR="00FF36A4" w:rsidRPr="005A3AFE">
        <w:t>centage points</w:t>
      </w:r>
      <w:r w:rsidR="008F1B6C" w:rsidRPr="005A3AFE">
        <w:t>)</w:t>
      </w:r>
      <w:r w:rsidRPr="005A3AFE">
        <w:t xml:space="preserve"> and full-time employment rates</w:t>
      </w:r>
      <w:r w:rsidR="008F1B6C" w:rsidRPr="005A3AFE">
        <w:t xml:space="preserve"> (</w:t>
      </w:r>
      <w:r w:rsidR="00DB2B9F" w:rsidRPr="005A3AFE">
        <w:t>a difference of 17.7 percent</w:t>
      </w:r>
      <w:r w:rsidR="00FF36A4" w:rsidRPr="005A3AFE">
        <w:t>age points</w:t>
      </w:r>
      <w:r w:rsidR="00DB2B9F" w:rsidRPr="005A3AFE">
        <w:t>)</w:t>
      </w:r>
      <w:r w:rsidRPr="005A3AFE">
        <w:t xml:space="preserve"> in the short-term</w:t>
      </w:r>
      <w:r w:rsidR="00320D73">
        <w:t xml:space="preserve"> compared to their domestic counterparts.</w:t>
      </w:r>
      <w:r w:rsidR="00AD3093" w:rsidRPr="005A3AFE">
        <w:t xml:space="preserve"> </w:t>
      </w:r>
      <w:r w:rsidR="00320D73">
        <w:t xml:space="preserve">These differences </w:t>
      </w:r>
      <w:r w:rsidR="00AD3093" w:rsidRPr="005A3AFE">
        <w:t xml:space="preserve">narrow </w:t>
      </w:r>
      <w:r w:rsidR="00DB2B9F" w:rsidRPr="005A3AFE">
        <w:t>in the medium-term</w:t>
      </w:r>
      <w:r w:rsidR="00802074" w:rsidRPr="005A3AFE">
        <w:t xml:space="preserve"> (a difference of 5.5</w:t>
      </w:r>
      <w:r w:rsidR="00FF36A4" w:rsidRPr="005A3AFE">
        <w:t xml:space="preserve"> percentage points</w:t>
      </w:r>
      <w:r w:rsidR="00802074" w:rsidRPr="005A3AFE">
        <w:t xml:space="preserve"> for overall employment and </w:t>
      </w:r>
      <w:r w:rsidR="00593A46" w:rsidRPr="005A3AFE">
        <w:t xml:space="preserve">7.7 </w:t>
      </w:r>
      <w:r w:rsidR="00320D73" w:rsidRPr="005A3AFE">
        <w:t xml:space="preserve">percentage points </w:t>
      </w:r>
      <w:r w:rsidR="00593A46" w:rsidRPr="005A3AFE">
        <w:t>for full-time employment)</w:t>
      </w:r>
      <w:r w:rsidR="00B15125" w:rsidRPr="005A3AFE">
        <w:t xml:space="preserve"> as international graduate</w:t>
      </w:r>
      <w:r w:rsidR="003A367C" w:rsidRPr="005A3AFE">
        <w:t xml:space="preserve"> employment</w:t>
      </w:r>
      <w:r w:rsidR="00B15125" w:rsidRPr="005A3AFE">
        <w:t xml:space="preserve"> rates increased at a higher rate than for domestic undergraduates (</w:t>
      </w:r>
      <w:r w:rsidR="00B32D7D" w:rsidRPr="005A3AFE">
        <w:rPr>
          <w:b/>
        </w:rPr>
        <w:fldChar w:fldCharType="begin"/>
      </w:r>
      <w:r w:rsidR="00B32D7D" w:rsidRPr="005A3AFE">
        <w:rPr>
          <w:b/>
          <w:bCs/>
        </w:rPr>
        <w:instrText xml:space="preserve"> REF _Ref204593973 \h  \* MERGEFORMAT</w:instrText>
      </w:r>
      <w:r w:rsidR="00B32D7D" w:rsidRPr="005A3AFE">
        <w:rPr>
          <w:b/>
        </w:rPr>
        <w:instrText xml:space="preserve"> </w:instrText>
      </w:r>
      <w:r w:rsidR="00B32D7D" w:rsidRPr="005A3AFE">
        <w:rPr>
          <w:b/>
        </w:rPr>
      </w:r>
      <w:r w:rsidR="00B32D7D" w:rsidRPr="005A3AFE">
        <w:rPr>
          <w:b/>
        </w:rPr>
        <w:fldChar w:fldCharType="separate"/>
      </w:r>
      <w:r w:rsidR="00487685" w:rsidRPr="0036340F">
        <w:rPr>
          <w:b/>
        </w:rPr>
        <w:t>Table 7</w:t>
      </w:r>
      <w:r w:rsidR="00B32D7D" w:rsidRPr="005A3AFE">
        <w:rPr>
          <w:b/>
        </w:rPr>
        <w:fldChar w:fldCharType="end"/>
      </w:r>
      <w:r w:rsidR="00B15125" w:rsidRPr="005A3AFE">
        <w:t xml:space="preserve">). </w:t>
      </w:r>
    </w:p>
    <w:p w14:paraId="59DD5048" w14:textId="0ED0709C" w:rsidR="00BB00E4" w:rsidRPr="005A3AFE" w:rsidRDefault="006978EC" w:rsidP="003C06A3">
      <w:pPr>
        <w:pStyle w:val="Body"/>
      </w:pPr>
      <w:r w:rsidRPr="005A3AFE">
        <w:t>As opposed to</w:t>
      </w:r>
      <w:r w:rsidR="00B95E27" w:rsidRPr="005A3AFE">
        <w:t xml:space="preserve"> employment rates, which see </w:t>
      </w:r>
      <w:r w:rsidR="00320D73">
        <w:t>differences</w:t>
      </w:r>
      <w:r w:rsidR="00320D73" w:rsidRPr="005A3AFE">
        <w:t xml:space="preserve"> </w:t>
      </w:r>
      <w:r w:rsidR="00B95E27" w:rsidRPr="005A3AFE">
        <w:t>decrease between domestic and international graduates in the s</w:t>
      </w:r>
      <w:r w:rsidR="00612E2F" w:rsidRPr="005A3AFE">
        <w:t>hort- to</w:t>
      </w:r>
      <w:r w:rsidR="00B95E27" w:rsidRPr="005A3AFE">
        <w:t xml:space="preserve"> medium-term, </w:t>
      </w:r>
      <w:r w:rsidR="00320D73">
        <w:t>differences</w:t>
      </w:r>
      <w:r w:rsidR="00320D73" w:rsidRPr="005A3AFE">
        <w:t xml:space="preserve"> </w:t>
      </w:r>
      <w:r w:rsidR="00B95E27" w:rsidRPr="005A3AFE">
        <w:t>in reported median salaries between domestic and international graduates increase</w:t>
      </w:r>
      <w:r w:rsidR="00673001" w:rsidRPr="005A3AFE">
        <w:t>d</w:t>
      </w:r>
      <w:r w:rsidR="00B95E27" w:rsidRPr="005A3AFE">
        <w:t xml:space="preserve"> in the medium-term. </w:t>
      </w:r>
      <w:r w:rsidR="002A621E" w:rsidRPr="002D7262">
        <w:rPr>
          <w:spacing w:val="-4"/>
        </w:rPr>
        <w:t xml:space="preserve">In the short-term international undergraduates reported </w:t>
      </w:r>
      <w:r w:rsidR="000F08E3" w:rsidRPr="002D7262">
        <w:rPr>
          <w:spacing w:val="-4"/>
        </w:rPr>
        <w:t xml:space="preserve">median salaries which were $5,400 below reported median salaries for domestic undergraduates. In the medium-term, this </w:t>
      </w:r>
      <w:r w:rsidR="006B45D1" w:rsidRPr="002D7262">
        <w:rPr>
          <w:spacing w:val="-4"/>
        </w:rPr>
        <w:t>difference</w:t>
      </w:r>
      <w:r w:rsidR="000F08E3" w:rsidRPr="002D7262">
        <w:rPr>
          <w:spacing w:val="-4"/>
        </w:rPr>
        <w:t xml:space="preserve"> increased to $8,500</w:t>
      </w:r>
      <w:r w:rsidR="005C4CDC" w:rsidRPr="002D7262">
        <w:rPr>
          <w:spacing w:val="-4"/>
        </w:rPr>
        <w:t>.</w:t>
      </w:r>
    </w:p>
    <w:p w14:paraId="7CDCE3E0" w14:textId="789D0993" w:rsidR="0094339F" w:rsidRPr="005A3AFE" w:rsidRDefault="006D357D" w:rsidP="00373D3A">
      <w:pPr>
        <w:pStyle w:val="Body"/>
        <w:spacing w:after="240"/>
      </w:pPr>
      <w:r w:rsidRPr="005A3AFE">
        <w:t xml:space="preserve">Approximately </w:t>
      </w:r>
      <w:r w:rsidR="00D92BFE" w:rsidRPr="005A3AFE">
        <w:t>one</w:t>
      </w:r>
      <w:r w:rsidRPr="005A3AFE">
        <w:t xml:space="preserve"> in </w:t>
      </w:r>
      <w:r w:rsidR="00D92BFE" w:rsidRPr="005A3AFE">
        <w:t>four</w:t>
      </w:r>
      <w:r w:rsidRPr="005A3AFE">
        <w:t xml:space="preserve"> international undergraduates </w:t>
      </w:r>
      <w:r w:rsidR="001110D5" w:rsidRPr="005A3AFE">
        <w:t>were underemployed in 202</w:t>
      </w:r>
      <w:r w:rsidR="00867D7A" w:rsidRPr="005A3AFE">
        <w:t>3</w:t>
      </w:r>
      <w:r w:rsidR="00145A05" w:rsidRPr="005A3AFE">
        <w:t xml:space="preserve">, much higher </w:t>
      </w:r>
      <w:r w:rsidR="005142F7" w:rsidRPr="005A3AFE">
        <w:t xml:space="preserve">than </w:t>
      </w:r>
      <w:r w:rsidR="00145A05" w:rsidRPr="005A3AFE">
        <w:t>th</w:t>
      </w:r>
      <w:r w:rsidR="00F3610F" w:rsidRPr="005A3AFE">
        <w:t xml:space="preserve">e proportion </w:t>
      </w:r>
      <w:r w:rsidR="00202B78" w:rsidRPr="005A3AFE">
        <w:t>of domestic undergraduates</w:t>
      </w:r>
      <w:r w:rsidR="00F3610F" w:rsidRPr="005A3AFE">
        <w:t xml:space="preserve"> who were underemployed</w:t>
      </w:r>
      <w:r w:rsidR="00202B78" w:rsidRPr="005A3AFE">
        <w:t xml:space="preserve"> (1</w:t>
      </w:r>
      <w:r w:rsidR="00867D7A" w:rsidRPr="005A3AFE">
        <w:t>4</w:t>
      </w:r>
      <w:r w:rsidR="00202B78" w:rsidRPr="005A3AFE">
        <w:t>.</w:t>
      </w:r>
      <w:r w:rsidR="00867D7A" w:rsidRPr="005A3AFE">
        <w:t>4</w:t>
      </w:r>
      <w:r w:rsidR="00202B78" w:rsidRPr="005A3AFE">
        <w:t xml:space="preserve"> per cent)</w:t>
      </w:r>
      <w:r w:rsidR="00CC6035" w:rsidRPr="005A3AFE">
        <w:t xml:space="preserve"> in the short-term</w:t>
      </w:r>
      <w:r w:rsidR="00202B78" w:rsidRPr="005A3AFE">
        <w:t>.</w:t>
      </w:r>
      <w:r w:rsidR="0094339F" w:rsidRPr="005A3AFE">
        <w:t xml:space="preserve"> </w:t>
      </w:r>
      <w:r w:rsidR="00581E3A" w:rsidRPr="005A3AFE">
        <w:t>In the medium-term</w:t>
      </w:r>
      <w:r w:rsidR="00920A86" w:rsidRPr="005A3AFE">
        <w:t xml:space="preserve">, the proportion of international undergraduates who were underemployed </w:t>
      </w:r>
      <w:r w:rsidR="0021417B" w:rsidRPr="005A3AFE">
        <w:t>dropped to 10.2 per cent</w:t>
      </w:r>
      <w:r w:rsidR="00347719" w:rsidRPr="005A3AFE">
        <w:t xml:space="preserve">, compared to 7.5 per cent for domestic undergraduates. These </w:t>
      </w:r>
      <w:r w:rsidR="00C73F6C" w:rsidRPr="005A3AFE">
        <w:t xml:space="preserve">findings indicate that international undergraduates </w:t>
      </w:r>
      <w:r w:rsidR="00521991" w:rsidRPr="005A3AFE">
        <w:t>take longer to obtain full-time hours, despite their preference to do so.</w:t>
      </w:r>
    </w:p>
    <w:p w14:paraId="690FE106" w14:textId="4F1085B6" w:rsidR="009B7379" w:rsidRPr="008B2985" w:rsidRDefault="00290AB6" w:rsidP="008B2985">
      <w:pPr>
        <w:pStyle w:val="Caption"/>
      </w:pPr>
      <w:bookmarkStart w:id="206" w:name="_Ref204598934"/>
      <w:bookmarkStart w:id="207" w:name="_Ref204593973"/>
      <w:bookmarkStart w:id="208" w:name="_Toc243492099"/>
      <w:r w:rsidRPr="008B2985">
        <w:t>Table</w:t>
      </w:r>
      <w:bookmarkEnd w:id="206"/>
      <w:r w:rsidRPr="008B2985">
        <w:t xml:space="preserve"> </w:t>
      </w:r>
      <w:fldSimple w:instr=" SEQ Table \* ARABIC ">
        <w:r w:rsidR="00C4459D" w:rsidRPr="008B2985">
          <w:t>7</w:t>
        </w:r>
      </w:fldSimple>
      <w:bookmarkEnd w:id="207"/>
      <w:r w:rsidR="00EB29BD" w:rsidRPr="008B2985">
        <w:tab/>
      </w:r>
      <w:r w:rsidRPr="008B2985">
        <w:t>Undergraduate short- and medium-term outcome</w:t>
      </w:r>
      <w:r w:rsidR="005E4F5F" w:rsidRPr="008B2985">
        <w:t>s</w:t>
      </w:r>
      <w:r w:rsidR="00414FE3" w:rsidRPr="008B2985">
        <w:t xml:space="preserve"> comparison:</w:t>
      </w:r>
      <w:r w:rsidRPr="008B2985">
        <w:t xml:space="preserve"> international and domestic</w:t>
      </w:r>
      <w:r w:rsidR="008B2985" w:rsidRPr="008B2985">
        <w:t> </w:t>
      </w:r>
      <w:r w:rsidRPr="008B2985">
        <w:t>graduates</w:t>
      </w:r>
      <w:bookmarkEnd w:id="208"/>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849"/>
        <w:gridCol w:w="1850"/>
        <w:gridCol w:w="1850"/>
        <w:gridCol w:w="1850"/>
      </w:tblGrid>
      <w:tr w:rsidR="00832EE8" w:rsidRPr="005A3AFE" w14:paraId="44B6D67A" w14:textId="77777777" w:rsidTr="00A55102">
        <w:trPr>
          <w:trHeight w:val="1134"/>
        </w:trPr>
        <w:tc>
          <w:tcPr>
            <w:tcW w:w="2830" w:type="dxa"/>
            <w:hideMark/>
          </w:tcPr>
          <w:p w14:paraId="43F1543F" w14:textId="2689412E" w:rsidR="00832EE8" w:rsidRPr="00A55102" w:rsidRDefault="00A55102" w:rsidP="00A55102">
            <w:pPr>
              <w:keepNext/>
              <w:spacing w:before="240" w:after="60"/>
              <w:ind w:left="28" w:right="28"/>
              <w:rPr>
                <w:rFonts w:eastAsia="Times New Roman" w:cs="Arial"/>
                <w:b/>
                <w:bCs/>
                <w:szCs w:val="20"/>
                <w:lang w:eastAsia="en-AU"/>
              </w:rPr>
            </w:pPr>
            <w:r w:rsidRPr="00A55102">
              <w:rPr>
                <w:rFonts w:eastAsia="Times New Roman" w:cs="Arial"/>
                <w:b/>
                <w:bCs/>
                <w:szCs w:val="20"/>
                <w:lang w:eastAsia="en-AU"/>
              </w:rPr>
              <w:t>Category</w:t>
            </w:r>
          </w:p>
        </w:tc>
        <w:tc>
          <w:tcPr>
            <w:tcW w:w="1849" w:type="dxa"/>
            <w:noWrap/>
            <w:vAlign w:val="center"/>
            <w:hideMark/>
          </w:tcPr>
          <w:p w14:paraId="03A7BF20" w14:textId="77777777" w:rsidR="00832EE8" w:rsidRDefault="00832EE8" w:rsidP="00A55102">
            <w:pPr>
              <w:keepNext/>
              <w:spacing w:before="60" w:after="60"/>
              <w:ind w:left="227" w:right="28"/>
              <w:rPr>
                <w:rFonts w:eastAsia="Times New Roman" w:cs="Arial"/>
                <w:bCs/>
                <w:color w:val="000000"/>
                <w:szCs w:val="20"/>
                <w:lang w:eastAsia="en-AU"/>
              </w:rPr>
            </w:pPr>
            <w:r w:rsidRPr="002D7262">
              <w:rPr>
                <w:rFonts w:eastAsia="Times New Roman" w:cs="Arial"/>
                <w:b/>
                <w:color w:val="000000"/>
                <w:szCs w:val="20"/>
                <w:lang w:eastAsia="en-AU"/>
              </w:rPr>
              <w:t>Short-term (</w:t>
            </w:r>
            <w:r w:rsidRPr="002D7262">
              <w:rPr>
                <w:rFonts w:eastAsia="Times New Roman" w:cs="Arial"/>
                <w:b/>
                <w:bCs/>
                <w:color w:val="000000"/>
                <w:szCs w:val="20"/>
                <w:lang w:eastAsia="en-AU"/>
              </w:rPr>
              <w:t>2023</w:t>
            </w:r>
            <w:r w:rsidRPr="002D7262">
              <w:rPr>
                <w:rFonts w:eastAsia="Times New Roman" w:cs="Arial"/>
                <w:b/>
                <w:color w:val="000000"/>
                <w:szCs w:val="20"/>
                <w:lang w:eastAsia="en-AU"/>
              </w:rPr>
              <w:t>)</w:t>
            </w:r>
            <w:r>
              <w:rPr>
                <w:rFonts w:eastAsia="Times New Roman" w:cs="Arial"/>
                <w:bCs/>
                <w:color w:val="000000"/>
                <w:szCs w:val="20"/>
                <w:lang w:eastAsia="en-AU"/>
              </w:rPr>
              <w:t xml:space="preserve">: </w:t>
            </w:r>
          </w:p>
          <w:p w14:paraId="2DF28D44" w14:textId="173C697E" w:rsidR="00832EE8" w:rsidRPr="002D7262" w:rsidRDefault="00832EE8" w:rsidP="00A55102">
            <w:pPr>
              <w:keepNext/>
              <w:spacing w:before="60" w:after="60"/>
              <w:ind w:left="227" w:right="28"/>
              <w:rPr>
                <w:rFonts w:eastAsia="Times New Roman" w:cs="Arial"/>
                <w:b/>
                <w:color w:val="000000"/>
                <w:szCs w:val="20"/>
                <w:lang w:eastAsia="en-AU"/>
              </w:rPr>
            </w:pPr>
            <w:r w:rsidRPr="00832EE8">
              <w:rPr>
                <w:rFonts w:eastAsia="Times New Roman" w:cs="Arial"/>
                <w:bCs/>
                <w:color w:val="000000"/>
                <w:szCs w:val="20"/>
                <w:lang w:eastAsia="en-AU"/>
              </w:rPr>
              <w:t>Domestic</w:t>
            </w:r>
          </w:p>
        </w:tc>
        <w:tc>
          <w:tcPr>
            <w:tcW w:w="1850" w:type="dxa"/>
            <w:vAlign w:val="center"/>
          </w:tcPr>
          <w:p w14:paraId="61EE8A4C" w14:textId="77777777" w:rsidR="00832EE8" w:rsidRDefault="00832EE8" w:rsidP="00A55102">
            <w:pPr>
              <w:keepNext/>
              <w:spacing w:before="60" w:after="60"/>
              <w:ind w:left="227" w:right="28"/>
              <w:rPr>
                <w:rFonts w:eastAsia="Times New Roman" w:cs="Arial"/>
                <w:bCs/>
                <w:color w:val="000000"/>
                <w:szCs w:val="20"/>
                <w:lang w:eastAsia="en-AU"/>
              </w:rPr>
            </w:pPr>
            <w:r w:rsidRPr="002D7262">
              <w:rPr>
                <w:rFonts w:eastAsia="Times New Roman" w:cs="Arial"/>
                <w:b/>
                <w:color w:val="000000"/>
                <w:szCs w:val="20"/>
                <w:lang w:eastAsia="en-AU"/>
              </w:rPr>
              <w:t>Short-term (</w:t>
            </w:r>
            <w:r w:rsidRPr="002D7262">
              <w:rPr>
                <w:rFonts w:eastAsia="Times New Roman" w:cs="Arial"/>
                <w:b/>
                <w:bCs/>
                <w:color w:val="000000"/>
                <w:szCs w:val="20"/>
                <w:lang w:eastAsia="en-AU"/>
              </w:rPr>
              <w:t>2023</w:t>
            </w:r>
            <w:r w:rsidRPr="002D7262">
              <w:rPr>
                <w:rFonts w:eastAsia="Times New Roman" w:cs="Arial"/>
                <w:b/>
                <w:color w:val="000000"/>
                <w:szCs w:val="20"/>
                <w:lang w:eastAsia="en-AU"/>
              </w:rPr>
              <w:t>)</w:t>
            </w:r>
            <w:r>
              <w:rPr>
                <w:rFonts w:eastAsia="Times New Roman" w:cs="Arial"/>
                <w:bCs/>
                <w:color w:val="000000"/>
                <w:szCs w:val="20"/>
                <w:lang w:eastAsia="en-AU"/>
              </w:rPr>
              <w:t xml:space="preserve">: </w:t>
            </w:r>
          </w:p>
          <w:p w14:paraId="1C39CF07" w14:textId="6ECDA2E1" w:rsidR="00832EE8" w:rsidRPr="002D7262" w:rsidRDefault="00832EE8" w:rsidP="00A55102">
            <w:pPr>
              <w:keepNext/>
              <w:spacing w:before="60" w:after="60"/>
              <w:ind w:left="227" w:right="28"/>
              <w:rPr>
                <w:rFonts w:eastAsia="Times New Roman" w:cs="Arial"/>
                <w:b/>
                <w:color w:val="000000"/>
                <w:szCs w:val="20"/>
                <w:lang w:eastAsia="en-AU"/>
              </w:rPr>
            </w:pPr>
            <w:r w:rsidRPr="00832EE8">
              <w:rPr>
                <w:rFonts w:eastAsia="Times New Roman" w:cs="Arial"/>
                <w:bCs/>
                <w:color w:val="000000"/>
                <w:szCs w:val="20"/>
                <w:lang w:eastAsia="en-AU"/>
              </w:rPr>
              <w:t>International</w:t>
            </w:r>
          </w:p>
        </w:tc>
        <w:tc>
          <w:tcPr>
            <w:tcW w:w="1850" w:type="dxa"/>
            <w:noWrap/>
            <w:vAlign w:val="center"/>
            <w:hideMark/>
          </w:tcPr>
          <w:p w14:paraId="3EA7EC04" w14:textId="77777777" w:rsidR="00832EE8" w:rsidRDefault="00832EE8" w:rsidP="00A55102">
            <w:pPr>
              <w:keepNext/>
              <w:spacing w:before="60" w:after="60"/>
              <w:ind w:left="227" w:right="28"/>
              <w:rPr>
                <w:rFonts w:eastAsia="Times New Roman" w:cs="Arial"/>
                <w:bCs/>
                <w:color w:val="000000"/>
                <w:szCs w:val="20"/>
                <w:lang w:eastAsia="en-AU"/>
              </w:rPr>
            </w:pPr>
            <w:r w:rsidRPr="002D7262">
              <w:rPr>
                <w:rFonts w:eastAsia="Times New Roman" w:cs="Arial"/>
                <w:b/>
                <w:color w:val="000000"/>
                <w:szCs w:val="20"/>
                <w:lang w:eastAsia="en-AU"/>
              </w:rPr>
              <w:t>Medium-term (</w:t>
            </w:r>
            <w:r w:rsidRPr="002D7262">
              <w:rPr>
                <w:rFonts w:eastAsia="Times New Roman" w:cs="Arial"/>
                <w:b/>
                <w:bCs/>
                <w:color w:val="000000"/>
                <w:szCs w:val="20"/>
                <w:lang w:eastAsia="en-AU"/>
              </w:rPr>
              <w:t>2026</w:t>
            </w:r>
            <w:r w:rsidRPr="002D7262">
              <w:rPr>
                <w:rFonts w:eastAsia="Times New Roman" w:cs="Arial"/>
                <w:b/>
                <w:color w:val="000000"/>
                <w:szCs w:val="20"/>
                <w:lang w:eastAsia="en-AU"/>
              </w:rPr>
              <w:t>)</w:t>
            </w:r>
            <w:r>
              <w:rPr>
                <w:rFonts w:eastAsia="Times New Roman" w:cs="Arial"/>
                <w:bCs/>
                <w:color w:val="000000"/>
                <w:szCs w:val="20"/>
                <w:lang w:eastAsia="en-AU"/>
              </w:rPr>
              <w:t xml:space="preserve">: </w:t>
            </w:r>
          </w:p>
          <w:p w14:paraId="01B3B05C" w14:textId="555BD284" w:rsidR="00832EE8" w:rsidRPr="002D7262" w:rsidRDefault="00832EE8" w:rsidP="00A55102">
            <w:pPr>
              <w:keepNext/>
              <w:spacing w:before="60" w:after="60"/>
              <w:ind w:left="227" w:right="28"/>
              <w:rPr>
                <w:rFonts w:eastAsia="Times New Roman" w:cs="Arial"/>
                <w:b/>
                <w:color w:val="000000"/>
                <w:szCs w:val="20"/>
                <w:lang w:eastAsia="en-AU"/>
              </w:rPr>
            </w:pPr>
            <w:r w:rsidRPr="00832EE8">
              <w:rPr>
                <w:rFonts w:eastAsia="Times New Roman" w:cs="Arial"/>
                <w:bCs/>
                <w:color w:val="000000"/>
                <w:szCs w:val="20"/>
                <w:lang w:eastAsia="en-AU"/>
              </w:rPr>
              <w:t>Domestic</w:t>
            </w:r>
          </w:p>
        </w:tc>
        <w:tc>
          <w:tcPr>
            <w:tcW w:w="1850" w:type="dxa"/>
            <w:vAlign w:val="center"/>
          </w:tcPr>
          <w:p w14:paraId="2F09CBEF" w14:textId="77777777" w:rsidR="00832EE8" w:rsidRDefault="00832EE8" w:rsidP="00A55102">
            <w:pPr>
              <w:keepNext/>
              <w:spacing w:before="60" w:after="60"/>
              <w:ind w:left="227" w:right="28"/>
              <w:rPr>
                <w:rFonts w:eastAsia="Times New Roman" w:cs="Arial"/>
                <w:bCs/>
                <w:color w:val="000000"/>
                <w:szCs w:val="20"/>
                <w:lang w:eastAsia="en-AU"/>
              </w:rPr>
            </w:pPr>
            <w:r w:rsidRPr="002D7262">
              <w:rPr>
                <w:rFonts w:eastAsia="Times New Roman" w:cs="Arial"/>
                <w:b/>
                <w:color w:val="000000"/>
                <w:szCs w:val="20"/>
                <w:lang w:eastAsia="en-AU"/>
              </w:rPr>
              <w:t>Medium-term (</w:t>
            </w:r>
            <w:r w:rsidRPr="002D7262">
              <w:rPr>
                <w:rFonts w:eastAsia="Times New Roman" w:cs="Arial"/>
                <w:b/>
                <w:bCs/>
                <w:color w:val="000000"/>
                <w:szCs w:val="20"/>
                <w:lang w:eastAsia="en-AU"/>
              </w:rPr>
              <w:t>2026</w:t>
            </w:r>
            <w:r w:rsidRPr="002D7262">
              <w:rPr>
                <w:rFonts w:eastAsia="Times New Roman" w:cs="Arial"/>
                <w:b/>
                <w:color w:val="000000"/>
                <w:szCs w:val="20"/>
                <w:lang w:eastAsia="en-AU"/>
              </w:rPr>
              <w:t>)</w:t>
            </w:r>
            <w:r>
              <w:rPr>
                <w:rFonts w:eastAsia="Times New Roman" w:cs="Arial"/>
                <w:bCs/>
                <w:color w:val="000000"/>
                <w:szCs w:val="20"/>
                <w:lang w:eastAsia="en-AU"/>
              </w:rPr>
              <w:t xml:space="preserve">: </w:t>
            </w:r>
          </w:p>
          <w:p w14:paraId="70C806B9" w14:textId="4B163C08" w:rsidR="00832EE8" w:rsidRPr="002D7262" w:rsidRDefault="00832EE8" w:rsidP="00A55102">
            <w:pPr>
              <w:keepNext/>
              <w:spacing w:before="60" w:after="60"/>
              <w:ind w:left="227" w:right="28"/>
              <w:rPr>
                <w:rFonts w:eastAsia="Times New Roman" w:cs="Arial"/>
                <w:b/>
                <w:color w:val="000000"/>
                <w:szCs w:val="20"/>
                <w:lang w:eastAsia="en-AU"/>
              </w:rPr>
            </w:pPr>
            <w:r w:rsidRPr="00832EE8">
              <w:rPr>
                <w:rFonts w:eastAsia="Times New Roman" w:cs="Arial"/>
                <w:bCs/>
                <w:color w:val="000000"/>
                <w:szCs w:val="20"/>
                <w:lang w:eastAsia="en-AU"/>
              </w:rPr>
              <w:t>International</w:t>
            </w:r>
          </w:p>
        </w:tc>
      </w:tr>
      <w:tr w:rsidR="00185F19" w:rsidRPr="005A3AFE" w14:paraId="4285827D" w14:textId="77777777" w:rsidTr="00832EE8">
        <w:trPr>
          <w:trHeight w:val="340"/>
        </w:trPr>
        <w:tc>
          <w:tcPr>
            <w:tcW w:w="2830" w:type="dxa"/>
            <w:vAlign w:val="center"/>
            <w:hideMark/>
          </w:tcPr>
          <w:p w14:paraId="29B55D81" w14:textId="131D8DA5" w:rsidR="00547D84" w:rsidRPr="00832EE8" w:rsidRDefault="00547D84"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val="en-GB" w:eastAsia="en-AU"/>
              </w:rPr>
              <w:t>Full-time employment rate</w:t>
            </w:r>
            <w:r w:rsidR="00832EE8">
              <w:rPr>
                <w:rFonts w:eastAsia="Times New Roman" w:cs="Arial"/>
                <w:bCs/>
                <w:color w:val="000000"/>
                <w:szCs w:val="20"/>
                <w:lang w:val="en-GB" w:eastAsia="en-AU"/>
              </w:rPr>
              <w:t> </w:t>
            </w:r>
            <w:r w:rsidRPr="00832EE8">
              <w:rPr>
                <w:rFonts w:eastAsia="Times New Roman" w:cs="Arial"/>
                <w:bCs/>
                <w:color w:val="000000"/>
                <w:szCs w:val="20"/>
                <w:lang w:val="en-GB" w:eastAsia="en-AU"/>
              </w:rPr>
              <w:t>(%)</w:t>
            </w:r>
            <w:r w:rsidR="00A100E6" w:rsidRPr="00832EE8">
              <w:rPr>
                <w:rFonts w:cs="Arial"/>
                <w:bCs/>
                <w:szCs w:val="20"/>
                <w:vertAlign w:val="superscript"/>
              </w:rPr>
              <w:t>‡</w:t>
            </w:r>
          </w:p>
        </w:tc>
        <w:tc>
          <w:tcPr>
            <w:tcW w:w="1849" w:type="dxa"/>
            <w:noWrap/>
            <w:vAlign w:val="center"/>
            <w:hideMark/>
          </w:tcPr>
          <w:p w14:paraId="2DD0F05C" w14:textId="16843BEE" w:rsidR="00547D84"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80.2</w:t>
            </w:r>
          </w:p>
        </w:tc>
        <w:tc>
          <w:tcPr>
            <w:tcW w:w="1850" w:type="dxa"/>
            <w:noWrap/>
            <w:vAlign w:val="center"/>
            <w:hideMark/>
          </w:tcPr>
          <w:p w14:paraId="43A1D2BD" w14:textId="7F0E2108" w:rsidR="00547D84"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62</w:t>
            </w:r>
            <w:r w:rsidR="00547D84" w:rsidRPr="002D7262">
              <w:rPr>
                <w:rFonts w:cs="Arial"/>
                <w:color w:val="3A3A3A"/>
                <w:szCs w:val="20"/>
              </w:rPr>
              <w:t>.5</w:t>
            </w:r>
          </w:p>
        </w:tc>
        <w:tc>
          <w:tcPr>
            <w:tcW w:w="1850" w:type="dxa"/>
            <w:noWrap/>
            <w:vAlign w:val="center"/>
            <w:hideMark/>
          </w:tcPr>
          <w:p w14:paraId="321E63EB" w14:textId="02F67DC0" w:rsidR="00547D84" w:rsidRPr="002D7262" w:rsidRDefault="00547D84"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91.</w:t>
            </w:r>
            <w:r w:rsidR="00A04B7D" w:rsidRPr="002D7262">
              <w:rPr>
                <w:rFonts w:cs="Arial"/>
                <w:color w:val="3A3A3A"/>
                <w:szCs w:val="20"/>
              </w:rPr>
              <w:t>8</w:t>
            </w:r>
          </w:p>
        </w:tc>
        <w:tc>
          <w:tcPr>
            <w:tcW w:w="1850" w:type="dxa"/>
            <w:noWrap/>
            <w:vAlign w:val="center"/>
            <w:hideMark/>
          </w:tcPr>
          <w:p w14:paraId="52EBFE3E" w14:textId="3174E22D" w:rsidR="00547D84" w:rsidRPr="002D7262" w:rsidRDefault="00547D84"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84.</w:t>
            </w:r>
            <w:r w:rsidR="00A04B7D" w:rsidRPr="002D7262">
              <w:rPr>
                <w:rFonts w:cs="Arial"/>
                <w:color w:val="3A3A3A"/>
                <w:szCs w:val="20"/>
              </w:rPr>
              <w:t>1</w:t>
            </w:r>
          </w:p>
        </w:tc>
      </w:tr>
      <w:tr w:rsidR="004B1F40" w:rsidRPr="005A3AFE" w14:paraId="58806E5A" w14:textId="77777777" w:rsidTr="00832EE8">
        <w:trPr>
          <w:trHeight w:val="340"/>
        </w:trPr>
        <w:tc>
          <w:tcPr>
            <w:tcW w:w="2830" w:type="dxa"/>
            <w:vAlign w:val="center"/>
            <w:hideMark/>
          </w:tcPr>
          <w:p w14:paraId="66579773" w14:textId="160177E3" w:rsidR="00997187" w:rsidRPr="00832EE8" w:rsidRDefault="00997187"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val="en-GB" w:eastAsia="en-AU"/>
              </w:rPr>
              <w:t>Overall employment rate</w:t>
            </w:r>
            <w:r w:rsidR="00832EE8">
              <w:rPr>
                <w:rFonts w:eastAsia="Times New Roman" w:cs="Arial"/>
                <w:bCs/>
                <w:color w:val="000000"/>
                <w:szCs w:val="20"/>
                <w:lang w:val="en-GB" w:eastAsia="en-AU"/>
              </w:rPr>
              <w:t> </w:t>
            </w:r>
            <w:r w:rsidRPr="00832EE8">
              <w:rPr>
                <w:rFonts w:eastAsia="Times New Roman" w:cs="Arial"/>
                <w:bCs/>
                <w:color w:val="000000"/>
                <w:szCs w:val="20"/>
                <w:lang w:val="en-GB" w:eastAsia="en-AU"/>
              </w:rPr>
              <w:t>(%)</w:t>
            </w:r>
            <w:r w:rsidR="00A100E6" w:rsidRPr="00832EE8">
              <w:rPr>
                <w:rFonts w:cs="Arial"/>
                <w:bCs/>
                <w:szCs w:val="20"/>
                <w:vertAlign w:val="superscript"/>
              </w:rPr>
              <w:t>‡</w:t>
            </w:r>
          </w:p>
        </w:tc>
        <w:tc>
          <w:tcPr>
            <w:tcW w:w="1849" w:type="dxa"/>
            <w:noWrap/>
            <w:vAlign w:val="center"/>
            <w:hideMark/>
          </w:tcPr>
          <w:p w14:paraId="4959F4D0" w14:textId="5B96849A"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90.0</w:t>
            </w:r>
          </w:p>
        </w:tc>
        <w:tc>
          <w:tcPr>
            <w:tcW w:w="1850" w:type="dxa"/>
            <w:noWrap/>
            <w:vAlign w:val="center"/>
            <w:hideMark/>
          </w:tcPr>
          <w:p w14:paraId="1B11A7D5" w14:textId="544C280E"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75.9</w:t>
            </w:r>
          </w:p>
        </w:tc>
        <w:tc>
          <w:tcPr>
            <w:tcW w:w="1850" w:type="dxa"/>
            <w:noWrap/>
            <w:vAlign w:val="center"/>
            <w:hideMark/>
          </w:tcPr>
          <w:p w14:paraId="0F6048CF" w14:textId="17F44684" w:rsidR="00997187" w:rsidRPr="002D7262" w:rsidRDefault="00997187"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94.6</w:t>
            </w:r>
          </w:p>
        </w:tc>
        <w:tc>
          <w:tcPr>
            <w:tcW w:w="1850" w:type="dxa"/>
            <w:noWrap/>
            <w:vAlign w:val="center"/>
            <w:hideMark/>
          </w:tcPr>
          <w:p w14:paraId="7BD5EA0A" w14:textId="2B9610C0" w:rsidR="00997187" w:rsidRPr="002D7262" w:rsidRDefault="00997187"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89.</w:t>
            </w:r>
            <w:r w:rsidR="00A04B7D" w:rsidRPr="002D7262">
              <w:rPr>
                <w:rFonts w:cs="Arial"/>
                <w:color w:val="3A3A3A"/>
                <w:szCs w:val="20"/>
              </w:rPr>
              <w:t>1</w:t>
            </w:r>
          </w:p>
        </w:tc>
      </w:tr>
      <w:tr w:rsidR="004B1F40" w:rsidRPr="005A3AFE" w14:paraId="7A4E7C6F" w14:textId="77777777" w:rsidTr="00832EE8">
        <w:trPr>
          <w:trHeight w:val="340"/>
        </w:trPr>
        <w:tc>
          <w:tcPr>
            <w:tcW w:w="2830" w:type="dxa"/>
            <w:vAlign w:val="center"/>
            <w:hideMark/>
          </w:tcPr>
          <w:p w14:paraId="59779ABB" w14:textId="26F40237" w:rsidR="00997187" w:rsidRPr="00832EE8" w:rsidRDefault="00997187"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val="en-GB" w:eastAsia="en-AU"/>
              </w:rPr>
              <w:t>Labour force participation rate (%)</w:t>
            </w:r>
            <w:r w:rsidR="00A100E6" w:rsidRPr="00832EE8">
              <w:rPr>
                <w:rFonts w:cs="Arial"/>
                <w:bCs/>
                <w:szCs w:val="20"/>
                <w:vertAlign w:val="superscript"/>
              </w:rPr>
              <w:t>‡</w:t>
            </w:r>
          </w:p>
        </w:tc>
        <w:tc>
          <w:tcPr>
            <w:tcW w:w="1849" w:type="dxa"/>
            <w:noWrap/>
            <w:vAlign w:val="center"/>
            <w:hideMark/>
          </w:tcPr>
          <w:p w14:paraId="5C77CBED" w14:textId="6D0DD787"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93.0</w:t>
            </w:r>
          </w:p>
        </w:tc>
        <w:tc>
          <w:tcPr>
            <w:tcW w:w="1850" w:type="dxa"/>
            <w:noWrap/>
            <w:vAlign w:val="center"/>
            <w:hideMark/>
          </w:tcPr>
          <w:p w14:paraId="7AD734B0" w14:textId="250DA603"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89.3</w:t>
            </w:r>
          </w:p>
        </w:tc>
        <w:tc>
          <w:tcPr>
            <w:tcW w:w="1850" w:type="dxa"/>
            <w:noWrap/>
            <w:vAlign w:val="center"/>
            <w:hideMark/>
          </w:tcPr>
          <w:p w14:paraId="2D0D2BDD" w14:textId="1898CFE0"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89.9</w:t>
            </w:r>
          </w:p>
        </w:tc>
        <w:tc>
          <w:tcPr>
            <w:tcW w:w="1850" w:type="dxa"/>
            <w:noWrap/>
            <w:vAlign w:val="center"/>
            <w:hideMark/>
          </w:tcPr>
          <w:p w14:paraId="6D5894B9" w14:textId="6E3A5153"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88.4</w:t>
            </w:r>
          </w:p>
        </w:tc>
      </w:tr>
      <w:tr w:rsidR="004B1F40" w:rsidRPr="005A3AFE" w14:paraId="65BF32B6" w14:textId="77777777" w:rsidTr="00832EE8">
        <w:trPr>
          <w:trHeight w:val="340"/>
        </w:trPr>
        <w:tc>
          <w:tcPr>
            <w:tcW w:w="2830" w:type="dxa"/>
            <w:vAlign w:val="center"/>
            <w:hideMark/>
          </w:tcPr>
          <w:p w14:paraId="04F5D3F8" w14:textId="44A05FF1" w:rsidR="00997187" w:rsidRPr="00832EE8" w:rsidRDefault="00997187"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eastAsia="en-AU"/>
              </w:rPr>
              <w:t>Median annual full-time salary ($)</w:t>
            </w:r>
          </w:p>
        </w:tc>
        <w:tc>
          <w:tcPr>
            <w:tcW w:w="1849" w:type="dxa"/>
            <w:noWrap/>
            <w:vAlign w:val="center"/>
            <w:hideMark/>
          </w:tcPr>
          <w:p w14:paraId="65D17415" w14:textId="6C2B1E4C"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71,400</w:t>
            </w:r>
          </w:p>
        </w:tc>
        <w:tc>
          <w:tcPr>
            <w:tcW w:w="1850" w:type="dxa"/>
            <w:noWrap/>
            <w:vAlign w:val="center"/>
            <w:hideMark/>
          </w:tcPr>
          <w:p w14:paraId="2F5F432A" w14:textId="335F08E7"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66</w:t>
            </w:r>
            <w:r w:rsidR="00997187" w:rsidRPr="002D7262">
              <w:rPr>
                <w:rFonts w:cs="Arial"/>
                <w:color w:val="3A3A3A"/>
                <w:szCs w:val="20"/>
              </w:rPr>
              <w:t>,000</w:t>
            </w:r>
          </w:p>
        </w:tc>
        <w:tc>
          <w:tcPr>
            <w:tcW w:w="1850" w:type="dxa"/>
            <w:noWrap/>
            <w:vAlign w:val="center"/>
            <w:hideMark/>
          </w:tcPr>
          <w:p w14:paraId="74A06D8F" w14:textId="426C3F5C"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93,500</w:t>
            </w:r>
          </w:p>
        </w:tc>
        <w:tc>
          <w:tcPr>
            <w:tcW w:w="1850" w:type="dxa"/>
            <w:noWrap/>
            <w:vAlign w:val="center"/>
            <w:hideMark/>
          </w:tcPr>
          <w:p w14:paraId="4997F5D8" w14:textId="775A4DD5" w:rsidR="00997187" w:rsidRPr="002D7262" w:rsidRDefault="00A04B7D" w:rsidP="00832EE8">
            <w:pPr>
              <w:keepNext/>
              <w:spacing w:before="120" w:after="120"/>
              <w:ind w:left="28" w:right="28"/>
              <w:jc w:val="center"/>
              <w:rPr>
                <w:rFonts w:eastAsia="Times New Roman" w:cs="Arial"/>
                <w:color w:val="000000"/>
                <w:szCs w:val="20"/>
                <w:lang w:eastAsia="en-AU"/>
              </w:rPr>
            </w:pPr>
            <w:r w:rsidRPr="002D7262">
              <w:rPr>
                <w:rFonts w:cs="Arial"/>
                <w:color w:val="3A3A3A"/>
                <w:szCs w:val="20"/>
              </w:rPr>
              <w:t>85,000</w:t>
            </w:r>
          </w:p>
        </w:tc>
      </w:tr>
      <w:tr w:rsidR="00C86366" w:rsidRPr="005A3AFE" w14:paraId="286FAEA3" w14:textId="77777777" w:rsidTr="00832EE8">
        <w:trPr>
          <w:trHeight w:val="340"/>
        </w:trPr>
        <w:tc>
          <w:tcPr>
            <w:tcW w:w="2830" w:type="dxa"/>
            <w:vAlign w:val="center"/>
          </w:tcPr>
          <w:p w14:paraId="734F28A2" w14:textId="68B12A9F" w:rsidR="00997187" w:rsidRPr="00832EE8" w:rsidRDefault="00997187"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eastAsia="en-AU"/>
              </w:rPr>
              <w:t>Underemployment rate (%)</w:t>
            </w:r>
          </w:p>
        </w:tc>
        <w:tc>
          <w:tcPr>
            <w:tcW w:w="1849" w:type="dxa"/>
            <w:noWrap/>
            <w:vAlign w:val="center"/>
          </w:tcPr>
          <w:p w14:paraId="3ED6B2BB" w14:textId="38DDD2B6" w:rsidR="00997187" w:rsidRPr="002D7262" w:rsidRDefault="00725025" w:rsidP="00832EE8">
            <w:pPr>
              <w:keepNext/>
              <w:spacing w:before="120" w:after="120"/>
              <w:ind w:left="28" w:right="28"/>
              <w:jc w:val="center"/>
              <w:rPr>
                <w:rFonts w:cs="Arial"/>
                <w:color w:val="000000"/>
                <w:szCs w:val="20"/>
              </w:rPr>
            </w:pPr>
            <w:r w:rsidRPr="002D7262">
              <w:rPr>
                <w:rFonts w:cs="Arial"/>
                <w:color w:val="3A3A3A"/>
                <w:szCs w:val="20"/>
              </w:rPr>
              <w:t>14.4</w:t>
            </w:r>
          </w:p>
        </w:tc>
        <w:tc>
          <w:tcPr>
            <w:tcW w:w="1850" w:type="dxa"/>
            <w:noWrap/>
            <w:vAlign w:val="center"/>
          </w:tcPr>
          <w:p w14:paraId="4D938EB8" w14:textId="02203562" w:rsidR="00997187" w:rsidRPr="002D7262" w:rsidRDefault="00725025" w:rsidP="00832EE8">
            <w:pPr>
              <w:keepNext/>
              <w:spacing w:before="120" w:after="120"/>
              <w:ind w:left="28" w:right="28"/>
              <w:jc w:val="center"/>
              <w:rPr>
                <w:rFonts w:cs="Arial"/>
                <w:color w:val="000000"/>
                <w:szCs w:val="20"/>
              </w:rPr>
            </w:pPr>
            <w:r w:rsidRPr="002D7262">
              <w:rPr>
                <w:rFonts w:cs="Arial"/>
                <w:color w:val="3A3A3A"/>
                <w:szCs w:val="20"/>
              </w:rPr>
              <w:t>23.6</w:t>
            </w:r>
          </w:p>
        </w:tc>
        <w:tc>
          <w:tcPr>
            <w:tcW w:w="1850" w:type="dxa"/>
            <w:noWrap/>
            <w:vAlign w:val="center"/>
          </w:tcPr>
          <w:p w14:paraId="30D6FA11" w14:textId="14FCC2BF" w:rsidR="00997187" w:rsidRPr="002D7262" w:rsidRDefault="00997187" w:rsidP="00832EE8">
            <w:pPr>
              <w:keepNext/>
              <w:spacing w:before="120" w:after="120"/>
              <w:ind w:left="28" w:right="28"/>
              <w:jc w:val="center"/>
              <w:rPr>
                <w:rFonts w:cs="Arial"/>
                <w:color w:val="000000"/>
                <w:szCs w:val="20"/>
              </w:rPr>
            </w:pPr>
            <w:r w:rsidRPr="002D7262">
              <w:rPr>
                <w:rFonts w:cs="Arial"/>
                <w:color w:val="3A3A3A"/>
                <w:szCs w:val="20"/>
              </w:rPr>
              <w:t>7.</w:t>
            </w:r>
            <w:r w:rsidR="00725025" w:rsidRPr="002D7262">
              <w:rPr>
                <w:rFonts w:cs="Arial"/>
                <w:color w:val="3A3A3A"/>
                <w:szCs w:val="20"/>
              </w:rPr>
              <w:t>5</w:t>
            </w:r>
          </w:p>
        </w:tc>
        <w:tc>
          <w:tcPr>
            <w:tcW w:w="1850" w:type="dxa"/>
            <w:noWrap/>
            <w:vAlign w:val="center"/>
          </w:tcPr>
          <w:p w14:paraId="4244341E" w14:textId="72D3C05F" w:rsidR="00997187" w:rsidRPr="002D7262" w:rsidRDefault="00725025" w:rsidP="00832EE8">
            <w:pPr>
              <w:keepNext/>
              <w:spacing w:before="120" w:after="120"/>
              <w:ind w:left="28" w:right="28"/>
              <w:jc w:val="center"/>
              <w:rPr>
                <w:rFonts w:cs="Arial"/>
                <w:color w:val="000000"/>
                <w:szCs w:val="20"/>
              </w:rPr>
            </w:pPr>
            <w:r w:rsidRPr="002D7262">
              <w:rPr>
                <w:rFonts w:cs="Arial"/>
                <w:color w:val="3A3A3A"/>
                <w:szCs w:val="20"/>
              </w:rPr>
              <w:t>10.2</w:t>
            </w:r>
          </w:p>
        </w:tc>
      </w:tr>
      <w:tr w:rsidR="00DC71D5" w:rsidRPr="005A3AFE" w14:paraId="3B560B0F" w14:textId="77777777" w:rsidTr="00832EE8">
        <w:trPr>
          <w:trHeight w:val="340"/>
        </w:trPr>
        <w:tc>
          <w:tcPr>
            <w:tcW w:w="2830" w:type="dxa"/>
            <w:vAlign w:val="center"/>
          </w:tcPr>
          <w:p w14:paraId="716C97D3" w14:textId="41D4A6C5" w:rsidR="00DC71D5" w:rsidRPr="00832EE8" w:rsidRDefault="00DC71D5"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eastAsia="en-AU"/>
              </w:rPr>
              <w:t xml:space="preserve">In further full-time study </w:t>
            </w:r>
            <w:r w:rsidR="00CC3860" w:rsidRPr="00832EE8">
              <w:rPr>
                <w:rFonts w:eastAsia="Times New Roman" w:cs="Arial"/>
                <w:bCs/>
                <w:color w:val="000000"/>
                <w:szCs w:val="20"/>
                <w:lang w:eastAsia="en-AU"/>
              </w:rPr>
              <w:t>(%)</w:t>
            </w:r>
          </w:p>
        </w:tc>
        <w:tc>
          <w:tcPr>
            <w:tcW w:w="1849" w:type="dxa"/>
            <w:noWrap/>
            <w:vAlign w:val="center"/>
          </w:tcPr>
          <w:p w14:paraId="6E096F36" w14:textId="497545E5" w:rsidR="00DC71D5" w:rsidRPr="002D7262" w:rsidRDefault="00DC71D5" w:rsidP="00832EE8">
            <w:pPr>
              <w:keepNext/>
              <w:spacing w:before="120" w:after="120"/>
              <w:ind w:left="28" w:right="28"/>
              <w:jc w:val="center"/>
              <w:rPr>
                <w:rFonts w:cs="Arial"/>
                <w:color w:val="3A3A3A"/>
                <w:szCs w:val="20"/>
              </w:rPr>
            </w:pPr>
            <w:r w:rsidRPr="002D7262">
              <w:rPr>
                <w:rFonts w:cs="Arial"/>
                <w:color w:val="3A3A3A"/>
                <w:szCs w:val="20"/>
              </w:rPr>
              <w:t>16.5</w:t>
            </w:r>
          </w:p>
        </w:tc>
        <w:tc>
          <w:tcPr>
            <w:tcW w:w="1850" w:type="dxa"/>
            <w:noWrap/>
            <w:vAlign w:val="center"/>
          </w:tcPr>
          <w:p w14:paraId="7AFC6AAB" w14:textId="330736DD" w:rsidR="00DC71D5" w:rsidRPr="002D7262" w:rsidRDefault="00DC71D5" w:rsidP="00832EE8">
            <w:pPr>
              <w:keepNext/>
              <w:spacing w:before="120" w:after="120"/>
              <w:ind w:left="28" w:right="28"/>
              <w:jc w:val="center"/>
              <w:rPr>
                <w:rFonts w:cs="Arial"/>
                <w:color w:val="3A3A3A"/>
                <w:szCs w:val="20"/>
              </w:rPr>
            </w:pPr>
            <w:r w:rsidRPr="002D7262">
              <w:rPr>
                <w:rFonts w:cs="Arial"/>
                <w:color w:val="3A3A3A"/>
                <w:szCs w:val="20"/>
              </w:rPr>
              <w:t>24.7</w:t>
            </w:r>
          </w:p>
        </w:tc>
        <w:tc>
          <w:tcPr>
            <w:tcW w:w="1850" w:type="dxa"/>
            <w:noWrap/>
            <w:vAlign w:val="center"/>
          </w:tcPr>
          <w:p w14:paraId="40950C4B" w14:textId="1E760578" w:rsidR="00DC71D5" w:rsidRPr="002D7262" w:rsidRDefault="00DC71D5" w:rsidP="00832EE8">
            <w:pPr>
              <w:keepNext/>
              <w:spacing w:before="120" w:after="120"/>
              <w:ind w:left="28" w:right="28"/>
              <w:jc w:val="center"/>
              <w:rPr>
                <w:rFonts w:cs="Arial"/>
                <w:color w:val="3A3A3A"/>
                <w:szCs w:val="20"/>
              </w:rPr>
            </w:pPr>
            <w:r w:rsidRPr="002D7262">
              <w:rPr>
                <w:rFonts w:cs="Arial"/>
                <w:color w:val="3A3A3A"/>
                <w:szCs w:val="20"/>
              </w:rPr>
              <w:t>13.7</w:t>
            </w:r>
          </w:p>
        </w:tc>
        <w:tc>
          <w:tcPr>
            <w:tcW w:w="1850" w:type="dxa"/>
            <w:noWrap/>
            <w:vAlign w:val="center"/>
          </w:tcPr>
          <w:p w14:paraId="310581EC" w14:textId="30BC841E" w:rsidR="00DC71D5" w:rsidRPr="002D7262" w:rsidRDefault="00DC71D5" w:rsidP="00832EE8">
            <w:pPr>
              <w:keepNext/>
              <w:spacing w:before="120" w:after="120"/>
              <w:ind w:left="28" w:right="28"/>
              <w:jc w:val="center"/>
              <w:rPr>
                <w:rFonts w:cs="Arial"/>
                <w:color w:val="3A3A3A"/>
                <w:szCs w:val="20"/>
              </w:rPr>
            </w:pPr>
            <w:r w:rsidRPr="002D7262">
              <w:rPr>
                <w:rFonts w:cs="Arial"/>
                <w:color w:val="3A3A3A"/>
                <w:szCs w:val="20"/>
              </w:rPr>
              <w:t>15.8</w:t>
            </w:r>
          </w:p>
        </w:tc>
      </w:tr>
      <w:tr w:rsidR="00A276FF" w:rsidRPr="005A3AFE" w14:paraId="358FE903" w14:textId="77777777" w:rsidTr="00832EE8">
        <w:trPr>
          <w:trHeight w:val="340"/>
        </w:trPr>
        <w:tc>
          <w:tcPr>
            <w:tcW w:w="2830" w:type="dxa"/>
            <w:vAlign w:val="center"/>
          </w:tcPr>
          <w:p w14:paraId="50C9A0BA" w14:textId="5429053C" w:rsidR="00A276FF" w:rsidRPr="00832EE8" w:rsidRDefault="00A276FF" w:rsidP="00A17D46">
            <w:pPr>
              <w:keepNext/>
              <w:spacing w:before="120" w:after="120"/>
              <w:ind w:left="113"/>
              <w:rPr>
                <w:rFonts w:eastAsia="Times New Roman" w:cs="Arial"/>
                <w:bCs/>
                <w:color w:val="000000"/>
                <w:szCs w:val="20"/>
                <w:lang w:eastAsia="en-AU"/>
              </w:rPr>
            </w:pPr>
            <w:r w:rsidRPr="00832EE8">
              <w:rPr>
                <w:rFonts w:eastAsia="Times New Roman" w:cs="Arial"/>
                <w:bCs/>
                <w:color w:val="000000"/>
                <w:szCs w:val="20"/>
                <w:lang w:eastAsia="en-AU"/>
              </w:rPr>
              <w:t>Employed in managerial or</w:t>
            </w:r>
            <w:r w:rsidR="00832EE8">
              <w:rPr>
                <w:rFonts w:eastAsia="Times New Roman" w:cs="Arial"/>
                <w:bCs/>
                <w:color w:val="000000"/>
                <w:szCs w:val="20"/>
                <w:lang w:eastAsia="en-AU"/>
              </w:rPr>
              <w:t> </w:t>
            </w:r>
            <w:r w:rsidRPr="00832EE8">
              <w:rPr>
                <w:rFonts w:eastAsia="Times New Roman" w:cs="Arial"/>
                <w:bCs/>
                <w:color w:val="000000"/>
                <w:szCs w:val="20"/>
                <w:lang w:eastAsia="en-AU"/>
              </w:rPr>
              <w:t>professional occupation (%</w:t>
            </w:r>
            <w:r w:rsidR="00832EE8">
              <w:rPr>
                <w:rFonts w:eastAsia="Times New Roman" w:cs="Arial"/>
                <w:bCs/>
                <w:color w:val="000000"/>
                <w:szCs w:val="20"/>
                <w:lang w:eastAsia="en-AU"/>
              </w:rPr>
              <w:t> </w:t>
            </w:r>
            <w:r w:rsidRPr="00832EE8">
              <w:rPr>
                <w:rFonts w:eastAsia="Times New Roman" w:cs="Arial"/>
                <w:bCs/>
                <w:color w:val="000000"/>
                <w:szCs w:val="20"/>
                <w:lang w:eastAsia="en-AU"/>
              </w:rPr>
              <w:t>of those employed full</w:t>
            </w:r>
            <w:r w:rsidR="00832EE8">
              <w:rPr>
                <w:rFonts w:eastAsia="Times New Roman" w:cs="Arial"/>
                <w:bCs/>
                <w:color w:val="000000"/>
                <w:szCs w:val="20"/>
                <w:lang w:eastAsia="en-AU"/>
              </w:rPr>
              <w:noBreakHyphen/>
            </w:r>
            <w:r w:rsidRPr="00832EE8">
              <w:rPr>
                <w:rFonts w:eastAsia="Times New Roman" w:cs="Arial"/>
                <w:bCs/>
                <w:color w:val="000000"/>
                <w:szCs w:val="20"/>
                <w:lang w:eastAsia="en-AU"/>
              </w:rPr>
              <w:t>time)</w:t>
            </w:r>
          </w:p>
        </w:tc>
        <w:tc>
          <w:tcPr>
            <w:tcW w:w="1849" w:type="dxa"/>
            <w:noWrap/>
            <w:vAlign w:val="center"/>
          </w:tcPr>
          <w:p w14:paraId="6227EFA9" w14:textId="06DE765E" w:rsidR="00A276FF" w:rsidRPr="002D7262" w:rsidRDefault="00A276FF" w:rsidP="00832EE8">
            <w:pPr>
              <w:keepNext/>
              <w:spacing w:before="120" w:after="120"/>
              <w:ind w:left="28" w:right="28"/>
              <w:jc w:val="center"/>
              <w:rPr>
                <w:rFonts w:cs="Arial"/>
                <w:color w:val="3A3A3A"/>
                <w:szCs w:val="20"/>
              </w:rPr>
            </w:pPr>
            <w:r w:rsidRPr="002D7262">
              <w:rPr>
                <w:rFonts w:cs="Arial"/>
                <w:color w:val="3A3A3A"/>
                <w:szCs w:val="20"/>
              </w:rPr>
              <w:t>70.6</w:t>
            </w:r>
          </w:p>
        </w:tc>
        <w:tc>
          <w:tcPr>
            <w:tcW w:w="1850" w:type="dxa"/>
            <w:noWrap/>
            <w:vAlign w:val="center"/>
          </w:tcPr>
          <w:p w14:paraId="31221C68" w14:textId="1F6FA2AE" w:rsidR="00A276FF" w:rsidRPr="002D7262" w:rsidRDefault="00A276FF" w:rsidP="00832EE8">
            <w:pPr>
              <w:keepNext/>
              <w:spacing w:before="120" w:after="120"/>
              <w:ind w:left="28" w:right="28"/>
              <w:jc w:val="center"/>
              <w:rPr>
                <w:rFonts w:cs="Arial"/>
                <w:color w:val="3A3A3A"/>
                <w:szCs w:val="20"/>
              </w:rPr>
            </w:pPr>
            <w:r w:rsidRPr="002D7262">
              <w:rPr>
                <w:rFonts w:cs="Arial"/>
                <w:color w:val="3A3A3A"/>
                <w:szCs w:val="20"/>
              </w:rPr>
              <w:t>64.3</w:t>
            </w:r>
          </w:p>
        </w:tc>
        <w:tc>
          <w:tcPr>
            <w:tcW w:w="1850" w:type="dxa"/>
            <w:noWrap/>
            <w:vAlign w:val="center"/>
          </w:tcPr>
          <w:p w14:paraId="04A89ED9" w14:textId="079CABAB" w:rsidR="00A276FF" w:rsidRPr="002D7262" w:rsidRDefault="00A276FF" w:rsidP="00832EE8">
            <w:pPr>
              <w:keepNext/>
              <w:spacing w:before="120" w:after="120"/>
              <w:ind w:left="28" w:right="28"/>
              <w:jc w:val="center"/>
              <w:rPr>
                <w:rFonts w:cs="Arial"/>
                <w:color w:val="3A3A3A"/>
                <w:szCs w:val="20"/>
              </w:rPr>
            </w:pPr>
            <w:r w:rsidRPr="002D7262">
              <w:rPr>
                <w:rFonts w:cs="Arial"/>
                <w:color w:val="3A3A3A"/>
                <w:szCs w:val="20"/>
              </w:rPr>
              <w:t>78.7</w:t>
            </w:r>
          </w:p>
        </w:tc>
        <w:tc>
          <w:tcPr>
            <w:tcW w:w="1850" w:type="dxa"/>
            <w:noWrap/>
            <w:vAlign w:val="center"/>
          </w:tcPr>
          <w:p w14:paraId="53E28EDF" w14:textId="20728362" w:rsidR="00A276FF" w:rsidRPr="002D7262" w:rsidRDefault="00A276FF" w:rsidP="00832EE8">
            <w:pPr>
              <w:keepNext/>
              <w:spacing w:before="120" w:after="120"/>
              <w:ind w:left="28" w:right="28"/>
              <w:jc w:val="center"/>
              <w:rPr>
                <w:rFonts w:cs="Arial"/>
                <w:color w:val="3A3A3A"/>
                <w:szCs w:val="20"/>
              </w:rPr>
            </w:pPr>
            <w:r w:rsidRPr="002D7262">
              <w:rPr>
                <w:rFonts w:cs="Arial"/>
                <w:color w:val="3A3A3A"/>
                <w:szCs w:val="20"/>
              </w:rPr>
              <w:t>77.2</w:t>
            </w:r>
          </w:p>
        </w:tc>
      </w:tr>
    </w:tbl>
    <w:p w14:paraId="5A2CC92E" w14:textId="36B10C2F" w:rsidR="00C86366" w:rsidRPr="005A3AFE" w:rsidRDefault="00C86366" w:rsidP="00832EE8">
      <w:pPr>
        <w:pStyle w:val="BaseFigureNotes"/>
        <w:spacing w:before="120" w:after="120"/>
      </w:pPr>
      <w:r w:rsidRPr="002D7262">
        <w:rPr>
          <w:b/>
          <w:bCs/>
        </w:rPr>
        <w:t>Note</w:t>
      </w:r>
      <w:r w:rsidRPr="005A3AFE">
        <w:t xml:space="preserve">: </w:t>
      </w:r>
      <w:r w:rsidR="003B02F9" w:rsidRPr="005A3AFE">
        <w:t>International graduates’ m</w:t>
      </w:r>
      <w:r w:rsidRPr="005A3AFE">
        <w:t>edian salary figures only include data for international graduates working in Australia.</w:t>
      </w:r>
    </w:p>
    <w:p w14:paraId="455BD06C" w14:textId="410D3166" w:rsidR="00A100E6" w:rsidRPr="005A3AFE" w:rsidRDefault="00A100E6" w:rsidP="00A55102">
      <w:pPr>
        <w:pStyle w:val="BaseFigureNotes"/>
      </w:pPr>
      <w:r w:rsidRPr="005A3AFE">
        <w:t>‡ Medium-term labour force participation rates, and full-time and overall employment rates from 2025 onwards are not directly comparable with earlier years due to a change to how the labour force is defined. Caution should be exercised when interpreting shifts from the short- to medium-term for the 202</w:t>
      </w:r>
      <w:r w:rsidR="00283FC4">
        <w:t>3</w:t>
      </w:r>
      <w:r w:rsidR="00886C60" w:rsidRPr="00886C60">
        <w:t>–</w:t>
      </w:r>
      <w:r w:rsidRPr="005A3AFE">
        <w:t>202</w:t>
      </w:r>
      <w:r w:rsidR="00283FC4">
        <w:t>6</w:t>
      </w:r>
      <w:r w:rsidRPr="005A3AFE">
        <w:t xml:space="preserve"> cohort, as they partly reflect the change in methodology. See </w:t>
      </w:r>
      <w:r w:rsidRPr="005A3AFE">
        <w:rPr>
          <w:b/>
          <w:bCs/>
        </w:rPr>
        <w:t>Appendix 1</w:t>
      </w:r>
      <w:r w:rsidRPr="005A3AFE">
        <w:t xml:space="preserve"> </w:t>
      </w:r>
      <w:r w:rsidR="00533682">
        <w:t xml:space="preserve">in the 2025 GOS-L National Report </w:t>
      </w:r>
      <w:r w:rsidRPr="005A3AFE">
        <w:t>for further information.</w:t>
      </w:r>
    </w:p>
    <w:p w14:paraId="165208B9" w14:textId="5CEDB2D5" w:rsidR="00FA626F" w:rsidRPr="005A3AFE" w:rsidRDefault="00196639" w:rsidP="003911AC">
      <w:pPr>
        <w:pStyle w:val="Heading3"/>
      </w:pPr>
      <w:bookmarkStart w:id="209" w:name="_Toc243492353"/>
      <w:r w:rsidRPr="005A3AFE">
        <w:lastRenderedPageBreak/>
        <w:t>Postgraduate coursework comparisons</w:t>
      </w:r>
      <w:bookmarkEnd w:id="209"/>
    </w:p>
    <w:p w14:paraId="09AA297A" w14:textId="6C7B6F59" w:rsidR="007A41BE" w:rsidRPr="005A3AFE" w:rsidRDefault="00610FAD" w:rsidP="004C3F33">
      <w:pPr>
        <w:spacing w:before="120" w:after="120" w:line="300" w:lineRule="auto"/>
      </w:pPr>
      <w:r w:rsidRPr="005A3AFE">
        <w:t xml:space="preserve">Differences in postgraduate coursework employment </w:t>
      </w:r>
      <w:r w:rsidR="00320D73">
        <w:t xml:space="preserve">outcomes </w:t>
      </w:r>
      <w:r w:rsidRPr="005A3AFE">
        <w:t xml:space="preserve">were similar to the undergraduate level, but were more pronounced. </w:t>
      </w:r>
      <w:r w:rsidR="007A41BE" w:rsidRPr="005A3AFE">
        <w:t>International postgraduate coursework graduates reported lower rates of</w:t>
      </w:r>
      <w:r w:rsidR="00DD7FBC" w:rsidRPr="005A3AFE">
        <w:t xml:space="preserve"> full-time employment in the short-term compared to domestic </w:t>
      </w:r>
      <w:r w:rsidRPr="005A3AFE">
        <w:t>graduates (a difference of 23.1 percent</w:t>
      </w:r>
      <w:r w:rsidR="00DD0123" w:rsidRPr="005A3AFE">
        <w:t>age points</w:t>
      </w:r>
      <w:r w:rsidRPr="005A3AFE">
        <w:t xml:space="preserve">). </w:t>
      </w:r>
      <w:r w:rsidR="00BB189E" w:rsidRPr="005A3AFE">
        <w:t>In the medium-term, this difference decrease</w:t>
      </w:r>
      <w:r w:rsidR="00C72BAA" w:rsidRPr="005A3AFE">
        <w:t>d</w:t>
      </w:r>
      <w:r w:rsidR="00BB189E" w:rsidRPr="005A3AFE">
        <w:t xml:space="preserve"> to 7.6 percent</w:t>
      </w:r>
      <w:r w:rsidR="00DD0123" w:rsidRPr="005A3AFE">
        <w:t>age points</w:t>
      </w:r>
      <w:r w:rsidR="00BB189E" w:rsidRPr="005A3AFE">
        <w:t>.</w:t>
      </w:r>
    </w:p>
    <w:p w14:paraId="4F610CF4" w14:textId="4C0E9A7D" w:rsidR="00BB189E" w:rsidRPr="005A3AFE" w:rsidRDefault="007659BE" w:rsidP="004C3F33">
      <w:pPr>
        <w:spacing w:before="120" w:after="120" w:line="300" w:lineRule="auto"/>
      </w:pPr>
      <w:r w:rsidRPr="005A3AFE">
        <w:t>Consistent with previous years, there were large differences in reported median salary for domestic and international cohorts</w:t>
      </w:r>
      <w:r w:rsidR="004C3F33" w:rsidRPr="005A3AFE">
        <w:t xml:space="preserve"> at the postgraduate coursework level</w:t>
      </w:r>
      <w:r w:rsidR="0045431B" w:rsidRPr="005A3AFE">
        <w:t>, and these salary differences remained over time, with international postgraduate coursework graduates reporting median salaries $31,000 less than their domestic counterparts in the short-term and $34,000 less in the medium-term.</w:t>
      </w:r>
    </w:p>
    <w:p w14:paraId="0806D356" w14:textId="511FB20D" w:rsidR="004C3F33" w:rsidRPr="005A3AFE" w:rsidRDefault="00062914" w:rsidP="004C3F33">
      <w:pPr>
        <w:spacing w:before="120" w:after="120" w:line="300" w:lineRule="auto"/>
        <w:rPr>
          <w:rFonts w:eastAsia="Times New Roman" w:cs="Times New Roman"/>
          <w:szCs w:val="20"/>
        </w:rPr>
      </w:pPr>
      <w:r w:rsidRPr="005A3AFE">
        <w:t>The larger differences in employment and salary outcomes between domestic and international</w:t>
      </w:r>
      <w:r w:rsidRPr="005A3AFE">
        <w:rPr>
          <w:rFonts w:eastAsia="Times New Roman" w:cs="Times New Roman"/>
          <w:szCs w:val="20"/>
        </w:rPr>
        <w:t xml:space="preserve"> postgraduate coursework </w:t>
      </w:r>
      <w:r w:rsidRPr="005A3AFE">
        <w:t>cohorts may partly be attributed to differences in profile</w:t>
      </w:r>
      <w:r w:rsidR="00E707EC" w:rsidRPr="005A3AFE">
        <w:t xml:space="preserve"> between domestic and international graduates</w:t>
      </w:r>
      <w:r w:rsidR="009E41DC" w:rsidRPr="005A3AFE">
        <w:t xml:space="preserve"> at this level</w:t>
      </w:r>
      <w:r w:rsidR="00021092" w:rsidRPr="005A3AFE">
        <w:t xml:space="preserve"> (see </w:t>
      </w:r>
      <w:r w:rsidR="00905143" w:rsidRPr="005A3AFE">
        <w:rPr>
          <w:u w:val="single"/>
        </w:rPr>
        <w:fldChar w:fldCharType="begin"/>
      </w:r>
      <w:r w:rsidR="00905143" w:rsidRPr="005A3AFE">
        <w:rPr>
          <w:u w:val="single"/>
        </w:rPr>
        <w:instrText xml:space="preserve"> REF _Ref229664078 \h  \* MERGEFORMAT </w:instrText>
      </w:r>
      <w:r w:rsidR="00905143" w:rsidRPr="005A3AFE">
        <w:rPr>
          <w:u w:val="single"/>
        </w:rPr>
      </w:r>
      <w:r w:rsidR="00905143" w:rsidRPr="005A3AFE">
        <w:rPr>
          <w:u w:val="single"/>
        </w:rPr>
        <w:fldChar w:fldCharType="separate"/>
      </w:r>
      <w:r w:rsidR="00905143" w:rsidRPr="005A3AFE">
        <w:rPr>
          <w:u w:val="single"/>
        </w:rPr>
        <w:t>International graduate profile</w:t>
      </w:r>
      <w:r w:rsidR="00905143" w:rsidRPr="005A3AFE">
        <w:t>)</w:t>
      </w:r>
      <w:r w:rsidR="00905143" w:rsidRPr="005A3AFE">
        <w:rPr>
          <w:u w:val="single"/>
        </w:rPr>
        <w:fldChar w:fldCharType="end"/>
      </w:r>
      <w:r w:rsidRPr="005A3AFE">
        <w:t>. T</w:t>
      </w:r>
      <w:r w:rsidR="004C3F33" w:rsidRPr="005A3AFE">
        <w:rPr>
          <w:rFonts w:eastAsia="Times New Roman" w:cs="Times New Roman"/>
          <w:szCs w:val="20"/>
        </w:rPr>
        <w:t xml:space="preserve">he domestic cohort of </w:t>
      </w:r>
      <w:r w:rsidR="00905143" w:rsidRPr="005A3AFE">
        <w:rPr>
          <w:rFonts w:eastAsia="Times New Roman" w:cs="Times New Roman"/>
          <w:szCs w:val="20"/>
        </w:rPr>
        <w:t xml:space="preserve">postgraduate coursework </w:t>
      </w:r>
      <w:r w:rsidR="004C3F33" w:rsidRPr="005A3AFE">
        <w:rPr>
          <w:rFonts w:eastAsia="Times New Roman" w:cs="Times New Roman"/>
          <w:szCs w:val="20"/>
        </w:rPr>
        <w:t>graduates is older and</w:t>
      </w:r>
      <w:r w:rsidR="00905143" w:rsidRPr="005A3AFE">
        <w:rPr>
          <w:rFonts w:eastAsia="Times New Roman" w:cs="Times New Roman"/>
          <w:szCs w:val="20"/>
        </w:rPr>
        <w:t xml:space="preserve"> more likely to</w:t>
      </w:r>
      <w:r w:rsidR="004C3F33" w:rsidRPr="005A3AFE">
        <w:rPr>
          <w:rFonts w:eastAsia="Times New Roman" w:cs="Times New Roman"/>
          <w:szCs w:val="20"/>
        </w:rPr>
        <w:t xml:space="preserve"> have established themselves in the</w:t>
      </w:r>
      <w:r w:rsidR="008B3F70" w:rsidRPr="005A3AFE">
        <w:rPr>
          <w:rFonts w:eastAsia="Times New Roman" w:cs="Times New Roman"/>
          <w:szCs w:val="20"/>
        </w:rPr>
        <w:t xml:space="preserve"> </w:t>
      </w:r>
      <w:r w:rsidR="004C3F33" w:rsidRPr="005A3AFE">
        <w:rPr>
          <w:rFonts w:eastAsia="Times New Roman" w:cs="Times New Roman"/>
          <w:szCs w:val="20"/>
        </w:rPr>
        <w:t>workforce before or during their studies.</w:t>
      </w:r>
      <w:r w:rsidR="00587D4A" w:rsidRPr="005A3AFE">
        <w:rPr>
          <w:rFonts w:eastAsia="Times New Roman" w:cs="Times New Roman"/>
          <w:szCs w:val="20"/>
        </w:rPr>
        <w:t xml:space="preserve"> </w:t>
      </w:r>
    </w:p>
    <w:p w14:paraId="4713C333" w14:textId="76FF9619" w:rsidR="00062914" w:rsidRPr="005A3AFE" w:rsidRDefault="00062914" w:rsidP="004C3F33">
      <w:pPr>
        <w:spacing w:before="120" w:after="120" w:line="300" w:lineRule="auto"/>
        <w:rPr>
          <w:rFonts w:eastAsia="Times New Roman" w:cs="Times New Roman"/>
          <w:szCs w:val="20"/>
        </w:rPr>
      </w:pPr>
      <w:r w:rsidRPr="005A3AFE">
        <w:rPr>
          <w:rFonts w:eastAsia="Times New Roman" w:cs="Times New Roman"/>
          <w:szCs w:val="20"/>
        </w:rPr>
        <w:t xml:space="preserve">Notably, international postgraduate coursework graduates </w:t>
      </w:r>
      <w:r w:rsidR="00D873F5" w:rsidRPr="005A3AFE">
        <w:rPr>
          <w:rFonts w:eastAsia="Times New Roman" w:cs="Times New Roman"/>
          <w:szCs w:val="20"/>
        </w:rPr>
        <w:t xml:space="preserve">were </w:t>
      </w:r>
      <w:r w:rsidR="00F53CBE" w:rsidRPr="00F53CBE">
        <w:rPr>
          <w:rFonts w:eastAsia="Times New Roman" w:cs="Times New Roman"/>
          <w:szCs w:val="20"/>
        </w:rPr>
        <w:t>around two and a half times</w:t>
      </w:r>
      <w:r w:rsidR="00D873F5" w:rsidRPr="005A3AFE">
        <w:rPr>
          <w:rFonts w:eastAsia="Times New Roman" w:cs="Times New Roman"/>
          <w:szCs w:val="20"/>
        </w:rPr>
        <w:t xml:space="preserve"> as likely to be underemployed </w:t>
      </w:r>
      <w:r w:rsidR="00247EFB">
        <w:rPr>
          <w:rFonts w:eastAsia="Times New Roman" w:cs="Times New Roman"/>
          <w:szCs w:val="20"/>
        </w:rPr>
        <w:t xml:space="preserve">in the short-term </w:t>
      </w:r>
      <w:r w:rsidR="00AB5153" w:rsidRPr="005A3AFE">
        <w:rPr>
          <w:rFonts w:eastAsia="Times New Roman" w:cs="Times New Roman"/>
          <w:szCs w:val="20"/>
        </w:rPr>
        <w:t>(</w:t>
      </w:r>
      <w:r w:rsidR="002A47AD" w:rsidRPr="005A3AFE">
        <w:rPr>
          <w:rFonts w:eastAsia="Times New Roman" w:cs="Times New Roman"/>
          <w:szCs w:val="20"/>
        </w:rPr>
        <w:t xml:space="preserve">18.9 per cent) </w:t>
      </w:r>
      <w:r w:rsidR="00D873F5" w:rsidRPr="005A3AFE">
        <w:rPr>
          <w:rFonts w:eastAsia="Times New Roman" w:cs="Times New Roman"/>
          <w:szCs w:val="20"/>
        </w:rPr>
        <w:t>compared to domestic postgraduate coursework graduates</w:t>
      </w:r>
      <w:r w:rsidR="002A47AD" w:rsidRPr="005A3AFE">
        <w:rPr>
          <w:rFonts w:eastAsia="Times New Roman" w:cs="Times New Roman"/>
          <w:szCs w:val="20"/>
        </w:rPr>
        <w:t xml:space="preserve"> (7.4 per cent)</w:t>
      </w:r>
      <w:r w:rsidR="001E3E20" w:rsidRPr="005A3AFE">
        <w:rPr>
          <w:rFonts w:eastAsia="Times New Roman" w:cs="Times New Roman"/>
          <w:szCs w:val="20"/>
        </w:rPr>
        <w:t>.</w:t>
      </w:r>
      <w:r w:rsidR="00192B41" w:rsidRPr="005A3AFE">
        <w:rPr>
          <w:rFonts w:eastAsia="Times New Roman" w:cs="Times New Roman"/>
          <w:szCs w:val="20"/>
        </w:rPr>
        <w:t xml:space="preserve"> This improves to 7.2 per cent in the medium-term</w:t>
      </w:r>
      <w:r w:rsidR="00D430B7" w:rsidRPr="005A3AFE">
        <w:rPr>
          <w:rFonts w:eastAsia="Times New Roman" w:cs="Times New Roman"/>
          <w:szCs w:val="20"/>
        </w:rPr>
        <w:t xml:space="preserve">, which is </w:t>
      </w:r>
      <w:r w:rsidR="00247EFB">
        <w:rPr>
          <w:rFonts w:eastAsia="Times New Roman" w:cs="Times New Roman"/>
          <w:szCs w:val="20"/>
        </w:rPr>
        <w:t xml:space="preserve">broadly </w:t>
      </w:r>
      <w:r w:rsidR="00D430B7" w:rsidRPr="005A3AFE">
        <w:rPr>
          <w:rFonts w:eastAsia="Times New Roman" w:cs="Times New Roman"/>
          <w:szCs w:val="20"/>
        </w:rPr>
        <w:t>comparable to medium-term outcomes for domestic undergraduates</w:t>
      </w:r>
      <w:r w:rsidR="002A47AD" w:rsidRPr="005A3AFE">
        <w:rPr>
          <w:rFonts w:eastAsia="Times New Roman" w:cs="Times New Roman"/>
          <w:szCs w:val="20"/>
        </w:rPr>
        <w:t xml:space="preserve"> (</w:t>
      </w:r>
      <w:r w:rsidR="00313996">
        <w:rPr>
          <w:rFonts w:eastAsia="Times New Roman" w:cs="Times New Roman"/>
          <w:szCs w:val="20"/>
        </w:rPr>
        <w:t>7.5</w:t>
      </w:r>
      <w:r w:rsidR="002A47AD" w:rsidRPr="005A3AFE">
        <w:rPr>
          <w:rFonts w:eastAsia="Times New Roman" w:cs="Times New Roman"/>
          <w:szCs w:val="20"/>
        </w:rPr>
        <w:t xml:space="preserve"> per cent)</w:t>
      </w:r>
      <w:r w:rsidR="00D430B7" w:rsidRPr="005A3AFE">
        <w:rPr>
          <w:rFonts w:eastAsia="Times New Roman" w:cs="Times New Roman"/>
          <w:szCs w:val="20"/>
        </w:rPr>
        <w:t xml:space="preserve">. </w:t>
      </w:r>
      <w:r w:rsidR="001E3E20" w:rsidRPr="005A3AFE">
        <w:rPr>
          <w:rFonts w:eastAsia="Times New Roman" w:cs="Times New Roman"/>
          <w:szCs w:val="20"/>
        </w:rPr>
        <w:t xml:space="preserve">This finding indicates that </w:t>
      </w:r>
      <w:r w:rsidR="00BB3A07">
        <w:rPr>
          <w:rFonts w:eastAsia="Times New Roman" w:cs="Times New Roman"/>
          <w:szCs w:val="20"/>
        </w:rPr>
        <w:t>al</w:t>
      </w:r>
      <w:r w:rsidR="001E3E20" w:rsidRPr="005A3AFE">
        <w:rPr>
          <w:rFonts w:eastAsia="Times New Roman" w:cs="Times New Roman"/>
          <w:szCs w:val="20"/>
        </w:rPr>
        <w:t xml:space="preserve">though they are highly qualified, international postgraduate coursework graduates </w:t>
      </w:r>
      <w:r w:rsidR="00BB3A07">
        <w:rPr>
          <w:rFonts w:eastAsia="Times New Roman" w:cs="Times New Roman"/>
          <w:szCs w:val="20"/>
        </w:rPr>
        <w:t xml:space="preserve">may </w:t>
      </w:r>
      <w:r w:rsidR="001E3E20" w:rsidRPr="005A3AFE">
        <w:rPr>
          <w:rFonts w:eastAsia="Times New Roman" w:cs="Times New Roman"/>
          <w:szCs w:val="20"/>
        </w:rPr>
        <w:t xml:space="preserve">find it difficult to </w:t>
      </w:r>
      <w:r w:rsidR="00BB3A07">
        <w:rPr>
          <w:rFonts w:eastAsia="Times New Roman" w:cs="Times New Roman"/>
          <w:szCs w:val="20"/>
        </w:rPr>
        <w:t>obtain a role aligned with their skills in the short-term</w:t>
      </w:r>
      <w:r w:rsidR="00D430B7" w:rsidRPr="005A3AFE">
        <w:rPr>
          <w:rFonts w:eastAsia="Times New Roman" w:cs="Times New Roman"/>
          <w:szCs w:val="20"/>
        </w:rPr>
        <w:t xml:space="preserve">, but </w:t>
      </w:r>
      <w:r w:rsidR="00BB3A07">
        <w:rPr>
          <w:rFonts w:eastAsia="Times New Roman" w:cs="Times New Roman"/>
          <w:szCs w:val="20"/>
        </w:rPr>
        <w:t xml:space="preserve">they </w:t>
      </w:r>
      <w:r w:rsidR="00154E0D" w:rsidRPr="005A3AFE">
        <w:rPr>
          <w:rFonts w:eastAsia="Times New Roman" w:cs="Times New Roman"/>
          <w:szCs w:val="20"/>
        </w:rPr>
        <w:t xml:space="preserve">are able to </w:t>
      </w:r>
      <w:r w:rsidR="00BB3A07">
        <w:rPr>
          <w:rFonts w:eastAsia="Times New Roman" w:cs="Times New Roman"/>
          <w:szCs w:val="20"/>
        </w:rPr>
        <w:t>transition to such roles</w:t>
      </w:r>
      <w:r w:rsidR="00154E0D" w:rsidRPr="005A3AFE">
        <w:rPr>
          <w:rFonts w:eastAsia="Times New Roman" w:cs="Times New Roman"/>
          <w:szCs w:val="20"/>
        </w:rPr>
        <w:t xml:space="preserve"> over time</w:t>
      </w:r>
      <w:r w:rsidR="00D430B7" w:rsidRPr="005A3AFE">
        <w:rPr>
          <w:rFonts w:eastAsia="Times New Roman" w:cs="Times New Roman"/>
          <w:szCs w:val="20"/>
        </w:rPr>
        <w:t>.</w:t>
      </w:r>
    </w:p>
    <w:p w14:paraId="7DDD5CF0" w14:textId="3BDF763B" w:rsidR="00D430B7" w:rsidRPr="005A3AFE" w:rsidRDefault="00AE797D" w:rsidP="002D7262">
      <w:pPr>
        <w:spacing w:before="120" w:after="240" w:line="300" w:lineRule="auto"/>
        <w:rPr>
          <w:rFonts w:eastAsia="Times New Roman" w:cs="Times New Roman"/>
          <w:szCs w:val="20"/>
        </w:rPr>
      </w:pPr>
      <w:r w:rsidRPr="005A3AFE">
        <w:rPr>
          <w:rFonts w:eastAsia="Times New Roman" w:cs="Times New Roman"/>
          <w:szCs w:val="20"/>
        </w:rPr>
        <w:t>I</w:t>
      </w:r>
      <w:r w:rsidR="0011689E" w:rsidRPr="005A3AFE">
        <w:rPr>
          <w:rFonts w:eastAsia="Times New Roman" w:cs="Times New Roman"/>
          <w:szCs w:val="20"/>
        </w:rPr>
        <w:t>nternational postgraduate coursework graduate median salar</w:t>
      </w:r>
      <w:r w:rsidR="00911485">
        <w:rPr>
          <w:rFonts w:eastAsia="Times New Roman" w:cs="Times New Roman"/>
          <w:szCs w:val="20"/>
        </w:rPr>
        <w:t>ies</w:t>
      </w:r>
      <w:r w:rsidR="0011689E" w:rsidRPr="005A3AFE">
        <w:rPr>
          <w:rFonts w:eastAsia="Times New Roman" w:cs="Times New Roman"/>
          <w:szCs w:val="20"/>
        </w:rPr>
        <w:t xml:space="preserve"> are comparable to international undergraduate median salaries in the short- (a difference of $1,000) and medium-term (a difference of $1,000).</w:t>
      </w:r>
      <w:r w:rsidR="003D5228" w:rsidRPr="005A3AFE">
        <w:rPr>
          <w:rFonts w:eastAsia="Times New Roman" w:cs="Times New Roman"/>
          <w:szCs w:val="20"/>
        </w:rPr>
        <w:t xml:space="preserve"> This indicate</w:t>
      </w:r>
      <w:r w:rsidR="00533682">
        <w:rPr>
          <w:rFonts w:eastAsia="Times New Roman" w:cs="Times New Roman"/>
          <w:szCs w:val="20"/>
        </w:rPr>
        <w:t>s</w:t>
      </w:r>
      <w:r w:rsidR="003D5228" w:rsidRPr="005A3AFE">
        <w:rPr>
          <w:rFonts w:eastAsia="Times New Roman" w:cs="Times New Roman"/>
          <w:szCs w:val="20"/>
        </w:rPr>
        <w:t xml:space="preserve"> that</w:t>
      </w:r>
      <w:r w:rsidR="00C01584" w:rsidRPr="005A3AFE">
        <w:rPr>
          <w:rFonts w:eastAsia="Times New Roman" w:cs="Times New Roman"/>
          <w:szCs w:val="20"/>
        </w:rPr>
        <w:t xml:space="preserve"> </w:t>
      </w:r>
      <w:r w:rsidR="00533682">
        <w:rPr>
          <w:rFonts w:eastAsia="Times New Roman" w:cs="Times New Roman"/>
          <w:szCs w:val="20"/>
        </w:rPr>
        <w:t xml:space="preserve">even 3 years after completing their course, </w:t>
      </w:r>
      <w:r w:rsidR="00E1659F" w:rsidRPr="005A3AFE">
        <w:rPr>
          <w:rFonts w:eastAsia="Times New Roman" w:cs="Times New Roman"/>
          <w:szCs w:val="20"/>
        </w:rPr>
        <w:t>international</w:t>
      </w:r>
      <w:r w:rsidR="003D5228" w:rsidRPr="005A3AFE">
        <w:rPr>
          <w:rFonts w:eastAsia="Times New Roman" w:cs="Times New Roman"/>
          <w:szCs w:val="20"/>
        </w:rPr>
        <w:t xml:space="preserve"> postgraduate </w:t>
      </w:r>
      <w:r w:rsidR="00E1659F" w:rsidRPr="005A3AFE">
        <w:rPr>
          <w:rFonts w:eastAsia="Times New Roman" w:cs="Times New Roman"/>
          <w:szCs w:val="20"/>
        </w:rPr>
        <w:t xml:space="preserve">coursework graduates </w:t>
      </w:r>
      <w:r w:rsidR="00533682">
        <w:rPr>
          <w:rFonts w:eastAsia="Times New Roman" w:cs="Times New Roman"/>
          <w:szCs w:val="20"/>
        </w:rPr>
        <w:t xml:space="preserve">are still not able to </w:t>
      </w:r>
      <w:r w:rsidR="00AD1E9C" w:rsidRPr="005A3AFE">
        <w:rPr>
          <w:rFonts w:eastAsia="Times New Roman" w:cs="Times New Roman"/>
          <w:szCs w:val="20"/>
        </w:rPr>
        <w:t xml:space="preserve">experience </w:t>
      </w:r>
      <w:r w:rsidR="00533682">
        <w:rPr>
          <w:rFonts w:eastAsia="Times New Roman" w:cs="Times New Roman"/>
          <w:szCs w:val="20"/>
        </w:rPr>
        <w:t>the improvement in outcomes that domestic graduates experience from the higher-level qualification</w:t>
      </w:r>
      <w:r w:rsidR="00AD1E9C" w:rsidRPr="005A3AFE">
        <w:rPr>
          <w:rFonts w:eastAsia="Times New Roman" w:cs="Times New Roman"/>
          <w:szCs w:val="20"/>
        </w:rPr>
        <w:t>.</w:t>
      </w:r>
    </w:p>
    <w:p w14:paraId="2732C775" w14:textId="12D5F615" w:rsidR="009B7379" w:rsidRPr="008B2985" w:rsidRDefault="00FA626F" w:rsidP="00A33BD9">
      <w:pPr>
        <w:pStyle w:val="Caption"/>
      </w:pPr>
      <w:bookmarkStart w:id="210" w:name="_Ref204597475"/>
      <w:bookmarkStart w:id="211" w:name="_Toc243492100"/>
      <w:r w:rsidRPr="008B2985">
        <w:t xml:space="preserve">Table </w:t>
      </w:r>
      <w:fldSimple w:instr=" SEQ Table \* ARABIC ">
        <w:r w:rsidR="00C4459D" w:rsidRPr="008B2985">
          <w:rPr>
            <w:noProof/>
          </w:rPr>
          <w:t>8</w:t>
        </w:r>
      </w:fldSimple>
      <w:bookmarkEnd w:id="210"/>
      <w:r w:rsidR="00EB29BD" w:rsidRPr="008B2985">
        <w:tab/>
      </w:r>
      <w:r w:rsidRPr="008B2985">
        <w:t>Postgraduate coursework short- and medium-term outcomes comparison: international and domestic graduates</w:t>
      </w:r>
      <w:bookmarkEnd w:id="211"/>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708"/>
        <w:gridCol w:w="1708"/>
        <w:gridCol w:w="1708"/>
        <w:gridCol w:w="1708"/>
      </w:tblGrid>
      <w:tr w:rsidR="00A17D46" w:rsidRPr="005A3AFE" w14:paraId="7C9686B9" w14:textId="77777777" w:rsidTr="00A55102">
        <w:trPr>
          <w:trHeight w:val="1134"/>
        </w:trPr>
        <w:tc>
          <w:tcPr>
            <w:tcW w:w="3397" w:type="dxa"/>
            <w:hideMark/>
          </w:tcPr>
          <w:p w14:paraId="45D04951" w14:textId="1BBBDC74" w:rsidR="00A17D46" w:rsidRPr="00A55102" w:rsidRDefault="00A55102" w:rsidP="00A55102">
            <w:pPr>
              <w:keepNext/>
              <w:spacing w:before="240" w:after="120"/>
              <w:ind w:left="57" w:right="57"/>
              <w:rPr>
                <w:rFonts w:eastAsia="Times New Roman" w:cs="Arial"/>
                <w:b/>
                <w:bCs/>
                <w:szCs w:val="20"/>
                <w:lang w:eastAsia="en-AU"/>
              </w:rPr>
            </w:pPr>
            <w:r w:rsidRPr="00A55102">
              <w:rPr>
                <w:rFonts w:eastAsia="Times New Roman" w:cs="Arial"/>
                <w:b/>
                <w:bCs/>
                <w:szCs w:val="20"/>
                <w:lang w:eastAsia="en-AU"/>
              </w:rPr>
              <w:t>Category</w:t>
            </w:r>
          </w:p>
        </w:tc>
        <w:tc>
          <w:tcPr>
            <w:tcW w:w="1708" w:type="dxa"/>
            <w:noWrap/>
            <w:vAlign w:val="center"/>
            <w:hideMark/>
          </w:tcPr>
          <w:p w14:paraId="194DEA92" w14:textId="305556E0" w:rsidR="00A17D46" w:rsidRPr="00A17D46" w:rsidRDefault="00A17D46" w:rsidP="007A24F8">
            <w:pPr>
              <w:keepNext/>
              <w:spacing w:before="120" w:after="120"/>
              <w:ind w:left="170" w:right="57"/>
              <w:rPr>
                <w:rFonts w:eastAsia="Times New Roman" w:cs="Arial"/>
                <w:b/>
                <w:color w:val="000000"/>
                <w:szCs w:val="20"/>
                <w:lang w:eastAsia="en-AU"/>
              </w:rPr>
            </w:pPr>
            <w:r w:rsidRPr="00A17D46">
              <w:rPr>
                <w:rFonts w:eastAsia="Times New Roman" w:cs="Arial"/>
                <w:b/>
                <w:color w:val="000000"/>
                <w:szCs w:val="20"/>
                <w:lang w:eastAsia="en-AU"/>
              </w:rPr>
              <w:t>Short-term (2023)</w:t>
            </w:r>
            <w:r>
              <w:rPr>
                <w:rFonts w:eastAsia="Times New Roman" w:cs="Arial"/>
                <w:b/>
                <w:color w:val="000000"/>
                <w:szCs w:val="20"/>
                <w:lang w:eastAsia="en-AU"/>
              </w:rPr>
              <w:t xml:space="preserve">: </w:t>
            </w:r>
            <w:r w:rsidRPr="00A17D46">
              <w:rPr>
                <w:rFonts w:eastAsia="Times New Roman" w:cs="Arial"/>
                <w:bCs/>
                <w:color w:val="000000"/>
                <w:szCs w:val="20"/>
                <w:lang w:eastAsia="en-AU"/>
              </w:rPr>
              <w:t>Domestic</w:t>
            </w:r>
          </w:p>
        </w:tc>
        <w:tc>
          <w:tcPr>
            <w:tcW w:w="1708" w:type="dxa"/>
            <w:vAlign w:val="center"/>
          </w:tcPr>
          <w:p w14:paraId="62998812" w14:textId="774C93D3" w:rsidR="00A17D46" w:rsidRPr="00A17D46" w:rsidRDefault="00A17D46" w:rsidP="007A24F8">
            <w:pPr>
              <w:keepNext/>
              <w:spacing w:before="120" w:after="120"/>
              <w:ind w:left="170" w:right="57"/>
              <w:rPr>
                <w:rFonts w:eastAsia="Times New Roman" w:cs="Arial"/>
                <w:b/>
                <w:color w:val="000000"/>
                <w:szCs w:val="20"/>
                <w:lang w:eastAsia="en-AU"/>
              </w:rPr>
            </w:pPr>
            <w:r w:rsidRPr="00A17D46">
              <w:rPr>
                <w:rFonts w:eastAsia="Times New Roman" w:cs="Arial"/>
                <w:b/>
                <w:color w:val="000000"/>
                <w:szCs w:val="20"/>
                <w:lang w:eastAsia="en-AU"/>
              </w:rPr>
              <w:t>Short-term (2023)</w:t>
            </w:r>
            <w:r>
              <w:rPr>
                <w:rFonts w:eastAsia="Times New Roman" w:cs="Arial"/>
                <w:b/>
                <w:color w:val="000000"/>
                <w:szCs w:val="20"/>
                <w:lang w:eastAsia="en-AU"/>
              </w:rPr>
              <w:t xml:space="preserve">: </w:t>
            </w:r>
            <w:r w:rsidRPr="00A17D46">
              <w:rPr>
                <w:rFonts w:eastAsia="Times New Roman" w:cs="Arial"/>
                <w:bCs/>
                <w:color w:val="000000"/>
                <w:szCs w:val="20"/>
                <w:lang w:eastAsia="en-AU"/>
              </w:rPr>
              <w:t>International</w:t>
            </w:r>
          </w:p>
        </w:tc>
        <w:tc>
          <w:tcPr>
            <w:tcW w:w="1708" w:type="dxa"/>
            <w:noWrap/>
            <w:vAlign w:val="center"/>
            <w:hideMark/>
          </w:tcPr>
          <w:p w14:paraId="15B6B22D" w14:textId="34D74EE6" w:rsidR="00A17D46" w:rsidRPr="00A17D46" w:rsidRDefault="00A17D46" w:rsidP="007A24F8">
            <w:pPr>
              <w:keepNext/>
              <w:spacing w:before="120" w:after="120"/>
              <w:ind w:left="170" w:right="57"/>
              <w:rPr>
                <w:rFonts w:eastAsia="Times New Roman" w:cs="Arial"/>
                <w:b/>
                <w:color w:val="000000"/>
                <w:szCs w:val="20"/>
                <w:lang w:eastAsia="en-AU"/>
              </w:rPr>
            </w:pPr>
            <w:r w:rsidRPr="00A17D46">
              <w:rPr>
                <w:rFonts w:eastAsia="Times New Roman" w:cs="Arial"/>
                <w:b/>
                <w:color w:val="000000"/>
                <w:szCs w:val="20"/>
                <w:lang w:eastAsia="en-AU"/>
              </w:rPr>
              <w:t>Medium-term (2026)</w:t>
            </w:r>
            <w:r>
              <w:rPr>
                <w:rFonts w:eastAsia="Times New Roman" w:cs="Arial"/>
                <w:b/>
                <w:color w:val="000000"/>
                <w:szCs w:val="20"/>
                <w:lang w:eastAsia="en-AU"/>
              </w:rPr>
              <w:t xml:space="preserve">: </w:t>
            </w:r>
            <w:r w:rsidRPr="00A17D46">
              <w:rPr>
                <w:rFonts w:eastAsia="Times New Roman" w:cs="Arial"/>
                <w:bCs/>
                <w:color w:val="000000"/>
                <w:szCs w:val="20"/>
                <w:lang w:eastAsia="en-AU"/>
              </w:rPr>
              <w:t>Domestic</w:t>
            </w:r>
          </w:p>
        </w:tc>
        <w:tc>
          <w:tcPr>
            <w:tcW w:w="1708" w:type="dxa"/>
            <w:vAlign w:val="center"/>
          </w:tcPr>
          <w:p w14:paraId="37060264" w14:textId="2D9F455A" w:rsidR="00A17D46" w:rsidRPr="00A17D46" w:rsidRDefault="00A17D46" w:rsidP="007A24F8">
            <w:pPr>
              <w:keepNext/>
              <w:spacing w:before="120" w:after="120"/>
              <w:ind w:left="170" w:right="57"/>
              <w:rPr>
                <w:rFonts w:eastAsia="Times New Roman" w:cs="Arial"/>
                <w:b/>
                <w:color w:val="000000"/>
                <w:szCs w:val="20"/>
                <w:lang w:eastAsia="en-AU"/>
              </w:rPr>
            </w:pPr>
            <w:r w:rsidRPr="00A17D46">
              <w:rPr>
                <w:rFonts w:eastAsia="Times New Roman" w:cs="Arial"/>
                <w:b/>
                <w:color w:val="000000"/>
                <w:szCs w:val="20"/>
                <w:lang w:eastAsia="en-AU"/>
              </w:rPr>
              <w:t>Medium-term (2026)</w:t>
            </w:r>
            <w:r>
              <w:rPr>
                <w:rFonts w:eastAsia="Times New Roman" w:cs="Arial"/>
                <w:b/>
                <w:color w:val="000000"/>
                <w:szCs w:val="20"/>
                <w:lang w:eastAsia="en-AU"/>
              </w:rPr>
              <w:t xml:space="preserve">: </w:t>
            </w:r>
            <w:r w:rsidRPr="00A17D46">
              <w:rPr>
                <w:rFonts w:eastAsia="Times New Roman" w:cs="Arial"/>
                <w:bCs/>
                <w:color w:val="000000"/>
                <w:szCs w:val="20"/>
                <w:lang w:eastAsia="en-AU"/>
              </w:rPr>
              <w:t>International</w:t>
            </w:r>
          </w:p>
        </w:tc>
      </w:tr>
      <w:tr w:rsidR="00196639" w:rsidRPr="005A3AFE" w14:paraId="635ED8F1" w14:textId="77777777" w:rsidTr="007A24F8">
        <w:trPr>
          <w:trHeight w:val="340"/>
        </w:trPr>
        <w:tc>
          <w:tcPr>
            <w:tcW w:w="3397" w:type="dxa"/>
            <w:vAlign w:val="center"/>
            <w:hideMark/>
          </w:tcPr>
          <w:p w14:paraId="1628CA08" w14:textId="124EC6E9" w:rsidR="00196639" w:rsidRPr="00A17D46" w:rsidRDefault="00196639" w:rsidP="00E57178">
            <w:pPr>
              <w:keepNext/>
              <w:spacing w:before="120" w:after="120"/>
              <w:ind w:left="57" w:right="57"/>
              <w:rPr>
                <w:rFonts w:eastAsia="Times New Roman" w:cs="Arial"/>
                <w:bCs/>
                <w:color w:val="000000"/>
                <w:szCs w:val="20"/>
                <w:lang w:eastAsia="en-AU"/>
              </w:rPr>
            </w:pPr>
            <w:r w:rsidRPr="00A17D46">
              <w:rPr>
                <w:rFonts w:eastAsia="Times New Roman" w:cs="Arial"/>
                <w:bCs/>
                <w:color w:val="000000"/>
                <w:szCs w:val="20"/>
                <w:lang w:val="en-GB" w:eastAsia="en-AU"/>
              </w:rPr>
              <w:t>Full-time employment rate (%)</w:t>
            </w:r>
            <w:r w:rsidR="00CD57C6" w:rsidRPr="00A17D46">
              <w:rPr>
                <w:rFonts w:cs="Arial"/>
                <w:bCs/>
                <w:szCs w:val="20"/>
                <w:vertAlign w:val="superscript"/>
              </w:rPr>
              <w:t>‡</w:t>
            </w:r>
          </w:p>
        </w:tc>
        <w:tc>
          <w:tcPr>
            <w:tcW w:w="1708" w:type="dxa"/>
            <w:noWrap/>
            <w:vAlign w:val="center"/>
            <w:hideMark/>
          </w:tcPr>
          <w:p w14:paraId="35DB4BAE" w14:textId="30E94531"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90.2</w:t>
            </w:r>
          </w:p>
        </w:tc>
        <w:tc>
          <w:tcPr>
            <w:tcW w:w="1708" w:type="dxa"/>
            <w:noWrap/>
            <w:vAlign w:val="center"/>
            <w:hideMark/>
          </w:tcPr>
          <w:p w14:paraId="38F32395" w14:textId="08C8770D"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67.1</w:t>
            </w:r>
          </w:p>
        </w:tc>
        <w:tc>
          <w:tcPr>
            <w:tcW w:w="1708" w:type="dxa"/>
            <w:noWrap/>
            <w:vAlign w:val="center"/>
            <w:hideMark/>
          </w:tcPr>
          <w:p w14:paraId="62A8EF02" w14:textId="7C50C616" w:rsidR="00196639" w:rsidRPr="00A17D46" w:rsidRDefault="00196639"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95.</w:t>
            </w:r>
            <w:r w:rsidR="00A04B7D" w:rsidRPr="00A17D46">
              <w:rPr>
                <w:rFonts w:cs="Arial"/>
                <w:color w:val="3A3A3A"/>
                <w:szCs w:val="20"/>
              </w:rPr>
              <w:t>1</w:t>
            </w:r>
          </w:p>
        </w:tc>
        <w:tc>
          <w:tcPr>
            <w:tcW w:w="1708" w:type="dxa"/>
            <w:noWrap/>
            <w:vAlign w:val="center"/>
            <w:hideMark/>
          </w:tcPr>
          <w:p w14:paraId="05E5FE71" w14:textId="519F7065"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87.5</w:t>
            </w:r>
          </w:p>
        </w:tc>
      </w:tr>
      <w:tr w:rsidR="00196639" w:rsidRPr="005A3AFE" w14:paraId="5E4C4D4D" w14:textId="77777777" w:rsidTr="007A24F8">
        <w:trPr>
          <w:trHeight w:val="340"/>
        </w:trPr>
        <w:tc>
          <w:tcPr>
            <w:tcW w:w="3397" w:type="dxa"/>
            <w:vAlign w:val="center"/>
            <w:hideMark/>
          </w:tcPr>
          <w:p w14:paraId="48B56F9D" w14:textId="18F794FC" w:rsidR="00196639" w:rsidRPr="00A17D46" w:rsidRDefault="00196639" w:rsidP="00E57178">
            <w:pPr>
              <w:keepNext/>
              <w:spacing w:before="120" w:after="120"/>
              <w:ind w:left="57" w:right="57"/>
              <w:rPr>
                <w:rFonts w:eastAsia="Times New Roman" w:cs="Arial"/>
                <w:bCs/>
                <w:color w:val="000000"/>
                <w:szCs w:val="20"/>
                <w:lang w:eastAsia="en-AU"/>
              </w:rPr>
            </w:pPr>
            <w:r w:rsidRPr="00A17D46">
              <w:rPr>
                <w:rFonts w:eastAsia="Times New Roman" w:cs="Arial"/>
                <w:bCs/>
                <w:color w:val="000000"/>
                <w:szCs w:val="20"/>
                <w:lang w:val="en-GB" w:eastAsia="en-AU"/>
              </w:rPr>
              <w:t>Overall employment rate (%)</w:t>
            </w:r>
            <w:r w:rsidR="00CD57C6" w:rsidRPr="00A17D46">
              <w:rPr>
                <w:rFonts w:cs="Arial"/>
                <w:bCs/>
                <w:szCs w:val="20"/>
                <w:vertAlign w:val="superscript"/>
              </w:rPr>
              <w:t>‡</w:t>
            </w:r>
          </w:p>
        </w:tc>
        <w:tc>
          <w:tcPr>
            <w:tcW w:w="1708" w:type="dxa"/>
            <w:noWrap/>
            <w:vAlign w:val="center"/>
            <w:hideMark/>
          </w:tcPr>
          <w:p w14:paraId="7387C09C" w14:textId="48E11126"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94.4</w:t>
            </w:r>
          </w:p>
        </w:tc>
        <w:tc>
          <w:tcPr>
            <w:tcW w:w="1708" w:type="dxa"/>
            <w:noWrap/>
            <w:vAlign w:val="center"/>
            <w:hideMark/>
          </w:tcPr>
          <w:p w14:paraId="39F51410" w14:textId="44F2E29A"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78.6</w:t>
            </w:r>
          </w:p>
        </w:tc>
        <w:tc>
          <w:tcPr>
            <w:tcW w:w="1708" w:type="dxa"/>
            <w:noWrap/>
            <w:vAlign w:val="center"/>
            <w:hideMark/>
          </w:tcPr>
          <w:p w14:paraId="0A0F792A" w14:textId="78BAC1C1"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96.5</w:t>
            </w:r>
          </w:p>
        </w:tc>
        <w:tc>
          <w:tcPr>
            <w:tcW w:w="1708" w:type="dxa"/>
            <w:noWrap/>
            <w:vAlign w:val="center"/>
            <w:hideMark/>
          </w:tcPr>
          <w:p w14:paraId="0EA80173" w14:textId="5C0CFF16"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90.8</w:t>
            </w:r>
          </w:p>
        </w:tc>
      </w:tr>
      <w:tr w:rsidR="00196639" w:rsidRPr="005A3AFE" w14:paraId="0422CCC2" w14:textId="77777777" w:rsidTr="007A24F8">
        <w:trPr>
          <w:trHeight w:val="340"/>
        </w:trPr>
        <w:tc>
          <w:tcPr>
            <w:tcW w:w="3397" w:type="dxa"/>
            <w:vAlign w:val="center"/>
            <w:hideMark/>
          </w:tcPr>
          <w:p w14:paraId="303E697A" w14:textId="13D330EE" w:rsidR="00196639" w:rsidRPr="00A17D46" w:rsidRDefault="00196639" w:rsidP="00E57178">
            <w:pPr>
              <w:keepNext/>
              <w:spacing w:before="120" w:after="120"/>
              <w:ind w:left="57" w:right="57"/>
              <w:rPr>
                <w:rFonts w:eastAsia="Times New Roman" w:cs="Arial"/>
                <w:bCs/>
                <w:color w:val="000000"/>
                <w:spacing w:val="-4"/>
                <w:szCs w:val="20"/>
                <w:lang w:eastAsia="en-AU"/>
              </w:rPr>
            </w:pPr>
            <w:r w:rsidRPr="00A17D46">
              <w:rPr>
                <w:rFonts w:eastAsia="Times New Roman" w:cs="Arial"/>
                <w:bCs/>
                <w:color w:val="000000"/>
                <w:spacing w:val="-4"/>
                <w:szCs w:val="20"/>
                <w:lang w:val="en-GB" w:eastAsia="en-AU"/>
              </w:rPr>
              <w:t>Labour force participation rate (%)</w:t>
            </w:r>
            <w:r w:rsidR="00CD57C6" w:rsidRPr="00A17D46">
              <w:rPr>
                <w:rFonts w:cs="Arial"/>
                <w:bCs/>
                <w:spacing w:val="-4"/>
                <w:szCs w:val="20"/>
                <w:vertAlign w:val="superscript"/>
              </w:rPr>
              <w:t>‡</w:t>
            </w:r>
          </w:p>
        </w:tc>
        <w:tc>
          <w:tcPr>
            <w:tcW w:w="1708" w:type="dxa"/>
            <w:noWrap/>
            <w:vAlign w:val="center"/>
            <w:hideMark/>
          </w:tcPr>
          <w:p w14:paraId="65613360" w14:textId="5F076F46" w:rsidR="00196639" w:rsidRPr="00A17D46" w:rsidRDefault="00196639"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96.</w:t>
            </w:r>
            <w:r w:rsidR="00A04B7D" w:rsidRPr="00A17D46">
              <w:rPr>
                <w:rFonts w:cs="Arial"/>
                <w:color w:val="3A3A3A"/>
                <w:szCs w:val="20"/>
              </w:rPr>
              <w:t>3</w:t>
            </w:r>
          </w:p>
        </w:tc>
        <w:tc>
          <w:tcPr>
            <w:tcW w:w="1708" w:type="dxa"/>
            <w:noWrap/>
            <w:vAlign w:val="center"/>
            <w:hideMark/>
          </w:tcPr>
          <w:p w14:paraId="5CFCE3B5" w14:textId="58277DFE"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93.6</w:t>
            </w:r>
          </w:p>
        </w:tc>
        <w:tc>
          <w:tcPr>
            <w:tcW w:w="1708" w:type="dxa"/>
            <w:noWrap/>
            <w:vAlign w:val="center"/>
            <w:hideMark/>
          </w:tcPr>
          <w:p w14:paraId="6CB87DEE" w14:textId="7672345D" w:rsidR="00196639" w:rsidRPr="00A17D46" w:rsidRDefault="00196639"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93.</w:t>
            </w:r>
            <w:r w:rsidR="00A04B7D" w:rsidRPr="00A17D46">
              <w:rPr>
                <w:rFonts w:cs="Arial"/>
                <w:color w:val="3A3A3A"/>
                <w:szCs w:val="20"/>
              </w:rPr>
              <w:t>1</w:t>
            </w:r>
          </w:p>
        </w:tc>
        <w:tc>
          <w:tcPr>
            <w:tcW w:w="1708" w:type="dxa"/>
            <w:noWrap/>
            <w:vAlign w:val="center"/>
            <w:hideMark/>
          </w:tcPr>
          <w:p w14:paraId="7CC3F1DE" w14:textId="1047D9DE"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89.5</w:t>
            </w:r>
          </w:p>
        </w:tc>
      </w:tr>
      <w:tr w:rsidR="00196639" w:rsidRPr="005A3AFE" w14:paraId="32DFDEF0" w14:textId="77777777" w:rsidTr="007A24F8">
        <w:trPr>
          <w:trHeight w:val="340"/>
        </w:trPr>
        <w:tc>
          <w:tcPr>
            <w:tcW w:w="3397" w:type="dxa"/>
            <w:vAlign w:val="center"/>
            <w:hideMark/>
          </w:tcPr>
          <w:p w14:paraId="4615F2BC" w14:textId="77777777" w:rsidR="00196639" w:rsidRPr="00A17D46" w:rsidRDefault="00196639" w:rsidP="00E57178">
            <w:pPr>
              <w:keepNext/>
              <w:spacing w:before="120" w:after="120"/>
              <w:ind w:left="57" w:right="57"/>
              <w:rPr>
                <w:rFonts w:eastAsia="Times New Roman" w:cs="Arial"/>
                <w:bCs/>
                <w:color w:val="000000"/>
                <w:spacing w:val="-2"/>
                <w:szCs w:val="20"/>
                <w:lang w:eastAsia="en-AU"/>
              </w:rPr>
            </w:pPr>
            <w:r w:rsidRPr="00A17D46">
              <w:rPr>
                <w:rFonts w:eastAsia="Times New Roman" w:cs="Arial"/>
                <w:bCs/>
                <w:color w:val="000000"/>
                <w:spacing w:val="-2"/>
                <w:szCs w:val="20"/>
                <w:lang w:eastAsia="en-AU"/>
              </w:rPr>
              <w:t>Median annual full-time salary ($)</w:t>
            </w:r>
          </w:p>
        </w:tc>
        <w:tc>
          <w:tcPr>
            <w:tcW w:w="1708" w:type="dxa"/>
            <w:noWrap/>
            <w:vAlign w:val="center"/>
            <w:hideMark/>
          </w:tcPr>
          <w:p w14:paraId="530E0258" w14:textId="2B8DDD1B"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98,000</w:t>
            </w:r>
          </w:p>
        </w:tc>
        <w:tc>
          <w:tcPr>
            <w:tcW w:w="1708" w:type="dxa"/>
            <w:noWrap/>
            <w:vAlign w:val="center"/>
            <w:hideMark/>
          </w:tcPr>
          <w:p w14:paraId="5B7CC0F6" w14:textId="431A7041"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67,000</w:t>
            </w:r>
          </w:p>
        </w:tc>
        <w:tc>
          <w:tcPr>
            <w:tcW w:w="1708" w:type="dxa"/>
            <w:noWrap/>
            <w:vAlign w:val="center"/>
            <w:hideMark/>
          </w:tcPr>
          <w:p w14:paraId="5C0372C9" w14:textId="076CBF39"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120</w:t>
            </w:r>
            <w:r w:rsidR="00196639" w:rsidRPr="00A17D46">
              <w:rPr>
                <w:rFonts w:cs="Arial"/>
                <w:color w:val="3A3A3A"/>
                <w:szCs w:val="20"/>
              </w:rPr>
              <w:t>,000</w:t>
            </w:r>
          </w:p>
        </w:tc>
        <w:tc>
          <w:tcPr>
            <w:tcW w:w="1708" w:type="dxa"/>
            <w:noWrap/>
            <w:vAlign w:val="center"/>
            <w:hideMark/>
          </w:tcPr>
          <w:p w14:paraId="0B57658F" w14:textId="39B19F3C" w:rsidR="00196639" w:rsidRPr="00A17D46" w:rsidRDefault="00A04B7D" w:rsidP="007A24F8">
            <w:pPr>
              <w:keepNext/>
              <w:spacing w:before="120" w:after="120"/>
              <w:ind w:left="57" w:right="57"/>
              <w:jc w:val="center"/>
              <w:rPr>
                <w:rFonts w:eastAsia="Times New Roman" w:cs="Arial"/>
                <w:color w:val="000000"/>
                <w:szCs w:val="20"/>
                <w:lang w:eastAsia="en-AU"/>
              </w:rPr>
            </w:pPr>
            <w:r w:rsidRPr="00A17D46">
              <w:rPr>
                <w:rFonts w:cs="Arial"/>
                <w:color w:val="3A3A3A"/>
                <w:szCs w:val="20"/>
              </w:rPr>
              <w:t>86</w:t>
            </w:r>
            <w:r w:rsidR="00196639" w:rsidRPr="00A17D46">
              <w:rPr>
                <w:rFonts w:cs="Arial"/>
                <w:color w:val="3A3A3A"/>
                <w:szCs w:val="20"/>
              </w:rPr>
              <w:t>,000</w:t>
            </w:r>
          </w:p>
        </w:tc>
      </w:tr>
      <w:tr w:rsidR="00196639" w:rsidRPr="005A3AFE" w14:paraId="77D17EAE" w14:textId="77777777" w:rsidTr="007A24F8">
        <w:trPr>
          <w:trHeight w:val="340"/>
        </w:trPr>
        <w:tc>
          <w:tcPr>
            <w:tcW w:w="3397" w:type="dxa"/>
            <w:vAlign w:val="center"/>
          </w:tcPr>
          <w:p w14:paraId="51787BAC" w14:textId="77777777" w:rsidR="00196639" w:rsidRPr="00A17D46" w:rsidRDefault="00196639" w:rsidP="00E57178">
            <w:pPr>
              <w:keepNext/>
              <w:spacing w:before="120" w:after="120"/>
              <w:ind w:left="57" w:right="57"/>
              <w:rPr>
                <w:rFonts w:eastAsia="Times New Roman" w:cs="Arial"/>
                <w:bCs/>
                <w:color w:val="000000"/>
                <w:szCs w:val="20"/>
                <w:lang w:eastAsia="en-AU"/>
              </w:rPr>
            </w:pPr>
            <w:r w:rsidRPr="00A17D46">
              <w:rPr>
                <w:rFonts w:eastAsia="Times New Roman" w:cs="Arial"/>
                <w:bCs/>
                <w:color w:val="000000"/>
                <w:szCs w:val="20"/>
                <w:lang w:eastAsia="en-AU"/>
              </w:rPr>
              <w:t>Underemployment rate (%)</w:t>
            </w:r>
          </w:p>
        </w:tc>
        <w:tc>
          <w:tcPr>
            <w:tcW w:w="1708" w:type="dxa"/>
            <w:noWrap/>
            <w:vAlign w:val="center"/>
          </w:tcPr>
          <w:p w14:paraId="162D5133" w14:textId="313F31B5" w:rsidR="00196639" w:rsidRPr="00A17D46" w:rsidRDefault="00196639" w:rsidP="007A24F8">
            <w:pPr>
              <w:keepNext/>
              <w:spacing w:before="120" w:after="120"/>
              <w:ind w:left="57" w:right="57"/>
              <w:jc w:val="center"/>
              <w:rPr>
                <w:rFonts w:cs="Arial"/>
                <w:color w:val="000000"/>
                <w:szCs w:val="20"/>
              </w:rPr>
            </w:pPr>
            <w:r w:rsidRPr="00A17D46">
              <w:rPr>
                <w:rFonts w:cs="Arial"/>
                <w:color w:val="3A3A3A"/>
                <w:szCs w:val="20"/>
              </w:rPr>
              <w:t>7.</w:t>
            </w:r>
            <w:r w:rsidR="00725025" w:rsidRPr="00A17D46">
              <w:rPr>
                <w:rFonts w:cs="Arial"/>
                <w:color w:val="3A3A3A"/>
                <w:szCs w:val="20"/>
              </w:rPr>
              <w:t>4</w:t>
            </w:r>
          </w:p>
        </w:tc>
        <w:tc>
          <w:tcPr>
            <w:tcW w:w="1708" w:type="dxa"/>
            <w:noWrap/>
            <w:vAlign w:val="center"/>
          </w:tcPr>
          <w:p w14:paraId="6390D197" w14:textId="44339763" w:rsidR="00196639" w:rsidRPr="00A17D46" w:rsidRDefault="00725025" w:rsidP="007A24F8">
            <w:pPr>
              <w:keepNext/>
              <w:spacing w:before="120" w:after="120"/>
              <w:ind w:left="57" w:right="57"/>
              <w:jc w:val="center"/>
              <w:rPr>
                <w:rFonts w:cs="Arial"/>
                <w:color w:val="000000"/>
                <w:szCs w:val="20"/>
              </w:rPr>
            </w:pPr>
            <w:r w:rsidRPr="00A17D46">
              <w:rPr>
                <w:rFonts w:cs="Arial"/>
                <w:color w:val="3A3A3A"/>
                <w:szCs w:val="20"/>
              </w:rPr>
              <w:t>18.9</w:t>
            </w:r>
          </w:p>
        </w:tc>
        <w:tc>
          <w:tcPr>
            <w:tcW w:w="1708" w:type="dxa"/>
            <w:noWrap/>
            <w:vAlign w:val="center"/>
          </w:tcPr>
          <w:p w14:paraId="45C5734F" w14:textId="09CE7589" w:rsidR="00196639" w:rsidRPr="00A17D46" w:rsidRDefault="00196639" w:rsidP="007A24F8">
            <w:pPr>
              <w:keepNext/>
              <w:spacing w:before="120" w:after="120"/>
              <w:ind w:left="57" w:right="57"/>
              <w:jc w:val="center"/>
              <w:rPr>
                <w:rFonts w:cs="Arial"/>
                <w:color w:val="000000"/>
                <w:szCs w:val="20"/>
              </w:rPr>
            </w:pPr>
            <w:r w:rsidRPr="00A17D46">
              <w:rPr>
                <w:rFonts w:cs="Arial"/>
                <w:color w:val="3A3A3A"/>
                <w:szCs w:val="20"/>
              </w:rPr>
              <w:t>4.</w:t>
            </w:r>
            <w:r w:rsidR="00725025" w:rsidRPr="00A17D46">
              <w:rPr>
                <w:rFonts w:cs="Arial"/>
                <w:color w:val="3A3A3A"/>
                <w:szCs w:val="20"/>
              </w:rPr>
              <w:t>7</w:t>
            </w:r>
          </w:p>
        </w:tc>
        <w:tc>
          <w:tcPr>
            <w:tcW w:w="1708" w:type="dxa"/>
            <w:noWrap/>
            <w:vAlign w:val="center"/>
          </w:tcPr>
          <w:p w14:paraId="42E5754A" w14:textId="4D014A1B" w:rsidR="00196639" w:rsidRPr="00A17D46" w:rsidRDefault="00196639" w:rsidP="007A24F8">
            <w:pPr>
              <w:keepNext/>
              <w:spacing w:before="120" w:after="120"/>
              <w:ind w:left="57" w:right="57"/>
              <w:jc w:val="center"/>
              <w:rPr>
                <w:rFonts w:cs="Arial"/>
                <w:color w:val="000000"/>
                <w:szCs w:val="20"/>
              </w:rPr>
            </w:pPr>
            <w:r w:rsidRPr="00A17D46">
              <w:rPr>
                <w:rFonts w:cs="Arial"/>
                <w:color w:val="3A3A3A"/>
                <w:szCs w:val="20"/>
              </w:rPr>
              <w:t>7.</w:t>
            </w:r>
            <w:r w:rsidR="00725025" w:rsidRPr="00A17D46">
              <w:rPr>
                <w:rFonts w:cs="Arial"/>
                <w:color w:val="3A3A3A"/>
                <w:szCs w:val="20"/>
              </w:rPr>
              <w:t>2</w:t>
            </w:r>
          </w:p>
        </w:tc>
      </w:tr>
      <w:tr w:rsidR="00CB3DF4" w:rsidRPr="005A3AFE" w14:paraId="722E0745" w14:textId="77777777" w:rsidTr="007A24F8">
        <w:trPr>
          <w:trHeight w:val="340"/>
        </w:trPr>
        <w:tc>
          <w:tcPr>
            <w:tcW w:w="3397" w:type="dxa"/>
            <w:vAlign w:val="center"/>
          </w:tcPr>
          <w:p w14:paraId="28271919" w14:textId="357ADE1F" w:rsidR="00CB3DF4" w:rsidRPr="00A17D46" w:rsidRDefault="00CB3DF4" w:rsidP="00E57178">
            <w:pPr>
              <w:keepNext/>
              <w:spacing w:before="120" w:after="120"/>
              <w:ind w:left="57" w:right="57"/>
              <w:rPr>
                <w:rFonts w:eastAsia="Times New Roman" w:cs="Arial"/>
                <w:bCs/>
                <w:color w:val="000000"/>
                <w:szCs w:val="20"/>
                <w:lang w:eastAsia="en-AU"/>
              </w:rPr>
            </w:pPr>
            <w:r w:rsidRPr="00A17D46">
              <w:rPr>
                <w:rFonts w:eastAsia="Times New Roman" w:cs="Arial"/>
                <w:bCs/>
                <w:color w:val="000000"/>
                <w:szCs w:val="20"/>
                <w:lang w:eastAsia="en-AU"/>
              </w:rPr>
              <w:t>In further full-time study</w:t>
            </w:r>
            <w:r w:rsidR="00CC3860" w:rsidRPr="00A17D46">
              <w:rPr>
                <w:rFonts w:eastAsia="Times New Roman" w:cs="Arial"/>
                <w:bCs/>
                <w:color w:val="000000"/>
                <w:szCs w:val="20"/>
                <w:lang w:eastAsia="en-AU"/>
              </w:rPr>
              <w:t xml:space="preserve"> (%)</w:t>
            </w:r>
          </w:p>
        </w:tc>
        <w:tc>
          <w:tcPr>
            <w:tcW w:w="1708" w:type="dxa"/>
            <w:noWrap/>
            <w:vAlign w:val="center"/>
          </w:tcPr>
          <w:p w14:paraId="7EFA9E1C" w14:textId="14BC92B0" w:rsidR="00CB3DF4" w:rsidRPr="00A17D46" w:rsidRDefault="00CB3DF4" w:rsidP="007A24F8">
            <w:pPr>
              <w:keepNext/>
              <w:spacing w:before="120" w:after="120"/>
              <w:ind w:left="57" w:right="57"/>
              <w:jc w:val="center"/>
              <w:rPr>
                <w:rFonts w:cs="Arial"/>
                <w:color w:val="3A3A3A"/>
                <w:szCs w:val="20"/>
              </w:rPr>
            </w:pPr>
            <w:r w:rsidRPr="00A17D46">
              <w:rPr>
                <w:rFonts w:cs="Arial"/>
                <w:color w:val="3A3A3A"/>
                <w:szCs w:val="20"/>
              </w:rPr>
              <w:t>6.2</w:t>
            </w:r>
          </w:p>
        </w:tc>
        <w:tc>
          <w:tcPr>
            <w:tcW w:w="1708" w:type="dxa"/>
            <w:noWrap/>
            <w:vAlign w:val="center"/>
          </w:tcPr>
          <w:p w14:paraId="6F9083B1" w14:textId="21542E80" w:rsidR="00CB3DF4" w:rsidRPr="00A17D46" w:rsidRDefault="00CB3DF4" w:rsidP="007A24F8">
            <w:pPr>
              <w:keepNext/>
              <w:spacing w:before="120" w:after="120"/>
              <w:ind w:left="57" w:right="57"/>
              <w:jc w:val="center"/>
              <w:rPr>
                <w:rFonts w:cs="Arial"/>
                <w:color w:val="3A3A3A"/>
                <w:szCs w:val="20"/>
              </w:rPr>
            </w:pPr>
            <w:r w:rsidRPr="00A17D46">
              <w:rPr>
                <w:rFonts w:cs="Arial"/>
                <w:color w:val="3A3A3A"/>
                <w:szCs w:val="20"/>
              </w:rPr>
              <w:t>15.3</w:t>
            </w:r>
          </w:p>
        </w:tc>
        <w:tc>
          <w:tcPr>
            <w:tcW w:w="1708" w:type="dxa"/>
            <w:noWrap/>
            <w:vAlign w:val="center"/>
          </w:tcPr>
          <w:p w14:paraId="16191052" w14:textId="79194904" w:rsidR="00CB3DF4" w:rsidRPr="00A17D46" w:rsidRDefault="00CB3DF4" w:rsidP="007A24F8">
            <w:pPr>
              <w:keepNext/>
              <w:spacing w:before="120" w:after="120"/>
              <w:ind w:left="57" w:right="57"/>
              <w:jc w:val="center"/>
              <w:rPr>
                <w:rFonts w:cs="Arial"/>
                <w:color w:val="3A3A3A"/>
                <w:szCs w:val="20"/>
              </w:rPr>
            </w:pPr>
            <w:r w:rsidRPr="00A17D46">
              <w:rPr>
                <w:rFonts w:cs="Arial"/>
                <w:color w:val="3A3A3A"/>
                <w:szCs w:val="20"/>
              </w:rPr>
              <w:t>4.9</w:t>
            </w:r>
          </w:p>
        </w:tc>
        <w:tc>
          <w:tcPr>
            <w:tcW w:w="1708" w:type="dxa"/>
            <w:noWrap/>
            <w:vAlign w:val="center"/>
          </w:tcPr>
          <w:p w14:paraId="5A93C65F" w14:textId="5A130FD2" w:rsidR="00CB3DF4" w:rsidRPr="00A17D46" w:rsidRDefault="00CB3DF4" w:rsidP="007A24F8">
            <w:pPr>
              <w:keepNext/>
              <w:spacing w:before="120" w:after="120"/>
              <w:ind w:left="57" w:right="57"/>
              <w:jc w:val="center"/>
              <w:rPr>
                <w:rFonts w:cs="Arial"/>
                <w:color w:val="3A3A3A"/>
                <w:szCs w:val="20"/>
              </w:rPr>
            </w:pPr>
            <w:r w:rsidRPr="00A17D46">
              <w:rPr>
                <w:rFonts w:cs="Arial"/>
                <w:color w:val="3A3A3A"/>
                <w:szCs w:val="20"/>
              </w:rPr>
              <w:t>11.5</w:t>
            </w:r>
          </w:p>
        </w:tc>
      </w:tr>
      <w:tr w:rsidR="009064E5" w:rsidRPr="005A3AFE" w14:paraId="1782AF90" w14:textId="77777777" w:rsidTr="007A24F8">
        <w:trPr>
          <w:trHeight w:val="340"/>
        </w:trPr>
        <w:tc>
          <w:tcPr>
            <w:tcW w:w="3397" w:type="dxa"/>
            <w:vAlign w:val="center"/>
          </w:tcPr>
          <w:p w14:paraId="18DD0523" w14:textId="0A62D73B" w:rsidR="009064E5" w:rsidRPr="00A17D46" w:rsidRDefault="009064E5" w:rsidP="00E57178">
            <w:pPr>
              <w:keepNext/>
              <w:spacing w:before="120" w:after="120"/>
              <w:ind w:left="57" w:right="57"/>
              <w:rPr>
                <w:rFonts w:eastAsia="Times New Roman" w:cs="Arial"/>
                <w:bCs/>
                <w:color w:val="000000"/>
                <w:szCs w:val="20"/>
                <w:lang w:eastAsia="en-AU"/>
              </w:rPr>
            </w:pPr>
            <w:r w:rsidRPr="00A17D46">
              <w:rPr>
                <w:rFonts w:eastAsia="Times New Roman" w:cs="Arial"/>
                <w:bCs/>
                <w:color w:val="000000"/>
                <w:szCs w:val="20"/>
                <w:lang w:eastAsia="en-AU"/>
              </w:rPr>
              <w:t>Employed in managerial or professional occupation (% of those employed full-time)</w:t>
            </w:r>
          </w:p>
        </w:tc>
        <w:tc>
          <w:tcPr>
            <w:tcW w:w="1708" w:type="dxa"/>
            <w:noWrap/>
            <w:vAlign w:val="center"/>
          </w:tcPr>
          <w:p w14:paraId="721AC07E" w14:textId="44184417" w:rsidR="009064E5" w:rsidRPr="00A17D46" w:rsidRDefault="009064E5" w:rsidP="007A24F8">
            <w:pPr>
              <w:keepNext/>
              <w:spacing w:before="120" w:after="120"/>
              <w:ind w:left="57" w:right="57"/>
              <w:jc w:val="center"/>
              <w:rPr>
                <w:rFonts w:cs="Arial"/>
                <w:color w:val="3A3A3A"/>
                <w:szCs w:val="20"/>
              </w:rPr>
            </w:pPr>
            <w:r w:rsidRPr="00A17D46">
              <w:rPr>
                <w:rFonts w:cs="Arial"/>
                <w:color w:val="3A3A3A"/>
                <w:szCs w:val="20"/>
              </w:rPr>
              <w:t>85.7</w:t>
            </w:r>
          </w:p>
        </w:tc>
        <w:tc>
          <w:tcPr>
            <w:tcW w:w="1708" w:type="dxa"/>
            <w:noWrap/>
            <w:vAlign w:val="center"/>
          </w:tcPr>
          <w:p w14:paraId="07579C23" w14:textId="71F8F913" w:rsidR="009064E5" w:rsidRPr="00A17D46" w:rsidRDefault="009064E5" w:rsidP="007A24F8">
            <w:pPr>
              <w:keepNext/>
              <w:spacing w:before="120" w:after="120"/>
              <w:ind w:left="57" w:right="57"/>
              <w:jc w:val="center"/>
              <w:rPr>
                <w:rFonts w:cs="Arial"/>
                <w:color w:val="3A3A3A"/>
                <w:szCs w:val="20"/>
              </w:rPr>
            </w:pPr>
            <w:r w:rsidRPr="00A17D46">
              <w:rPr>
                <w:rFonts w:cs="Arial"/>
                <w:color w:val="3A3A3A"/>
                <w:szCs w:val="20"/>
              </w:rPr>
              <w:t>64.3</w:t>
            </w:r>
          </w:p>
        </w:tc>
        <w:tc>
          <w:tcPr>
            <w:tcW w:w="1708" w:type="dxa"/>
            <w:noWrap/>
            <w:vAlign w:val="center"/>
          </w:tcPr>
          <w:p w14:paraId="470D8FA8" w14:textId="7113791B" w:rsidR="009064E5" w:rsidRPr="00A17D46" w:rsidRDefault="009064E5" w:rsidP="007A24F8">
            <w:pPr>
              <w:keepNext/>
              <w:spacing w:before="120" w:after="120"/>
              <w:ind w:left="57" w:right="57"/>
              <w:jc w:val="center"/>
              <w:rPr>
                <w:rFonts w:cs="Arial"/>
                <w:color w:val="3A3A3A"/>
                <w:szCs w:val="20"/>
              </w:rPr>
            </w:pPr>
            <w:r w:rsidRPr="00A17D46">
              <w:rPr>
                <w:rFonts w:cs="Arial"/>
                <w:color w:val="3A3A3A"/>
                <w:szCs w:val="20"/>
              </w:rPr>
              <w:t>89.1</w:t>
            </w:r>
          </w:p>
        </w:tc>
        <w:tc>
          <w:tcPr>
            <w:tcW w:w="1708" w:type="dxa"/>
            <w:noWrap/>
            <w:vAlign w:val="center"/>
          </w:tcPr>
          <w:p w14:paraId="6E4CE88F" w14:textId="131A0489" w:rsidR="009064E5" w:rsidRPr="00A17D46" w:rsidRDefault="009064E5" w:rsidP="007A24F8">
            <w:pPr>
              <w:keepNext/>
              <w:spacing w:before="120" w:after="120"/>
              <w:ind w:left="57" w:right="57"/>
              <w:jc w:val="center"/>
              <w:rPr>
                <w:rFonts w:cs="Arial"/>
                <w:color w:val="3A3A3A"/>
                <w:szCs w:val="20"/>
              </w:rPr>
            </w:pPr>
            <w:r w:rsidRPr="00A17D46">
              <w:rPr>
                <w:rFonts w:cs="Arial"/>
                <w:color w:val="3A3A3A"/>
                <w:szCs w:val="20"/>
              </w:rPr>
              <w:t>76.2</w:t>
            </w:r>
          </w:p>
        </w:tc>
      </w:tr>
    </w:tbl>
    <w:p w14:paraId="6713C0D1" w14:textId="68CC268A" w:rsidR="00C86366" w:rsidRPr="005A3AFE" w:rsidRDefault="00C86366" w:rsidP="00A17D46">
      <w:pPr>
        <w:pStyle w:val="BaseFigureNotes"/>
        <w:spacing w:before="120" w:after="120"/>
      </w:pPr>
      <w:r w:rsidRPr="00B4258D">
        <w:rPr>
          <w:b/>
          <w:bCs/>
        </w:rPr>
        <w:t>Note:</w:t>
      </w:r>
      <w:r w:rsidRPr="005A3AFE">
        <w:t xml:space="preserve"> </w:t>
      </w:r>
      <w:r w:rsidR="003B02F9" w:rsidRPr="005A3AFE">
        <w:t>International graduates’ m</w:t>
      </w:r>
      <w:r w:rsidRPr="005A3AFE">
        <w:t>edian salary figures only include data for international graduates working in Australia.</w:t>
      </w:r>
    </w:p>
    <w:p w14:paraId="7C850CA9" w14:textId="30320F4A" w:rsidR="00CD57C6" w:rsidRPr="005A3AFE" w:rsidRDefault="00CD57C6" w:rsidP="00A55102">
      <w:pPr>
        <w:pStyle w:val="BaseFigureNotes"/>
      </w:pPr>
      <w:r w:rsidRPr="005A3AFE">
        <w:t>‡ Medium-term labour force participation rates, and full-time and overall employment rates from 2025 onwards are not directly comparable with earlier years due to a change to how the labour force is defined. Caution should be exercised when interpreting shifts from the short- to medium-term for the 202</w:t>
      </w:r>
      <w:r w:rsidR="00283FC4">
        <w:t>3</w:t>
      </w:r>
      <w:r w:rsidR="00886C60" w:rsidRPr="00886C60">
        <w:t>–</w:t>
      </w:r>
      <w:r w:rsidRPr="005A3AFE">
        <w:t>202</w:t>
      </w:r>
      <w:r w:rsidR="00283FC4">
        <w:t>6</w:t>
      </w:r>
      <w:r w:rsidRPr="005A3AFE">
        <w:t xml:space="preserve"> cohort, as they partly reflect the change in methodology. See </w:t>
      </w:r>
      <w:r w:rsidRPr="005A3AFE">
        <w:rPr>
          <w:b/>
          <w:bCs/>
        </w:rPr>
        <w:t>Appendix 1</w:t>
      </w:r>
      <w:r w:rsidRPr="005A3AFE">
        <w:t xml:space="preserve"> </w:t>
      </w:r>
      <w:r w:rsidR="00533682">
        <w:t xml:space="preserve">in the 2025 GOS-L National Report </w:t>
      </w:r>
      <w:r w:rsidRPr="005A3AFE">
        <w:t>for further information.</w:t>
      </w:r>
    </w:p>
    <w:p w14:paraId="09CB3D04" w14:textId="1471B2FF" w:rsidR="0062447C" w:rsidRPr="005A3AFE" w:rsidRDefault="00196639" w:rsidP="00A17D46">
      <w:pPr>
        <w:pStyle w:val="Heading3"/>
      </w:pPr>
      <w:bookmarkStart w:id="212" w:name="_Toc243492354"/>
      <w:r w:rsidRPr="005A3AFE">
        <w:lastRenderedPageBreak/>
        <w:t>Postgraduate research comparisons</w:t>
      </w:r>
      <w:bookmarkEnd w:id="212"/>
    </w:p>
    <w:p w14:paraId="6233531C" w14:textId="17FF9AE3" w:rsidR="00571E6E" w:rsidRPr="005A3AFE" w:rsidRDefault="00A0764F" w:rsidP="00A17D46">
      <w:pPr>
        <w:pStyle w:val="Body"/>
        <w:keepNext/>
        <w:keepLines/>
      </w:pPr>
      <w:r w:rsidRPr="005A3AFE">
        <w:t xml:space="preserve">The </w:t>
      </w:r>
      <w:r w:rsidR="00533682">
        <w:t>differences</w:t>
      </w:r>
      <w:r w:rsidR="00533682" w:rsidRPr="005A3AFE">
        <w:t xml:space="preserve"> </w:t>
      </w:r>
      <w:r w:rsidRPr="005A3AFE">
        <w:t>between domestic and international employment outcomes</w:t>
      </w:r>
      <w:r w:rsidR="00571E6E" w:rsidRPr="005A3AFE">
        <w:t xml:space="preserve"> were smallest at the postgraduate research level. In the short-term, international postgraduate research graduates reported </w:t>
      </w:r>
      <w:r w:rsidR="00635339" w:rsidRPr="005A3AFE">
        <w:t xml:space="preserve">a full-time employment rate </w:t>
      </w:r>
      <w:r w:rsidR="006E6F94" w:rsidRPr="005A3AFE">
        <w:t>8.1 percent</w:t>
      </w:r>
      <w:r w:rsidR="001831AA" w:rsidRPr="005A3AFE">
        <w:t>age points</w:t>
      </w:r>
      <w:r w:rsidR="006E6F94" w:rsidRPr="005A3AFE">
        <w:t xml:space="preserve"> lower than their domestic counterparts, which is comparable to the gap in the medium-term for the undergraduate and postgraduate coursework cohorts. This </w:t>
      </w:r>
      <w:r w:rsidR="00533682">
        <w:t>difference</w:t>
      </w:r>
      <w:r w:rsidR="00533682" w:rsidRPr="005A3AFE">
        <w:t xml:space="preserve"> </w:t>
      </w:r>
      <w:r w:rsidR="006E6F94" w:rsidRPr="005A3AFE">
        <w:t>decreases to 1.5 percent</w:t>
      </w:r>
      <w:r w:rsidR="001831AA" w:rsidRPr="005A3AFE">
        <w:t>age points</w:t>
      </w:r>
      <w:r w:rsidR="006E6F94" w:rsidRPr="005A3AFE">
        <w:t xml:space="preserve"> in the medium-term, with </w:t>
      </w:r>
      <w:r w:rsidR="00A52CC6" w:rsidRPr="005A3AFE">
        <w:t>90.6 per</w:t>
      </w:r>
      <w:r w:rsidR="007C70E4" w:rsidRPr="005A3AFE">
        <w:t xml:space="preserve"> </w:t>
      </w:r>
      <w:r w:rsidR="00A52CC6" w:rsidRPr="005A3AFE">
        <w:t>cent of international postgraduate research graduates attaining full-time employment 3</w:t>
      </w:r>
      <w:r w:rsidR="00533682">
        <w:t> </w:t>
      </w:r>
      <w:r w:rsidR="00A52CC6" w:rsidRPr="005A3AFE">
        <w:t>years after graduat</w:t>
      </w:r>
      <w:r w:rsidR="00DE7F61" w:rsidRPr="005A3AFE">
        <w:t>ing</w:t>
      </w:r>
      <w:r w:rsidR="00A52CC6" w:rsidRPr="005A3AFE">
        <w:t>.</w:t>
      </w:r>
    </w:p>
    <w:p w14:paraId="507BE1DD" w14:textId="1AB18F8A" w:rsidR="000F1585" w:rsidRPr="00B4258D" w:rsidRDefault="00E14C12" w:rsidP="00373D3A">
      <w:pPr>
        <w:pStyle w:val="Body"/>
        <w:spacing w:after="240"/>
      </w:pPr>
      <w:r w:rsidRPr="005A3AFE">
        <w:t xml:space="preserve">Despite </w:t>
      </w:r>
      <w:r w:rsidR="008D34CB" w:rsidRPr="005A3AFE">
        <w:t xml:space="preserve">the smaller </w:t>
      </w:r>
      <w:r w:rsidR="00533682">
        <w:t>difference</w:t>
      </w:r>
      <w:r w:rsidR="00533682" w:rsidRPr="005A3AFE">
        <w:t xml:space="preserve"> </w:t>
      </w:r>
      <w:r w:rsidR="008D34CB" w:rsidRPr="005A3AFE">
        <w:t>in full-time employment rate</w:t>
      </w:r>
      <w:r w:rsidR="00533682">
        <w:t>s</w:t>
      </w:r>
      <w:r w:rsidR="008D34CB" w:rsidRPr="005A3AFE">
        <w:t xml:space="preserve">, international postgraduate research graduates who </w:t>
      </w:r>
      <w:r w:rsidR="00CF7017" w:rsidRPr="005A3AFE">
        <w:t>worked full-time hours still reported lower median salaries than their domestic counterparts in the short-term (a difference of $7,100) which increases in the medium</w:t>
      </w:r>
      <w:r w:rsidR="003D002C" w:rsidRPr="005A3AFE">
        <w:t>-</w:t>
      </w:r>
      <w:r w:rsidR="00CF7017" w:rsidRPr="005A3AFE">
        <w:t xml:space="preserve">term (a difference of $13,000). </w:t>
      </w:r>
      <w:r w:rsidR="00DD030B" w:rsidRPr="005A3AFE">
        <w:t>T</w:t>
      </w:r>
      <w:r w:rsidR="00C84921" w:rsidRPr="005A3AFE">
        <w:t>his</w:t>
      </w:r>
      <w:r w:rsidR="0064167B" w:rsidRPr="005A3AFE">
        <w:t xml:space="preserve"> suggests that</w:t>
      </w:r>
      <w:r w:rsidR="00C84921" w:rsidRPr="005A3AFE">
        <w:t xml:space="preserve"> </w:t>
      </w:r>
      <w:r w:rsidR="00191B0D" w:rsidRPr="005A3AFE">
        <w:t>although</w:t>
      </w:r>
      <w:r w:rsidR="008B039E" w:rsidRPr="005A3AFE">
        <w:t xml:space="preserve"> international</w:t>
      </w:r>
      <w:r w:rsidR="00191B0D" w:rsidRPr="005A3AFE">
        <w:t xml:space="preserve"> </w:t>
      </w:r>
      <w:r w:rsidR="00C84921" w:rsidRPr="005A3AFE">
        <w:t xml:space="preserve">postgraduate research graduates </w:t>
      </w:r>
      <w:r w:rsidR="008F0794" w:rsidRPr="005A3AFE">
        <w:t xml:space="preserve">are </w:t>
      </w:r>
      <w:r w:rsidR="00247EFB">
        <w:t>more likely</w:t>
      </w:r>
      <w:r w:rsidR="008F0794" w:rsidRPr="005A3AFE">
        <w:t xml:space="preserve"> to find employment compared to</w:t>
      </w:r>
      <w:r w:rsidR="008B039E" w:rsidRPr="005A3AFE">
        <w:t xml:space="preserve"> international graduates at other study levels</w:t>
      </w:r>
      <w:r w:rsidR="008F0794" w:rsidRPr="005A3AFE">
        <w:t xml:space="preserve">, </w:t>
      </w:r>
      <w:r w:rsidR="00234685" w:rsidRPr="005A3AFE">
        <w:t>international graduates at thi</w:t>
      </w:r>
      <w:r w:rsidR="004F07C8" w:rsidRPr="005A3AFE">
        <w:t>s</w:t>
      </w:r>
      <w:r w:rsidR="00234685" w:rsidRPr="005A3AFE">
        <w:t xml:space="preserve"> level </w:t>
      </w:r>
      <w:r w:rsidR="00247EFB">
        <w:t xml:space="preserve">are less likely to </w:t>
      </w:r>
      <w:r w:rsidR="00234685" w:rsidRPr="005A3AFE">
        <w:t>receiv</w:t>
      </w:r>
      <w:r w:rsidR="00247EFB">
        <w:t>e</w:t>
      </w:r>
      <w:r w:rsidR="00234685" w:rsidRPr="005A3AFE">
        <w:t xml:space="preserve"> similar compensation to </w:t>
      </w:r>
      <w:r w:rsidR="00247EFB">
        <w:t xml:space="preserve">their </w:t>
      </w:r>
      <w:r w:rsidR="00234685" w:rsidRPr="005A3AFE">
        <w:t xml:space="preserve">domestic </w:t>
      </w:r>
      <w:r w:rsidR="00247EFB">
        <w:t>counterparts</w:t>
      </w:r>
      <w:r w:rsidR="00234685" w:rsidRPr="005A3AFE">
        <w:t>.</w:t>
      </w:r>
      <w:bookmarkStart w:id="213" w:name="_Ref204594424"/>
    </w:p>
    <w:p w14:paraId="59D1D4F3" w14:textId="78E97C2D" w:rsidR="001E42D2" w:rsidRPr="005A3AFE" w:rsidRDefault="00196639" w:rsidP="00A33BD9">
      <w:pPr>
        <w:pStyle w:val="Caption"/>
      </w:pPr>
      <w:bookmarkStart w:id="214" w:name="_Toc243492101"/>
      <w:r w:rsidRPr="005A3AFE">
        <w:t xml:space="preserve">Table </w:t>
      </w:r>
      <w:fldSimple w:instr=" SEQ Table \* ARABIC ">
        <w:r w:rsidR="00C4459D">
          <w:rPr>
            <w:noProof/>
          </w:rPr>
          <w:t>9</w:t>
        </w:r>
      </w:fldSimple>
      <w:bookmarkEnd w:id="213"/>
      <w:r w:rsidR="00B4258D">
        <w:tab/>
      </w:r>
      <w:r w:rsidRPr="005A3AFE">
        <w:t>Postgraduate research short- and medium-term outcomes comparison: international and domestic graduates</w:t>
      </w:r>
      <w:bookmarkEnd w:id="214"/>
    </w:p>
    <w:tbl>
      <w:tblPr>
        <w:tblW w:w="10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530"/>
        <w:gridCol w:w="1531"/>
        <w:gridCol w:w="1531"/>
        <w:gridCol w:w="1531"/>
      </w:tblGrid>
      <w:tr w:rsidR="00A17D46" w:rsidRPr="005A3AFE" w14:paraId="12180B5F" w14:textId="77777777" w:rsidTr="00A55102">
        <w:trPr>
          <w:trHeight w:val="1134"/>
        </w:trPr>
        <w:tc>
          <w:tcPr>
            <w:tcW w:w="4106" w:type="dxa"/>
            <w:hideMark/>
          </w:tcPr>
          <w:p w14:paraId="04832C7E" w14:textId="2F79209C" w:rsidR="00A17D46" w:rsidRPr="00E57178" w:rsidRDefault="00A55102" w:rsidP="00A55102">
            <w:pPr>
              <w:keepNext/>
              <w:spacing w:before="240" w:after="60"/>
              <w:ind w:left="28" w:right="28"/>
              <w:rPr>
                <w:rFonts w:eastAsia="Times New Roman" w:cs="Arial"/>
                <w:szCs w:val="20"/>
                <w:lang w:eastAsia="en-AU"/>
              </w:rPr>
            </w:pPr>
            <w:r w:rsidRPr="00A55102">
              <w:rPr>
                <w:rFonts w:eastAsia="Times New Roman" w:cs="Arial"/>
                <w:b/>
                <w:bCs/>
                <w:szCs w:val="20"/>
                <w:lang w:eastAsia="en-AU"/>
              </w:rPr>
              <w:t>Category</w:t>
            </w:r>
          </w:p>
        </w:tc>
        <w:tc>
          <w:tcPr>
            <w:tcW w:w="1530" w:type="dxa"/>
            <w:noWrap/>
            <w:vAlign w:val="center"/>
            <w:hideMark/>
          </w:tcPr>
          <w:p w14:paraId="386A8F27" w14:textId="77777777" w:rsidR="00A17D46" w:rsidRDefault="00A17D46" w:rsidP="00A17D46">
            <w:pPr>
              <w:keepNext/>
              <w:spacing w:before="60" w:after="60"/>
              <w:ind w:left="113" w:right="28"/>
              <w:rPr>
                <w:rFonts w:eastAsia="Times New Roman" w:cs="Arial"/>
                <w:color w:val="000000"/>
                <w:szCs w:val="20"/>
                <w:lang w:eastAsia="en-AU"/>
              </w:rPr>
            </w:pPr>
            <w:r w:rsidRPr="0072412A">
              <w:rPr>
                <w:rFonts w:eastAsia="Times New Roman" w:cs="Arial"/>
                <w:b/>
                <w:bCs/>
                <w:color w:val="000000"/>
                <w:szCs w:val="20"/>
                <w:lang w:eastAsia="en-AU"/>
              </w:rPr>
              <w:t>Short-term (2023):</w:t>
            </w:r>
            <w:r>
              <w:rPr>
                <w:rFonts w:eastAsia="Times New Roman" w:cs="Arial"/>
                <w:color w:val="000000"/>
                <w:szCs w:val="20"/>
                <w:lang w:eastAsia="en-AU"/>
              </w:rPr>
              <w:t xml:space="preserve"> </w:t>
            </w:r>
          </w:p>
          <w:p w14:paraId="075CBD35" w14:textId="53BDEE44" w:rsidR="00A17D46" w:rsidRPr="00E57178" w:rsidRDefault="00A17D46" w:rsidP="00A17D46">
            <w:pPr>
              <w:keepNext/>
              <w:spacing w:before="60" w:after="60"/>
              <w:ind w:left="113" w:right="28"/>
              <w:rPr>
                <w:rFonts w:eastAsia="Times New Roman" w:cs="Arial"/>
                <w:color w:val="000000"/>
                <w:szCs w:val="20"/>
                <w:lang w:eastAsia="en-AU"/>
              </w:rPr>
            </w:pPr>
            <w:r w:rsidRPr="00E57178">
              <w:rPr>
                <w:rFonts w:eastAsia="Times New Roman" w:cs="Arial"/>
                <w:color w:val="000000"/>
                <w:szCs w:val="20"/>
                <w:lang w:eastAsia="en-AU"/>
              </w:rPr>
              <w:t>Domestic</w:t>
            </w:r>
          </w:p>
        </w:tc>
        <w:tc>
          <w:tcPr>
            <w:tcW w:w="1531" w:type="dxa"/>
            <w:vAlign w:val="center"/>
          </w:tcPr>
          <w:p w14:paraId="60B1C1B0" w14:textId="77777777" w:rsidR="00A17D46" w:rsidRDefault="00A17D46" w:rsidP="00A17D46">
            <w:pPr>
              <w:keepNext/>
              <w:spacing w:before="60" w:after="60"/>
              <w:ind w:left="113" w:right="28"/>
              <w:rPr>
                <w:rFonts w:eastAsia="Times New Roman" w:cs="Arial"/>
                <w:color w:val="000000"/>
                <w:szCs w:val="20"/>
                <w:lang w:eastAsia="en-AU"/>
              </w:rPr>
            </w:pPr>
            <w:r w:rsidRPr="0072412A">
              <w:rPr>
                <w:rFonts w:eastAsia="Times New Roman" w:cs="Arial"/>
                <w:b/>
                <w:bCs/>
                <w:color w:val="000000"/>
                <w:szCs w:val="20"/>
                <w:lang w:eastAsia="en-AU"/>
              </w:rPr>
              <w:t>Short-term (2023):</w:t>
            </w:r>
            <w:r>
              <w:rPr>
                <w:rFonts w:eastAsia="Times New Roman" w:cs="Arial"/>
                <w:color w:val="000000"/>
                <w:szCs w:val="20"/>
                <w:lang w:eastAsia="en-AU"/>
              </w:rPr>
              <w:t xml:space="preserve"> </w:t>
            </w:r>
          </w:p>
          <w:p w14:paraId="374E8410" w14:textId="6B02ACF2" w:rsidR="00A17D46" w:rsidRPr="00E57178" w:rsidRDefault="00A17D46" w:rsidP="00A17D46">
            <w:pPr>
              <w:keepNext/>
              <w:spacing w:before="60" w:after="60"/>
              <w:ind w:left="113" w:right="28"/>
              <w:rPr>
                <w:rFonts w:eastAsia="Times New Roman" w:cs="Arial"/>
                <w:color w:val="000000"/>
                <w:szCs w:val="20"/>
                <w:lang w:eastAsia="en-AU"/>
              </w:rPr>
            </w:pPr>
            <w:r w:rsidRPr="00E57178">
              <w:rPr>
                <w:rFonts w:eastAsia="Times New Roman" w:cs="Arial"/>
                <w:color w:val="000000"/>
                <w:szCs w:val="20"/>
                <w:lang w:eastAsia="en-AU"/>
              </w:rPr>
              <w:t>International</w:t>
            </w:r>
          </w:p>
        </w:tc>
        <w:tc>
          <w:tcPr>
            <w:tcW w:w="1531" w:type="dxa"/>
            <w:noWrap/>
            <w:vAlign w:val="center"/>
            <w:hideMark/>
          </w:tcPr>
          <w:p w14:paraId="74633A21" w14:textId="77777777" w:rsidR="00A17D46" w:rsidRDefault="00A17D46" w:rsidP="00A17D46">
            <w:pPr>
              <w:keepNext/>
              <w:spacing w:before="60" w:after="60"/>
              <w:ind w:left="113" w:right="28"/>
              <w:rPr>
                <w:rFonts w:eastAsia="Times New Roman" w:cs="Arial"/>
                <w:color w:val="000000"/>
                <w:szCs w:val="20"/>
                <w:lang w:eastAsia="en-AU"/>
              </w:rPr>
            </w:pPr>
            <w:r w:rsidRPr="0072412A">
              <w:rPr>
                <w:rFonts w:eastAsia="Times New Roman" w:cs="Arial"/>
                <w:b/>
                <w:bCs/>
                <w:color w:val="000000"/>
                <w:szCs w:val="20"/>
                <w:lang w:eastAsia="en-AU"/>
              </w:rPr>
              <w:t>Medium-term (2026):</w:t>
            </w:r>
            <w:r>
              <w:rPr>
                <w:rFonts w:eastAsia="Times New Roman" w:cs="Arial"/>
                <w:color w:val="000000"/>
                <w:szCs w:val="20"/>
                <w:lang w:eastAsia="en-AU"/>
              </w:rPr>
              <w:t xml:space="preserve"> </w:t>
            </w:r>
          </w:p>
          <w:p w14:paraId="577499B5" w14:textId="1E606DDB" w:rsidR="00A17D46" w:rsidRPr="00E57178" w:rsidRDefault="00A17D46" w:rsidP="00A17D46">
            <w:pPr>
              <w:keepNext/>
              <w:spacing w:before="60" w:after="60"/>
              <w:ind w:left="113" w:right="28"/>
              <w:rPr>
                <w:rFonts w:eastAsia="Times New Roman" w:cs="Arial"/>
                <w:color w:val="000000"/>
                <w:szCs w:val="20"/>
                <w:lang w:eastAsia="en-AU"/>
              </w:rPr>
            </w:pPr>
            <w:r w:rsidRPr="00E57178">
              <w:rPr>
                <w:rFonts w:eastAsia="Times New Roman" w:cs="Arial"/>
                <w:color w:val="000000"/>
                <w:szCs w:val="20"/>
                <w:lang w:eastAsia="en-AU"/>
              </w:rPr>
              <w:t>Domestic</w:t>
            </w:r>
          </w:p>
        </w:tc>
        <w:tc>
          <w:tcPr>
            <w:tcW w:w="1531" w:type="dxa"/>
            <w:vAlign w:val="center"/>
          </w:tcPr>
          <w:p w14:paraId="03AFE405" w14:textId="77777777" w:rsidR="00A17D46" w:rsidRDefault="00A17D46" w:rsidP="00A17D46">
            <w:pPr>
              <w:keepNext/>
              <w:spacing w:before="60" w:after="60"/>
              <w:ind w:left="113" w:right="28"/>
              <w:rPr>
                <w:rFonts w:eastAsia="Times New Roman" w:cs="Arial"/>
                <w:color w:val="000000"/>
                <w:szCs w:val="20"/>
                <w:lang w:eastAsia="en-AU"/>
              </w:rPr>
            </w:pPr>
            <w:r w:rsidRPr="0072412A">
              <w:rPr>
                <w:rFonts w:eastAsia="Times New Roman" w:cs="Arial"/>
                <w:b/>
                <w:bCs/>
                <w:color w:val="000000"/>
                <w:szCs w:val="20"/>
                <w:lang w:eastAsia="en-AU"/>
              </w:rPr>
              <w:t>Medium-term (2026):</w:t>
            </w:r>
            <w:r>
              <w:rPr>
                <w:rFonts w:eastAsia="Times New Roman" w:cs="Arial"/>
                <w:color w:val="000000"/>
                <w:szCs w:val="20"/>
                <w:lang w:eastAsia="en-AU"/>
              </w:rPr>
              <w:t xml:space="preserve"> </w:t>
            </w:r>
          </w:p>
          <w:p w14:paraId="5A2D2CAF" w14:textId="1DBA0072" w:rsidR="00A17D46" w:rsidRPr="00E57178" w:rsidRDefault="00A17D46" w:rsidP="00A17D46">
            <w:pPr>
              <w:keepNext/>
              <w:spacing w:before="60" w:after="60"/>
              <w:ind w:left="113" w:right="28"/>
              <w:rPr>
                <w:rFonts w:eastAsia="Times New Roman" w:cs="Arial"/>
                <w:color w:val="000000"/>
                <w:szCs w:val="20"/>
                <w:lang w:eastAsia="en-AU"/>
              </w:rPr>
            </w:pPr>
            <w:r w:rsidRPr="00E57178">
              <w:rPr>
                <w:rFonts w:eastAsia="Times New Roman" w:cs="Arial"/>
                <w:color w:val="000000"/>
                <w:szCs w:val="20"/>
                <w:lang w:eastAsia="en-AU"/>
              </w:rPr>
              <w:t>International</w:t>
            </w:r>
          </w:p>
        </w:tc>
      </w:tr>
      <w:tr w:rsidR="00196639" w:rsidRPr="005A3AFE" w14:paraId="14D22D7F" w14:textId="77777777" w:rsidTr="00E57178">
        <w:trPr>
          <w:trHeight w:val="340"/>
        </w:trPr>
        <w:tc>
          <w:tcPr>
            <w:tcW w:w="4106" w:type="dxa"/>
            <w:vAlign w:val="center"/>
            <w:hideMark/>
          </w:tcPr>
          <w:p w14:paraId="0AA31726" w14:textId="5D51C86A" w:rsidR="00196639" w:rsidRPr="00E57178" w:rsidRDefault="00196639" w:rsidP="00B4258D">
            <w:pPr>
              <w:keepNext/>
              <w:spacing w:before="120" w:after="120"/>
              <w:ind w:left="28" w:right="28"/>
              <w:rPr>
                <w:rFonts w:eastAsia="Times New Roman" w:cs="Arial"/>
                <w:color w:val="000000"/>
                <w:szCs w:val="20"/>
                <w:lang w:eastAsia="en-AU"/>
              </w:rPr>
            </w:pPr>
            <w:r w:rsidRPr="00E57178">
              <w:rPr>
                <w:rFonts w:eastAsia="Times New Roman" w:cs="Arial"/>
                <w:color w:val="000000"/>
                <w:szCs w:val="20"/>
                <w:lang w:val="en-GB" w:eastAsia="en-AU"/>
              </w:rPr>
              <w:t>Full-time employment rate (%)</w:t>
            </w:r>
            <w:r w:rsidR="00CD57C6" w:rsidRPr="00E57178">
              <w:rPr>
                <w:rFonts w:cs="Arial"/>
                <w:szCs w:val="20"/>
                <w:vertAlign w:val="superscript"/>
              </w:rPr>
              <w:t>‡</w:t>
            </w:r>
          </w:p>
        </w:tc>
        <w:tc>
          <w:tcPr>
            <w:tcW w:w="1530" w:type="dxa"/>
            <w:noWrap/>
            <w:vAlign w:val="bottom"/>
            <w:hideMark/>
          </w:tcPr>
          <w:p w14:paraId="2DBBBD36" w14:textId="12882549"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86.2</w:t>
            </w:r>
          </w:p>
        </w:tc>
        <w:tc>
          <w:tcPr>
            <w:tcW w:w="1531" w:type="dxa"/>
            <w:noWrap/>
            <w:vAlign w:val="bottom"/>
            <w:hideMark/>
          </w:tcPr>
          <w:p w14:paraId="16568F83" w14:textId="2122C173"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78.1</w:t>
            </w:r>
          </w:p>
        </w:tc>
        <w:tc>
          <w:tcPr>
            <w:tcW w:w="1531" w:type="dxa"/>
            <w:noWrap/>
            <w:vAlign w:val="bottom"/>
            <w:hideMark/>
          </w:tcPr>
          <w:p w14:paraId="11CC4316" w14:textId="140E8304"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92.1</w:t>
            </w:r>
          </w:p>
        </w:tc>
        <w:tc>
          <w:tcPr>
            <w:tcW w:w="1531" w:type="dxa"/>
            <w:noWrap/>
            <w:vAlign w:val="bottom"/>
            <w:hideMark/>
          </w:tcPr>
          <w:p w14:paraId="64365E72" w14:textId="1EA1EE05" w:rsidR="00196639" w:rsidRPr="00E57178" w:rsidRDefault="00196639"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90.</w:t>
            </w:r>
            <w:r w:rsidR="00A04B7D" w:rsidRPr="00E57178">
              <w:rPr>
                <w:rFonts w:cs="Arial"/>
                <w:color w:val="3A3A3A"/>
                <w:szCs w:val="20"/>
              </w:rPr>
              <w:t>6</w:t>
            </w:r>
          </w:p>
        </w:tc>
      </w:tr>
      <w:tr w:rsidR="00196639" w:rsidRPr="005A3AFE" w14:paraId="694CDF03" w14:textId="77777777" w:rsidTr="00E57178">
        <w:trPr>
          <w:trHeight w:val="340"/>
        </w:trPr>
        <w:tc>
          <w:tcPr>
            <w:tcW w:w="4106" w:type="dxa"/>
            <w:vAlign w:val="center"/>
            <w:hideMark/>
          </w:tcPr>
          <w:p w14:paraId="5E28167C" w14:textId="772CF21D" w:rsidR="00196639" w:rsidRPr="00E57178" w:rsidRDefault="00196639" w:rsidP="00B4258D">
            <w:pPr>
              <w:keepNext/>
              <w:spacing w:before="120" w:after="120"/>
              <w:ind w:left="28" w:right="28"/>
              <w:rPr>
                <w:rFonts w:eastAsia="Times New Roman" w:cs="Arial"/>
                <w:color w:val="000000"/>
                <w:szCs w:val="20"/>
                <w:lang w:eastAsia="en-AU"/>
              </w:rPr>
            </w:pPr>
            <w:r w:rsidRPr="00E57178">
              <w:rPr>
                <w:rFonts w:eastAsia="Times New Roman" w:cs="Arial"/>
                <w:color w:val="000000"/>
                <w:szCs w:val="20"/>
                <w:lang w:val="en-GB" w:eastAsia="en-AU"/>
              </w:rPr>
              <w:t>Overall employment rate (%)</w:t>
            </w:r>
            <w:r w:rsidR="00CD57C6" w:rsidRPr="00E57178">
              <w:rPr>
                <w:rFonts w:cs="Arial"/>
                <w:szCs w:val="20"/>
                <w:vertAlign w:val="superscript"/>
              </w:rPr>
              <w:t>‡</w:t>
            </w:r>
          </w:p>
        </w:tc>
        <w:tc>
          <w:tcPr>
            <w:tcW w:w="1530" w:type="dxa"/>
            <w:noWrap/>
            <w:vAlign w:val="bottom"/>
            <w:hideMark/>
          </w:tcPr>
          <w:p w14:paraId="42F37979" w14:textId="12032D9E" w:rsidR="00196639" w:rsidRPr="00E57178" w:rsidRDefault="00196639"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92.</w:t>
            </w:r>
            <w:r w:rsidR="00A04B7D" w:rsidRPr="00E57178">
              <w:rPr>
                <w:rFonts w:cs="Arial"/>
                <w:color w:val="3A3A3A"/>
                <w:szCs w:val="20"/>
              </w:rPr>
              <w:t>0</w:t>
            </w:r>
          </w:p>
        </w:tc>
        <w:tc>
          <w:tcPr>
            <w:tcW w:w="1531" w:type="dxa"/>
            <w:noWrap/>
            <w:vAlign w:val="bottom"/>
            <w:hideMark/>
          </w:tcPr>
          <w:p w14:paraId="1187FC6A" w14:textId="6CE99D38"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87.9</w:t>
            </w:r>
          </w:p>
        </w:tc>
        <w:tc>
          <w:tcPr>
            <w:tcW w:w="1531" w:type="dxa"/>
            <w:noWrap/>
            <w:vAlign w:val="bottom"/>
            <w:hideMark/>
          </w:tcPr>
          <w:p w14:paraId="28EB1FBD" w14:textId="1ACF8972"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94.8</w:t>
            </w:r>
          </w:p>
        </w:tc>
        <w:tc>
          <w:tcPr>
            <w:tcW w:w="1531" w:type="dxa"/>
            <w:noWrap/>
            <w:vAlign w:val="bottom"/>
            <w:hideMark/>
          </w:tcPr>
          <w:p w14:paraId="5F2D5619" w14:textId="5E6EC27D" w:rsidR="00196639" w:rsidRPr="00E57178" w:rsidRDefault="00196639"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94.</w:t>
            </w:r>
            <w:r w:rsidR="00A04B7D" w:rsidRPr="00E57178">
              <w:rPr>
                <w:rFonts w:cs="Arial"/>
                <w:color w:val="3A3A3A"/>
                <w:szCs w:val="20"/>
              </w:rPr>
              <w:t>7</w:t>
            </w:r>
          </w:p>
        </w:tc>
      </w:tr>
      <w:tr w:rsidR="00196639" w:rsidRPr="005A3AFE" w14:paraId="0850D5FA" w14:textId="77777777" w:rsidTr="00E57178">
        <w:trPr>
          <w:trHeight w:val="340"/>
        </w:trPr>
        <w:tc>
          <w:tcPr>
            <w:tcW w:w="4106" w:type="dxa"/>
            <w:vAlign w:val="center"/>
            <w:hideMark/>
          </w:tcPr>
          <w:p w14:paraId="45145F70" w14:textId="41BE3CC0" w:rsidR="00196639" w:rsidRPr="00E57178" w:rsidRDefault="00196639" w:rsidP="00B4258D">
            <w:pPr>
              <w:keepNext/>
              <w:spacing w:before="120" w:after="120"/>
              <w:ind w:left="28" w:right="28"/>
              <w:rPr>
                <w:rFonts w:eastAsia="Times New Roman" w:cs="Arial"/>
                <w:color w:val="000000"/>
                <w:szCs w:val="20"/>
                <w:lang w:eastAsia="en-AU"/>
              </w:rPr>
            </w:pPr>
            <w:r w:rsidRPr="00E57178">
              <w:rPr>
                <w:rFonts w:eastAsia="Times New Roman" w:cs="Arial"/>
                <w:color w:val="000000"/>
                <w:szCs w:val="20"/>
                <w:lang w:val="en-GB" w:eastAsia="en-AU"/>
              </w:rPr>
              <w:t>Labour force participation rate (%)</w:t>
            </w:r>
            <w:r w:rsidR="00CD57C6" w:rsidRPr="00E57178">
              <w:rPr>
                <w:rFonts w:cs="Arial"/>
                <w:szCs w:val="20"/>
                <w:vertAlign w:val="superscript"/>
              </w:rPr>
              <w:t>‡</w:t>
            </w:r>
          </w:p>
        </w:tc>
        <w:tc>
          <w:tcPr>
            <w:tcW w:w="1530" w:type="dxa"/>
            <w:noWrap/>
            <w:vAlign w:val="bottom"/>
            <w:hideMark/>
          </w:tcPr>
          <w:p w14:paraId="399E345D" w14:textId="39F854F1"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96.2</w:t>
            </w:r>
          </w:p>
        </w:tc>
        <w:tc>
          <w:tcPr>
            <w:tcW w:w="1531" w:type="dxa"/>
            <w:noWrap/>
            <w:vAlign w:val="bottom"/>
            <w:hideMark/>
          </w:tcPr>
          <w:p w14:paraId="054BA41D" w14:textId="43997F03"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97.0</w:t>
            </w:r>
          </w:p>
        </w:tc>
        <w:tc>
          <w:tcPr>
            <w:tcW w:w="1531" w:type="dxa"/>
            <w:noWrap/>
            <w:vAlign w:val="bottom"/>
            <w:hideMark/>
          </w:tcPr>
          <w:p w14:paraId="41E39539" w14:textId="4F002EDC"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92.0</w:t>
            </w:r>
          </w:p>
        </w:tc>
        <w:tc>
          <w:tcPr>
            <w:tcW w:w="1531" w:type="dxa"/>
            <w:noWrap/>
            <w:vAlign w:val="bottom"/>
            <w:hideMark/>
          </w:tcPr>
          <w:p w14:paraId="52E07762" w14:textId="43BB2C54"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95.8</w:t>
            </w:r>
          </w:p>
        </w:tc>
      </w:tr>
      <w:tr w:rsidR="00196639" w:rsidRPr="005A3AFE" w14:paraId="36FEAB6D" w14:textId="77777777" w:rsidTr="00E57178">
        <w:trPr>
          <w:trHeight w:val="340"/>
        </w:trPr>
        <w:tc>
          <w:tcPr>
            <w:tcW w:w="4106" w:type="dxa"/>
            <w:vAlign w:val="center"/>
            <w:hideMark/>
          </w:tcPr>
          <w:p w14:paraId="202D9676" w14:textId="77777777" w:rsidR="00196639" w:rsidRPr="00E57178" w:rsidRDefault="00196639" w:rsidP="00B4258D">
            <w:pPr>
              <w:keepNext/>
              <w:spacing w:before="120" w:after="120"/>
              <w:ind w:left="28" w:right="28"/>
              <w:rPr>
                <w:rFonts w:eastAsia="Times New Roman" w:cs="Arial"/>
                <w:color w:val="000000"/>
                <w:szCs w:val="20"/>
                <w:lang w:eastAsia="en-AU"/>
              </w:rPr>
            </w:pPr>
            <w:r w:rsidRPr="00E57178">
              <w:rPr>
                <w:rFonts w:eastAsia="Times New Roman" w:cs="Arial"/>
                <w:color w:val="000000"/>
                <w:szCs w:val="20"/>
                <w:lang w:eastAsia="en-AU"/>
              </w:rPr>
              <w:t>Median annual full-time salary ($)</w:t>
            </w:r>
          </w:p>
        </w:tc>
        <w:tc>
          <w:tcPr>
            <w:tcW w:w="1530" w:type="dxa"/>
            <w:noWrap/>
            <w:vAlign w:val="bottom"/>
            <w:hideMark/>
          </w:tcPr>
          <w:p w14:paraId="0FF20104" w14:textId="10F65F3B"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100</w:t>
            </w:r>
            <w:r w:rsidR="00196639" w:rsidRPr="00E57178">
              <w:rPr>
                <w:rFonts w:cs="Arial"/>
                <w:color w:val="3A3A3A"/>
                <w:szCs w:val="20"/>
              </w:rPr>
              <w:t>,000</w:t>
            </w:r>
          </w:p>
        </w:tc>
        <w:tc>
          <w:tcPr>
            <w:tcW w:w="1531" w:type="dxa"/>
            <w:noWrap/>
            <w:vAlign w:val="bottom"/>
            <w:hideMark/>
          </w:tcPr>
          <w:p w14:paraId="521DA941" w14:textId="39CAC40F"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92,900</w:t>
            </w:r>
          </w:p>
        </w:tc>
        <w:tc>
          <w:tcPr>
            <w:tcW w:w="1531" w:type="dxa"/>
            <w:noWrap/>
            <w:vAlign w:val="bottom"/>
            <w:hideMark/>
          </w:tcPr>
          <w:p w14:paraId="56F3024C" w14:textId="6D7D78CD"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125</w:t>
            </w:r>
            <w:r w:rsidR="00196639" w:rsidRPr="00E57178">
              <w:rPr>
                <w:rFonts w:cs="Arial"/>
                <w:color w:val="3A3A3A"/>
                <w:szCs w:val="20"/>
              </w:rPr>
              <w:t>,000</w:t>
            </w:r>
          </w:p>
        </w:tc>
        <w:tc>
          <w:tcPr>
            <w:tcW w:w="1531" w:type="dxa"/>
            <w:noWrap/>
            <w:vAlign w:val="bottom"/>
            <w:hideMark/>
          </w:tcPr>
          <w:p w14:paraId="43ABF5BA" w14:textId="192046D6" w:rsidR="00196639" w:rsidRPr="00E57178" w:rsidRDefault="00A04B7D" w:rsidP="00B4258D">
            <w:pPr>
              <w:keepNext/>
              <w:spacing w:before="120" w:after="120"/>
              <w:ind w:left="28" w:right="28"/>
              <w:jc w:val="center"/>
              <w:rPr>
                <w:rFonts w:eastAsia="Times New Roman" w:cs="Arial"/>
                <w:color w:val="000000"/>
                <w:szCs w:val="20"/>
                <w:lang w:eastAsia="en-AU"/>
              </w:rPr>
            </w:pPr>
            <w:r w:rsidRPr="00E57178">
              <w:rPr>
                <w:rFonts w:cs="Arial"/>
                <w:color w:val="3A3A3A"/>
                <w:szCs w:val="20"/>
              </w:rPr>
              <w:t>112</w:t>
            </w:r>
            <w:r w:rsidR="00196639" w:rsidRPr="00E57178">
              <w:rPr>
                <w:rFonts w:cs="Arial"/>
                <w:color w:val="3A3A3A"/>
                <w:szCs w:val="20"/>
              </w:rPr>
              <w:t>,000</w:t>
            </w:r>
          </w:p>
        </w:tc>
      </w:tr>
      <w:tr w:rsidR="00196639" w:rsidRPr="005A3AFE" w14:paraId="5E7F6D9B" w14:textId="77777777" w:rsidTr="00E57178">
        <w:trPr>
          <w:trHeight w:val="340"/>
        </w:trPr>
        <w:tc>
          <w:tcPr>
            <w:tcW w:w="4106" w:type="dxa"/>
            <w:vAlign w:val="center"/>
          </w:tcPr>
          <w:p w14:paraId="630339AE" w14:textId="77777777" w:rsidR="00196639" w:rsidRPr="00E57178" w:rsidRDefault="00196639" w:rsidP="00B4258D">
            <w:pPr>
              <w:keepNext/>
              <w:spacing w:before="120" w:after="120"/>
              <w:ind w:left="28" w:right="28"/>
              <w:rPr>
                <w:rFonts w:eastAsia="Times New Roman" w:cs="Arial"/>
                <w:color w:val="000000"/>
                <w:szCs w:val="20"/>
                <w:lang w:eastAsia="en-AU"/>
              </w:rPr>
            </w:pPr>
            <w:r w:rsidRPr="00E57178">
              <w:rPr>
                <w:rFonts w:eastAsia="Times New Roman" w:cs="Arial"/>
                <w:color w:val="000000"/>
                <w:szCs w:val="20"/>
                <w:lang w:eastAsia="en-AU"/>
              </w:rPr>
              <w:t>Underemployment rate (%)</w:t>
            </w:r>
          </w:p>
        </w:tc>
        <w:tc>
          <w:tcPr>
            <w:tcW w:w="1530" w:type="dxa"/>
            <w:noWrap/>
            <w:vAlign w:val="bottom"/>
          </w:tcPr>
          <w:p w14:paraId="0DC8B430" w14:textId="54EE5C94" w:rsidR="00196639" w:rsidRPr="00E57178" w:rsidRDefault="00725025" w:rsidP="00B4258D">
            <w:pPr>
              <w:keepNext/>
              <w:spacing w:before="120" w:after="120"/>
              <w:ind w:left="28" w:right="28"/>
              <w:jc w:val="center"/>
              <w:rPr>
                <w:rFonts w:cs="Arial"/>
                <w:color w:val="000000"/>
                <w:szCs w:val="20"/>
              </w:rPr>
            </w:pPr>
            <w:r w:rsidRPr="00E57178">
              <w:rPr>
                <w:rFonts w:cs="Arial"/>
                <w:color w:val="3A3A3A"/>
                <w:szCs w:val="20"/>
              </w:rPr>
              <w:t>9.1</w:t>
            </w:r>
          </w:p>
        </w:tc>
        <w:tc>
          <w:tcPr>
            <w:tcW w:w="1531" w:type="dxa"/>
            <w:noWrap/>
            <w:vAlign w:val="bottom"/>
          </w:tcPr>
          <w:p w14:paraId="67B53F18" w14:textId="7B2CE29C" w:rsidR="00196639" w:rsidRPr="00E57178" w:rsidRDefault="00725025" w:rsidP="00B4258D">
            <w:pPr>
              <w:keepNext/>
              <w:spacing w:before="120" w:after="120"/>
              <w:ind w:left="28" w:right="28"/>
              <w:jc w:val="center"/>
              <w:rPr>
                <w:rFonts w:cs="Arial"/>
                <w:color w:val="000000"/>
                <w:szCs w:val="20"/>
              </w:rPr>
            </w:pPr>
            <w:r w:rsidRPr="00E57178">
              <w:rPr>
                <w:rFonts w:cs="Arial"/>
                <w:color w:val="3A3A3A"/>
                <w:szCs w:val="20"/>
              </w:rPr>
              <w:t>14.5</w:t>
            </w:r>
          </w:p>
        </w:tc>
        <w:tc>
          <w:tcPr>
            <w:tcW w:w="1531" w:type="dxa"/>
            <w:noWrap/>
            <w:vAlign w:val="bottom"/>
          </w:tcPr>
          <w:p w14:paraId="2F427B9F" w14:textId="03603A25" w:rsidR="00196639" w:rsidRPr="00E57178" w:rsidRDefault="00725025" w:rsidP="00B4258D">
            <w:pPr>
              <w:keepNext/>
              <w:spacing w:before="120" w:after="120"/>
              <w:ind w:left="28" w:right="28"/>
              <w:jc w:val="center"/>
              <w:rPr>
                <w:rFonts w:cs="Arial"/>
                <w:color w:val="000000"/>
                <w:szCs w:val="20"/>
              </w:rPr>
            </w:pPr>
            <w:r w:rsidRPr="00E57178">
              <w:rPr>
                <w:rFonts w:cs="Arial"/>
                <w:color w:val="3A3A3A"/>
                <w:szCs w:val="20"/>
              </w:rPr>
              <w:t>6.1</w:t>
            </w:r>
          </w:p>
        </w:tc>
        <w:tc>
          <w:tcPr>
            <w:tcW w:w="1531" w:type="dxa"/>
            <w:noWrap/>
            <w:vAlign w:val="bottom"/>
          </w:tcPr>
          <w:p w14:paraId="248D5EED" w14:textId="1CC0406B" w:rsidR="00196639" w:rsidRPr="00E57178" w:rsidRDefault="00725025" w:rsidP="00B4258D">
            <w:pPr>
              <w:keepNext/>
              <w:spacing w:before="120" w:after="120"/>
              <w:ind w:left="28" w:right="28"/>
              <w:jc w:val="center"/>
              <w:rPr>
                <w:rFonts w:cs="Arial"/>
                <w:color w:val="000000"/>
                <w:szCs w:val="20"/>
              </w:rPr>
            </w:pPr>
            <w:r w:rsidRPr="00E57178">
              <w:rPr>
                <w:rFonts w:cs="Arial"/>
                <w:color w:val="3A3A3A"/>
                <w:szCs w:val="20"/>
              </w:rPr>
              <w:t>7.0</w:t>
            </w:r>
          </w:p>
        </w:tc>
      </w:tr>
      <w:tr w:rsidR="008250E9" w:rsidRPr="005A3AFE" w14:paraId="42A0EB27" w14:textId="77777777" w:rsidTr="00E57178">
        <w:trPr>
          <w:trHeight w:val="340"/>
        </w:trPr>
        <w:tc>
          <w:tcPr>
            <w:tcW w:w="4106" w:type="dxa"/>
            <w:vAlign w:val="center"/>
          </w:tcPr>
          <w:p w14:paraId="056CB284" w14:textId="3285491D" w:rsidR="008250E9" w:rsidRPr="00E57178" w:rsidRDefault="008250E9" w:rsidP="00B4258D">
            <w:pPr>
              <w:keepNext/>
              <w:spacing w:before="120" w:after="120"/>
              <w:ind w:left="28" w:right="28"/>
              <w:rPr>
                <w:rFonts w:eastAsia="Times New Roman" w:cs="Arial"/>
                <w:color w:val="000000"/>
                <w:szCs w:val="20"/>
                <w:lang w:eastAsia="en-AU"/>
              </w:rPr>
            </w:pPr>
            <w:bookmarkStart w:id="215" w:name="_Hlk153360910"/>
            <w:r w:rsidRPr="00E57178">
              <w:rPr>
                <w:rFonts w:eastAsia="Times New Roman" w:cs="Arial"/>
                <w:color w:val="000000"/>
                <w:szCs w:val="20"/>
                <w:lang w:eastAsia="en-AU"/>
              </w:rPr>
              <w:t>In further full-time study</w:t>
            </w:r>
            <w:r w:rsidR="00CC3860" w:rsidRPr="00E57178">
              <w:rPr>
                <w:rFonts w:eastAsia="Times New Roman" w:cs="Arial"/>
                <w:color w:val="000000"/>
                <w:szCs w:val="20"/>
                <w:lang w:eastAsia="en-AU"/>
              </w:rPr>
              <w:t xml:space="preserve"> (%)</w:t>
            </w:r>
          </w:p>
        </w:tc>
        <w:tc>
          <w:tcPr>
            <w:tcW w:w="1530" w:type="dxa"/>
            <w:noWrap/>
            <w:vAlign w:val="bottom"/>
          </w:tcPr>
          <w:p w14:paraId="36092E7F" w14:textId="4D35C310" w:rsidR="008250E9" w:rsidRPr="00E57178" w:rsidRDefault="008250E9" w:rsidP="00B4258D">
            <w:pPr>
              <w:keepNext/>
              <w:spacing w:before="120" w:after="120"/>
              <w:ind w:left="28" w:right="28"/>
              <w:jc w:val="center"/>
              <w:rPr>
                <w:rFonts w:cs="Arial"/>
                <w:color w:val="3A3A3A"/>
                <w:szCs w:val="20"/>
              </w:rPr>
            </w:pPr>
            <w:r w:rsidRPr="00E57178">
              <w:rPr>
                <w:rFonts w:cs="Arial"/>
                <w:color w:val="3A3A3A"/>
                <w:szCs w:val="20"/>
              </w:rPr>
              <w:t>5.7</w:t>
            </w:r>
          </w:p>
        </w:tc>
        <w:tc>
          <w:tcPr>
            <w:tcW w:w="1531" w:type="dxa"/>
            <w:noWrap/>
            <w:vAlign w:val="bottom"/>
          </w:tcPr>
          <w:p w14:paraId="19498EFD" w14:textId="22891468" w:rsidR="008250E9" w:rsidRPr="00E57178" w:rsidRDefault="008250E9" w:rsidP="00B4258D">
            <w:pPr>
              <w:keepNext/>
              <w:spacing w:before="120" w:after="120"/>
              <w:ind w:left="28" w:right="28"/>
              <w:jc w:val="center"/>
              <w:rPr>
                <w:rFonts w:cs="Arial"/>
                <w:color w:val="3A3A3A"/>
                <w:szCs w:val="20"/>
              </w:rPr>
            </w:pPr>
            <w:r w:rsidRPr="00E57178">
              <w:rPr>
                <w:rFonts w:cs="Arial"/>
                <w:color w:val="3A3A3A"/>
                <w:szCs w:val="20"/>
              </w:rPr>
              <w:t>9.6</w:t>
            </w:r>
          </w:p>
        </w:tc>
        <w:tc>
          <w:tcPr>
            <w:tcW w:w="1531" w:type="dxa"/>
            <w:noWrap/>
            <w:vAlign w:val="bottom"/>
          </w:tcPr>
          <w:p w14:paraId="35FF3303" w14:textId="6FFBB163" w:rsidR="008250E9" w:rsidRPr="00E57178" w:rsidRDefault="008250E9" w:rsidP="00B4258D">
            <w:pPr>
              <w:keepNext/>
              <w:spacing w:before="120" w:after="120"/>
              <w:ind w:left="28" w:right="28"/>
              <w:jc w:val="center"/>
              <w:rPr>
                <w:rFonts w:cs="Arial"/>
                <w:color w:val="3A3A3A"/>
                <w:szCs w:val="20"/>
              </w:rPr>
            </w:pPr>
            <w:r w:rsidRPr="00E57178">
              <w:rPr>
                <w:rFonts w:cs="Arial"/>
                <w:color w:val="3A3A3A"/>
                <w:szCs w:val="20"/>
              </w:rPr>
              <w:t>5.1</w:t>
            </w:r>
          </w:p>
        </w:tc>
        <w:tc>
          <w:tcPr>
            <w:tcW w:w="1531" w:type="dxa"/>
            <w:noWrap/>
            <w:vAlign w:val="bottom"/>
          </w:tcPr>
          <w:p w14:paraId="1A54CF49" w14:textId="25D10739" w:rsidR="008250E9" w:rsidRPr="00E57178" w:rsidRDefault="008250E9" w:rsidP="00B4258D">
            <w:pPr>
              <w:keepNext/>
              <w:spacing w:before="120" w:after="120"/>
              <w:ind w:left="28" w:right="28"/>
              <w:jc w:val="center"/>
              <w:rPr>
                <w:rFonts w:cs="Arial"/>
                <w:color w:val="3A3A3A"/>
                <w:szCs w:val="20"/>
              </w:rPr>
            </w:pPr>
            <w:r w:rsidRPr="00E57178">
              <w:rPr>
                <w:rFonts w:cs="Arial"/>
                <w:color w:val="3A3A3A"/>
                <w:szCs w:val="20"/>
              </w:rPr>
              <w:t>5.9</w:t>
            </w:r>
          </w:p>
        </w:tc>
      </w:tr>
      <w:tr w:rsidR="00C7504D" w:rsidRPr="005A3AFE" w14:paraId="66ED8FAE" w14:textId="77777777" w:rsidTr="00E57178">
        <w:trPr>
          <w:trHeight w:val="340"/>
        </w:trPr>
        <w:tc>
          <w:tcPr>
            <w:tcW w:w="4106" w:type="dxa"/>
            <w:vAlign w:val="center"/>
          </w:tcPr>
          <w:p w14:paraId="5B1DB75E" w14:textId="7B789569" w:rsidR="00C7504D" w:rsidRPr="00E57178" w:rsidRDefault="00C7504D" w:rsidP="00B4258D">
            <w:pPr>
              <w:keepNext/>
              <w:spacing w:before="120" w:after="120"/>
              <w:ind w:left="28" w:right="28"/>
              <w:rPr>
                <w:rFonts w:eastAsia="Times New Roman" w:cs="Arial"/>
                <w:color w:val="000000"/>
                <w:szCs w:val="20"/>
                <w:lang w:eastAsia="en-AU"/>
              </w:rPr>
            </w:pPr>
            <w:r w:rsidRPr="00E57178">
              <w:rPr>
                <w:rFonts w:eastAsia="Times New Roman" w:cs="Arial"/>
                <w:color w:val="000000"/>
                <w:szCs w:val="20"/>
                <w:lang w:eastAsia="en-AU"/>
              </w:rPr>
              <w:t>Employed in managerial or professional occupation (% of those employed full-time)</w:t>
            </w:r>
          </w:p>
        </w:tc>
        <w:tc>
          <w:tcPr>
            <w:tcW w:w="1530" w:type="dxa"/>
            <w:noWrap/>
            <w:vAlign w:val="bottom"/>
          </w:tcPr>
          <w:p w14:paraId="1E1076AE" w14:textId="4AA0075B" w:rsidR="00C7504D" w:rsidRPr="00E57178" w:rsidRDefault="00C7504D" w:rsidP="00B4258D">
            <w:pPr>
              <w:keepNext/>
              <w:spacing w:before="120" w:after="120"/>
              <w:ind w:left="28" w:right="28"/>
              <w:jc w:val="center"/>
              <w:rPr>
                <w:rFonts w:cs="Arial"/>
                <w:color w:val="3A3A3A"/>
                <w:szCs w:val="20"/>
              </w:rPr>
            </w:pPr>
            <w:r w:rsidRPr="00E57178">
              <w:rPr>
                <w:rFonts w:cs="Arial"/>
                <w:color w:val="3A3A3A"/>
                <w:szCs w:val="20"/>
              </w:rPr>
              <w:t>90.5</w:t>
            </w:r>
          </w:p>
        </w:tc>
        <w:tc>
          <w:tcPr>
            <w:tcW w:w="1531" w:type="dxa"/>
            <w:noWrap/>
            <w:vAlign w:val="bottom"/>
          </w:tcPr>
          <w:p w14:paraId="78A5A967" w14:textId="58E70A23" w:rsidR="00C7504D" w:rsidRPr="00E57178" w:rsidRDefault="00C7504D" w:rsidP="00B4258D">
            <w:pPr>
              <w:keepNext/>
              <w:spacing w:before="120" w:after="120"/>
              <w:ind w:left="28" w:right="28"/>
              <w:jc w:val="center"/>
              <w:rPr>
                <w:rFonts w:cs="Arial"/>
                <w:color w:val="3A3A3A"/>
                <w:szCs w:val="20"/>
              </w:rPr>
            </w:pPr>
            <w:r w:rsidRPr="00E57178">
              <w:rPr>
                <w:rFonts w:cs="Arial"/>
                <w:color w:val="3A3A3A"/>
                <w:szCs w:val="20"/>
              </w:rPr>
              <w:t>90.9</w:t>
            </w:r>
          </w:p>
        </w:tc>
        <w:tc>
          <w:tcPr>
            <w:tcW w:w="1531" w:type="dxa"/>
            <w:noWrap/>
            <w:vAlign w:val="bottom"/>
          </w:tcPr>
          <w:p w14:paraId="0660DD77" w14:textId="52E90824" w:rsidR="00C7504D" w:rsidRPr="00E57178" w:rsidRDefault="00C7504D" w:rsidP="00B4258D">
            <w:pPr>
              <w:keepNext/>
              <w:spacing w:before="120" w:after="120"/>
              <w:ind w:left="28" w:right="28"/>
              <w:jc w:val="center"/>
              <w:rPr>
                <w:rFonts w:cs="Arial"/>
                <w:color w:val="3A3A3A"/>
                <w:szCs w:val="20"/>
              </w:rPr>
            </w:pPr>
            <w:r w:rsidRPr="00E57178">
              <w:rPr>
                <w:rFonts w:cs="Arial"/>
                <w:color w:val="3A3A3A"/>
                <w:szCs w:val="20"/>
              </w:rPr>
              <w:t>93.6</w:t>
            </w:r>
          </w:p>
        </w:tc>
        <w:tc>
          <w:tcPr>
            <w:tcW w:w="1531" w:type="dxa"/>
            <w:noWrap/>
            <w:vAlign w:val="bottom"/>
          </w:tcPr>
          <w:p w14:paraId="4D1CDA3F" w14:textId="436505B7" w:rsidR="00C7504D" w:rsidRPr="00E57178" w:rsidRDefault="00C7504D" w:rsidP="00B4258D">
            <w:pPr>
              <w:keepNext/>
              <w:spacing w:before="120" w:after="120"/>
              <w:ind w:left="28" w:right="28"/>
              <w:jc w:val="center"/>
              <w:rPr>
                <w:rFonts w:cs="Arial"/>
                <w:color w:val="3A3A3A"/>
                <w:szCs w:val="20"/>
              </w:rPr>
            </w:pPr>
            <w:r w:rsidRPr="00E57178">
              <w:rPr>
                <w:rFonts w:cs="Arial"/>
                <w:color w:val="3A3A3A"/>
                <w:szCs w:val="20"/>
              </w:rPr>
              <w:t>94.0</w:t>
            </w:r>
          </w:p>
        </w:tc>
      </w:tr>
    </w:tbl>
    <w:p w14:paraId="59D53477" w14:textId="77777777" w:rsidR="00CD57C6" w:rsidRPr="005A3AFE" w:rsidRDefault="00177A30" w:rsidP="00E32647">
      <w:pPr>
        <w:pStyle w:val="BaseFigureNotes"/>
        <w:spacing w:before="240" w:after="120"/>
      </w:pPr>
      <w:r w:rsidRPr="00B4258D">
        <w:rPr>
          <w:b/>
          <w:bCs/>
        </w:rPr>
        <w:t>Note:</w:t>
      </w:r>
      <w:r w:rsidRPr="005A3AFE">
        <w:t xml:space="preserve"> International graduates’ median salary figures only include data for international graduates working in Australia. </w:t>
      </w:r>
    </w:p>
    <w:p w14:paraId="6231D534" w14:textId="36F2494C" w:rsidR="00CD57C6" w:rsidRPr="005A3AFE" w:rsidRDefault="00CD57C6" w:rsidP="00A55102">
      <w:pPr>
        <w:pStyle w:val="BaseFigureNotes"/>
      </w:pPr>
      <w:r w:rsidRPr="005A3AFE">
        <w:t>‡ Medium-term labour force participation rates, and full-time and overall employment rates from 2025 onwards are not directly comparable with earlier years due to a change to how the labour force is defined. Caution should be exercised when interpreting shifts from the short- to medium-term for the 202</w:t>
      </w:r>
      <w:r w:rsidR="00B921B4" w:rsidRPr="005A3AFE">
        <w:t>3</w:t>
      </w:r>
      <w:r w:rsidR="00886C60" w:rsidRPr="00886C60">
        <w:t>–</w:t>
      </w:r>
      <w:r w:rsidRPr="005A3AFE">
        <w:t>202</w:t>
      </w:r>
      <w:r w:rsidR="00B921B4" w:rsidRPr="005A3AFE">
        <w:t>6</w:t>
      </w:r>
      <w:r w:rsidRPr="005A3AFE">
        <w:t xml:space="preserve"> cohort, as they partly reflect the change in methodology. See </w:t>
      </w:r>
      <w:r w:rsidRPr="005A3AFE">
        <w:rPr>
          <w:b/>
          <w:bCs/>
        </w:rPr>
        <w:t>Appendix 1</w:t>
      </w:r>
      <w:r w:rsidRPr="005A3AFE">
        <w:t xml:space="preserve"> </w:t>
      </w:r>
      <w:r w:rsidR="00533682">
        <w:t xml:space="preserve">in the 2025 GOS-L National Report </w:t>
      </w:r>
      <w:r w:rsidRPr="005A3AFE">
        <w:t>for further information.</w:t>
      </w:r>
    </w:p>
    <w:p w14:paraId="4F854EFF" w14:textId="77777777" w:rsidR="00CD57C6" w:rsidRPr="005A3AFE" w:rsidRDefault="00CD57C6" w:rsidP="00177A30">
      <w:pPr>
        <w:spacing w:before="120" w:after="120" w:line="300" w:lineRule="auto"/>
        <w:rPr>
          <w:rFonts w:eastAsia="Times New Roman" w:cs="Times New Roman"/>
          <w:sz w:val="16"/>
          <w:szCs w:val="20"/>
          <w:lang w:val="en-GB"/>
        </w:rPr>
      </w:pPr>
    </w:p>
    <w:p w14:paraId="127C7DAE" w14:textId="093293CC" w:rsidR="00CD57C6" w:rsidRPr="005A3AFE" w:rsidRDefault="00CD57C6" w:rsidP="00177A30">
      <w:pPr>
        <w:spacing w:before="120" w:after="120" w:line="300" w:lineRule="auto"/>
        <w:rPr>
          <w:rFonts w:eastAsia="Times New Roman" w:cs="Times New Roman"/>
          <w:sz w:val="16"/>
          <w:szCs w:val="20"/>
          <w:lang w:val="en-GB"/>
        </w:rPr>
        <w:sectPr w:rsidR="00CD57C6" w:rsidRPr="005A3AFE" w:rsidSect="00A11753">
          <w:footerReference w:type="default" r:id="rId81"/>
          <w:pgSz w:w="11900" w:h="16840"/>
          <w:pgMar w:top="709" w:right="709" w:bottom="709" w:left="709" w:header="397" w:footer="397" w:gutter="0"/>
          <w:cols w:space="708"/>
          <w:docGrid w:linePitch="360"/>
        </w:sectPr>
      </w:pPr>
    </w:p>
    <w:p w14:paraId="348A1454" w14:textId="53E8AC0C" w:rsidR="00177A30" w:rsidRPr="005A3AFE" w:rsidRDefault="00177A30" w:rsidP="001D593D">
      <w:pPr>
        <w:pStyle w:val="Heading3"/>
      </w:pPr>
      <w:bookmarkStart w:id="216" w:name="_Toc192179860"/>
      <w:bookmarkStart w:id="217" w:name="_Toc243492355"/>
      <w:bookmarkEnd w:id="215"/>
      <w:r w:rsidRPr="005A3AFE">
        <w:lastRenderedPageBreak/>
        <w:t>Study area</w:t>
      </w:r>
      <w:bookmarkEnd w:id="216"/>
      <w:bookmarkEnd w:id="217"/>
    </w:p>
    <w:p w14:paraId="5194D326" w14:textId="73122F80" w:rsidR="002C64CE" w:rsidRPr="005A3AFE" w:rsidRDefault="00177A30" w:rsidP="007F6B22">
      <w:pPr>
        <w:spacing w:before="120" w:after="240" w:line="300" w:lineRule="auto"/>
        <w:rPr>
          <w:rFonts w:eastAsia="Times New Roman" w:cs="Times New Roman"/>
          <w:szCs w:val="20"/>
        </w:rPr>
      </w:pPr>
      <w:r w:rsidRPr="005A3AFE">
        <w:rPr>
          <w:rFonts w:eastAsia="Times New Roman" w:cs="Times New Roman"/>
          <w:szCs w:val="20"/>
        </w:rPr>
        <w:t xml:space="preserve">International graduates </w:t>
      </w:r>
      <w:r w:rsidR="00A415AE" w:rsidRPr="005A3AFE">
        <w:rPr>
          <w:rFonts w:eastAsia="Times New Roman" w:cs="Times New Roman"/>
          <w:szCs w:val="20"/>
        </w:rPr>
        <w:t xml:space="preserve">at the </w:t>
      </w:r>
      <w:r w:rsidR="00FF32FC" w:rsidRPr="005A3AFE">
        <w:rPr>
          <w:rFonts w:eastAsia="Times New Roman" w:cs="Times New Roman"/>
          <w:szCs w:val="20"/>
        </w:rPr>
        <w:t>undergraduate and postgraduate coursework levels</w:t>
      </w:r>
      <w:r w:rsidRPr="005A3AFE">
        <w:rPr>
          <w:rFonts w:eastAsia="Times New Roman" w:cs="Times New Roman"/>
          <w:szCs w:val="20"/>
        </w:rPr>
        <w:t xml:space="preserve"> tend to </w:t>
      </w:r>
      <w:r w:rsidR="00206A21" w:rsidRPr="005A3AFE">
        <w:rPr>
          <w:rFonts w:eastAsia="Times New Roman" w:cs="Times New Roman"/>
          <w:szCs w:val="20"/>
        </w:rPr>
        <w:t>cluster in a small number of</w:t>
      </w:r>
      <w:r w:rsidRPr="005A3AFE">
        <w:rPr>
          <w:rFonts w:eastAsia="Times New Roman" w:cs="Times New Roman"/>
          <w:szCs w:val="20"/>
        </w:rPr>
        <w:t xml:space="preserve"> study areas</w:t>
      </w:r>
      <w:r w:rsidR="00FF32FC" w:rsidRPr="005A3AFE">
        <w:rPr>
          <w:rFonts w:eastAsia="Times New Roman" w:cs="Times New Roman"/>
          <w:szCs w:val="20"/>
        </w:rPr>
        <w:t>.</w:t>
      </w:r>
      <w:r w:rsidRPr="005A3AFE">
        <w:rPr>
          <w:rFonts w:eastAsia="Times New Roman" w:cs="Times New Roman"/>
          <w:szCs w:val="20"/>
        </w:rPr>
        <w:t xml:space="preserve"> Business and management, Computing and information systems, Engineering, and Nursing</w:t>
      </w:r>
      <w:r w:rsidR="0042453B" w:rsidRPr="005A3AFE">
        <w:rPr>
          <w:rFonts w:eastAsia="Times New Roman" w:cs="Times New Roman"/>
          <w:szCs w:val="20"/>
        </w:rPr>
        <w:t xml:space="preserve"> account for half of all international graduates for these cohorts, although</w:t>
      </w:r>
      <w:r w:rsidR="002C64CE" w:rsidRPr="005A3AFE">
        <w:rPr>
          <w:rFonts w:eastAsia="Times New Roman" w:cs="Times New Roman"/>
          <w:szCs w:val="20"/>
        </w:rPr>
        <w:t xml:space="preserve"> </w:t>
      </w:r>
      <w:r w:rsidR="0042453B" w:rsidRPr="005A3AFE">
        <w:rPr>
          <w:rFonts w:eastAsia="Times New Roman" w:cs="Times New Roman"/>
          <w:szCs w:val="20"/>
        </w:rPr>
        <w:t>t</w:t>
      </w:r>
      <w:r w:rsidRPr="005A3AFE">
        <w:rPr>
          <w:rFonts w:eastAsia="Times New Roman" w:cs="Times New Roman"/>
          <w:szCs w:val="20"/>
        </w:rPr>
        <w:t xml:space="preserve">he proportions vary by study level, as </w:t>
      </w:r>
      <w:r w:rsidR="00BC4270" w:rsidRPr="005A3AFE">
        <w:rPr>
          <w:rFonts w:eastAsia="Times New Roman" w:cs="Times New Roman"/>
          <w:szCs w:val="20"/>
        </w:rPr>
        <w:t xml:space="preserve">shown </w:t>
      </w:r>
      <w:r w:rsidRPr="005A3AFE">
        <w:rPr>
          <w:rFonts w:eastAsia="Times New Roman" w:cs="Times New Roman"/>
          <w:szCs w:val="20"/>
        </w:rPr>
        <w:t>in</w:t>
      </w:r>
      <w:r w:rsidR="00A84FB7" w:rsidRPr="005A3AFE">
        <w:rPr>
          <w:rFonts w:eastAsia="Times New Roman" w:cs="Times New Roman"/>
          <w:szCs w:val="20"/>
        </w:rPr>
        <w:t xml:space="preserve"> </w:t>
      </w:r>
      <w:r w:rsidR="00A84FB7" w:rsidRPr="005A3AFE">
        <w:rPr>
          <w:rFonts w:eastAsia="Times New Roman" w:cs="Times New Roman"/>
          <w:b/>
        </w:rPr>
        <w:fldChar w:fldCharType="begin"/>
      </w:r>
      <w:r w:rsidR="00A84FB7" w:rsidRPr="005A3AFE">
        <w:rPr>
          <w:rFonts w:eastAsia="Times New Roman" w:cs="Times New Roman"/>
          <w:b/>
        </w:rPr>
        <w:instrText xml:space="preserve"> REF _Ref204621292 \h  \* MERGEFORMAT </w:instrText>
      </w:r>
      <w:r w:rsidR="00A84FB7" w:rsidRPr="005A3AFE">
        <w:rPr>
          <w:rFonts w:eastAsia="Times New Roman" w:cs="Times New Roman"/>
          <w:b/>
        </w:rPr>
      </w:r>
      <w:r w:rsidR="00A84FB7" w:rsidRPr="005A3AFE">
        <w:rPr>
          <w:rFonts w:eastAsia="Times New Roman" w:cs="Times New Roman"/>
          <w:b/>
        </w:rPr>
        <w:fldChar w:fldCharType="separate"/>
      </w:r>
      <w:r w:rsidR="00FF36A4" w:rsidRPr="005A3AFE">
        <w:rPr>
          <w:b/>
        </w:rPr>
        <w:t xml:space="preserve">Figure </w:t>
      </w:r>
      <w:r w:rsidR="00A84FB7" w:rsidRPr="005A3AFE">
        <w:rPr>
          <w:rFonts w:eastAsia="Times New Roman" w:cs="Times New Roman"/>
          <w:b/>
        </w:rPr>
        <w:fldChar w:fldCharType="end"/>
      </w:r>
      <w:r w:rsidR="00487685">
        <w:rPr>
          <w:rFonts w:eastAsia="Times New Roman" w:cs="Times New Roman"/>
          <w:b/>
        </w:rPr>
        <w:t>21</w:t>
      </w:r>
      <w:r w:rsidRPr="005A3AFE">
        <w:rPr>
          <w:rFonts w:eastAsia="Times New Roman" w:cs="Times New Roman"/>
        </w:rPr>
        <w:t>.</w:t>
      </w:r>
      <w:r w:rsidRPr="005A3AFE">
        <w:rPr>
          <w:rFonts w:eastAsia="Times New Roman" w:cs="Times New Roman"/>
          <w:szCs w:val="20"/>
        </w:rPr>
        <w:t xml:space="preserve"> </w:t>
      </w:r>
      <w:r w:rsidR="00834208" w:rsidRPr="005A3AFE">
        <w:rPr>
          <w:rFonts w:eastAsia="Times New Roman" w:cs="Times New Roman"/>
          <w:szCs w:val="20"/>
        </w:rPr>
        <w:t xml:space="preserve">At the postgraduate research level, </w:t>
      </w:r>
      <w:r w:rsidR="00B06B9D" w:rsidRPr="005A3AFE">
        <w:rPr>
          <w:rFonts w:eastAsia="Times New Roman" w:cs="Times New Roman"/>
          <w:szCs w:val="20"/>
        </w:rPr>
        <w:t>half</w:t>
      </w:r>
      <w:r w:rsidR="00EC3F6C" w:rsidRPr="005A3AFE">
        <w:rPr>
          <w:rFonts w:eastAsia="Times New Roman" w:cs="Times New Roman"/>
          <w:szCs w:val="20"/>
        </w:rPr>
        <w:t xml:space="preserve"> of international graduates </w:t>
      </w:r>
      <w:r w:rsidR="00A214CE" w:rsidRPr="005A3AFE">
        <w:rPr>
          <w:rFonts w:eastAsia="Times New Roman" w:cs="Times New Roman"/>
          <w:szCs w:val="20"/>
        </w:rPr>
        <w:t>came from just two study areas:</w:t>
      </w:r>
      <w:r w:rsidR="00EC3F6C" w:rsidRPr="005A3AFE">
        <w:rPr>
          <w:rFonts w:eastAsia="Times New Roman" w:cs="Times New Roman"/>
          <w:szCs w:val="20"/>
        </w:rPr>
        <w:t xml:space="preserve"> Engineering</w:t>
      </w:r>
      <w:r w:rsidR="00292395" w:rsidRPr="005A3AFE">
        <w:rPr>
          <w:rFonts w:eastAsia="Times New Roman" w:cs="Times New Roman"/>
          <w:szCs w:val="20"/>
        </w:rPr>
        <w:t xml:space="preserve"> </w:t>
      </w:r>
      <w:r w:rsidR="00EC3F6C" w:rsidRPr="005A3AFE">
        <w:rPr>
          <w:rFonts w:eastAsia="Times New Roman" w:cs="Times New Roman"/>
          <w:szCs w:val="20"/>
        </w:rPr>
        <w:t>and Science and mathematics.</w:t>
      </w:r>
    </w:p>
    <w:p w14:paraId="6D3E9169" w14:textId="3656AEB9" w:rsidR="00B6322F" w:rsidRPr="005A3AFE" w:rsidRDefault="00F736FB" w:rsidP="00BB23CF">
      <w:pPr>
        <w:pStyle w:val="Caption"/>
        <w:spacing w:after="60"/>
      </w:pPr>
      <w:bookmarkStart w:id="218" w:name="_Ref204621114"/>
      <w:bookmarkStart w:id="219" w:name="_Ref204621292"/>
      <w:bookmarkStart w:id="220" w:name="_Toc243492127"/>
      <w:r w:rsidRPr="005A3AFE">
        <w:t>Figure</w:t>
      </w:r>
      <w:bookmarkEnd w:id="218"/>
      <w:r w:rsidRPr="005A3AFE">
        <w:t xml:space="preserve"> </w:t>
      </w:r>
      <w:bookmarkEnd w:id="219"/>
      <w:r w:rsidR="00377B08" w:rsidRPr="005A3AFE">
        <w:fldChar w:fldCharType="begin"/>
      </w:r>
      <w:r w:rsidR="00377B08" w:rsidRPr="005A3AFE">
        <w:instrText xml:space="preserve"> SEQ Figure \* ARABIC </w:instrText>
      </w:r>
      <w:r w:rsidR="00377B08" w:rsidRPr="005A3AFE">
        <w:fldChar w:fldCharType="separate"/>
      </w:r>
      <w:r w:rsidR="00487685">
        <w:rPr>
          <w:noProof/>
        </w:rPr>
        <w:t>21</w:t>
      </w:r>
      <w:r w:rsidR="00377B08" w:rsidRPr="005A3AFE">
        <w:fldChar w:fldCharType="end"/>
      </w:r>
      <w:r w:rsidR="007F6B22">
        <w:tab/>
      </w:r>
      <w:r w:rsidRPr="005A3AFE">
        <w:t>International graduate profile by study area and level (% based on responses to the 202</w:t>
      </w:r>
      <w:r w:rsidR="00D21752" w:rsidRPr="005A3AFE">
        <w:t>6</w:t>
      </w:r>
      <w:r w:rsidR="00B6322F" w:rsidRPr="005A3AFE">
        <w:t xml:space="preserve"> GOS-L)</w:t>
      </w:r>
      <w:bookmarkEnd w:id="220"/>
    </w:p>
    <w:p w14:paraId="5A10E52C" w14:textId="3A631F9F" w:rsidR="00B4258D" w:rsidRDefault="00177A30" w:rsidP="00A17D46">
      <w:pPr>
        <w:pStyle w:val="BaseFigureNotes"/>
        <w:rPr>
          <w:szCs w:val="16"/>
          <w:lang w:val="en-GB"/>
        </w:rPr>
      </w:pPr>
      <w:r w:rsidRPr="005A3AFE">
        <w:rPr>
          <w:szCs w:val="16"/>
          <w:lang w:val="en-GB"/>
        </w:rPr>
        <w:t xml:space="preserve"> </w:t>
      </w:r>
      <w:r w:rsidR="00E32647">
        <w:rPr>
          <w:noProof/>
          <w:szCs w:val="16"/>
          <w:lang w:val="en-GB"/>
        </w:rPr>
        <w:drawing>
          <wp:inline distT="0" distB="0" distL="0" distR="0" wp14:anchorId="09291362" wp14:editId="10E00004">
            <wp:extent cx="10297160" cy="4737100"/>
            <wp:effectExtent l="0" t="0" r="8890" b="6350"/>
            <wp:docPr id="1090291993" name="Picture 32" descr="100% stacked bar chart. International graduate profile by study area and level (% based on responses to the 2026 GOS-L). Bars: Undergraduate; Postgraduate coursework; Postgraduate research. Legend segments: Business and management; Computing and information systems; Nursing; Engineering; Science and mathematics; Humanities, culture and social sciences; Psychology; All other study areas. Horizontal axis: percentage. Business and management: Undergraduate: 20.8%; Postgraduate coursework: 31.0%; Postgraduate research: 7.3% Computing and information systems: Undergraduate: 16.8%; Postgraduate coursework: 15.1%; Postgraduate research: 5.1% Nursing: Undergraduate: 14.4%; Postgraduate coursework: 2.7%; Postgraduate research: 0.7% Engineering: Undergraduate: 10.4%; Postgraduate coursework: 8.3%; Postgraduate research: 23.1% Science and mathematics: Undergraduate: 8.2%; Postgraduate coursework: 5.0%; Postgraduate research: 28.4% Humanities, culture and social sciences: Undergraduate: 4.0%; Postgraduate coursework: 5.5%; Postgraduate research: 8.7% Psychology: Undergraduate: 3.9%; Postgraduate coursework: 0.6%; Postgraduate research: 1.4% All other study areas: Undergraduate: 21.6%; Postgraduate coursework: 31.8%; Postgraduate research: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91993" name="Picture 32" descr="100% stacked bar chart. International graduate profile by study area and level (% based on responses to the 2026 GOS-L). Bars: Undergraduate; Postgraduate coursework; Postgraduate research. Legend segments: Business and management; Computing and information systems; Nursing; Engineering; Science and mathematics; Humanities, culture and social sciences; Psychology; All other study areas. Horizontal axis: percentage. Business and management: Undergraduate: 20.8%; Postgraduate coursework: 31.0%; Postgraduate research: 7.3% Computing and information systems: Undergraduate: 16.8%; Postgraduate coursework: 15.1%; Postgraduate research: 5.1% Nursing: Undergraduate: 14.4%; Postgraduate coursework: 2.7%; Postgraduate research: 0.7% Engineering: Undergraduate: 10.4%; Postgraduate coursework: 8.3%; Postgraduate research: 23.1% Science and mathematics: Undergraduate: 8.2%; Postgraduate coursework: 5.0%; Postgraduate research: 28.4% Humanities, culture and social sciences: Undergraduate: 4.0%; Postgraduate coursework: 5.5%; Postgraduate research: 8.7% Psychology: Undergraduate: 3.9%; Postgraduate coursework: 0.6%; Postgraduate research: 1.4% All other study areas: Undergraduate: 21.6%; Postgraduate coursework: 31.8%; Postgraduate research: 25.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297160" cy="4737100"/>
                    </a:xfrm>
                    <a:prstGeom prst="rect">
                      <a:avLst/>
                    </a:prstGeom>
                    <a:noFill/>
                  </pic:spPr>
                </pic:pic>
              </a:graphicData>
            </a:graphic>
          </wp:inline>
        </w:drawing>
      </w:r>
    </w:p>
    <w:p w14:paraId="21289386" w14:textId="097EA1C6" w:rsidR="00177A30" w:rsidRPr="00AB6596" w:rsidRDefault="00177A30" w:rsidP="00A17D46">
      <w:pPr>
        <w:pStyle w:val="BaseFigureNotes"/>
        <w:spacing w:before="120"/>
        <w:ind w:left="142" w:hanging="142"/>
        <w:rPr>
          <w:rStyle w:val="FigureNoteChar"/>
          <w:rFonts w:eastAsiaTheme="minorHAnsi" w:cstheme="minorBidi"/>
          <w:sz w:val="18"/>
          <w:szCs w:val="18"/>
          <w:lang w:val="en-AU"/>
        </w:rPr>
      </w:pPr>
      <w:r w:rsidRPr="00AB6596">
        <w:rPr>
          <w:rStyle w:val="FigureNoteChar"/>
          <w:rFonts w:eastAsiaTheme="minorHAnsi" w:cstheme="minorBidi"/>
          <w:sz w:val="18"/>
          <w:szCs w:val="18"/>
          <w:lang w:val="en-AU"/>
        </w:rPr>
        <w:t xml:space="preserve">* Only selected study areas presented in </w:t>
      </w:r>
      <w:r w:rsidR="008519F9" w:rsidRPr="00AB6596">
        <w:rPr>
          <w:rStyle w:val="FigureNoteChar"/>
          <w:rFonts w:eastAsiaTheme="minorHAnsi" w:cstheme="minorBidi"/>
          <w:sz w:val="18"/>
          <w:szCs w:val="18"/>
          <w:lang w:val="en-AU"/>
        </w:rPr>
        <w:t>this figure</w:t>
      </w:r>
      <w:r w:rsidRPr="00AB6596">
        <w:rPr>
          <w:rStyle w:val="FigureNoteChar"/>
          <w:rFonts w:eastAsiaTheme="minorHAnsi" w:cstheme="minorBidi"/>
          <w:sz w:val="18"/>
          <w:szCs w:val="18"/>
          <w:lang w:val="en-AU"/>
        </w:rPr>
        <w:t>. For all study areas, refer to the CHAR_UG_ALL_1Y_AREA_INT, CHAR_PGC_ALL_1Y_AREA_INT and CHAR_PGR_ALL_1Y_AREA_INT worksheets in the 202</w:t>
      </w:r>
      <w:r w:rsidR="00BC4270" w:rsidRPr="00AB6596">
        <w:rPr>
          <w:rStyle w:val="FigureNoteChar"/>
          <w:rFonts w:eastAsiaTheme="minorHAnsi" w:cstheme="minorBidi"/>
          <w:sz w:val="18"/>
          <w:szCs w:val="18"/>
          <w:lang w:val="en-AU"/>
        </w:rPr>
        <w:t>6</w:t>
      </w:r>
      <w:r w:rsidRPr="00AB6596">
        <w:rPr>
          <w:rStyle w:val="FigureNoteChar"/>
          <w:rFonts w:eastAsiaTheme="minorHAnsi" w:cstheme="minorBidi"/>
          <w:sz w:val="18"/>
          <w:szCs w:val="18"/>
          <w:lang w:val="en-AU"/>
        </w:rPr>
        <w:t xml:space="preserve"> GOS-L National Tables available on the QILT website.</w:t>
      </w:r>
    </w:p>
    <w:p w14:paraId="7B21D02E" w14:textId="77777777" w:rsidR="004941EB" w:rsidRPr="005A3AFE" w:rsidRDefault="004941EB" w:rsidP="00177A30">
      <w:pPr>
        <w:spacing w:after="160" w:line="259" w:lineRule="auto"/>
        <w:rPr>
          <w:rFonts w:eastAsia="Calibri" w:cs="Arial"/>
        </w:rPr>
        <w:sectPr w:rsidR="004941EB" w:rsidRPr="005A3AFE" w:rsidSect="00A11753">
          <w:footerReference w:type="default" r:id="rId83"/>
          <w:pgSz w:w="16840" w:h="11900" w:orient="landscape"/>
          <w:pgMar w:top="709" w:right="284" w:bottom="709" w:left="284" w:header="397" w:footer="397" w:gutter="0"/>
          <w:cols w:space="708"/>
          <w:docGrid w:linePitch="360"/>
        </w:sectPr>
      </w:pPr>
    </w:p>
    <w:p w14:paraId="24C876FD" w14:textId="10F1A762" w:rsidR="00C26078" w:rsidRPr="005A3AFE" w:rsidRDefault="00157623" w:rsidP="00177A30">
      <w:pPr>
        <w:spacing w:before="120" w:after="120" w:line="300" w:lineRule="auto"/>
        <w:rPr>
          <w:rFonts w:eastAsia="Times New Roman" w:cs="Times New Roman"/>
          <w:szCs w:val="20"/>
        </w:rPr>
      </w:pPr>
      <w:r w:rsidRPr="005A3AFE">
        <w:rPr>
          <w:rFonts w:eastAsia="Times New Roman" w:cs="Times New Roman"/>
          <w:szCs w:val="20"/>
        </w:rPr>
        <w:lastRenderedPageBreak/>
        <w:fldChar w:fldCharType="begin"/>
      </w:r>
      <w:r w:rsidRPr="005A3AFE">
        <w:rPr>
          <w:rFonts w:eastAsia="Times New Roman" w:cs="Times New Roman"/>
          <w:szCs w:val="20"/>
        </w:rPr>
        <w:instrText xml:space="preserve"> REF _Ref187142850 \h </w:instrText>
      </w:r>
      <w:r w:rsidR="006932F9" w:rsidRPr="005A3AFE">
        <w:rPr>
          <w:rFonts w:eastAsia="Times New Roman" w:cs="Times New Roman"/>
          <w:szCs w:val="20"/>
        </w:rPr>
        <w:instrText xml:space="preserve"> \* MERGEFORMAT </w:instrText>
      </w:r>
      <w:r w:rsidRPr="005A3AFE">
        <w:rPr>
          <w:rFonts w:eastAsia="Times New Roman" w:cs="Times New Roman"/>
          <w:szCs w:val="20"/>
        </w:rPr>
      </w:r>
      <w:r w:rsidRPr="005A3AFE">
        <w:rPr>
          <w:rFonts w:eastAsia="Times New Roman" w:cs="Times New Roman"/>
          <w:szCs w:val="20"/>
        </w:rPr>
        <w:fldChar w:fldCharType="separate"/>
      </w:r>
      <w:r w:rsidR="00487685" w:rsidRPr="0036340F">
        <w:rPr>
          <w:b/>
        </w:rPr>
        <w:t xml:space="preserve">Figure </w:t>
      </w:r>
      <w:r w:rsidRPr="005A3AFE">
        <w:rPr>
          <w:rFonts w:eastAsia="Times New Roman" w:cs="Times New Roman"/>
          <w:szCs w:val="20"/>
        </w:rPr>
        <w:fldChar w:fldCharType="end"/>
      </w:r>
      <w:r w:rsidR="00487685" w:rsidRPr="0036340F">
        <w:rPr>
          <w:rFonts w:eastAsia="Times New Roman" w:cs="Times New Roman"/>
          <w:b/>
          <w:bCs/>
          <w:szCs w:val="20"/>
        </w:rPr>
        <w:t>22</w:t>
      </w:r>
      <w:r w:rsidR="00487685">
        <w:rPr>
          <w:rFonts w:eastAsia="Times New Roman" w:cs="Times New Roman"/>
          <w:szCs w:val="20"/>
        </w:rPr>
        <w:t xml:space="preserve"> </w:t>
      </w:r>
      <w:r w:rsidR="00306444" w:rsidRPr="005A3AFE">
        <w:rPr>
          <w:rFonts w:eastAsia="Times New Roman" w:cs="Times New Roman"/>
          <w:szCs w:val="20"/>
        </w:rPr>
        <w:t>presents full-time employment rates</w:t>
      </w:r>
      <w:r w:rsidR="0039618B" w:rsidRPr="005A3AFE">
        <w:rPr>
          <w:rFonts w:eastAsia="Times New Roman" w:cs="Times New Roman"/>
          <w:szCs w:val="20"/>
        </w:rPr>
        <w:t xml:space="preserve"> for domestic and international undergraduates in the short- and medium-term</w:t>
      </w:r>
      <w:r w:rsidR="00BE673A" w:rsidRPr="005A3AFE">
        <w:rPr>
          <w:rFonts w:eastAsia="Times New Roman" w:cs="Times New Roman"/>
          <w:szCs w:val="20"/>
        </w:rPr>
        <w:t xml:space="preserve"> across study areas</w:t>
      </w:r>
      <w:r w:rsidR="0039618B" w:rsidRPr="005A3AFE">
        <w:rPr>
          <w:rFonts w:eastAsia="Times New Roman" w:cs="Times New Roman"/>
          <w:szCs w:val="20"/>
        </w:rPr>
        <w:t>.</w:t>
      </w:r>
      <w:r w:rsidR="000B4D9D" w:rsidRPr="005A3AFE">
        <w:rPr>
          <w:rFonts w:eastAsia="Times New Roman" w:cs="Times New Roman"/>
          <w:szCs w:val="20"/>
        </w:rPr>
        <w:t xml:space="preserve"> </w:t>
      </w:r>
      <w:r w:rsidR="00C26078" w:rsidRPr="005A3AFE">
        <w:rPr>
          <w:rFonts w:eastAsia="Times New Roman" w:cs="Times New Roman"/>
          <w:szCs w:val="20"/>
        </w:rPr>
        <w:t xml:space="preserve">Short-term full-time employment rates were high for both domestic and international undergraduates for </w:t>
      </w:r>
      <w:r w:rsidR="005D05CA" w:rsidRPr="005A3AFE">
        <w:rPr>
          <w:rFonts w:eastAsia="Times New Roman" w:cs="Times New Roman"/>
          <w:szCs w:val="20"/>
        </w:rPr>
        <w:t>vocationally-oriented study areas</w:t>
      </w:r>
      <w:r w:rsidR="00927198" w:rsidRPr="005A3AFE">
        <w:rPr>
          <w:rFonts w:eastAsia="Times New Roman" w:cs="Times New Roman"/>
          <w:szCs w:val="20"/>
        </w:rPr>
        <w:t>, particularly for in-demand study areas such as Medicine</w:t>
      </w:r>
      <w:r w:rsidR="0063013F" w:rsidRPr="005A3AFE">
        <w:rPr>
          <w:rFonts w:eastAsia="Times New Roman" w:cs="Times New Roman"/>
          <w:szCs w:val="20"/>
        </w:rPr>
        <w:t xml:space="preserve"> (</w:t>
      </w:r>
      <w:r w:rsidR="003653A3" w:rsidRPr="005A3AFE">
        <w:rPr>
          <w:rFonts w:eastAsia="Times New Roman" w:cs="Times New Roman"/>
          <w:szCs w:val="20"/>
        </w:rPr>
        <w:t>92.3 per cent for international undergraduates an</w:t>
      </w:r>
      <w:r w:rsidR="00B72128" w:rsidRPr="005A3AFE">
        <w:rPr>
          <w:rFonts w:eastAsia="Times New Roman" w:cs="Times New Roman"/>
          <w:szCs w:val="20"/>
        </w:rPr>
        <w:t>d 95.2 per cent for domestic undergraduates)</w:t>
      </w:r>
      <w:r w:rsidR="00FF2B5F" w:rsidRPr="005A3AFE">
        <w:rPr>
          <w:rFonts w:eastAsia="Times New Roman" w:cs="Times New Roman"/>
          <w:szCs w:val="20"/>
        </w:rPr>
        <w:t>. In the medium-term, the</w:t>
      </w:r>
      <w:r w:rsidR="00B72128" w:rsidRPr="005A3AFE">
        <w:rPr>
          <w:rFonts w:eastAsia="Times New Roman" w:cs="Times New Roman"/>
          <w:szCs w:val="20"/>
        </w:rPr>
        <w:t xml:space="preserve"> </w:t>
      </w:r>
      <w:r w:rsidR="00FF2B5F" w:rsidRPr="005A3AFE">
        <w:rPr>
          <w:rFonts w:eastAsia="Times New Roman" w:cs="Times New Roman"/>
          <w:szCs w:val="20"/>
        </w:rPr>
        <w:t>full-time employment rates remain</w:t>
      </w:r>
      <w:r w:rsidR="007E2C76" w:rsidRPr="005A3AFE">
        <w:rPr>
          <w:rFonts w:eastAsia="Times New Roman" w:cs="Times New Roman"/>
          <w:szCs w:val="20"/>
        </w:rPr>
        <w:t>ed</w:t>
      </w:r>
      <w:r w:rsidR="00FF2B5F" w:rsidRPr="005A3AFE">
        <w:rPr>
          <w:rFonts w:eastAsia="Times New Roman" w:cs="Times New Roman"/>
          <w:szCs w:val="20"/>
        </w:rPr>
        <w:t xml:space="preserve"> high for both cohorts</w:t>
      </w:r>
      <w:r w:rsidR="009D3D01" w:rsidRPr="005A3AFE">
        <w:rPr>
          <w:rFonts w:eastAsia="Times New Roman" w:cs="Times New Roman"/>
          <w:szCs w:val="20"/>
        </w:rPr>
        <w:t xml:space="preserve"> (96.4 per cent for international undergraduates and </w:t>
      </w:r>
      <w:r w:rsidR="006B11E5" w:rsidRPr="005A3AFE">
        <w:rPr>
          <w:rFonts w:eastAsia="Times New Roman" w:cs="Times New Roman"/>
          <w:szCs w:val="20"/>
        </w:rPr>
        <w:t>95.9 per cent for domestic undergraduates)</w:t>
      </w:r>
      <w:r w:rsidR="00FF2B5F" w:rsidRPr="005A3AFE">
        <w:rPr>
          <w:rFonts w:eastAsia="Times New Roman" w:cs="Times New Roman"/>
          <w:szCs w:val="20"/>
        </w:rPr>
        <w:t>.</w:t>
      </w:r>
    </w:p>
    <w:p w14:paraId="0492177C" w14:textId="357A2432" w:rsidR="00494EB6" w:rsidRPr="005A3AFE" w:rsidRDefault="00FF2B5F" w:rsidP="00177A30">
      <w:pPr>
        <w:spacing w:before="120" w:after="120" w:line="300" w:lineRule="auto"/>
        <w:rPr>
          <w:rFonts w:eastAsia="Times New Roman" w:cs="Times New Roman"/>
          <w:szCs w:val="20"/>
        </w:rPr>
      </w:pPr>
      <w:r w:rsidRPr="005A3AFE">
        <w:rPr>
          <w:rFonts w:eastAsia="Times New Roman" w:cs="Times New Roman"/>
          <w:szCs w:val="20"/>
        </w:rPr>
        <w:t>In contrast,</w:t>
      </w:r>
      <w:r w:rsidR="003052CC" w:rsidRPr="005A3AFE">
        <w:rPr>
          <w:rFonts w:eastAsia="Times New Roman" w:cs="Times New Roman"/>
          <w:szCs w:val="20"/>
        </w:rPr>
        <w:t xml:space="preserve"> international</w:t>
      </w:r>
      <w:r w:rsidRPr="005A3AFE">
        <w:rPr>
          <w:rFonts w:eastAsia="Times New Roman" w:cs="Times New Roman"/>
          <w:szCs w:val="20"/>
        </w:rPr>
        <w:t xml:space="preserve"> </w:t>
      </w:r>
      <w:r w:rsidR="00224C3A" w:rsidRPr="005A3AFE">
        <w:rPr>
          <w:rFonts w:eastAsia="Times New Roman" w:cs="Times New Roman"/>
          <w:szCs w:val="20"/>
        </w:rPr>
        <w:t xml:space="preserve">undergraduates from </w:t>
      </w:r>
      <w:r w:rsidR="00494EB6" w:rsidRPr="005A3AFE">
        <w:rPr>
          <w:rFonts w:eastAsia="Times New Roman" w:cs="Times New Roman"/>
          <w:szCs w:val="20"/>
        </w:rPr>
        <w:t xml:space="preserve">study areas </w:t>
      </w:r>
      <w:r w:rsidR="003D05C1" w:rsidRPr="005A3AFE">
        <w:rPr>
          <w:rFonts w:eastAsia="Times New Roman" w:cs="Times New Roman"/>
          <w:szCs w:val="20"/>
        </w:rPr>
        <w:t>such as Business and management</w:t>
      </w:r>
      <w:r w:rsidR="00317D94" w:rsidRPr="005A3AFE">
        <w:rPr>
          <w:rFonts w:eastAsia="Times New Roman" w:cs="Times New Roman"/>
          <w:szCs w:val="20"/>
        </w:rPr>
        <w:t>, Computing and information syste</w:t>
      </w:r>
      <w:r w:rsidR="00621BF6" w:rsidRPr="005A3AFE">
        <w:rPr>
          <w:rFonts w:eastAsia="Times New Roman" w:cs="Times New Roman"/>
          <w:szCs w:val="20"/>
        </w:rPr>
        <w:t>m</w:t>
      </w:r>
      <w:r w:rsidR="00317D94" w:rsidRPr="005A3AFE">
        <w:rPr>
          <w:rFonts w:eastAsia="Times New Roman" w:cs="Times New Roman"/>
          <w:szCs w:val="20"/>
        </w:rPr>
        <w:t>s and Engineering</w:t>
      </w:r>
      <w:r w:rsidR="0049180C" w:rsidRPr="005A3AFE">
        <w:rPr>
          <w:rFonts w:eastAsia="Times New Roman" w:cs="Times New Roman"/>
          <w:szCs w:val="20"/>
        </w:rPr>
        <w:t xml:space="preserve"> reported much lower full-time employment rates in the </w:t>
      </w:r>
      <w:r w:rsidR="00283FC4">
        <w:rPr>
          <w:rFonts w:eastAsia="Times New Roman" w:cs="Times New Roman"/>
          <w:szCs w:val="20"/>
        </w:rPr>
        <w:t>short-term</w:t>
      </w:r>
      <w:r w:rsidR="0049180C" w:rsidRPr="005A3AFE">
        <w:rPr>
          <w:rFonts w:eastAsia="Times New Roman" w:cs="Times New Roman"/>
          <w:szCs w:val="20"/>
        </w:rPr>
        <w:t xml:space="preserve"> (61.6, 52.2, </w:t>
      </w:r>
      <w:r w:rsidR="00163AB5" w:rsidRPr="005A3AFE">
        <w:rPr>
          <w:rFonts w:eastAsia="Times New Roman" w:cs="Times New Roman"/>
          <w:szCs w:val="20"/>
        </w:rPr>
        <w:t xml:space="preserve">and </w:t>
      </w:r>
      <w:r w:rsidR="0049180C" w:rsidRPr="005A3AFE">
        <w:rPr>
          <w:rFonts w:eastAsia="Times New Roman" w:cs="Times New Roman"/>
          <w:szCs w:val="20"/>
        </w:rPr>
        <w:t>59.7 per cent</w:t>
      </w:r>
      <w:r w:rsidR="00163AB5" w:rsidRPr="005A3AFE">
        <w:rPr>
          <w:rFonts w:eastAsia="Times New Roman" w:cs="Times New Roman"/>
          <w:szCs w:val="20"/>
        </w:rPr>
        <w:t xml:space="preserve"> respectively</w:t>
      </w:r>
      <w:r w:rsidR="0049180C" w:rsidRPr="005A3AFE">
        <w:rPr>
          <w:rFonts w:eastAsia="Times New Roman" w:cs="Times New Roman"/>
          <w:szCs w:val="20"/>
        </w:rPr>
        <w:t xml:space="preserve">) compared </w:t>
      </w:r>
      <w:r w:rsidR="00163AB5" w:rsidRPr="005A3AFE">
        <w:rPr>
          <w:rFonts w:eastAsia="Times New Roman" w:cs="Times New Roman"/>
          <w:szCs w:val="20"/>
        </w:rPr>
        <w:t>to</w:t>
      </w:r>
      <w:r w:rsidR="0049180C" w:rsidRPr="005A3AFE">
        <w:rPr>
          <w:rFonts w:eastAsia="Times New Roman" w:cs="Times New Roman"/>
          <w:szCs w:val="20"/>
        </w:rPr>
        <w:t xml:space="preserve"> domestic undergraduates (85.</w:t>
      </w:r>
      <w:r w:rsidR="00FF36A4" w:rsidRPr="005A3AFE">
        <w:rPr>
          <w:rFonts w:eastAsia="Times New Roman" w:cs="Times New Roman"/>
          <w:szCs w:val="20"/>
        </w:rPr>
        <w:t>8</w:t>
      </w:r>
      <w:r w:rsidR="0049180C" w:rsidRPr="005A3AFE">
        <w:rPr>
          <w:rFonts w:eastAsia="Times New Roman" w:cs="Times New Roman"/>
          <w:szCs w:val="20"/>
        </w:rPr>
        <w:t>, 76.5</w:t>
      </w:r>
      <w:r w:rsidR="00756215" w:rsidRPr="005A3AFE">
        <w:rPr>
          <w:rFonts w:eastAsia="Times New Roman" w:cs="Times New Roman"/>
          <w:szCs w:val="20"/>
        </w:rPr>
        <w:t>, and</w:t>
      </w:r>
      <w:r w:rsidR="0049180C" w:rsidRPr="005A3AFE">
        <w:rPr>
          <w:rFonts w:eastAsia="Times New Roman" w:cs="Times New Roman"/>
          <w:szCs w:val="20"/>
        </w:rPr>
        <w:t xml:space="preserve"> 89.6 per cent</w:t>
      </w:r>
      <w:r w:rsidR="00756215" w:rsidRPr="005A3AFE">
        <w:rPr>
          <w:rFonts w:eastAsia="Times New Roman" w:cs="Times New Roman"/>
          <w:szCs w:val="20"/>
        </w:rPr>
        <w:t xml:space="preserve"> respectively</w:t>
      </w:r>
      <w:r w:rsidR="0049180C" w:rsidRPr="005A3AFE">
        <w:rPr>
          <w:rFonts w:eastAsia="Times New Roman" w:cs="Times New Roman"/>
          <w:szCs w:val="20"/>
        </w:rPr>
        <w:t xml:space="preserve">). </w:t>
      </w:r>
      <w:r w:rsidR="0034542D" w:rsidRPr="005A3AFE">
        <w:rPr>
          <w:rFonts w:eastAsia="Times New Roman" w:cs="Times New Roman"/>
          <w:szCs w:val="20"/>
        </w:rPr>
        <w:t>While</w:t>
      </w:r>
      <w:r w:rsidR="004A4511" w:rsidRPr="005A3AFE">
        <w:rPr>
          <w:rFonts w:eastAsia="Times New Roman" w:cs="Times New Roman"/>
          <w:szCs w:val="20"/>
        </w:rPr>
        <w:t xml:space="preserve"> the full-time employment rates for international undergraduates from these study areas improved substantially</w:t>
      </w:r>
      <w:r w:rsidR="0034542D" w:rsidRPr="005A3AFE">
        <w:rPr>
          <w:rFonts w:eastAsia="Times New Roman" w:cs="Times New Roman"/>
          <w:szCs w:val="20"/>
        </w:rPr>
        <w:t xml:space="preserve"> over the medium-term</w:t>
      </w:r>
      <w:r w:rsidR="004A4511" w:rsidRPr="005A3AFE">
        <w:rPr>
          <w:rFonts w:eastAsia="Times New Roman" w:cs="Times New Roman"/>
          <w:szCs w:val="20"/>
        </w:rPr>
        <w:t xml:space="preserve">, they </w:t>
      </w:r>
      <w:r w:rsidR="00F414F3" w:rsidRPr="005A3AFE">
        <w:rPr>
          <w:rFonts w:eastAsia="Times New Roman" w:cs="Times New Roman"/>
          <w:szCs w:val="20"/>
        </w:rPr>
        <w:t>remained</w:t>
      </w:r>
      <w:r w:rsidR="004A4511" w:rsidRPr="005A3AFE">
        <w:rPr>
          <w:rFonts w:eastAsia="Times New Roman" w:cs="Times New Roman"/>
          <w:szCs w:val="20"/>
        </w:rPr>
        <w:t xml:space="preserve"> lower than their domestic counterparts</w:t>
      </w:r>
      <w:r w:rsidR="00D2768B" w:rsidRPr="005A3AFE">
        <w:rPr>
          <w:rFonts w:eastAsia="Times New Roman" w:cs="Times New Roman"/>
          <w:szCs w:val="20"/>
        </w:rPr>
        <w:t>.</w:t>
      </w:r>
    </w:p>
    <w:p w14:paraId="43F1EA64" w14:textId="4378F318" w:rsidR="00C7183B" w:rsidRDefault="00C7183B" w:rsidP="00177A30">
      <w:pPr>
        <w:spacing w:before="120" w:after="120" w:line="300" w:lineRule="auto"/>
        <w:rPr>
          <w:rFonts w:eastAsia="Times New Roman" w:cs="Times New Roman"/>
          <w:szCs w:val="20"/>
        </w:rPr>
      </w:pPr>
      <w:r w:rsidRPr="005A3AFE">
        <w:rPr>
          <w:rFonts w:eastAsia="Times New Roman" w:cs="Times New Roman"/>
          <w:szCs w:val="20"/>
        </w:rPr>
        <w:t>Notably,</w:t>
      </w:r>
      <w:r w:rsidR="00F5354C" w:rsidRPr="005A3AFE">
        <w:rPr>
          <w:rFonts w:eastAsia="Times New Roman" w:cs="Times New Roman"/>
          <w:szCs w:val="20"/>
        </w:rPr>
        <w:t xml:space="preserve"> international </w:t>
      </w:r>
      <w:r w:rsidR="00086E96" w:rsidRPr="005A3AFE">
        <w:rPr>
          <w:rFonts w:eastAsia="Times New Roman" w:cs="Times New Roman"/>
          <w:szCs w:val="20"/>
        </w:rPr>
        <w:t>under</w:t>
      </w:r>
      <w:r w:rsidR="00F5354C" w:rsidRPr="005A3AFE">
        <w:rPr>
          <w:rFonts w:eastAsia="Times New Roman" w:cs="Times New Roman"/>
          <w:szCs w:val="20"/>
        </w:rPr>
        <w:t xml:space="preserve">graduates from Health </w:t>
      </w:r>
      <w:r w:rsidR="00A44AA1" w:rsidRPr="005A3AFE">
        <w:rPr>
          <w:rFonts w:eastAsia="Times New Roman" w:cs="Times New Roman"/>
          <w:szCs w:val="20"/>
        </w:rPr>
        <w:t xml:space="preserve">services and support </w:t>
      </w:r>
      <w:r w:rsidR="00086E96" w:rsidRPr="005A3AFE">
        <w:rPr>
          <w:rFonts w:eastAsia="Times New Roman" w:cs="Times New Roman"/>
          <w:szCs w:val="20"/>
        </w:rPr>
        <w:t>report</w:t>
      </w:r>
      <w:r w:rsidR="00EC73E7">
        <w:rPr>
          <w:rFonts w:eastAsia="Times New Roman" w:cs="Times New Roman"/>
          <w:szCs w:val="20"/>
        </w:rPr>
        <w:t>ed</w:t>
      </w:r>
      <w:r w:rsidR="00086E96" w:rsidRPr="005A3AFE">
        <w:rPr>
          <w:rFonts w:eastAsia="Times New Roman" w:cs="Times New Roman"/>
          <w:szCs w:val="20"/>
        </w:rPr>
        <w:t xml:space="preserve"> continued </w:t>
      </w:r>
      <w:r w:rsidR="00EC73E7">
        <w:rPr>
          <w:rFonts w:eastAsia="Times New Roman" w:cs="Times New Roman"/>
          <w:szCs w:val="20"/>
        </w:rPr>
        <w:t>differences</w:t>
      </w:r>
      <w:r w:rsidR="00EC73E7" w:rsidRPr="005A3AFE">
        <w:rPr>
          <w:rFonts w:eastAsia="Times New Roman" w:cs="Times New Roman"/>
          <w:szCs w:val="20"/>
        </w:rPr>
        <w:t xml:space="preserve"> </w:t>
      </w:r>
      <w:r w:rsidR="00086E96" w:rsidRPr="005A3AFE">
        <w:rPr>
          <w:rFonts w:eastAsia="Times New Roman" w:cs="Times New Roman"/>
          <w:szCs w:val="20"/>
        </w:rPr>
        <w:t xml:space="preserve">in full-time employment. </w:t>
      </w:r>
      <w:r w:rsidR="008A4D00" w:rsidRPr="005A3AFE">
        <w:rPr>
          <w:rFonts w:eastAsia="Times New Roman" w:cs="Times New Roman"/>
          <w:szCs w:val="20"/>
        </w:rPr>
        <w:t xml:space="preserve">Just </w:t>
      </w:r>
      <w:r w:rsidR="00FC533C" w:rsidRPr="005A3AFE">
        <w:rPr>
          <w:rFonts w:eastAsia="Times New Roman" w:cs="Times New Roman"/>
          <w:szCs w:val="20"/>
        </w:rPr>
        <w:t>over half</w:t>
      </w:r>
      <w:r w:rsidR="008A4D00" w:rsidRPr="005A3AFE">
        <w:rPr>
          <w:rFonts w:eastAsia="Times New Roman" w:cs="Times New Roman"/>
          <w:szCs w:val="20"/>
        </w:rPr>
        <w:t xml:space="preserve"> of </w:t>
      </w:r>
      <w:r w:rsidR="00B605A0" w:rsidRPr="005A3AFE">
        <w:rPr>
          <w:rFonts w:eastAsia="Times New Roman" w:cs="Times New Roman"/>
          <w:szCs w:val="20"/>
        </w:rPr>
        <w:t xml:space="preserve">undergraduates from this cohort were </w:t>
      </w:r>
      <w:r w:rsidR="00FC533C" w:rsidRPr="005A3AFE">
        <w:rPr>
          <w:rFonts w:eastAsia="Times New Roman" w:cs="Times New Roman"/>
          <w:szCs w:val="20"/>
        </w:rPr>
        <w:t xml:space="preserve">working full-time hours in the short-term, and only </w:t>
      </w:r>
      <w:r w:rsidR="004F526A" w:rsidRPr="005A3AFE">
        <w:rPr>
          <w:rFonts w:eastAsia="Times New Roman" w:cs="Times New Roman"/>
          <w:szCs w:val="20"/>
        </w:rPr>
        <w:t>77.8 per cent were employed full-time in the medium-term</w:t>
      </w:r>
      <w:r w:rsidR="00337D01" w:rsidRPr="005A3AFE">
        <w:rPr>
          <w:rFonts w:eastAsia="Times New Roman" w:cs="Times New Roman"/>
          <w:szCs w:val="20"/>
        </w:rPr>
        <w:t>,</w:t>
      </w:r>
      <w:r w:rsidR="00181821" w:rsidRPr="005A3AFE">
        <w:rPr>
          <w:rFonts w:eastAsia="Times New Roman" w:cs="Times New Roman"/>
          <w:szCs w:val="20"/>
        </w:rPr>
        <w:t xml:space="preserve"> the lowest out of all reported study areas</w:t>
      </w:r>
      <w:r w:rsidR="00BB512C" w:rsidRPr="005A3AFE">
        <w:rPr>
          <w:rFonts w:eastAsia="Times New Roman" w:cs="Times New Roman"/>
          <w:szCs w:val="20"/>
        </w:rPr>
        <w:t xml:space="preserve"> for international undergraduates in the medium-term</w:t>
      </w:r>
      <w:r w:rsidR="004F526A" w:rsidRPr="005A3AFE">
        <w:rPr>
          <w:rFonts w:eastAsia="Times New Roman" w:cs="Times New Roman"/>
          <w:szCs w:val="20"/>
        </w:rPr>
        <w:t>. In contrast, over 93.2 per cent of domestic undergraduates from Health services and support were employed</w:t>
      </w:r>
      <w:r w:rsidR="00920937" w:rsidRPr="005A3AFE">
        <w:rPr>
          <w:rFonts w:eastAsia="Times New Roman" w:cs="Times New Roman"/>
          <w:szCs w:val="20"/>
        </w:rPr>
        <w:t xml:space="preserve"> </w:t>
      </w:r>
      <w:r w:rsidR="004F526A" w:rsidRPr="005A3AFE">
        <w:rPr>
          <w:rFonts w:eastAsia="Times New Roman" w:cs="Times New Roman"/>
          <w:szCs w:val="20"/>
        </w:rPr>
        <w:t xml:space="preserve">full-time </w:t>
      </w:r>
      <w:r w:rsidR="00181821" w:rsidRPr="005A3AFE">
        <w:rPr>
          <w:rFonts w:eastAsia="Times New Roman" w:cs="Times New Roman"/>
          <w:szCs w:val="20"/>
        </w:rPr>
        <w:t>in the medium-term.</w:t>
      </w:r>
      <w:r w:rsidRPr="005A3AFE">
        <w:rPr>
          <w:rFonts w:eastAsia="Times New Roman" w:cs="Times New Roman"/>
          <w:szCs w:val="20"/>
        </w:rPr>
        <w:t xml:space="preserve"> </w:t>
      </w:r>
      <w:r w:rsidR="00181821" w:rsidRPr="005A3AFE">
        <w:rPr>
          <w:rFonts w:eastAsia="Times New Roman" w:cs="Times New Roman"/>
          <w:szCs w:val="20"/>
        </w:rPr>
        <w:t xml:space="preserve">This indicates that undergraduates from this study area find it particularly difficult to </w:t>
      </w:r>
      <w:r w:rsidR="002B1059" w:rsidRPr="005A3AFE">
        <w:rPr>
          <w:rFonts w:eastAsia="Times New Roman" w:cs="Times New Roman"/>
          <w:szCs w:val="20"/>
        </w:rPr>
        <w:t>find full-time employment in the short-term, and th</w:t>
      </w:r>
      <w:r w:rsidR="00BB512C" w:rsidRPr="005A3AFE">
        <w:rPr>
          <w:rFonts w:eastAsia="Times New Roman" w:cs="Times New Roman"/>
          <w:szCs w:val="20"/>
        </w:rPr>
        <w:t>ese difficulties</w:t>
      </w:r>
      <w:r w:rsidR="002B1059" w:rsidRPr="005A3AFE">
        <w:rPr>
          <w:rFonts w:eastAsia="Times New Roman" w:cs="Times New Roman"/>
          <w:szCs w:val="20"/>
        </w:rPr>
        <w:t xml:space="preserve"> </w:t>
      </w:r>
      <w:r w:rsidR="00BB512C" w:rsidRPr="005A3AFE">
        <w:rPr>
          <w:rFonts w:eastAsia="Times New Roman" w:cs="Times New Roman"/>
          <w:szCs w:val="20"/>
        </w:rPr>
        <w:t>p</w:t>
      </w:r>
      <w:r w:rsidR="002B1059" w:rsidRPr="005A3AFE">
        <w:rPr>
          <w:rFonts w:eastAsia="Times New Roman" w:cs="Times New Roman"/>
          <w:szCs w:val="20"/>
        </w:rPr>
        <w:t xml:space="preserve">ersist </w:t>
      </w:r>
      <w:r w:rsidR="00EC73E7">
        <w:rPr>
          <w:rFonts w:eastAsia="Times New Roman" w:cs="Times New Roman"/>
          <w:szCs w:val="20"/>
        </w:rPr>
        <w:t xml:space="preserve">in </w:t>
      </w:r>
      <w:r w:rsidR="002B1059" w:rsidRPr="005A3AFE">
        <w:rPr>
          <w:rFonts w:eastAsia="Times New Roman" w:cs="Times New Roman"/>
          <w:szCs w:val="20"/>
        </w:rPr>
        <w:t>the medium-term.</w:t>
      </w:r>
    </w:p>
    <w:p w14:paraId="293F1D3E" w14:textId="32E4D8D3" w:rsidR="00177A30" w:rsidRPr="005A3AFE" w:rsidRDefault="00177A30" w:rsidP="00C43B9E">
      <w:pPr>
        <w:pStyle w:val="Caption"/>
        <w:spacing w:before="0" w:after="60"/>
      </w:pPr>
      <w:bookmarkStart w:id="221" w:name="_Ref187142850"/>
      <w:bookmarkStart w:id="222" w:name="_Toc192180501"/>
      <w:bookmarkStart w:id="223" w:name="_Toc243492128"/>
      <w:r w:rsidRPr="005A3AFE">
        <w:lastRenderedPageBreak/>
        <w:t xml:space="preserve">Figure </w:t>
      </w:r>
      <w:bookmarkEnd w:id="221"/>
      <w:r w:rsidR="00377B08" w:rsidRPr="005A3AFE">
        <w:fldChar w:fldCharType="begin"/>
      </w:r>
      <w:r w:rsidR="00377B08" w:rsidRPr="005A3AFE">
        <w:instrText xml:space="preserve"> SEQ Figure \* ARABIC </w:instrText>
      </w:r>
      <w:r w:rsidR="00377B08" w:rsidRPr="005A3AFE">
        <w:fldChar w:fldCharType="separate"/>
      </w:r>
      <w:r w:rsidR="008E1916">
        <w:rPr>
          <w:noProof/>
        </w:rPr>
        <w:t>22</w:t>
      </w:r>
      <w:r w:rsidR="00377B08" w:rsidRPr="005A3AFE">
        <w:fldChar w:fldCharType="end"/>
      </w:r>
      <w:r w:rsidR="00B4258D">
        <w:tab/>
      </w:r>
      <w:r w:rsidRPr="005A3AFE">
        <w:t>Undergraduate full-time employment rate by citizenship status and study area (%)</w:t>
      </w:r>
      <w:bookmarkEnd w:id="222"/>
      <w:bookmarkEnd w:id="223"/>
    </w:p>
    <w:p w14:paraId="2913490F" w14:textId="7C3D485C" w:rsidR="00C7458C" w:rsidRDefault="008E3305" w:rsidP="00FA1E70">
      <w:pPr>
        <w:pStyle w:val="BaseFigureNotes"/>
        <w:spacing w:after="60"/>
        <w:rPr>
          <w:noProof/>
        </w:rPr>
      </w:pPr>
      <w:bookmarkStart w:id="224" w:name="_Hlk187145051"/>
      <w:r w:rsidRPr="008E3305">
        <w:rPr>
          <w:noProof/>
        </w:rPr>
        <w:drawing>
          <wp:inline distT="0" distB="0" distL="0" distR="0" wp14:anchorId="731837AB" wp14:editId="57382E91">
            <wp:extent cx="6630325" cy="8545118"/>
            <wp:effectExtent l="0" t="0" r="0" b="8890"/>
            <wp:docPr id="411458827" name="Picture 1" descr="Two-panel clustered horizontal bar chart. Undergraduate full-time employment rate by citizenship status and study area (%). Two panels, top to bottom: Short-term (2023); Medium-term (2026). Legend: Domestic; International. Categories run from top to bottom by study area. Horizontal axis: full-time employment rate (%). Top panel, Short-term (2023), from top to bottom: Business and management: Domestic, 85.8%; International, 61.6%; Computing and information systems: Domestic, 76.5%; International, 52.2%; Engineering: Domestic, 89.6%; International, 59.7%; Health services and support: Domestic, 80.3%; International, 56.6%; Humanities, culture and social sciences: Domestic, 73.2%; International, 67.3%; Medicine: Domestic, 95.2%; International, 92.3%; Nursing: Domestic, 89.7%; International, 76.0%; Science and mathematics: Domestic, 71.2%; International, 63.5%; Social work: Domestic, 82.9%; International, 62.5%; All study areas: Domestic, 80.2%; International, 62.5%. Bottom panel, Medium-term (2026), from top to bottom: Business and management: Domestic, 94.8%; International, 86.3%; Computing and information systems: Domestic, 92.4%; International, 83.2%; Engineering: Domestic, 95.6%; International, 85.0%; Health services and support: Domestic, 93.2%; International, 77.8%; Humanities, culture and social sciences: Domestic, 89.0%; International, 84.7%; Medicine: Domestic, 95.9%; International, 96.4%; Nursing: Domestic, 94.5%; International, 88.0%; Science and mathematics: Domestic, 89.3%; International, 84.1%; Social work: Domestic, 92.7%; International, 87.1%; All study areas: Domestic, 91.8%; International,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58827" name="Picture 1" descr="Two-panel clustered horizontal bar chart. Undergraduate full-time employment rate by citizenship status and study area (%). Two panels, top to bottom: Short-term (2023); Medium-term (2026). Legend: Domestic; International. Categories run from top to bottom by study area. Horizontal axis: full-time employment rate (%). Top panel, Short-term (2023), from top to bottom: Business and management: Domestic, 85.8%; International, 61.6%; Computing and information systems: Domestic, 76.5%; International, 52.2%; Engineering: Domestic, 89.6%; International, 59.7%; Health services and support: Domestic, 80.3%; International, 56.6%; Humanities, culture and social sciences: Domestic, 73.2%; International, 67.3%; Medicine: Domestic, 95.2%; International, 92.3%; Nursing: Domestic, 89.7%; International, 76.0%; Science and mathematics: Domestic, 71.2%; International, 63.5%; Social work: Domestic, 82.9%; International, 62.5%; All study areas: Domestic, 80.2%; International, 62.5%. Bottom panel, Medium-term (2026), from top to bottom: Business and management: Domestic, 94.8%; International, 86.3%; Computing and information systems: Domestic, 92.4%; International, 83.2%; Engineering: Domestic, 95.6%; International, 85.0%; Health services and support: Domestic, 93.2%; International, 77.8%; Humanities, culture and social sciences: Domestic, 89.0%; International, 84.7%; Medicine: Domestic, 95.9%; International, 96.4%; Nursing: Domestic, 94.5%; International, 88.0%; Science and mathematics: Domestic, 89.3%; International, 84.1%; Social work: Domestic, 92.7%; International, 87.1%; All study areas: Domestic, 91.8%; International, 84.1%."/>
                    <pic:cNvPicPr/>
                  </pic:nvPicPr>
                  <pic:blipFill>
                    <a:blip r:embed="rId84"/>
                    <a:stretch>
                      <a:fillRect/>
                    </a:stretch>
                  </pic:blipFill>
                  <pic:spPr>
                    <a:xfrm>
                      <a:off x="0" y="0"/>
                      <a:ext cx="6630325" cy="8545118"/>
                    </a:xfrm>
                    <a:prstGeom prst="rect">
                      <a:avLst/>
                    </a:prstGeom>
                  </pic:spPr>
                </pic:pic>
              </a:graphicData>
            </a:graphic>
          </wp:inline>
        </w:drawing>
      </w:r>
    </w:p>
    <w:p w14:paraId="29EA2D58" w14:textId="52AE8544" w:rsidR="00A55102" w:rsidRDefault="00CB7449" w:rsidP="00C43B9E">
      <w:pPr>
        <w:pStyle w:val="BaseFigureNotes"/>
        <w:spacing w:before="120" w:after="60"/>
        <w:ind w:left="567" w:hanging="567"/>
        <w:rPr>
          <w:lang w:val="en-GB"/>
        </w:rPr>
      </w:pPr>
      <w:r w:rsidRPr="00B4258D">
        <w:rPr>
          <w:b/>
          <w:bCs/>
          <w:lang w:val="en-GB"/>
        </w:rPr>
        <w:t>Note:</w:t>
      </w:r>
      <w:r w:rsidR="00A55102">
        <w:rPr>
          <w:lang w:val="en-GB"/>
        </w:rPr>
        <w:t xml:space="preserve">  </w:t>
      </w:r>
      <w:r w:rsidR="00C43B9E">
        <w:rPr>
          <w:lang w:val="en-GB"/>
        </w:rPr>
        <w:t xml:space="preserve">1. </w:t>
      </w:r>
      <w:r w:rsidR="00177A30" w:rsidRPr="005A3AFE">
        <w:rPr>
          <w:lang w:val="en-GB"/>
        </w:rPr>
        <w:t xml:space="preserve">Only selected study areas </w:t>
      </w:r>
      <w:r w:rsidR="007E2E97" w:rsidRPr="005A3AFE">
        <w:rPr>
          <w:lang w:val="en-GB"/>
        </w:rPr>
        <w:t>are</w:t>
      </w:r>
      <w:r w:rsidRPr="005A3AFE">
        <w:rPr>
          <w:lang w:val="en-GB"/>
        </w:rPr>
        <w:t xml:space="preserve"> </w:t>
      </w:r>
      <w:r w:rsidR="00177A30" w:rsidRPr="005A3AFE">
        <w:rPr>
          <w:lang w:val="en-GB"/>
        </w:rPr>
        <w:t xml:space="preserve">presented in </w:t>
      </w:r>
      <w:r w:rsidRPr="005A3AFE">
        <w:rPr>
          <w:lang w:val="en-GB"/>
        </w:rPr>
        <w:t>this figure</w:t>
      </w:r>
      <w:r w:rsidR="00177A30" w:rsidRPr="005A3AFE">
        <w:rPr>
          <w:lang w:val="en-GB"/>
        </w:rPr>
        <w:t>. For all study areas, refer to the FTE_ALL_ALL_1Y_AREA and FTE_ALL_ALL_1Y_AREA_INT worksheets in the 202</w:t>
      </w:r>
      <w:r w:rsidR="00B921B4" w:rsidRPr="005A3AFE">
        <w:rPr>
          <w:lang w:val="en-GB"/>
        </w:rPr>
        <w:t>6</w:t>
      </w:r>
      <w:r w:rsidR="00177A30" w:rsidRPr="005A3AFE">
        <w:rPr>
          <w:lang w:val="en-GB"/>
        </w:rPr>
        <w:t xml:space="preserve"> GOS-L National Tables available on the QILT website.</w:t>
      </w:r>
      <w:bookmarkEnd w:id="224"/>
      <w:r w:rsidR="00CD57C6" w:rsidRPr="005A3AFE">
        <w:rPr>
          <w:lang w:val="en-GB"/>
        </w:rPr>
        <w:t xml:space="preserve"> </w:t>
      </w:r>
    </w:p>
    <w:p w14:paraId="4BC41CCC" w14:textId="447D731C" w:rsidR="00EB29BD" w:rsidRDefault="00A55102" w:rsidP="00C43B9E">
      <w:pPr>
        <w:pStyle w:val="BaseFigureNotes"/>
        <w:ind w:left="567"/>
        <w:rPr>
          <w:lang w:val="en-GB"/>
        </w:rPr>
      </w:pPr>
      <w:r>
        <w:rPr>
          <w:lang w:val="en-GB"/>
        </w:rPr>
        <w:t xml:space="preserve">2. </w:t>
      </w:r>
      <w:r w:rsidR="00CD57C6" w:rsidRPr="005A3AFE">
        <w:rPr>
          <w:lang w:val="en-GB"/>
        </w:rPr>
        <w:t>Medium-term full-time employment rates from 202</w:t>
      </w:r>
      <w:r w:rsidR="00B921B4" w:rsidRPr="005A3AFE">
        <w:rPr>
          <w:lang w:val="en-GB"/>
        </w:rPr>
        <w:t>5</w:t>
      </w:r>
      <w:r w:rsidR="00CD57C6" w:rsidRPr="005A3AFE">
        <w:rPr>
          <w:lang w:val="en-GB"/>
        </w:rPr>
        <w:t xml:space="preserve"> onwards are not directly comparable with earlier years due to a change to how the labour force is defined. Caution should be exercised when interpreting shifts from the short- to medium-term for the 202</w:t>
      </w:r>
      <w:r w:rsidR="00B921B4" w:rsidRPr="005A3AFE">
        <w:rPr>
          <w:lang w:val="en-GB"/>
        </w:rPr>
        <w:t>3</w:t>
      </w:r>
      <w:r w:rsidR="00886C60" w:rsidRPr="00886C60">
        <w:t>–</w:t>
      </w:r>
      <w:r w:rsidR="00CD57C6" w:rsidRPr="005A3AFE">
        <w:rPr>
          <w:lang w:val="en-GB"/>
        </w:rPr>
        <w:t>202</w:t>
      </w:r>
      <w:r w:rsidR="00B921B4" w:rsidRPr="005A3AFE">
        <w:rPr>
          <w:lang w:val="en-GB"/>
        </w:rPr>
        <w:t>6</w:t>
      </w:r>
      <w:r w:rsidR="00CD57C6" w:rsidRPr="005A3AFE">
        <w:rPr>
          <w:lang w:val="en-GB"/>
        </w:rPr>
        <w:t xml:space="preserve"> cohort, as they partly reflect the change in methodology. See </w:t>
      </w:r>
      <w:r w:rsidR="00CD57C6" w:rsidRPr="005A3AFE">
        <w:rPr>
          <w:b/>
          <w:bCs/>
          <w:lang w:val="en-GB"/>
        </w:rPr>
        <w:t>Appendix 1</w:t>
      </w:r>
      <w:r w:rsidR="00CD57C6" w:rsidRPr="005A3AFE">
        <w:rPr>
          <w:lang w:val="en-GB"/>
        </w:rPr>
        <w:t xml:space="preserve"> </w:t>
      </w:r>
      <w:r w:rsidR="00EC73E7" w:rsidRPr="00EC73E7">
        <w:rPr>
          <w:lang w:val="en-GB"/>
        </w:rPr>
        <w:t xml:space="preserve">in the 2025 GOS-L National Report </w:t>
      </w:r>
      <w:r w:rsidR="00CD57C6" w:rsidRPr="005A3AFE">
        <w:rPr>
          <w:lang w:val="en-GB"/>
        </w:rPr>
        <w:t>for further information.</w:t>
      </w:r>
    </w:p>
    <w:p w14:paraId="22766B00" w14:textId="77777777" w:rsidR="00177A30" w:rsidRPr="005A3AFE" w:rsidRDefault="008B1FB7" w:rsidP="008B1FB7">
      <w:pPr>
        <w:pStyle w:val="Heading2"/>
        <w:rPr>
          <w:lang w:val="en-GB"/>
        </w:rPr>
      </w:pPr>
      <w:bookmarkStart w:id="225" w:name="_Toc243492356"/>
      <w:r w:rsidRPr="005A3AFE">
        <w:rPr>
          <w:lang w:val="en-GB"/>
        </w:rPr>
        <w:lastRenderedPageBreak/>
        <w:t>Source country</w:t>
      </w:r>
      <w:bookmarkEnd w:id="225"/>
    </w:p>
    <w:p w14:paraId="021DADC0" w14:textId="7BF1869E" w:rsidR="002B2406" w:rsidRPr="0036340F" w:rsidRDefault="002B2406" w:rsidP="002B2406">
      <w:pPr>
        <w:pStyle w:val="Body"/>
        <w:rPr>
          <w:b/>
        </w:rPr>
      </w:pPr>
      <w:r w:rsidRPr="005A3AFE">
        <w:t>This section presents employment and further full-time study outcomes for international graduates, disaggregated by the graduate’s source country</w:t>
      </w:r>
      <w:r w:rsidRPr="00E17B1D">
        <w:rPr>
          <w:rStyle w:val="FootnoteReference"/>
          <w:sz w:val="20"/>
        </w:rPr>
        <w:footnoteReference w:id="24"/>
      </w:r>
      <w:r w:rsidRPr="00E17B1D">
        <w:t xml:space="preserve"> </w:t>
      </w:r>
      <w:r w:rsidRPr="005A3AFE">
        <w:t xml:space="preserve">and </w:t>
      </w:r>
      <w:r w:rsidR="00156AF6">
        <w:t>study level</w:t>
      </w:r>
      <w:r w:rsidRPr="005A3AFE">
        <w:t xml:space="preserve">. The countries in </w:t>
      </w:r>
      <w:r w:rsidR="00B32D7D" w:rsidRPr="005A3AFE">
        <w:rPr>
          <w:b/>
        </w:rPr>
        <w:fldChar w:fldCharType="begin"/>
      </w:r>
      <w:r w:rsidR="00B32D7D" w:rsidRPr="005A3AFE">
        <w:rPr>
          <w:b/>
        </w:rPr>
        <w:instrText xml:space="preserve"> REF _Ref204633415 \h  \* MERGEFORMAT </w:instrText>
      </w:r>
      <w:r w:rsidR="00B32D7D" w:rsidRPr="005A3AFE">
        <w:rPr>
          <w:b/>
        </w:rPr>
      </w:r>
      <w:r w:rsidR="00B32D7D" w:rsidRPr="005A3AFE">
        <w:rPr>
          <w:b/>
        </w:rPr>
        <w:fldChar w:fldCharType="separate"/>
      </w:r>
      <w:r w:rsidR="00487685" w:rsidRPr="0036340F">
        <w:rPr>
          <w:b/>
        </w:rPr>
        <w:t>Table 10</w:t>
      </w:r>
      <w:r w:rsidR="00B32D7D" w:rsidRPr="005A3AFE">
        <w:rPr>
          <w:b/>
        </w:rPr>
        <w:fldChar w:fldCharType="end"/>
      </w:r>
      <w:r w:rsidR="00B32D7D" w:rsidRPr="005A3AFE">
        <w:t xml:space="preserve"> </w:t>
      </w:r>
      <w:r w:rsidR="009C5FE4" w:rsidRPr="005A3AFE">
        <w:t>a</w:t>
      </w:r>
      <w:r w:rsidR="00487685">
        <w:t>n</w:t>
      </w:r>
      <w:r w:rsidR="00221CDE">
        <w:t xml:space="preserve">d </w:t>
      </w:r>
      <w:r w:rsidR="00B32D7D" w:rsidRPr="005A3AFE">
        <w:rPr>
          <w:b/>
        </w:rPr>
        <w:fldChar w:fldCharType="begin"/>
      </w:r>
      <w:r w:rsidR="00B32D7D" w:rsidRPr="005A3AFE">
        <w:rPr>
          <w:b/>
        </w:rPr>
        <w:instrText xml:space="preserve"> REF _Ref206015908 \h  \* MERGEFORMAT </w:instrText>
      </w:r>
      <w:r w:rsidR="00B32D7D" w:rsidRPr="005A3AFE">
        <w:rPr>
          <w:b/>
        </w:rPr>
      </w:r>
      <w:r w:rsidR="00B32D7D" w:rsidRPr="005A3AFE">
        <w:rPr>
          <w:b/>
        </w:rPr>
        <w:fldChar w:fldCharType="separate"/>
      </w:r>
      <w:r w:rsidR="00487685" w:rsidRPr="0036340F">
        <w:rPr>
          <w:b/>
        </w:rPr>
        <w:t xml:space="preserve">Table </w:t>
      </w:r>
      <w:r w:rsidR="00487685" w:rsidRPr="0036340F">
        <w:rPr>
          <w:b/>
          <w:bCs/>
          <w:noProof/>
        </w:rPr>
        <w:t>11</w:t>
      </w:r>
      <w:r w:rsidR="00B32D7D" w:rsidRPr="005A3AFE">
        <w:rPr>
          <w:b/>
        </w:rPr>
        <w:fldChar w:fldCharType="end"/>
      </w:r>
      <w:r w:rsidR="00B32D7D" w:rsidRPr="005A3AFE">
        <w:t xml:space="preserve"> </w:t>
      </w:r>
      <w:r w:rsidR="00C5009E" w:rsidRPr="005A3AFE">
        <w:t>a</w:t>
      </w:r>
      <w:r w:rsidRPr="005A3AFE">
        <w:t>re ordered based on the total number of survey responses at that study level.</w:t>
      </w:r>
    </w:p>
    <w:p w14:paraId="6C1B1662" w14:textId="1FC6F08D" w:rsidR="00303611" w:rsidRPr="005A3AFE" w:rsidRDefault="00D20443" w:rsidP="002B2406">
      <w:pPr>
        <w:pStyle w:val="Body"/>
      </w:pPr>
      <w:r w:rsidRPr="005A3AFE">
        <w:t>At the undergraduate level,</w:t>
      </w:r>
      <w:r w:rsidR="00227964" w:rsidRPr="005A3AFE">
        <w:t xml:space="preserve"> graduates from China (excludes SARs and Taiwan) reported </w:t>
      </w:r>
      <w:r w:rsidR="00303611" w:rsidRPr="005A3AFE">
        <w:t xml:space="preserve">lower labour-force participation </w:t>
      </w:r>
      <w:r w:rsidR="00920958" w:rsidRPr="005A3AFE">
        <w:t>(</w:t>
      </w:r>
      <w:r w:rsidR="004D0CCA" w:rsidRPr="005A3AFE">
        <w:t>71.5</w:t>
      </w:r>
      <w:r w:rsidR="00920958" w:rsidRPr="005A3AFE">
        <w:t xml:space="preserve"> per cent) in the short-term compared to the internationa</w:t>
      </w:r>
      <w:r w:rsidR="004D0CCA" w:rsidRPr="005A3AFE">
        <w:t>l average (89.3)</w:t>
      </w:r>
      <w:r w:rsidR="008E144D" w:rsidRPr="005A3AFE">
        <w:t>, a</w:t>
      </w:r>
      <w:r w:rsidR="005B2DCF" w:rsidRPr="005A3AFE">
        <w:t>n</w:t>
      </w:r>
      <w:r w:rsidR="008E144D" w:rsidRPr="005A3AFE">
        <w:t xml:space="preserve">d they were also almost twice as likely to be pursuing further full-time study in the short-term </w:t>
      </w:r>
      <w:r w:rsidR="008B5F93" w:rsidRPr="005A3AFE">
        <w:t>compared to the international average</w:t>
      </w:r>
      <w:r w:rsidR="00A440A2" w:rsidRPr="005A3AFE">
        <w:t>.</w:t>
      </w:r>
      <w:r w:rsidR="008B5F93" w:rsidRPr="005A3AFE">
        <w:t xml:space="preserve"> </w:t>
      </w:r>
      <w:r w:rsidR="00A440A2" w:rsidRPr="005A3AFE">
        <w:t>This high further full-time study rate and relatively low labour force participation rate and indicates that graduates from China (excludes SARs and Taiwan) may not have the same financial pressures to work, or perhaps a greater preference to focus on their studies. In contrast, undergraduates from</w:t>
      </w:r>
      <w:r w:rsidR="005C41B5" w:rsidRPr="005A3AFE">
        <w:t xml:space="preserve"> the other top source countries reported labour force participation rates </w:t>
      </w:r>
      <w:r w:rsidR="00F53CBE">
        <w:t xml:space="preserve">at or </w:t>
      </w:r>
      <w:r w:rsidR="005C41B5" w:rsidRPr="005A3AFE">
        <w:t>above 91.3 per cent in the short-term, with undergraduates from</w:t>
      </w:r>
      <w:r w:rsidR="00A440A2" w:rsidRPr="005A3AFE">
        <w:t xml:space="preserve"> Nepal and India </w:t>
      </w:r>
      <w:r w:rsidR="00F953AB" w:rsidRPr="005A3AFE">
        <w:t>report</w:t>
      </w:r>
      <w:r w:rsidR="005C41B5" w:rsidRPr="005A3AFE">
        <w:t>ing much</w:t>
      </w:r>
      <w:r w:rsidR="00F953AB" w:rsidRPr="005A3AFE">
        <w:t xml:space="preserve"> higher rates of labour force participation (97.4 per cent and 96.8 per cent)</w:t>
      </w:r>
      <w:r w:rsidR="00D67C80" w:rsidRPr="005A3AFE">
        <w:t xml:space="preserve"> in the short-term</w:t>
      </w:r>
      <w:r w:rsidR="005C41B5" w:rsidRPr="005A3AFE">
        <w:t xml:space="preserve"> compared to the international average.</w:t>
      </w:r>
    </w:p>
    <w:p w14:paraId="262A42EA" w14:textId="73998167" w:rsidR="00B6196A" w:rsidRPr="005A3AFE" w:rsidRDefault="00B6196A" w:rsidP="002B2406">
      <w:pPr>
        <w:pStyle w:val="Body"/>
      </w:pPr>
      <w:r w:rsidRPr="005A3AFE">
        <w:t>In the medium-term</w:t>
      </w:r>
      <w:r w:rsidR="00C23B37" w:rsidRPr="005A3AFE">
        <w:t xml:space="preserve">, </w:t>
      </w:r>
      <w:r w:rsidR="00006DA2" w:rsidRPr="005A3AFE">
        <w:t xml:space="preserve">employment and median salary outcomes for </w:t>
      </w:r>
      <w:r w:rsidR="00C23B37" w:rsidRPr="005A3AFE">
        <w:t>undergraduates from China (excludes SARs and Taiwan)</w:t>
      </w:r>
      <w:r w:rsidR="00267364" w:rsidRPr="005A3AFE">
        <w:t xml:space="preserve"> </w:t>
      </w:r>
      <w:r w:rsidR="00006DA2" w:rsidRPr="005A3AFE">
        <w:t xml:space="preserve">lagged behind other source countries. </w:t>
      </w:r>
      <w:r w:rsidR="006852AF" w:rsidRPr="005A3AFE">
        <w:t xml:space="preserve">Although </w:t>
      </w:r>
      <w:r w:rsidR="00814BDD" w:rsidRPr="005A3AFE">
        <w:t xml:space="preserve">the full-time employment rate for undergraduates from China (excludes SARs and Taiwan) was slightly under the </w:t>
      </w:r>
      <w:r w:rsidR="009F56FA" w:rsidRPr="005A3AFE">
        <w:t xml:space="preserve">international </w:t>
      </w:r>
      <w:r w:rsidR="001477CC" w:rsidRPr="005A3AFE">
        <w:t xml:space="preserve">average </w:t>
      </w:r>
      <w:r w:rsidR="00267364" w:rsidRPr="005A3AFE">
        <w:t>reported full-time employment rate</w:t>
      </w:r>
      <w:r w:rsidR="00E224F2" w:rsidRPr="005A3AFE">
        <w:t xml:space="preserve"> (</w:t>
      </w:r>
      <w:r w:rsidR="00124ADE" w:rsidRPr="005A3AFE">
        <w:t>a difference of 1.5 percentage points</w:t>
      </w:r>
      <w:r w:rsidR="00E224F2" w:rsidRPr="005A3AFE">
        <w:t>)</w:t>
      </w:r>
      <w:r w:rsidR="00124ADE" w:rsidRPr="005A3AFE">
        <w:t xml:space="preserve"> in the short</w:t>
      </w:r>
      <w:r w:rsidR="003D002C" w:rsidRPr="005A3AFE">
        <w:t>-</w:t>
      </w:r>
      <w:r w:rsidR="00124ADE" w:rsidRPr="005A3AFE">
        <w:t>term, it</w:t>
      </w:r>
      <w:r w:rsidR="00E224F2" w:rsidRPr="005A3AFE">
        <w:t xml:space="preserve"> </w:t>
      </w:r>
      <w:r w:rsidR="000727BE" w:rsidRPr="005A3AFE">
        <w:t xml:space="preserve">was </w:t>
      </w:r>
      <w:r w:rsidR="00124ADE" w:rsidRPr="005A3AFE">
        <w:t xml:space="preserve">well </w:t>
      </w:r>
      <w:r w:rsidR="00267364" w:rsidRPr="005A3AFE">
        <w:t>below the international average (</w:t>
      </w:r>
      <w:r w:rsidR="00124ADE" w:rsidRPr="005A3AFE">
        <w:t xml:space="preserve">a difference of </w:t>
      </w:r>
      <w:r w:rsidR="00277AAB" w:rsidRPr="005A3AFE">
        <w:t>9.7 per</w:t>
      </w:r>
      <w:r w:rsidR="005F7DA5" w:rsidRPr="005A3AFE">
        <w:t>centage points</w:t>
      </w:r>
      <w:r w:rsidR="00267364" w:rsidRPr="005A3AFE">
        <w:t>)</w:t>
      </w:r>
      <w:r w:rsidR="00124ADE" w:rsidRPr="005A3AFE">
        <w:t xml:space="preserve"> in the medium-term</w:t>
      </w:r>
      <w:r w:rsidR="00B42D7F" w:rsidRPr="005A3AFE">
        <w:t>.</w:t>
      </w:r>
      <w:r w:rsidR="000727BE" w:rsidRPr="005A3AFE">
        <w:t xml:space="preserve"> </w:t>
      </w:r>
      <w:r w:rsidR="00B90DB8" w:rsidRPr="005A3AFE">
        <w:t xml:space="preserve">Undergraduates from China (excludes SARs and Taiwan) also </w:t>
      </w:r>
      <w:r w:rsidR="005072F1" w:rsidRPr="005A3AFE">
        <w:t>saw the smallest growth in salary (</w:t>
      </w:r>
      <w:r w:rsidR="003A7CE1">
        <w:t xml:space="preserve">from </w:t>
      </w:r>
      <w:r w:rsidR="005F7DA5" w:rsidRPr="005A3AFE">
        <w:t>$67,100 to $79,300</w:t>
      </w:r>
      <w:r w:rsidR="005072F1" w:rsidRPr="005A3AFE">
        <w:t>) out of the top 5 source countries</w:t>
      </w:r>
      <w:r w:rsidR="000D722B" w:rsidRPr="005A3AFE">
        <w:t>.</w:t>
      </w:r>
      <w:r w:rsidR="00EE201C" w:rsidRPr="005A3AFE">
        <w:t xml:space="preserve"> </w:t>
      </w:r>
      <w:r w:rsidR="004C3871" w:rsidRPr="005A3AFE">
        <w:t>Undergraduates from Indonesia</w:t>
      </w:r>
      <w:r w:rsidR="00BD0CCF" w:rsidRPr="005A3AFE">
        <w:t xml:space="preserve"> </w:t>
      </w:r>
      <w:r w:rsidR="00733C2B" w:rsidRPr="005A3AFE">
        <w:t>reported the lowest full-time employment rate of the top 5 source countries in the short-term</w:t>
      </w:r>
      <w:r w:rsidR="005F7DA5" w:rsidRPr="005A3AFE">
        <w:t xml:space="preserve"> (50.0 per cent)</w:t>
      </w:r>
      <w:r w:rsidR="00733C2B" w:rsidRPr="005A3AFE">
        <w:t xml:space="preserve">, but </w:t>
      </w:r>
      <w:r w:rsidR="000F21BD" w:rsidRPr="005A3AFE">
        <w:t xml:space="preserve">reported the highest improvement in </w:t>
      </w:r>
      <w:r w:rsidR="00F57228" w:rsidRPr="005A3AFE">
        <w:t>full-time employment rate in the medium</w:t>
      </w:r>
      <w:r w:rsidR="003D002C" w:rsidRPr="005A3AFE">
        <w:t>-</w:t>
      </w:r>
      <w:r w:rsidR="00F57228" w:rsidRPr="005A3AFE">
        <w:t xml:space="preserve">term (87.5 per cent). </w:t>
      </w:r>
      <w:r w:rsidR="00557E11" w:rsidRPr="005A3AFE">
        <w:t xml:space="preserve">Median salary for undergraduates from Indonesia </w:t>
      </w:r>
      <w:r w:rsidR="00313996">
        <w:t>was</w:t>
      </w:r>
      <w:r w:rsidR="00EC73E7">
        <w:t>,</w:t>
      </w:r>
      <w:r w:rsidR="00557E11" w:rsidRPr="005A3AFE">
        <w:t xml:space="preserve"> however, lower than the international average in the short-term and this persisted in the medium-term. </w:t>
      </w:r>
      <w:r w:rsidR="00912CCB" w:rsidRPr="005A3AFE">
        <w:t xml:space="preserve">This suggests that undergraduates from </w:t>
      </w:r>
      <w:r w:rsidR="00EC73E7">
        <w:t>Indonesia</w:t>
      </w:r>
      <w:r w:rsidR="00912CCB" w:rsidRPr="005A3AFE">
        <w:t xml:space="preserve"> </w:t>
      </w:r>
      <w:r w:rsidR="00A36D8A" w:rsidRPr="005A3AFE">
        <w:t>tak</w:t>
      </w:r>
      <w:r w:rsidR="00EC73E7">
        <w:t>e</w:t>
      </w:r>
      <w:r w:rsidR="00A36D8A" w:rsidRPr="005A3AFE">
        <w:t xml:space="preserve"> a bit longer to break into the workforce when compared to undergraduates from other countries.</w:t>
      </w:r>
    </w:p>
    <w:p w14:paraId="0B01F301" w14:textId="77777777" w:rsidR="00EB29BD" w:rsidRDefault="00A528EE" w:rsidP="002B2406">
      <w:pPr>
        <w:pStyle w:val="Body"/>
      </w:pPr>
      <w:r w:rsidRPr="005A3AFE">
        <w:t>Note that it is unclear whether differences between source countries are generalisable to a broader population due to the small number of survey responses.</w:t>
      </w:r>
    </w:p>
    <w:p w14:paraId="37253EFD" w14:textId="77777777" w:rsidR="00EB29BD" w:rsidRDefault="00EB29BD" w:rsidP="002B2406">
      <w:pPr>
        <w:pStyle w:val="Body"/>
      </w:pPr>
    </w:p>
    <w:p w14:paraId="47F73E81" w14:textId="77777777" w:rsidR="00EB29BD" w:rsidRDefault="00EB29BD" w:rsidP="002B2406">
      <w:pPr>
        <w:pStyle w:val="Body"/>
        <w:sectPr w:rsidR="00EB29BD" w:rsidSect="00A11753">
          <w:footerReference w:type="default" r:id="rId85"/>
          <w:pgSz w:w="11900" w:h="16840"/>
          <w:pgMar w:top="709" w:right="709" w:bottom="709" w:left="709" w:header="397" w:footer="397" w:gutter="0"/>
          <w:cols w:space="708"/>
          <w:docGrid w:linePitch="360"/>
        </w:sectPr>
      </w:pPr>
    </w:p>
    <w:p w14:paraId="1E221CEF" w14:textId="2CFA5D11" w:rsidR="001E42D2" w:rsidRPr="005A3AFE" w:rsidRDefault="0033351F" w:rsidP="00A33BD9">
      <w:pPr>
        <w:pStyle w:val="Caption"/>
      </w:pPr>
      <w:bookmarkStart w:id="226" w:name="_Ref204633415"/>
      <w:bookmarkStart w:id="227" w:name="_Toc243492102"/>
      <w:r w:rsidRPr="005A3AFE">
        <w:lastRenderedPageBreak/>
        <w:t xml:space="preserve">Table </w:t>
      </w:r>
      <w:fldSimple w:instr=" SEQ Table \* ARABIC ">
        <w:r w:rsidR="00C4459D">
          <w:rPr>
            <w:noProof/>
          </w:rPr>
          <w:t>10</w:t>
        </w:r>
      </w:fldSimple>
      <w:bookmarkEnd w:id="226"/>
      <w:r w:rsidR="007F6B22">
        <w:tab/>
      </w:r>
      <w:r w:rsidRPr="005A3AFE">
        <w:t>International undergraduate short- and medium-term outcomes by source country</w:t>
      </w:r>
      <w:bookmarkEnd w:id="227"/>
    </w:p>
    <w:tbl>
      <w:tblPr>
        <w:tblW w:w="5000" w:type="pct"/>
        <w:tblInd w:w="-5" w:type="dxa"/>
        <w:tblLayout w:type="fixed"/>
        <w:tblCellMar>
          <w:left w:w="0" w:type="dxa"/>
          <w:right w:w="0" w:type="dxa"/>
        </w:tblCellMar>
        <w:tblLook w:val="0000" w:firstRow="0" w:lastRow="0" w:firstColumn="0" w:lastColumn="0" w:noHBand="0" w:noVBand="0"/>
      </w:tblPr>
      <w:tblGrid>
        <w:gridCol w:w="1426"/>
        <w:gridCol w:w="1484"/>
        <w:gridCol w:w="1484"/>
        <w:gridCol w:w="1562"/>
        <w:gridCol w:w="1408"/>
        <w:gridCol w:w="1483"/>
        <w:gridCol w:w="1483"/>
        <w:gridCol w:w="1483"/>
        <w:gridCol w:w="1483"/>
        <w:gridCol w:w="1483"/>
        <w:gridCol w:w="1483"/>
      </w:tblGrid>
      <w:tr w:rsidR="00C366BE" w:rsidRPr="005A3AFE" w14:paraId="2AFECFB9" w14:textId="318D1459" w:rsidTr="002A2D85">
        <w:trPr>
          <w:trHeight w:val="1191"/>
          <w:tblHeader/>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34A45E2" w14:textId="1D4F7C8F" w:rsidR="00C366BE" w:rsidRPr="000B3FC4" w:rsidRDefault="00C366BE" w:rsidP="0072412A">
            <w:pPr>
              <w:pStyle w:val="TablecolumnheadCENTRETABLES"/>
              <w:spacing w:before="240"/>
              <w:ind w:left="28" w:right="28"/>
              <w:jc w:val="left"/>
              <w:rPr>
                <w:rFonts w:ascii="Arial" w:hAnsi="Arial" w:cs="Arial"/>
                <w:bCs w:val="0"/>
                <w:color w:val="auto"/>
                <w:sz w:val="20"/>
                <w:szCs w:val="20"/>
              </w:rPr>
            </w:pPr>
            <w:r w:rsidRPr="000B3FC4">
              <w:rPr>
                <w:rFonts w:ascii="Arial" w:hAnsi="Arial" w:cs="Arial"/>
                <w:bCs w:val="0"/>
                <w:color w:val="auto"/>
                <w:sz w:val="20"/>
                <w:szCs w:val="20"/>
              </w:rPr>
              <w:t>Source country</w:t>
            </w:r>
          </w:p>
        </w:tc>
        <w:tc>
          <w:tcPr>
            <w:tcW w:w="456" w:type="pct"/>
            <w:tcBorders>
              <w:top w:val="single" w:sz="4" w:space="0" w:color="000000"/>
              <w:left w:val="single" w:sz="4" w:space="0" w:color="000000"/>
              <w:right w:val="single" w:sz="4" w:space="0" w:color="000000"/>
            </w:tcBorders>
            <w:vAlign w:val="center"/>
          </w:tcPr>
          <w:p w14:paraId="4681C359" w14:textId="77777777" w:rsidR="00C366BE" w:rsidRPr="0072412A" w:rsidRDefault="00C366BE" w:rsidP="00397DF6">
            <w:pPr>
              <w:pStyle w:val="TablecolumnheadCENTRETABLES"/>
              <w:ind w:left="170" w:right="28"/>
              <w:jc w:val="left"/>
              <w:rPr>
                <w:rFonts w:ascii="Arial" w:hAnsi="Arial" w:cs="Arial"/>
                <w:b/>
                <w:caps/>
                <w:color w:val="auto"/>
                <w:sz w:val="20"/>
                <w:szCs w:val="20"/>
              </w:rPr>
            </w:pPr>
            <w:r w:rsidRPr="0072412A">
              <w:rPr>
                <w:rFonts w:ascii="Arial" w:hAnsi="Arial" w:cs="Arial"/>
                <w:b/>
                <w:color w:val="auto"/>
                <w:sz w:val="20"/>
                <w:szCs w:val="20"/>
              </w:rPr>
              <w:t>Full-time</w:t>
            </w:r>
          </w:p>
          <w:p w14:paraId="02A331F5" w14:textId="77777777" w:rsidR="0072412A" w:rsidRDefault="00C366BE" w:rsidP="00397DF6">
            <w:pPr>
              <w:pStyle w:val="TablecolumnheadCENTRETABLES"/>
              <w:spacing w:after="60"/>
              <w:ind w:left="170" w:right="28"/>
              <w:jc w:val="left"/>
              <w:rPr>
                <w:rFonts w:ascii="Arial" w:hAnsi="Arial" w:cs="Arial"/>
                <w:b/>
                <w:color w:val="auto"/>
                <w:sz w:val="20"/>
                <w:szCs w:val="20"/>
              </w:rPr>
            </w:pPr>
            <w:r w:rsidRPr="0072412A">
              <w:rPr>
                <w:rFonts w:ascii="Arial" w:hAnsi="Arial" w:cs="Arial"/>
                <w:b/>
                <w:color w:val="auto"/>
                <w:sz w:val="20"/>
                <w:szCs w:val="20"/>
              </w:rPr>
              <w:t>employment rate (%)</w:t>
            </w:r>
            <w:r w:rsidRPr="0072412A">
              <w:rPr>
                <w:rFonts w:ascii="Arial" w:hAnsi="Arial" w:cs="Arial"/>
                <w:b/>
                <w:color w:val="auto"/>
                <w:sz w:val="20"/>
                <w:szCs w:val="20"/>
                <w:vertAlign w:val="superscript"/>
              </w:rPr>
              <w:t>‡</w:t>
            </w:r>
            <w:r w:rsidRPr="0072412A">
              <w:rPr>
                <w:rFonts w:ascii="Arial" w:hAnsi="Arial" w:cs="Arial"/>
                <w:b/>
                <w:color w:val="auto"/>
                <w:sz w:val="20"/>
                <w:szCs w:val="20"/>
              </w:rPr>
              <w:t>:</w:t>
            </w:r>
          </w:p>
          <w:p w14:paraId="681DD6D9" w14:textId="0BC43EA0" w:rsidR="00C366BE" w:rsidRPr="0072412A" w:rsidRDefault="00C366BE" w:rsidP="00397DF6">
            <w:pPr>
              <w:pStyle w:val="TablecolumnheadCENTRETABLES"/>
              <w:ind w:left="170" w:right="28"/>
              <w:jc w:val="left"/>
              <w:rPr>
                <w:rFonts w:ascii="Arial" w:hAnsi="Arial" w:cs="Arial"/>
                <w:b/>
                <w:color w:val="auto"/>
                <w:sz w:val="20"/>
                <w:szCs w:val="20"/>
              </w:rPr>
            </w:pPr>
            <w:r w:rsidRPr="000B3FC4">
              <w:rPr>
                <w:rFonts w:ascii="Arial" w:hAnsi="Arial" w:cs="Arial"/>
                <w:bCs w:val="0"/>
                <w:color w:val="auto"/>
                <w:sz w:val="20"/>
                <w:szCs w:val="20"/>
              </w:rPr>
              <w:t>Short-term (2023)</w:t>
            </w:r>
          </w:p>
        </w:tc>
        <w:tc>
          <w:tcPr>
            <w:tcW w:w="456" w:type="pct"/>
            <w:tcBorders>
              <w:top w:val="single" w:sz="4" w:space="0" w:color="000000"/>
              <w:left w:val="single" w:sz="4" w:space="0" w:color="000000"/>
              <w:right w:val="single" w:sz="4" w:space="0" w:color="000000"/>
            </w:tcBorders>
            <w:vAlign w:val="center"/>
          </w:tcPr>
          <w:p w14:paraId="65A9E85D" w14:textId="77777777" w:rsidR="00C366BE" w:rsidRPr="0072412A" w:rsidRDefault="00C366BE" w:rsidP="00397DF6">
            <w:pPr>
              <w:pStyle w:val="TablecolumnheadCENTRETABLES"/>
              <w:ind w:left="170" w:right="28"/>
              <w:jc w:val="left"/>
              <w:rPr>
                <w:rFonts w:ascii="Arial" w:hAnsi="Arial" w:cs="Arial"/>
                <w:b/>
                <w:caps/>
                <w:color w:val="auto"/>
                <w:sz w:val="20"/>
                <w:szCs w:val="20"/>
              </w:rPr>
            </w:pPr>
            <w:r w:rsidRPr="0072412A">
              <w:rPr>
                <w:rFonts w:ascii="Arial" w:hAnsi="Arial" w:cs="Arial"/>
                <w:b/>
                <w:color w:val="auto"/>
                <w:sz w:val="20"/>
                <w:szCs w:val="20"/>
              </w:rPr>
              <w:t>Full-time</w:t>
            </w:r>
          </w:p>
          <w:p w14:paraId="46C6A7EE" w14:textId="77777777" w:rsidR="0072412A" w:rsidRDefault="00C366BE" w:rsidP="00397DF6">
            <w:pPr>
              <w:pStyle w:val="TablecolumnheadCENTRETABLES"/>
              <w:spacing w:after="60"/>
              <w:ind w:left="170" w:right="28"/>
              <w:jc w:val="left"/>
              <w:rPr>
                <w:rFonts w:ascii="Arial" w:hAnsi="Arial" w:cs="Arial"/>
                <w:b/>
                <w:color w:val="auto"/>
                <w:sz w:val="20"/>
                <w:szCs w:val="20"/>
              </w:rPr>
            </w:pPr>
            <w:r w:rsidRPr="0072412A">
              <w:rPr>
                <w:rFonts w:ascii="Arial" w:hAnsi="Arial" w:cs="Arial"/>
                <w:b/>
                <w:color w:val="auto"/>
                <w:sz w:val="20"/>
                <w:szCs w:val="20"/>
              </w:rPr>
              <w:t>employment rate (%)</w:t>
            </w:r>
            <w:r w:rsidRPr="0072412A">
              <w:rPr>
                <w:rFonts w:ascii="Arial" w:hAnsi="Arial" w:cs="Arial"/>
                <w:b/>
                <w:color w:val="auto"/>
                <w:sz w:val="20"/>
                <w:szCs w:val="20"/>
                <w:vertAlign w:val="superscript"/>
              </w:rPr>
              <w:t>‡</w:t>
            </w:r>
            <w:r w:rsidRPr="0072412A">
              <w:rPr>
                <w:rFonts w:ascii="Arial" w:hAnsi="Arial" w:cs="Arial"/>
                <w:b/>
                <w:color w:val="auto"/>
                <w:sz w:val="20"/>
                <w:szCs w:val="20"/>
              </w:rPr>
              <w:t>:</w:t>
            </w:r>
          </w:p>
          <w:p w14:paraId="2152232E" w14:textId="0F2CDA7D" w:rsidR="00C366BE" w:rsidRPr="0072412A" w:rsidRDefault="00C366BE" w:rsidP="00397DF6">
            <w:pPr>
              <w:pStyle w:val="TablecolumnheadCENTRETABLES"/>
              <w:ind w:left="170" w:right="28"/>
              <w:jc w:val="left"/>
              <w:rPr>
                <w:rFonts w:ascii="Arial" w:hAnsi="Arial" w:cs="Arial"/>
                <w:b/>
                <w:color w:val="auto"/>
                <w:sz w:val="20"/>
                <w:szCs w:val="20"/>
              </w:rPr>
            </w:pPr>
            <w:r w:rsidRPr="000B3FC4">
              <w:rPr>
                <w:rFonts w:ascii="Arial" w:hAnsi="Arial" w:cs="Arial"/>
                <w:bCs w:val="0"/>
                <w:color w:val="auto"/>
                <w:sz w:val="20"/>
                <w:szCs w:val="20"/>
              </w:rPr>
              <w:t>Medium-term (2026)</w:t>
            </w:r>
          </w:p>
        </w:tc>
        <w:tc>
          <w:tcPr>
            <w:tcW w:w="480" w:type="pct"/>
            <w:tcBorders>
              <w:top w:val="single" w:sz="4" w:space="0" w:color="000000"/>
              <w:left w:val="single" w:sz="4" w:space="0" w:color="000000"/>
              <w:right w:val="single" w:sz="4" w:space="0" w:color="000000"/>
            </w:tcBorders>
            <w:tcMar>
              <w:top w:w="57" w:type="dxa"/>
              <w:left w:w="57" w:type="dxa"/>
              <w:bottom w:w="57" w:type="dxa"/>
              <w:right w:w="57" w:type="dxa"/>
            </w:tcMar>
            <w:vAlign w:val="center"/>
          </w:tcPr>
          <w:p w14:paraId="6BFB2E90" w14:textId="77777777" w:rsidR="00C366BE" w:rsidRPr="0072412A" w:rsidRDefault="00C366BE" w:rsidP="00397DF6">
            <w:pPr>
              <w:pStyle w:val="TablecolumnheadCENTRETABLES"/>
              <w:ind w:left="170" w:right="28"/>
              <w:jc w:val="left"/>
              <w:rPr>
                <w:rFonts w:ascii="Arial" w:hAnsi="Arial" w:cs="Arial"/>
                <w:b/>
                <w:caps/>
                <w:color w:val="auto"/>
                <w:sz w:val="20"/>
                <w:szCs w:val="20"/>
              </w:rPr>
            </w:pPr>
            <w:r w:rsidRPr="0072412A">
              <w:rPr>
                <w:rFonts w:ascii="Arial" w:hAnsi="Arial" w:cs="Arial"/>
                <w:b/>
                <w:color w:val="auto"/>
                <w:sz w:val="20"/>
                <w:szCs w:val="20"/>
              </w:rPr>
              <w:t>Overall</w:t>
            </w:r>
          </w:p>
          <w:p w14:paraId="4BF30371" w14:textId="6D8C3D84" w:rsidR="0072412A"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z w:val="20"/>
                <w:szCs w:val="20"/>
              </w:rPr>
              <w:t>employment rate (%)</w:t>
            </w:r>
            <w:r w:rsidRPr="0072412A">
              <w:rPr>
                <w:rFonts w:ascii="Arial" w:hAnsi="Arial" w:cs="Arial"/>
                <w:b/>
                <w:color w:val="auto"/>
                <w:sz w:val="20"/>
                <w:szCs w:val="20"/>
                <w:vertAlign w:val="superscript"/>
              </w:rPr>
              <w:t>‡</w:t>
            </w:r>
            <w:r w:rsidRPr="0072412A">
              <w:rPr>
                <w:rFonts w:ascii="Arial" w:hAnsi="Arial" w:cs="Arial"/>
                <w:b/>
                <w:color w:val="auto"/>
                <w:sz w:val="20"/>
                <w:szCs w:val="20"/>
              </w:rPr>
              <w:t>:</w:t>
            </w:r>
          </w:p>
          <w:p w14:paraId="65CC42A6" w14:textId="6E86FF0A" w:rsidR="00C366BE" w:rsidRPr="0072412A" w:rsidRDefault="00C366BE" w:rsidP="00397DF6">
            <w:pPr>
              <w:pStyle w:val="TablecolumnheadCENTRETABLES"/>
              <w:ind w:left="170" w:right="28"/>
              <w:jc w:val="left"/>
              <w:rPr>
                <w:rFonts w:ascii="Arial" w:hAnsi="Arial" w:cs="Arial"/>
                <w:b/>
                <w:color w:val="auto"/>
                <w:sz w:val="20"/>
                <w:szCs w:val="20"/>
              </w:rPr>
            </w:pPr>
            <w:r w:rsidRPr="000B3FC4">
              <w:rPr>
                <w:rFonts w:ascii="Arial" w:hAnsi="Arial" w:cs="Arial"/>
                <w:bCs w:val="0"/>
                <w:color w:val="auto"/>
                <w:sz w:val="20"/>
                <w:szCs w:val="20"/>
              </w:rPr>
              <w:t>Short-term (2023)</w:t>
            </w:r>
          </w:p>
        </w:tc>
        <w:tc>
          <w:tcPr>
            <w:tcW w:w="433" w:type="pct"/>
            <w:tcBorders>
              <w:top w:val="single" w:sz="4" w:space="0" w:color="000000"/>
              <w:left w:val="single" w:sz="4" w:space="0" w:color="000000"/>
              <w:right w:val="single" w:sz="4" w:space="0" w:color="000000"/>
            </w:tcBorders>
            <w:vAlign w:val="center"/>
          </w:tcPr>
          <w:p w14:paraId="4294F989" w14:textId="77777777" w:rsidR="00A77E48"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z w:val="20"/>
                <w:szCs w:val="20"/>
              </w:rPr>
              <w:t>Overall</w:t>
            </w:r>
            <w:r w:rsidR="00A77E48">
              <w:rPr>
                <w:rFonts w:ascii="Arial" w:hAnsi="Arial" w:cs="Arial"/>
                <w:b/>
                <w:color w:val="auto"/>
                <w:sz w:val="20"/>
                <w:szCs w:val="20"/>
              </w:rPr>
              <w:t xml:space="preserve"> </w:t>
            </w:r>
            <w:r w:rsidRPr="0072412A">
              <w:rPr>
                <w:rFonts w:ascii="Arial" w:hAnsi="Arial" w:cs="Arial"/>
                <w:b/>
                <w:color w:val="auto"/>
                <w:sz w:val="20"/>
                <w:szCs w:val="20"/>
              </w:rPr>
              <w:t>employment rate (%)</w:t>
            </w:r>
            <w:r w:rsidRPr="0072412A">
              <w:rPr>
                <w:rFonts w:ascii="Arial" w:hAnsi="Arial" w:cs="Arial"/>
                <w:b/>
                <w:color w:val="auto"/>
                <w:sz w:val="20"/>
                <w:szCs w:val="20"/>
                <w:vertAlign w:val="superscript"/>
              </w:rPr>
              <w:t>‡</w:t>
            </w:r>
            <w:r w:rsidRPr="0072412A">
              <w:rPr>
                <w:rFonts w:ascii="Arial" w:hAnsi="Arial" w:cs="Arial"/>
                <w:b/>
                <w:color w:val="auto"/>
                <w:sz w:val="20"/>
                <w:szCs w:val="20"/>
              </w:rPr>
              <w:t>:</w:t>
            </w:r>
          </w:p>
          <w:p w14:paraId="4607FFBC" w14:textId="2F253CA9" w:rsidR="00C366BE" w:rsidRPr="00A77E48" w:rsidRDefault="00C366BE" w:rsidP="00397DF6">
            <w:pPr>
              <w:pStyle w:val="TablecolumnheadCENTRETABLES"/>
              <w:spacing w:before="60"/>
              <w:ind w:left="170" w:right="28"/>
              <w:jc w:val="left"/>
              <w:rPr>
                <w:rFonts w:ascii="Arial" w:hAnsi="Arial" w:cs="Arial"/>
                <w:b/>
                <w:caps/>
                <w:color w:val="auto"/>
                <w:sz w:val="20"/>
                <w:szCs w:val="20"/>
              </w:rPr>
            </w:pPr>
            <w:r w:rsidRPr="000B3FC4">
              <w:rPr>
                <w:rFonts w:ascii="Arial" w:hAnsi="Arial" w:cs="Arial"/>
                <w:bCs w:val="0"/>
                <w:color w:val="auto"/>
                <w:sz w:val="20"/>
                <w:szCs w:val="20"/>
              </w:rPr>
              <w:t>Medium-term (2026)</w:t>
            </w:r>
          </w:p>
        </w:tc>
        <w:tc>
          <w:tcPr>
            <w:tcW w:w="456" w:type="pct"/>
            <w:tcBorders>
              <w:top w:val="single" w:sz="4" w:space="0" w:color="000000"/>
              <w:left w:val="single" w:sz="4" w:space="0" w:color="000000"/>
              <w:right w:val="single" w:sz="4" w:space="0" w:color="000000"/>
            </w:tcBorders>
            <w:tcMar>
              <w:top w:w="57" w:type="dxa"/>
              <w:left w:w="57" w:type="dxa"/>
              <w:bottom w:w="57" w:type="dxa"/>
              <w:right w:w="57" w:type="dxa"/>
            </w:tcMar>
            <w:vAlign w:val="center"/>
          </w:tcPr>
          <w:p w14:paraId="394DF097" w14:textId="77777777" w:rsidR="00A77E48"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pacing w:val="-4"/>
                <w:sz w:val="20"/>
                <w:szCs w:val="20"/>
              </w:rPr>
              <w:t>Labour force participation rate (%)</w:t>
            </w:r>
            <w:r w:rsidRPr="0072412A">
              <w:rPr>
                <w:rFonts w:ascii="Arial" w:hAnsi="Arial" w:cs="Arial"/>
                <w:b/>
                <w:color w:val="auto"/>
                <w:spacing w:val="-4"/>
                <w:sz w:val="20"/>
                <w:szCs w:val="20"/>
                <w:vertAlign w:val="superscript"/>
              </w:rPr>
              <w:t>‡</w:t>
            </w:r>
            <w:r w:rsidRPr="0072412A">
              <w:rPr>
                <w:rFonts w:ascii="Arial" w:hAnsi="Arial" w:cs="Arial"/>
                <w:b/>
                <w:color w:val="auto"/>
                <w:sz w:val="20"/>
                <w:szCs w:val="20"/>
              </w:rPr>
              <w:t>:</w:t>
            </w:r>
          </w:p>
          <w:p w14:paraId="33C24A4D" w14:textId="1779DE32" w:rsidR="00C366BE" w:rsidRPr="000B3FC4" w:rsidRDefault="00C366BE" w:rsidP="00397DF6">
            <w:pPr>
              <w:pStyle w:val="TablecolumnheadCENTRETABLES"/>
              <w:spacing w:before="60"/>
              <w:ind w:left="170" w:right="28"/>
              <w:jc w:val="left"/>
              <w:rPr>
                <w:rFonts w:ascii="Arial" w:hAnsi="Arial" w:cs="Arial"/>
                <w:bCs w:val="0"/>
                <w:color w:val="auto"/>
                <w:spacing w:val="-4"/>
                <w:sz w:val="20"/>
                <w:szCs w:val="20"/>
              </w:rPr>
            </w:pPr>
            <w:r w:rsidRPr="000B3FC4">
              <w:rPr>
                <w:rFonts w:ascii="Arial" w:hAnsi="Arial" w:cs="Arial"/>
                <w:bCs w:val="0"/>
                <w:color w:val="auto"/>
                <w:sz w:val="20"/>
                <w:szCs w:val="20"/>
              </w:rPr>
              <w:t>Short-term (2023)</w:t>
            </w:r>
          </w:p>
        </w:tc>
        <w:tc>
          <w:tcPr>
            <w:tcW w:w="456" w:type="pct"/>
            <w:tcBorders>
              <w:top w:val="single" w:sz="4" w:space="0" w:color="000000"/>
              <w:left w:val="single" w:sz="4" w:space="0" w:color="000000"/>
              <w:right w:val="single" w:sz="4" w:space="0" w:color="000000"/>
            </w:tcBorders>
            <w:vAlign w:val="center"/>
          </w:tcPr>
          <w:p w14:paraId="460A1570" w14:textId="77777777" w:rsidR="0072412A"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pacing w:val="-4"/>
                <w:sz w:val="20"/>
                <w:szCs w:val="20"/>
              </w:rPr>
              <w:t>Labour force participation rate (%)</w:t>
            </w:r>
            <w:r w:rsidRPr="0072412A">
              <w:rPr>
                <w:rFonts w:ascii="Arial" w:hAnsi="Arial" w:cs="Arial"/>
                <w:b/>
                <w:color w:val="auto"/>
                <w:spacing w:val="-4"/>
                <w:sz w:val="20"/>
                <w:szCs w:val="20"/>
                <w:vertAlign w:val="superscript"/>
              </w:rPr>
              <w:t>‡</w:t>
            </w:r>
            <w:r w:rsidRPr="0072412A">
              <w:rPr>
                <w:rFonts w:ascii="Arial" w:hAnsi="Arial" w:cs="Arial"/>
                <w:b/>
                <w:color w:val="auto"/>
                <w:sz w:val="20"/>
                <w:szCs w:val="20"/>
              </w:rPr>
              <w:t>:</w:t>
            </w:r>
            <w:r w:rsidR="0072412A">
              <w:rPr>
                <w:rFonts w:ascii="Arial" w:hAnsi="Arial" w:cs="Arial"/>
                <w:b/>
                <w:color w:val="auto"/>
                <w:sz w:val="20"/>
                <w:szCs w:val="20"/>
              </w:rPr>
              <w:t xml:space="preserve"> </w:t>
            </w:r>
          </w:p>
          <w:p w14:paraId="3BEAB8A6" w14:textId="280795C9" w:rsidR="00C366BE" w:rsidRPr="0072412A" w:rsidRDefault="00C366BE" w:rsidP="00397DF6">
            <w:pPr>
              <w:pStyle w:val="TablecolumnheadCENTRETABLES"/>
              <w:spacing w:before="60"/>
              <w:ind w:left="170" w:right="28"/>
              <w:jc w:val="left"/>
              <w:rPr>
                <w:rFonts w:ascii="Arial" w:hAnsi="Arial" w:cs="Arial"/>
                <w:bCs w:val="0"/>
                <w:color w:val="auto"/>
                <w:sz w:val="20"/>
                <w:szCs w:val="20"/>
              </w:rPr>
            </w:pPr>
            <w:r w:rsidRPr="000B3FC4">
              <w:rPr>
                <w:rFonts w:ascii="Arial" w:hAnsi="Arial" w:cs="Arial"/>
                <w:bCs w:val="0"/>
                <w:color w:val="auto"/>
                <w:sz w:val="20"/>
                <w:szCs w:val="20"/>
              </w:rPr>
              <w:t>Medium</w:t>
            </w:r>
            <w:r w:rsidR="0072412A">
              <w:rPr>
                <w:rFonts w:ascii="Arial" w:hAnsi="Arial" w:cs="Arial"/>
                <w:bCs w:val="0"/>
                <w:color w:val="auto"/>
                <w:sz w:val="20"/>
                <w:szCs w:val="20"/>
              </w:rPr>
              <w:noBreakHyphen/>
            </w:r>
            <w:r w:rsidRPr="000B3FC4">
              <w:rPr>
                <w:rFonts w:ascii="Arial" w:hAnsi="Arial" w:cs="Arial"/>
                <w:bCs w:val="0"/>
                <w:color w:val="auto"/>
                <w:sz w:val="20"/>
                <w:szCs w:val="20"/>
              </w:rPr>
              <w:t>term</w:t>
            </w:r>
            <w:r w:rsidR="0072412A">
              <w:rPr>
                <w:rFonts w:ascii="Arial" w:hAnsi="Arial" w:cs="Arial"/>
                <w:bCs w:val="0"/>
                <w:color w:val="auto"/>
                <w:sz w:val="20"/>
                <w:szCs w:val="20"/>
              </w:rPr>
              <w:t xml:space="preserve"> </w:t>
            </w:r>
            <w:r w:rsidRPr="000B3FC4">
              <w:rPr>
                <w:rFonts w:ascii="Arial" w:hAnsi="Arial" w:cs="Arial"/>
                <w:bCs w:val="0"/>
                <w:color w:val="auto"/>
                <w:sz w:val="20"/>
                <w:szCs w:val="20"/>
              </w:rPr>
              <w:t>(2026)</w:t>
            </w:r>
          </w:p>
        </w:tc>
        <w:tc>
          <w:tcPr>
            <w:tcW w:w="456" w:type="pct"/>
            <w:tcBorders>
              <w:top w:val="single" w:sz="4" w:space="0" w:color="000000"/>
              <w:left w:val="single" w:sz="4" w:space="0" w:color="000000"/>
              <w:right w:val="single" w:sz="4" w:space="0" w:color="000000"/>
            </w:tcBorders>
            <w:tcMar>
              <w:top w:w="57" w:type="dxa"/>
              <w:left w:w="57" w:type="dxa"/>
              <w:bottom w:w="57" w:type="dxa"/>
              <w:right w:w="0" w:type="dxa"/>
            </w:tcMar>
            <w:vAlign w:val="center"/>
          </w:tcPr>
          <w:p w14:paraId="26E07B5A" w14:textId="2C54D8C0" w:rsidR="00A77E48"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z w:val="20"/>
                <w:szCs w:val="20"/>
              </w:rPr>
              <w:t>Median annual full</w:t>
            </w:r>
            <w:r w:rsidRPr="0072412A">
              <w:rPr>
                <w:rFonts w:ascii="Arial" w:hAnsi="Arial" w:cs="Arial"/>
                <w:b/>
                <w:color w:val="auto"/>
                <w:sz w:val="20"/>
                <w:szCs w:val="20"/>
              </w:rPr>
              <w:noBreakHyphen/>
              <w:t>time salary ($):</w:t>
            </w:r>
          </w:p>
          <w:p w14:paraId="365E9804" w14:textId="0CE8F74D" w:rsidR="00C366BE" w:rsidRPr="000B3FC4" w:rsidRDefault="00C366BE" w:rsidP="00397DF6">
            <w:pPr>
              <w:pStyle w:val="TablecolumnheadCENTRETABLES"/>
              <w:spacing w:before="60"/>
              <w:ind w:left="170" w:right="28"/>
              <w:jc w:val="left"/>
              <w:rPr>
                <w:rFonts w:ascii="Arial" w:hAnsi="Arial" w:cs="Arial"/>
                <w:bCs w:val="0"/>
                <w:color w:val="auto"/>
                <w:sz w:val="20"/>
                <w:szCs w:val="20"/>
              </w:rPr>
            </w:pPr>
            <w:r w:rsidRPr="000B3FC4">
              <w:rPr>
                <w:rFonts w:ascii="Arial" w:hAnsi="Arial" w:cs="Arial"/>
                <w:bCs w:val="0"/>
                <w:color w:val="auto"/>
                <w:sz w:val="20"/>
                <w:szCs w:val="20"/>
              </w:rPr>
              <w:t>Short-term (2023)</w:t>
            </w:r>
          </w:p>
        </w:tc>
        <w:tc>
          <w:tcPr>
            <w:tcW w:w="456" w:type="pct"/>
            <w:tcBorders>
              <w:top w:val="single" w:sz="4" w:space="0" w:color="000000"/>
              <w:left w:val="single" w:sz="4" w:space="0" w:color="000000"/>
              <w:right w:val="single" w:sz="4" w:space="0" w:color="000000"/>
            </w:tcBorders>
            <w:vAlign w:val="center"/>
          </w:tcPr>
          <w:p w14:paraId="4F723A95" w14:textId="77777777" w:rsidR="00A77E48"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z w:val="20"/>
                <w:szCs w:val="20"/>
              </w:rPr>
              <w:t>Median annual full</w:t>
            </w:r>
            <w:r w:rsidRPr="0072412A">
              <w:rPr>
                <w:rFonts w:ascii="Arial" w:hAnsi="Arial" w:cs="Arial"/>
                <w:b/>
                <w:color w:val="auto"/>
                <w:sz w:val="20"/>
                <w:szCs w:val="20"/>
              </w:rPr>
              <w:noBreakHyphen/>
              <w:t>time salary ($):</w:t>
            </w:r>
          </w:p>
          <w:p w14:paraId="0C1503C6" w14:textId="71AB308B" w:rsidR="00C366BE" w:rsidRPr="000B3FC4" w:rsidRDefault="00C366BE" w:rsidP="00397DF6">
            <w:pPr>
              <w:pStyle w:val="TablecolumnheadCENTRETABLES"/>
              <w:spacing w:before="60"/>
              <w:ind w:left="170" w:right="28"/>
              <w:jc w:val="left"/>
              <w:rPr>
                <w:rFonts w:ascii="Arial" w:hAnsi="Arial" w:cs="Arial"/>
                <w:bCs w:val="0"/>
                <w:color w:val="auto"/>
                <w:sz w:val="20"/>
                <w:szCs w:val="20"/>
              </w:rPr>
            </w:pPr>
            <w:r w:rsidRPr="000B3FC4">
              <w:rPr>
                <w:rFonts w:ascii="Arial" w:hAnsi="Arial" w:cs="Arial"/>
                <w:bCs w:val="0"/>
                <w:color w:val="auto"/>
                <w:sz w:val="20"/>
                <w:szCs w:val="20"/>
              </w:rPr>
              <w:t>Medium-term</w:t>
            </w:r>
          </w:p>
          <w:p w14:paraId="36BA7A9E" w14:textId="1D3E69AC" w:rsidR="00C366BE" w:rsidRPr="000B3FC4" w:rsidRDefault="00C366BE" w:rsidP="00397DF6">
            <w:pPr>
              <w:pStyle w:val="TablecolumnheadCENTRETABLES"/>
              <w:ind w:left="170" w:right="28"/>
              <w:jc w:val="left"/>
              <w:rPr>
                <w:rFonts w:ascii="Arial" w:hAnsi="Arial" w:cs="Arial"/>
                <w:bCs w:val="0"/>
                <w:color w:val="auto"/>
                <w:sz w:val="20"/>
                <w:szCs w:val="20"/>
              </w:rPr>
            </w:pPr>
            <w:r w:rsidRPr="000B3FC4">
              <w:rPr>
                <w:rFonts w:ascii="Arial" w:hAnsi="Arial" w:cs="Arial"/>
                <w:bCs w:val="0"/>
                <w:color w:val="auto"/>
                <w:sz w:val="20"/>
                <w:szCs w:val="20"/>
              </w:rPr>
              <w:t>(2026)</w:t>
            </w:r>
          </w:p>
        </w:tc>
        <w:tc>
          <w:tcPr>
            <w:tcW w:w="456" w:type="pct"/>
            <w:tcBorders>
              <w:top w:val="single" w:sz="4" w:space="0" w:color="000000"/>
              <w:left w:val="single" w:sz="4" w:space="0" w:color="000000"/>
              <w:right w:val="single" w:sz="4" w:space="0" w:color="000000"/>
            </w:tcBorders>
            <w:vAlign w:val="center"/>
          </w:tcPr>
          <w:p w14:paraId="2A26BA6D" w14:textId="77777777" w:rsidR="00A77E48" w:rsidRDefault="00C366BE" w:rsidP="00397DF6">
            <w:pPr>
              <w:pStyle w:val="TablecolumnheadCENTRETABLES"/>
              <w:ind w:left="170" w:right="28"/>
              <w:jc w:val="left"/>
              <w:rPr>
                <w:rFonts w:ascii="Arial Bold" w:hAnsi="Arial Bold" w:cs="Arial"/>
                <w:b/>
                <w:color w:val="auto"/>
                <w:spacing w:val="-2"/>
                <w:sz w:val="20"/>
                <w:szCs w:val="20"/>
              </w:rPr>
            </w:pPr>
            <w:r w:rsidRPr="0072412A">
              <w:rPr>
                <w:rFonts w:ascii="Arial Bold" w:hAnsi="Arial Bold" w:cs="Arial"/>
                <w:b/>
                <w:color w:val="auto"/>
                <w:spacing w:val="-2"/>
                <w:sz w:val="20"/>
                <w:szCs w:val="20"/>
              </w:rPr>
              <w:t>In further full</w:t>
            </w:r>
            <w:r w:rsidRPr="0072412A">
              <w:rPr>
                <w:rFonts w:ascii="Arial Bold" w:hAnsi="Arial Bold" w:cs="Arial"/>
                <w:b/>
                <w:color w:val="auto"/>
                <w:spacing w:val="-2"/>
                <w:sz w:val="20"/>
                <w:szCs w:val="20"/>
              </w:rPr>
              <w:noBreakHyphen/>
              <w:t>time study (%):</w:t>
            </w:r>
          </w:p>
          <w:p w14:paraId="54156824" w14:textId="2ACAAC03" w:rsidR="00C366BE" w:rsidRPr="000B3FC4" w:rsidRDefault="00C366BE" w:rsidP="00397DF6">
            <w:pPr>
              <w:pStyle w:val="TablecolumnheadCENTRETABLES"/>
              <w:spacing w:before="60"/>
              <w:ind w:left="170" w:right="28"/>
              <w:jc w:val="left"/>
              <w:rPr>
                <w:rFonts w:ascii="Arial" w:hAnsi="Arial" w:cs="Arial"/>
                <w:bCs w:val="0"/>
                <w:color w:val="auto"/>
                <w:sz w:val="20"/>
                <w:szCs w:val="20"/>
              </w:rPr>
            </w:pPr>
            <w:r w:rsidRPr="000B3FC4">
              <w:rPr>
                <w:rFonts w:ascii="Arial" w:hAnsi="Arial" w:cs="Arial"/>
                <w:bCs w:val="0"/>
                <w:color w:val="auto"/>
                <w:sz w:val="20"/>
                <w:szCs w:val="20"/>
              </w:rPr>
              <w:t>Short</w:t>
            </w:r>
            <w:r w:rsidR="0072412A">
              <w:rPr>
                <w:rFonts w:ascii="Arial" w:hAnsi="Arial" w:cs="Arial"/>
                <w:bCs w:val="0"/>
                <w:color w:val="auto"/>
                <w:sz w:val="20"/>
                <w:szCs w:val="20"/>
              </w:rPr>
              <w:noBreakHyphen/>
            </w:r>
            <w:r w:rsidRPr="000B3FC4">
              <w:rPr>
                <w:rFonts w:ascii="Arial" w:hAnsi="Arial" w:cs="Arial"/>
                <w:bCs w:val="0"/>
                <w:color w:val="auto"/>
                <w:sz w:val="20"/>
                <w:szCs w:val="20"/>
              </w:rPr>
              <w:t>term (2023)</w:t>
            </w:r>
          </w:p>
        </w:tc>
        <w:tc>
          <w:tcPr>
            <w:tcW w:w="456" w:type="pct"/>
            <w:tcBorders>
              <w:top w:val="single" w:sz="4" w:space="0" w:color="000000"/>
              <w:left w:val="single" w:sz="4" w:space="0" w:color="000000"/>
              <w:right w:val="single" w:sz="4" w:space="0" w:color="000000"/>
            </w:tcBorders>
            <w:vAlign w:val="center"/>
          </w:tcPr>
          <w:p w14:paraId="2F75CE72" w14:textId="77777777" w:rsidR="00A77E48" w:rsidRDefault="00C366BE" w:rsidP="00397DF6">
            <w:pPr>
              <w:pStyle w:val="TablecolumnheadCENTRETABLES"/>
              <w:ind w:left="170" w:right="28"/>
              <w:jc w:val="left"/>
              <w:rPr>
                <w:rFonts w:ascii="Arial" w:hAnsi="Arial" w:cs="Arial"/>
                <w:b/>
                <w:color w:val="auto"/>
                <w:sz w:val="20"/>
                <w:szCs w:val="20"/>
              </w:rPr>
            </w:pPr>
            <w:r w:rsidRPr="0072412A">
              <w:rPr>
                <w:rFonts w:ascii="Arial" w:hAnsi="Arial" w:cs="Arial"/>
                <w:b/>
                <w:color w:val="auto"/>
                <w:sz w:val="20"/>
                <w:szCs w:val="20"/>
              </w:rPr>
              <w:t>In further full</w:t>
            </w:r>
            <w:r w:rsidRPr="0072412A">
              <w:rPr>
                <w:rFonts w:ascii="Arial" w:hAnsi="Arial" w:cs="Arial"/>
                <w:b/>
                <w:color w:val="auto"/>
                <w:sz w:val="20"/>
                <w:szCs w:val="20"/>
              </w:rPr>
              <w:noBreakHyphen/>
              <w:t>time study (%):</w:t>
            </w:r>
          </w:p>
          <w:p w14:paraId="06C755A1" w14:textId="557DB418" w:rsidR="00C366BE" w:rsidRPr="000B3FC4" w:rsidRDefault="00C366BE" w:rsidP="00397DF6">
            <w:pPr>
              <w:pStyle w:val="TablecolumnheadCENTRETABLES"/>
              <w:spacing w:before="60"/>
              <w:ind w:left="170" w:right="28"/>
              <w:jc w:val="left"/>
              <w:rPr>
                <w:rFonts w:ascii="Arial" w:hAnsi="Arial" w:cs="Arial"/>
                <w:bCs w:val="0"/>
                <w:color w:val="auto"/>
                <w:sz w:val="20"/>
                <w:szCs w:val="20"/>
              </w:rPr>
            </w:pPr>
            <w:r w:rsidRPr="000B3FC4">
              <w:rPr>
                <w:rFonts w:ascii="Arial" w:hAnsi="Arial" w:cs="Arial"/>
                <w:bCs w:val="0"/>
                <w:color w:val="auto"/>
                <w:sz w:val="20"/>
                <w:szCs w:val="20"/>
              </w:rPr>
              <w:t>Medium-term</w:t>
            </w:r>
          </w:p>
          <w:p w14:paraId="0C52662A" w14:textId="282CB425" w:rsidR="00C366BE" w:rsidRPr="000B3FC4" w:rsidRDefault="00C366BE" w:rsidP="00397DF6">
            <w:pPr>
              <w:pStyle w:val="TablecolumnheadCENTRETABLES"/>
              <w:ind w:left="170" w:right="28"/>
              <w:jc w:val="left"/>
              <w:rPr>
                <w:rFonts w:ascii="Arial" w:hAnsi="Arial" w:cs="Arial"/>
                <w:bCs w:val="0"/>
                <w:color w:val="auto"/>
                <w:sz w:val="20"/>
                <w:szCs w:val="20"/>
              </w:rPr>
            </w:pPr>
            <w:r w:rsidRPr="000B3FC4">
              <w:rPr>
                <w:rFonts w:ascii="Arial" w:hAnsi="Arial" w:cs="Arial"/>
                <w:bCs w:val="0"/>
                <w:color w:val="auto"/>
                <w:sz w:val="20"/>
                <w:szCs w:val="20"/>
              </w:rPr>
              <w:t>(2026)</w:t>
            </w:r>
          </w:p>
        </w:tc>
      </w:tr>
      <w:tr w:rsidR="005511D3" w:rsidRPr="005A3AFE" w14:paraId="6A75CD46" w14:textId="1C19F866" w:rsidTr="002A2D85">
        <w:trPr>
          <w:trHeight w:val="55"/>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4A0E6596" w14:textId="074A9644" w:rsidR="005511D3" w:rsidRPr="000B3FC4" w:rsidRDefault="005511D3" w:rsidP="0072412A">
            <w:pPr>
              <w:spacing w:before="120" w:after="120" w:line="288" w:lineRule="auto"/>
              <w:ind w:left="28" w:right="28"/>
              <w:rPr>
                <w:rFonts w:cs="Arial"/>
                <w:szCs w:val="20"/>
              </w:rPr>
            </w:pPr>
            <w:r w:rsidRPr="000B3FC4">
              <w:rPr>
                <w:rFonts w:cs="Arial"/>
                <w:color w:val="000000"/>
                <w:szCs w:val="20"/>
              </w:rPr>
              <w:t>China (excludes SARs and Taiwan)</w:t>
            </w:r>
          </w:p>
        </w:tc>
        <w:tc>
          <w:tcPr>
            <w:tcW w:w="456" w:type="pct"/>
            <w:tcBorders>
              <w:top w:val="single" w:sz="4" w:space="0" w:color="000000"/>
              <w:left w:val="single" w:sz="4" w:space="0" w:color="000000"/>
              <w:bottom w:val="single" w:sz="4" w:space="0" w:color="000000"/>
              <w:right w:val="single" w:sz="4" w:space="0" w:color="000000"/>
            </w:tcBorders>
            <w:vAlign w:val="center"/>
          </w:tcPr>
          <w:p w14:paraId="255C1345" w14:textId="63368476" w:rsidR="005511D3" w:rsidRPr="000B3FC4" w:rsidRDefault="006F32DE" w:rsidP="0072412A">
            <w:pPr>
              <w:spacing w:before="120" w:after="120" w:line="288" w:lineRule="auto"/>
              <w:ind w:left="28" w:right="28"/>
              <w:jc w:val="center"/>
              <w:rPr>
                <w:rFonts w:cs="Arial"/>
                <w:szCs w:val="20"/>
              </w:rPr>
            </w:pPr>
            <w:r w:rsidRPr="000B3FC4">
              <w:rPr>
                <w:color w:val="000000"/>
                <w:szCs w:val="20"/>
              </w:rPr>
              <w:t>61.0</w:t>
            </w:r>
          </w:p>
        </w:tc>
        <w:tc>
          <w:tcPr>
            <w:tcW w:w="456" w:type="pct"/>
            <w:tcBorders>
              <w:top w:val="single" w:sz="4" w:space="0" w:color="000000"/>
              <w:left w:val="single" w:sz="4" w:space="0" w:color="000000"/>
              <w:bottom w:val="single" w:sz="4" w:space="0" w:color="000000"/>
              <w:right w:val="single" w:sz="4" w:space="0" w:color="000000"/>
            </w:tcBorders>
            <w:vAlign w:val="center"/>
          </w:tcPr>
          <w:p w14:paraId="585C077F" w14:textId="23EC8129" w:rsidR="005511D3" w:rsidRPr="000B3FC4" w:rsidRDefault="006F32DE" w:rsidP="0072412A">
            <w:pPr>
              <w:spacing w:before="120" w:after="120" w:line="288" w:lineRule="auto"/>
              <w:ind w:left="28" w:right="28"/>
              <w:jc w:val="center"/>
              <w:rPr>
                <w:rFonts w:cs="Arial"/>
                <w:szCs w:val="20"/>
              </w:rPr>
            </w:pPr>
            <w:r w:rsidRPr="000B3FC4">
              <w:rPr>
                <w:color w:val="000000"/>
                <w:szCs w:val="20"/>
              </w:rPr>
              <w:t>74</w:t>
            </w:r>
            <w:r w:rsidR="005511D3" w:rsidRPr="000B3FC4">
              <w:rPr>
                <w:color w:val="000000"/>
                <w:szCs w:val="20"/>
              </w:rPr>
              <w:t>.4</w:t>
            </w:r>
          </w:p>
        </w:tc>
        <w:tc>
          <w:tcPr>
            <w:tcW w:w="48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986D46" w14:textId="514A11A0" w:rsidR="005511D3" w:rsidRPr="000B3FC4" w:rsidRDefault="006F32DE" w:rsidP="0072412A">
            <w:pPr>
              <w:spacing w:before="120" w:after="120" w:line="288" w:lineRule="auto"/>
              <w:ind w:left="28" w:right="28"/>
              <w:jc w:val="center"/>
              <w:rPr>
                <w:rFonts w:cs="Arial"/>
                <w:szCs w:val="20"/>
              </w:rPr>
            </w:pPr>
            <w:r w:rsidRPr="000B3FC4">
              <w:rPr>
                <w:color w:val="000000"/>
                <w:szCs w:val="20"/>
              </w:rPr>
              <w:t>65.7</w:t>
            </w:r>
          </w:p>
        </w:tc>
        <w:tc>
          <w:tcPr>
            <w:tcW w:w="4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A503FA" w14:textId="1EC41EFA" w:rsidR="005511D3" w:rsidRPr="000B3FC4" w:rsidRDefault="006F32DE" w:rsidP="0072412A">
            <w:pPr>
              <w:spacing w:before="120" w:after="120" w:line="288" w:lineRule="auto"/>
              <w:ind w:left="28" w:right="28"/>
              <w:jc w:val="center"/>
              <w:rPr>
                <w:rFonts w:cs="Arial"/>
                <w:szCs w:val="20"/>
              </w:rPr>
            </w:pPr>
            <w:r w:rsidRPr="000B3FC4">
              <w:rPr>
                <w:color w:val="000000"/>
                <w:szCs w:val="20"/>
              </w:rPr>
              <w:t>84.5</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9656BA" w14:textId="4253096B" w:rsidR="005511D3" w:rsidRPr="000B3FC4" w:rsidRDefault="006F32DE" w:rsidP="0072412A">
            <w:pPr>
              <w:spacing w:before="120" w:after="120" w:line="288" w:lineRule="auto"/>
              <w:ind w:left="28" w:right="28"/>
              <w:jc w:val="center"/>
              <w:rPr>
                <w:rFonts w:cs="Arial"/>
                <w:szCs w:val="20"/>
              </w:rPr>
            </w:pPr>
            <w:r w:rsidRPr="000B3FC4">
              <w:rPr>
                <w:color w:val="000000"/>
                <w:szCs w:val="20"/>
              </w:rPr>
              <w:t>71.5</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689ED4B" w14:textId="587BE698" w:rsidR="005511D3" w:rsidRPr="000B3FC4" w:rsidRDefault="006F32DE" w:rsidP="0072412A">
            <w:pPr>
              <w:spacing w:before="120" w:after="120" w:line="288" w:lineRule="auto"/>
              <w:ind w:left="28" w:right="28"/>
              <w:jc w:val="center"/>
              <w:rPr>
                <w:rFonts w:cs="Arial"/>
                <w:szCs w:val="20"/>
              </w:rPr>
            </w:pPr>
            <w:r w:rsidRPr="000B3FC4">
              <w:rPr>
                <w:color w:val="000000"/>
                <w:szCs w:val="20"/>
              </w:rPr>
              <w:t>79.7</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613A48" w14:textId="50437E5B" w:rsidR="005511D3" w:rsidRPr="000B3FC4" w:rsidRDefault="006F32DE" w:rsidP="0072412A">
            <w:pPr>
              <w:spacing w:before="120" w:after="120" w:line="288" w:lineRule="auto"/>
              <w:ind w:left="28" w:right="28"/>
              <w:jc w:val="center"/>
              <w:rPr>
                <w:rFonts w:cs="Arial"/>
                <w:szCs w:val="20"/>
              </w:rPr>
            </w:pPr>
            <w:r w:rsidRPr="000B3FC4">
              <w:rPr>
                <w:color w:val="000000"/>
                <w:szCs w:val="20"/>
              </w:rPr>
              <w:t>67,100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057C14" w14:textId="40CC5A1A" w:rsidR="005511D3" w:rsidRPr="000B3FC4" w:rsidRDefault="006F32DE" w:rsidP="0072412A">
            <w:pPr>
              <w:spacing w:before="120" w:after="120" w:line="288" w:lineRule="auto"/>
              <w:ind w:left="28" w:right="28"/>
              <w:jc w:val="center"/>
              <w:rPr>
                <w:rFonts w:cs="Arial"/>
                <w:szCs w:val="20"/>
              </w:rPr>
            </w:pPr>
            <w:r w:rsidRPr="000B3FC4">
              <w:rPr>
                <w:color w:val="000000"/>
                <w:szCs w:val="20"/>
              </w:rPr>
              <w:t>79,300</w:t>
            </w:r>
          </w:p>
        </w:tc>
        <w:tc>
          <w:tcPr>
            <w:tcW w:w="456" w:type="pct"/>
            <w:tcBorders>
              <w:top w:val="single" w:sz="4" w:space="0" w:color="000000"/>
              <w:left w:val="single" w:sz="4" w:space="0" w:color="000000"/>
              <w:bottom w:val="single" w:sz="4" w:space="0" w:color="000000"/>
              <w:right w:val="single" w:sz="4" w:space="0" w:color="000000"/>
            </w:tcBorders>
            <w:vAlign w:val="center"/>
          </w:tcPr>
          <w:p w14:paraId="0F30439D" w14:textId="0C2B3FFD" w:rsidR="005511D3" w:rsidRPr="000B3FC4" w:rsidRDefault="006F32DE" w:rsidP="0072412A">
            <w:pPr>
              <w:spacing w:before="120" w:after="120" w:line="288" w:lineRule="auto"/>
              <w:ind w:left="28" w:right="28"/>
              <w:jc w:val="center"/>
              <w:rPr>
                <w:rFonts w:cs="Arial"/>
                <w:szCs w:val="20"/>
              </w:rPr>
            </w:pPr>
            <w:r w:rsidRPr="000B3FC4">
              <w:rPr>
                <w:color w:val="000000"/>
                <w:szCs w:val="20"/>
              </w:rPr>
              <w:t>45.2</w:t>
            </w:r>
          </w:p>
        </w:tc>
        <w:tc>
          <w:tcPr>
            <w:tcW w:w="456" w:type="pct"/>
            <w:tcBorders>
              <w:top w:val="single" w:sz="4" w:space="0" w:color="000000"/>
              <w:left w:val="single" w:sz="4" w:space="0" w:color="000000"/>
              <w:bottom w:val="single" w:sz="4" w:space="0" w:color="000000"/>
              <w:right w:val="single" w:sz="4" w:space="0" w:color="000000"/>
            </w:tcBorders>
            <w:vAlign w:val="center"/>
          </w:tcPr>
          <w:p w14:paraId="2B5B17E7" w14:textId="7FA280D6" w:rsidR="005511D3" w:rsidRPr="000B3FC4" w:rsidRDefault="006F32DE" w:rsidP="0072412A">
            <w:pPr>
              <w:spacing w:before="120" w:after="120" w:line="288" w:lineRule="auto"/>
              <w:ind w:left="28" w:right="28"/>
              <w:jc w:val="center"/>
              <w:rPr>
                <w:rFonts w:cs="Arial"/>
                <w:szCs w:val="20"/>
              </w:rPr>
            </w:pPr>
            <w:r w:rsidRPr="000B3FC4">
              <w:rPr>
                <w:color w:val="000000"/>
                <w:szCs w:val="20"/>
              </w:rPr>
              <w:t>26.1</w:t>
            </w:r>
          </w:p>
        </w:tc>
      </w:tr>
      <w:tr w:rsidR="005511D3" w:rsidRPr="005A3AFE" w14:paraId="16218302" w14:textId="3780FB62" w:rsidTr="002A2D85">
        <w:trPr>
          <w:trHeight w:val="55"/>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4450F79B" w14:textId="03115072" w:rsidR="005511D3" w:rsidRPr="000B3FC4" w:rsidRDefault="005511D3" w:rsidP="0072412A">
            <w:pPr>
              <w:spacing w:before="120" w:after="120" w:line="288" w:lineRule="auto"/>
              <w:ind w:left="28" w:right="28"/>
              <w:rPr>
                <w:rFonts w:cs="Arial"/>
                <w:szCs w:val="20"/>
              </w:rPr>
            </w:pPr>
            <w:r w:rsidRPr="000B3FC4">
              <w:rPr>
                <w:rFonts w:cs="Arial"/>
                <w:color w:val="000000"/>
                <w:szCs w:val="20"/>
              </w:rPr>
              <w:t>Nepal</w:t>
            </w:r>
          </w:p>
        </w:tc>
        <w:tc>
          <w:tcPr>
            <w:tcW w:w="456" w:type="pct"/>
            <w:tcBorders>
              <w:top w:val="single" w:sz="4" w:space="0" w:color="000000"/>
              <w:left w:val="single" w:sz="4" w:space="0" w:color="000000"/>
              <w:bottom w:val="single" w:sz="4" w:space="0" w:color="000000"/>
              <w:right w:val="single" w:sz="4" w:space="0" w:color="000000"/>
            </w:tcBorders>
            <w:vAlign w:val="center"/>
          </w:tcPr>
          <w:p w14:paraId="7137D4D7" w14:textId="506EDA92" w:rsidR="005511D3" w:rsidRPr="000B3FC4" w:rsidRDefault="006F32DE" w:rsidP="0072412A">
            <w:pPr>
              <w:spacing w:before="120" w:after="120" w:line="288" w:lineRule="auto"/>
              <w:ind w:left="28" w:right="28"/>
              <w:jc w:val="center"/>
              <w:rPr>
                <w:rFonts w:cs="Arial"/>
                <w:szCs w:val="20"/>
              </w:rPr>
            </w:pPr>
            <w:r w:rsidRPr="000B3FC4">
              <w:rPr>
                <w:color w:val="000000"/>
                <w:szCs w:val="20"/>
              </w:rPr>
              <w:t>66.0</w:t>
            </w:r>
          </w:p>
        </w:tc>
        <w:tc>
          <w:tcPr>
            <w:tcW w:w="456" w:type="pct"/>
            <w:tcBorders>
              <w:top w:val="single" w:sz="4" w:space="0" w:color="000000"/>
              <w:left w:val="single" w:sz="4" w:space="0" w:color="000000"/>
              <w:bottom w:val="single" w:sz="4" w:space="0" w:color="000000"/>
              <w:right w:val="single" w:sz="4" w:space="0" w:color="000000"/>
            </w:tcBorders>
            <w:vAlign w:val="center"/>
          </w:tcPr>
          <w:p w14:paraId="05ED2CA7" w14:textId="44F2A7ED" w:rsidR="005511D3" w:rsidRPr="000B3FC4" w:rsidRDefault="006F32DE" w:rsidP="0072412A">
            <w:pPr>
              <w:spacing w:before="120" w:after="120" w:line="288" w:lineRule="auto"/>
              <w:ind w:left="28" w:right="28"/>
              <w:jc w:val="center"/>
              <w:rPr>
                <w:rFonts w:cs="Arial"/>
                <w:szCs w:val="20"/>
              </w:rPr>
            </w:pPr>
            <w:r w:rsidRPr="000B3FC4">
              <w:rPr>
                <w:color w:val="000000"/>
                <w:szCs w:val="20"/>
              </w:rPr>
              <w:t>86.1</w:t>
            </w:r>
          </w:p>
        </w:tc>
        <w:tc>
          <w:tcPr>
            <w:tcW w:w="48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D6AF8C" w14:textId="077B123B" w:rsidR="005511D3" w:rsidRPr="000B3FC4" w:rsidRDefault="006F32DE" w:rsidP="0072412A">
            <w:pPr>
              <w:spacing w:before="120" w:after="120" w:line="288" w:lineRule="auto"/>
              <w:ind w:left="28" w:right="28"/>
              <w:jc w:val="center"/>
              <w:rPr>
                <w:rFonts w:cs="Arial"/>
                <w:szCs w:val="20"/>
              </w:rPr>
            </w:pPr>
            <w:r w:rsidRPr="000B3FC4">
              <w:rPr>
                <w:color w:val="000000"/>
                <w:szCs w:val="20"/>
              </w:rPr>
              <w:t>88</w:t>
            </w:r>
            <w:r w:rsidR="005511D3" w:rsidRPr="000B3FC4">
              <w:rPr>
                <w:color w:val="000000"/>
                <w:szCs w:val="20"/>
              </w:rPr>
              <w:t>.5</w:t>
            </w:r>
          </w:p>
        </w:tc>
        <w:tc>
          <w:tcPr>
            <w:tcW w:w="4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19867F" w14:textId="4CB513F9" w:rsidR="005511D3" w:rsidRPr="000B3FC4" w:rsidRDefault="005511D3" w:rsidP="0072412A">
            <w:pPr>
              <w:spacing w:before="120" w:after="120" w:line="288" w:lineRule="auto"/>
              <w:ind w:left="28" w:right="28"/>
              <w:jc w:val="center"/>
              <w:rPr>
                <w:rFonts w:cs="Arial"/>
                <w:szCs w:val="20"/>
              </w:rPr>
            </w:pPr>
            <w:r w:rsidRPr="000B3FC4">
              <w:rPr>
                <w:color w:val="000000"/>
                <w:szCs w:val="20"/>
              </w:rPr>
              <w:t>90.</w:t>
            </w:r>
            <w:r w:rsidR="006F32DE" w:rsidRPr="000B3FC4">
              <w:rPr>
                <w:color w:val="000000"/>
                <w:szCs w:val="20"/>
              </w:rPr>
              <w:t>7</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497AB2" w14:textId="06920D56" w:rsidR="005511D3" w:rsidRPr="000B3FC4" w:rsidRDefault="005511D3" w:rsidP="0072412A">
            <w:pPr>
              <w:spacing w:before="120" w:after="120" w:line="288" w:lineRule="auto"/>
              <w:ind w:left="28" w:right="28"/>
              <w:jc w:val="center"/>
              <w:rPr>
                <w:rFonts w:cs="Arial"/>
                <w:szCs w:val="20"/>
              </w:rPr>
            </w:pPr>
            <w:r w:rsidRPr="000B3FC4">
              <w:rPr>
                <w:color w:val="000000"/>
                <w:szCs w:val="20"/>
              </w:rPr>
              <w:t>97.</w:t>
            </w:r>
            <w:r w:rsidR="006F32DE" w:rsidRPr="000B3FC4">
              <w:rPr>
                <w:color w:val="000000"/>
                <w:szCs w:val="20"/>
              </w:rPr>
              <w:t>4</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F4E039" w14:textId="6C9BB2EE" w:rsidR="005511D3" w:rsidRPr="000B3FC4" w:rsidRDefault="006F32DE" w:rsidP="0072412A">
            <w:pPr>
              <w:spacing w:before="120" w:after="120" w:line="288" w:lineRule="auto"/>
              <w:ind w:left="28" w:right="28"/>
              <w:jc w:val="center"/>
              <w:rPr>
                <w:rFonts w:cs="Arial"/>
                <w:szCs w:val="20"/>
              </w:rPr>
            </w:pPr>
            <w:r w:rsidRPr="000B3FC4">
              <w:rPr>
                <w:color w:val="000000"/>
                <w:szCs w:val="20"/>
              </w:rPr>
              <w:t>89.1</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4AB136" w14:textId="3A5A1F48" w:rsidR="005511D3" w:rsidRPr="000B3FC4" w:rsidRDefault="006F32DE" w:rsidP="0072412A">
            <w:pPr>
              <w:spacing w:before="120" w:after="120" w:line="288" w:lineRule="auto"/>
              <w:ind w:left="28" w:right="28"/>
              <w:jc w:val="center"/>
              <w:rPr>
                <w:rFonts w:cs="Arial"/>
                <w:szCs w:val="20"/>
              </w:rPr>
            </w:pPr>
            <w:r w:rsidRPr="000B3FC4">
              <w:rPr>
                <w:color w:val="000000"/>
                <w:szCs w:val="20"/>
              </w:rPr>
              <w:t>66,800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7D61E5" w14:textId="7135E412" w:rsidR="005511D3" w:rsidRPr="000B3FC4" w:rsidRDefault="006F32DE" w:rsidP="0072412A">
            <w:pPr>
              <w:spacing w:before="120" w:after="120" w:line="288" w:lineRule="auto"/>
              <w:ind w:left="28" w:right="28"/>
              <w:jc w:val="center"/>
              <w:rPr>
                <w:rFonts w:cs="Arial"/>
                <w:szCs w:val="20"/>
              </w:rPr>
            </w:pPr>
            <w:r w:rsidRPr="000B3FC4">
              <w:rPr>
                <w:color w:val="000000"/>
                <w:szCs w:val="20"/>
              </w:rPr>
              <w:t>85,600</w:t>
            </w:r>
          </w:p>
        </w:tc>
        <w:tc>
          <w:tcPr>
            <w:tcW w:w="456" w:type="pct"/>
            <w:tcBorders>
              <w:top w:val="single" w:sz="4" w:space="0" w:color="000000"/>
              <w:left w:val="single" w:sz="4" w:space="0" w:color="000000"/>
              <w:bottom w:val="single" w:sz="4" w:space="0" w:color="000000"/>
              <w:right w:val="single" w:sz="4" w:space="0" w:color="000000"/>
            </w:tcBorders>
            <w:vAlign w:val="center"/>
          </w:tcPr>
          <w:p w14:paraId="74B42DAA" w14:textId="58D3D22E" w:rsidR="005511D3" w:rsidRPr="000B3FC4" w:rsidRDefault="006F32DE" w:rsidP="0072412A">
            <w:pPr>
              <w:spacing w:before="120" w:after="120" w:line="288" w:lineRule="auto"/>
              <w:ind w:left="28" w:right="28"/>
              <w:jc w:val="center"/>
              <w:rPr>
                <w:rFonts w:cs="Arial"/>
                <w:szCs w:val="20"/>
              </w:rPr>
            </w:pPr>
            <w:r w:rsidRPr="000B3FC4">
              <w:rPr>
                <w:color w:val="000000"/>
                <w:szCs w:val="20"/>
              </w:rPr>
              <w:t>13.2</w:t>
            </w:r>
          </w:p>
        </w:tc>
        <w:tc>
          <w:tcPr>
            <w:tcW w:w="456" w:type="pct"/>
            <w:tcBorders>
              <w:top w:val="single" w:sz="4" w:space="0" w:color="000000"/>
              <w:left w:val="single" w:sz="4" w:space="0" w:color="000000"/>
              <w:bottom w:val="single" w:sz="4" w:space="0" w:color="000000"/>
              <w:right w:val="single" w:sz="4" w:space="0" w:color="000000"/>
            </w:tcBorders>
            <w:vAlign w:val="center"/>
          </w:tcPr>
          <w:p w14:paraId="6A38A568" w14:textId="2E34F6E3" w:rsidR="005511D3" w:rsidRPr="000B3FC4" w:rsidRDefault="005511D3" w:rsidP="0072412A">
            <w:pPr>
              <w:spacing w:before="120" w:after="120" w:line="288" w:lineRule="auto"/>
              <w:ind w:left="28" w:right="28"/>
              <w:jc w:val="center"/>
              <w:rPr>
                <w:rFonts w:cs="Arial"/>
                <w:szCs w:val="20"/>
              </w:rPr>
            </w:pPr>
            <w:r w:rsidRPr="000B3FC4">
              <w:rPr>
                <w:color w:val="000000"/>
                <w:szCs w:val="20"/>
              </w:rPr>
              <w:t>14.</w:t>
            </w:r>
            <w:r w:rsidR="006F32DE" w:rsidRPr="000B3FC4">
              <w:rPr>
                <w:color w:val="000000"/>
                <w:szCs w:val="20"/>
              </w:rPr>
              <w:t>1</w:t>
            </w:r>
          </w:p>
        </w:tc>
      </w:tr>
      <w:tr w:rsidR="005511D3" w:rsidRPr="005A3AFE" w14:paraId="349E726C" w14:textId="44CC8A4E" w:rsidTr="002A2D85">
        <w:trPr>
          <w:trHeight w:val="55"/>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1EAB9E06" w14:textId="3E4A97AE" w:rsidR="005511D3" w:rsidRPr="000B3FC4" w:rsidRDefault="005511D3" w:rsidP="0072412A">
            <w:pPr>
              <w:spacing w:before="120" w:after="120" w:line="288" w:lineRule="auto"/>
              <w:ind w:left="28" w:right="28"/>
              <w:rPr>
                <w:rFonts w:cs="Arial"/>
                <w:szCs w:val="20"/>
              </w:rPr>
            </w:pPr>
            <w:r w:rsidRPr="000B3FC4">
              <w:rPr>
                <w:rFonts w:cs="Arial"/>
                <w:color w:val="000000"/>
                <w:szCs w:val="20"/>
              </w:rPr>
              <w:t>India</w:t>
            </w:r>
          </w:p>
        </w:tc>
        <w:tc>
          <w:tcPr>
            <w:tcW w:w="456" w:type="pct"/>
            <w:tcBorders>
              <w:top w:val="single" w:sz="4" w:space="0" w:color="000000"/>
              <w:left w:val="single" w:sz="4" w:space="0" w:color="000000"/>
              <w:bottom w:val="single" w:sz="4" w:space="0" w:color="000000"/>
              <w:right w:val="single" w:sz="4" w:space="0" w:color="000000"/>
            </w:tcBorders>
            <w:vAlign w:val="center"/>
          </w:tcPr>
          <w:p w14:paraId="38DA0BCB" w14:textId="0C042353" w:rsidR="005511D3" w:rsidRPr="000B3FC4" w:rsidRDefault="006F32DE" w:rsidP="0072412A">
            <w:pPr>
              <w:spacing w:before="120" w:after="120" w:line="288" w:lineRule="auto"/>
              <w:ind w:left="28" w:right="28"/>
              <w:jc w:val="center"/>
              <w:rPr>
                <w:rFonts w:cs="Arial"/>
                <w:szCs w:val="20"/>
              </w:rPr>
            </w:pPr>
            <w:r w:rsidRPr="000B3FC4">
              <w:rPr>
                <w:color w:val="000000"/>
                <w:szCs w:val="20"/>
              </w:rPr>
              <w:t>57.8</w:t>
            </w:r>
          </w:p>
        </w:tc>
        <w:tc>
          <w:tcPr>
            <w:tcW w:w="456" w:type="pct"/>
            <w:tcBorders>
              <w:top w:val="single" w:sz="4" w:space="0" w:color="000000"/>
              <w:left w:val="single" w:sz="4" w:space="0" w:color="000000"/>
              <w:bottom w:val="single" w:sz="4" w:space="0" w:color="000000"/>
              <w:right w:val="single" w:sz="4" w:space="0" w:color="000000"/>
            </w:tcBorders>
            <w:vAlign w:val="center"/>
          </w:tcPr>
          <w:p w14:paraId="20034CC1" w14:textId="48DCC0AB" w:rsidR="005511D3" w:rsidRPr="000B3FC4" w:rsidRDefault="006F32DE" w:rsidP="0072412A">
            <w:pPr>
              <w:spacing w:before="120" w:after="120" w:line="288" w:lineRule="auto"/>
              <w:ind w:left="28" w:right="28"/>
              <w:jc w:val="center"/>
              <w:rPr>
                <w:rFonts w:cs="Arial"/>
                <w:szCs w:val="20"/>
              </w:rPr>
            </w:pPr>
            <w:r w:rsidRPr="000B3FC4">
              <w:rPr>
                <w:color w:val="000000"/>
                <w:szCs w:val="20"/>
              </w:rPr>
              <w:t>83.1</w:t>
            </w:r>
          </w:p>
        </w:tc>
        <w:tc>
          <w:tcPr>
            <w:tcW w:w="48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A45211" w14:textId="1DB5BE39" w:rsidR="005511D3" w:rsidRPr="000B3FC4" w:rsidRDefault="005511D3" w:rsidP="0072412A">
            <w:pPr>
              <w:spacing w:before="120" w:after="120" w:line="288" w:lineRule="auto"/>
              <w:ind w:left="28" w:right="28"/>
              <w:jc w:val="center"/>
              <w:rPr>
                <w:rFonts w:cs="Arial"/>
                <w:szCs w:val="20"/>
              </w:rPr>
            </w:pPr>
            <w:r w:rsidRPr="000B3FC4">
              <w:rPr>
                <w:color w:val="000000"/>
                <w:szCs w:val="20"/>
              </w:rPr>
              <w:t>78.</w:t>
            </w:r>
            <w:r w:rsidR="006F32DE" w:rsidRPr="000B3FC4">
              <w:rPr>
                <w:color w:val="000000"/>
                <w:szCs w:val="20"/>
              </w:rPr>
              <w:t>2</w:t>
            </w:r>
          </w:p>
        </w:tc>
        <w:tc>
          <w:tcPr>
            <w:tcW w:w="4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ED3ABA" w14:textId="5CDAA687" w:rsidR="005511D3" w:rsidRPr="000B3FC4" w:rsidRDefault="006F32DE" w:rsidP="0072412A">
            <w:pPr>
              <w:spacing w:before="120" w:after="120" w:line="288" w:lineRule="auto"/>
              <w:ind w:left="28" w:right="28"/>
              <w:jc w:val="center"/>
              <w:rPr>
                <w:rFonts w:cs="Arial"/>
                <w:szCs w:val="20"/>
              </w:rPr>
            </w:pPr>
            <w:r w:rsidRPr="000B3FC4">
              <w:rPr>
                <w:color w:val="000000"/>
                <w:szCs w:val="20"/>
              </w:rPr>
              <w:t>90</w:t>
            </w:r>
            <w:r w:rsidR="005511D3" w:rsidRPr="000B3FC4">
              <w:rPr>
                <w:color w:val="000000"/>
                <w:szCs w:val="20"/>
              </w:rPr>
              <w:t>.0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AF2E8A1" w14:textId="1048088A" w:rsidR="005511D3" w:rsidRPr="000B3FC4" w:rsidRDefault="005511D3" w:rsidP="0072412A">
            <w:pPr>
              <w:spacing w:before="120" w:after="120" w:line="288" w:lineRule="auto"/>
              <w:ind w:left="28" w:right="28"/>
              <w:jc w:val="center"/>
              <w:rPr>
                <w:rFonts w:cs="Arial"/>
                <w:szCs w:val="20"/>
              </w:rPr>
            </w:pPr>
            <w:r w:rsidRPr="000B3FC4">
              <w:rPr>
                <w:color w:val="000000"/>
                <w:szCs w:val="20"/>
              </w:rPr>
              <w:t>96.</w:t>
            </w:r>
            <w:r w:rsidR="006F32DE" w:rsidRPr="000B3FC4">
              <w:rPr>
                <w:color w:val="000000"/>
                <w:szCs w:val="20"/>
              </w:rPr>
              <w:t>8</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D35A74" w14:textId="5B513E20" w:rsidR="005511D3" w:rsidRPr="000B3FC4" w:rsidRDefault="006F32DE" w:rsidP="0072412A">
            <w:pPr>
              <w:spacing w:before="120" w:after="120" w:line="288" w:lineRule="auto"/>
              <w:ind w:left="28" w:right="28"/>
              <w:jc w:val="center"/>
              <w:rPr>
                <w:rFonts w:cs="Arial"/>
                <w:szCs w:val="20"/>
              </w:rPr>
            </w:pPr>
            <w:r w:rsidRPr="000B3FC4">
              <w:rPr>
                <w:color w:val="000000"/>
                <w:szCs w:val="20"/>
              </w:rPr>
              <w:t>91.7</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E41F89E" w14:textId="7ED1A32F" w:rsidR="005511D3" w:rsidRPr="000B3FC4" w:rsidRDefault="006F32DE" w:rsidP="0072412A">
            <w:pPr>
              <w:spacing w:before="120" w:after="120" w:line="288" w:lineRule="auto"/>
              <w:ind w:left="28" w:right="28"/>
              <w:jc w:val="center"/>
              <w:rPr>
                <w:rFonts w:cs="Arial"/>
                <w:szCs w:val="20"/>
              </w:rPr>
            </w:pPr>
            <w:r w:rsidRPr="000B3FC4">
              <w:rPr>
                <w:color w:val="000000"/>
                <w:szCs w:val="20"/>
              </w:rPr>
              <w:t>67,800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EBB57D" w14:textId="5E67A155" w:rsidR="005511D3" w:rsidRPr="000B3FC4" w:rsidRDefault="006F32DE" w:rsidP="0072412A">
            <w:pPr>
              <w:spacing w:before="120" w:after="120" w:line="288" w:lineRule="auto"/>
              <w:ind w:left="28" w:right="28"/>
              <w:jc w:val="center"/>
              <w:rPr>
                <w:rFonts w:cs="Arial"/>
                <w:szCs w:val="20"/>
              </w:rPr>
            </w:pPr>
            <w:r w:rsidRPr="000B3FC4">
              <w:rPr>
                <w:color w:val="000000"/>
                <w:szCs w:val="20"/>
              </w:rPr>
              <w:t>88,800</w:t>
            </w:r>
          </w:p>
        </w:tc>
        <w:tc>
          <w:tcPr>
            <w:tcW w:w="456" w:type="pct"/>
            <w:tcBorders>
              <w:top w:val="single" w:sz="4" w:space="0" w:color="000000"/>
              <w:left w:val="single" w:sz="4" w:space="0" w:color="000000"/>
              <w:bottom w:val="single" w:sz="4" w:space="0" w:color="000000"/>
              <w:right w:val="single" w:sz="4" w:space="0" w:color="000000"/>
            </w:tcBorders>
            <w:vAlign w:val="center"/>
          </w:tcPr>
          <w:p w14:paraId="29B582D2" w14:textId="594F44A3" w:rsidR="005511D3" w:rsidRPr="000B3FC4" w:rsidRDefault="006F32DE" w:rsidP="0072412A">
            <w:pPr>
              <w:spacing w:before="120" w:after="120" w:line="288" w:lineRule="auto"/>
              <w:ind w:left="28" w:right="28"/>
              <w:jc w:val="center"/>
              <w:rPr>
                <w:rFonts w:cs="Arial"/>
                <w:szCs w:val="20"/>
              </w:rPr>
            </w:pPr>
            <w:r w:rsidRPr="000B3FC4">
              <w:rPr>
                <w:color w:val="000000"/>
                <w:szCs w:val="20"/>
              </w:rPr>
              <w:t>12</w:t>
            </w:r>
            <w:r w:rsidR="005511D3" w:rsidRPr="000B3FC4">
              <w:rPr>
                <w:color w:val="000000"/>
                <w:szCs w:val="20"/>
              </w:rPr>
              <w:t>.7</w:t>
            </w:r>
          </w:p>
        </w:tc>
        <w:tc>
          <w:tcPr>
            <w:tcW w:w="456" w:type="pct"/>
            <w:tcBorders>
              <w:top w:val="single" w:sz="4" w:space="0" w:color="000000"/>
              <w:left w:val="single" w:sz="4" w:space="0" w:color="000000"/>
              <w:bottom w:val="single" w:sz="4" w:space="0" w:color="000000"/>
              <w:right w:val="single" w:sz="4" w:space="0" w:color="000000"/>
            </w:tcBorders>
            <w:vAlign w:val="center"/>
          </w:tcPr>
          <w:p w14:paraId="75E2AA39" w14:textId="651A85A3" w:rsidR="005511D3" w:rsidRPr="000B3FC4" w:rsidRDefault="006F32DE" w:rsidP="0072412A">
            <w:pPr>
              <w:spacing w:before="120" w:after="120" w:line="288" w:lineRule="auto"/>
              <w:ind w:left="28" w:right="28"/>
              <w:jc w:val="center"/>
              <w:rPr>
                <w:rFonts w:cs="Arial"/>
                <w:szCs w:val="20"/>
              </w:rPr>
            </w:pPr>
            <w:r w:rsidRPr="000B3FC4">
              <w:rPr>
                <w:color w:val="000000"/>
                <w:szCs w:val="20"/>
              </w:rPr>
              <w:t>10</w:t>
            </w:r>
            <w:r w:rsidR="005511D3" w:rsidRPr="000B3FC4">
              <w:rPr>
                <w:color w:val="000000"/>
                <w:szCs w:val="20"/>
              </w:rPr>
              <w:t>.1</w:t>
            </w:r>
          </w:p>
        </w:tc>
      </w:tr>
      <w:tr w:rsidR="005511D3" w:rsidRPr="005A3AFE" w14:paraId="715AC93D" w14:textId="69749B34" w:rsidTr="002A2D85">
        <w:trPr>
          <w:trHeight w:val="55"/>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3D98765F" w14:textId="614FD932" w:rsidR="005511D3" w:rsidRPr="000B3FC4" w:rsidRDefault="006F32DE" w:rsidP="0072412A">
            <w:pPr>
              <w:spacing w:before="120" w:after="120" w:line="288" w:lineRule="auto"/>
              <w:ind w:left="28" w:right="28"/>
              <w:rPr>
                <w:rFonts w:cs="Arial"/>
                <w:szCs w:val="20"/>
              </w:rPr>
            </w:pPr>
            <w:r w:rsidRPr="000B3FC4">
              <w:rPr>
                <w:rFonts w:cs="Arial"/>
                <w:color w:val="000000"/>
                <w:szCs w:val="20"/>
              </w:rPr>
              <w:t>Vietnam</w:t>
            </w:r>
          </w:p>
        </w:tc>
        <w:tc>
          <w:tcPr>
            <w:tcW w:w="456" w:type="pct"/>
            <w:tcBorders>
              <w:top w:val="single" w:sz="4" w:space="0" w:color="000000"/>
              <w:left w:val="single" w:sz="4" w:space="0" w:color="000000"/>
              <w:bottom w:val="single" w:sz="4" w:space="0" w:color="000000"/>
              <w:right w:val="single" w:sz="4" w:space="0" w:color="000000"/>
            </w:tcBorders>
            <w:vAlign w:val="center"/>
          </w:tcPr>
          <w:p w14:paraId="1D01EBE3" w14:textId="0056E6FE" w:rsidR="005511D3" w:rsidRPr="000B3FC4" w:rsidRDefault="006F32DE" w:rsidP="0072412A">
            <w:pPr>
              <w:spacing w:before="120" w:after="120" w:line="288" w:lineRule="auto"/>
              <w:ind w:left="28" w:right="28"/>
              <w:jc w:val="center"/>
              <w:rPr>
                <w:rFonts w:cs="Arial"/>
                <w:szCs w:val="20"/>
              </w:rPr>
            </w:pPr>
            <w:r w:rsidRPr="000B3FC4">
              <w:rPr>
                <w:color w:val="000000"/>
                <w:szCs w:val="20"/>
              </w:rPr>
              <w:t>69.9</w:t>
            </w:r>
          </w:p>
        </w:tc>
        <w:tc>
          <w:tcPr>
            <w:tcW w:w="456" w:type="pct"/>
            <w:tcBorders>
              <w:top w:val="single" w:sz="4" w:space="0" w:color="000000"/>
              <w:left w:val="single" w:sz="4" w:space="0" w:color="000000"/>
              <w:bottom w:val="single" w:sz="4" w:space="0" w:color="000000"/>
              <w:right w:val="single" w:sz="4" w:space="0" w:color="000000"/>
            </w:tcBorders>
            <w:vAlign w:val="center"/>
          </w:tcPr>
          <w:p w14:paraId="6DC320FA" w14:textId="0CE5554C" w:rsidR="005511D3" w:rsidRPr="000B3FC4" w:rsidRDefault="005511D3" w:rsidP="0072412A">
            <w:pPr>
              <w:spacing w:before="120" w:after="120" w:line="288" w:lineRule="auto"/>
              <w:ind w:left="28" w:right="28"/>
              <w:jc w:val="center"/>
              <w:rPr>
                <w:rFonts w:cs="Arial"/>
                <w:szCs w:val="20"/>
              </w:rPr>
            </w:pPr>
            <w:r w:rsidRPr="000B3FC4">
              <w:rPr>
                <w:color w:val="000000"/>
                <w:szCs w:val="20"/>
              </w:rPr>
              <w:t>90.</w:t>
            </w:r>
            <w:r w:rsidR="006F32DE" w:rsidRPr="000B3FC4">
              <w:rPr>
                <w:color w:val="000000"/>
                <w:szCs w:val="20"/>
              </w:rPr>
              <w:t>6</w:t>
            </w:r>
          </w:p>
        </w:tc>
        <w:tc>
          <w:tcPr>
            <w:tcW w:w="48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D51BE4" w14:textId="5FDD633E" w:rsidR="005511D3" w:rsidRPr="000B3FC4" w:rsidRDefault="006F32DE" w:rsidP="0072412A">
            <w:pPr>
              <w:spacing w:before="120" w:after="120" w:line="288" w:lineRule="auto"/>
              <w:ind w:left="28" w:right="28"/>
              <w:jc w:val="center"/>
              <w:rPr>
                <w:rFonts w:cs="Arial"/>
                <w:szCs w:val="20"/>
              </w:rPr>
            </w:pPr>
            <w:r w:rsidRPr="000B3FC4">
              <w:rPr>
                <w:color w:val="000000"/>
                <w:szCs w:val="20"/>
              </w:rPr>
              <w:t>77.9</w:t>
            </w:r>
          </w:p>
        </w:tc>
        <w:tc>
          <w:tcPr>
            <w:tcW w:w="4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79BEA73" w14:textId="50F15EBD" w:rsidR="005511D3" w:rsidRPr="000B3FC4" w:rsidRDefault="006F32DE" w:rsidP="0072412A">
            <w:pPr>
              <w:spacing w:before="120" w:after="120" w:line="288" w:lineRule="auto"/>
              <w:ind w:left="28" w:right="28"/>
              <w:jc w:val="center"/>
              <w:rPr>
                <w:rFonts w:cs="Arial"/>
                <w:szCs w:val="20"/>
              </w:rPr>
            </w:pPr>
            <w:r w:rsidRPr="000B3FC4">
              <w:rPr>
                <w:color w:val="000000"/>
                <w:szCs w:val="20"/>
              </w:rPr>
              <w:t>92.7</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7DF18D" w14:textId="79155831" w:rsidR="005511D3" w:rsidRPr="000B3FC4" w:rsidRDefault="006F32DE" w:rsidP="0072412A">
            <w:pPr>
              <w:spacing w:before="120" w:after="120" w:line="288" w:lineRule="auto"/>
              <w:ind w:left="28" w:right="28"/>
              <w:jc w:val="center"/>
              <w:rPr>
                <w:rFonts w:cs="Arial"/>
                <w:szCs w:val="20"/>
              </w:rPr>
            </w:pPr>
            <w:r w:rsidRPr="000B3FC4">
              <w:rPr>
                <w:color w:val="000000"/>
                <w:szCs w:val="20"/>
              </w:rPr>
              <w:t>94.2</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A89BC5" w14:textId="728E6448" w:rsidR="005511D3" w:rsidRPr="000B3FC4" w:rsidRDefault="005511D3" w:rsidP="0072412A">
            <w:pPr>
              <w:spacing w:before="120" w:after="120" w:line="288" w:lineRule="auto"/>
              <w:ind w:left="28" w:right="28"/>
              <w:jc w:val="center"/>
              <w:rPr>
                <w:rFonts w:cs="Arial"/>
                <w:szCs w:val="20"/>
              </w:rPr>
            </w:pPr>
            <w:r w:rsidRPr="000B3FC4">
              <w:rPr>
                <w:color w:val="000000"/>
                <w:szCs w:val="20"/>
              </w:rPr>
              <w:t>89.</w:t>
            </w:r>
            <w:r w:rsidR="006F32DE" w:rsidRPr="000B3FC4">
              <w:rPr>
                <w:color w:val="000000"/>
                <w:szCs w:val="20"/>
              </w:rPr>
              <w:t>2</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C6C9D78" w14:textId="27A0A9A7" w:rsidR="005511D3" w:rsidRPr="000B3FC4" w:rsidRDefault="006F32DE" w:rsidP="0072412A">
            <w:pPr>
              <w:spacing w:before="120" w:after="120" w:line="288" w:lineRule="auto"/>
              <w:ind w:left="28" w:right="28"/>
              <w:jc w:val="center"/>
              <w:rPr>
                <w:rFonts w:cs="Arial"/>
                <w:szCs w:val="20"/>
              </w:rPr>
            </w:pPr>
            <w:r w:rsidRPr="000B3FC4">
              <w:rPr>
                <w:color w:val="000000"/>
                <w:szCs w:val="20"/>
              </w:rPr>
              <w:t>65,200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E1FAAE" w14:textId="643829FF" w:rsidR="005511D3" w:rsidRPr="000B3FC4" w:rsidRDefault="006F32DE" w:rsidP="0072412A">
            <w:pPr>
              <w:spacing w:before="120" w:after="120" w:line="288" w:lineRule="auto"/>
              <w:ind w:left="28" w:right="28"/>
              <w:jc w:val="center"/>
              <w:rPr>
                <w:rFonts w:cs="Arial"/>
                <w:szCs w:val="20"/>
              </w:rPr>
            </w:pPr>
            <w:r w:rsidRPr="000B3FC4">
              <w:rPr>
                <w:color w:val="000000"/>
                <w:szCs w:val="20"/>
              </w:rPr>
              <w:t>82</w:t>
            </w:r>
            <w:r w:rsidR="005511D3" w:rsidRPr="000B3FC4">
              <w:rPr>
                <w:color w:val="000000"/>
                <w:szCs w:val="20"/>
              </w:rPr>
              <w:t>,000</w:t>
            </w:r>
          </w:p>
        </w:tc>
        <w:tc>
          <w:tcPr>
            <w:tcW w:w="456" w:type="pct"/>
            <w:tcBorders>
              <w:top w:val="single" w:sz="4" w:space="0" w:color="000000"/>
              <w:left w:val="single" w:sz="4" w:space="0" w:color="000000"/>
              <w:bottom w:val="single" w:sz="4" w:space="0" w:color="000000"/>
              <w:right w:val="single" w:sz="4" w:space="0" w:color="000000"/>
            </w:tcBorders>
            <w:vAlign w:val="center"/>
          </w:tcPr>
          <w:p w14:paraId="55275480" w14:textId="35295497" w:rsidR="005511D3" w:rsidRPr="000B3FC4" w:rsidRDefault="006F32DE" w:rsidP="0072412A">
            <w:pPr>
              <w:spacing w:before="120" w:after="120" w:line="288" w:lineRule="auto"/>
              <w:ind w:left="28" w:right="28"/>
              <w:jc w:val="center"/>
              <w:rPr>
                <w:rFonts w:cs="Arial"/>
                <w:szCs w:val="20"/>
              </w:rPr>
            </w:pPr>
            <w:r w:rsidRPr="000B3FC4">
              <w:rPr>
                <w:color w:val="000000"/>
                <w:szCs w:val="20"/>
              </w:rPr>
              <w:t>27.8</w:t>
            </w:r>
          </w:p>
        </w:tc>
        <w:tc>
          <w:tcPr>
            <w:tcW w:w="456" w:type="pct"/>
            <w:tcBorders>
              <w:top w:val="single" w:sz="4" w:space="0" w:color="000000"/>
              <w:left w:val="single" w:sz="4" w:space="0" w:color="000000"/>
              <w:bottom w:val="single" w:sz="4" w:space="0" w:color="000000"/>
              <w:right w:val="single" w:sz="4" w:space="0" w:color="000000"/>
            </w:tcBorders>
            <w:vAlign w:val="center"/>
          </w:tcPr>
          <w:p w14:paraId="39731AD8" w14:textId="2589FC43" w:rsidR="005511D3" w:rsidRPr="000B3FC4" w:rsidRDefault="005511D3" w:rsidP="0072412A">
            <w:pPr>
              <w:spacing w:before="120" w:after="120" w:line="288" w:lineRule="auto"/>
              <w:ind w:left="28" w:right="28"/>
              <w:jc w:val="center"/>
              <w:rPr>
                <w:rFonts w:cs="Arial"/>
                <w:szCs w:val="20"/>
              </w:rPr>
            </w:pPr>
            <w:r w:rsidRPr="000B3FC4">
              <w:rPr>
                <w:color w:val="000000"/>
                <w:szCs w:val="20"/>
              </w:rPr>
              <w:t>15.</w:t>
            </w:r>
            <w:r w:rsidR="006F32DE" w:rsidRPr="000B3FC4">
              <w:rPr>
                <w:color w:val="000000"/>
                <w:szCs w:val="20"/>
              </w:rPr>
              <w:t>2</w:t>
            </w:r>
          </w:p>
        </w:tc>
      </w:tr>
      <w:tr w:rsidR="005511D3" w:rsidRPr="005A3AFE" w14:paraId="3CEE129A" w14:textId="2492A019" w:rsidTr="002A2D85">
        <w:trPr>
          <w:trHeight w:val="55"/>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42E715CE" w14:textId="3BFC47C8" w:rsidR="005511D3" w:rsidRPr="000B3FC4" w:rsidRDefault="006F32DE" w:rsidP="0072412A">
            <w:pPr>
              <w:spacing w:before="120" w:after="120" w:line="288" w:lineRule="auto"/>
              <w:ind w:left="28" w:right="28"/>
              <w:rPr>
                <w:rFonts w:cs="Arial"/>
                <w:szCs w:val="20"/>
              </w:rPr>
            </w:pPr>
            <w:r w:rsidRPr="000B3FC4">
              <w:rPr>
                <w:rFonts w:cs="Arial"/>
                <w:color w:val="000000"/>
                <w:szCs w:val="20"/>
              </w:rPr>
              <w:t>Indonesia</w:t>
            </w:r>
          </w:p>
        </w:tc>
        <w:tc>
          <w:tcPr>
            <w:tcW w:w="456" w:type="pct"/>
            <w:tcBorders>
              <w:top w:val="single" w:sz="4" w:space="0" w:color="000000"/>
              <w:left w:val="single" w:sz="4" w:space="0" w:color="000000"/>
              <w:bottom w:val="single" w:sz="4" w:space="0" w:color="000000"/>
              <w:right w:val="single" w:sz="4" w:space="0" w:color="000000"/>
            </w:tcBorders>
            <w:vAlign w:val="center"/>
          </w:tcPr>
          <w:p w14:paraId="363C685D" w14:textId="51F851FF" w:rsidR="005511D3" w:rsidRPr="000B3FC4" w:rsidRDefault="006F32DE" w:rsidP="0072412A">
            <w:pPr>
              <w:spacing w:before="120" w:after="120" w:line="288" w:lineRule="auto"/>
              <w:ind w:left="28" w:right="28"/>
              <w:jc w:val="center"/>
              <w:rPr>
                <w:rFonts w:cs="Arial"/>
                <w:szCs w:val="20"/>
              </w:rPr>
            </w:pPr>
            <w:r w:rsidRPr="000B3FC4">
              <w:rPr>
                <w:color w:val="000000"/>
                <w:szCs w:val="20"/>
              </w:rPr>
              <w:t>50</w:t>
            </w:r>
            <w:r w:rsidR="005511D3" w:rsidRPr="000B3FC4">
              <w:rPr>
                <w:color w:val="000000"/>
                <w:szCs w:val="20"/>
              </w:rPr>
              <w:t>.0</w:t>
            </w:r>
          </w:p>
        </w:tc>
        <w:tc>
          <w:tcPr>
            <w:tcW w:w="456" w:type="pct"/>
            <w:tcBorders>
              <w:top w:val="single" w:sz="4" w:space="0" w:color="000000"/>
              <w:left w:val="single" w:sz="4" w:space="0" w:color="000000"/>
              <w:bottom w:val="single" w:sz="4" w:space="0" w:color="000000"/>
              <w:right w:val="single" w:sz="4" w:space="0" w:color="000000"/>
            </w:tcBorders>
            <w:vAlign w:val="center"/>
          </w:tcPr>
          <w:p w14:paraId="467C7A2C" w14:textId="2F71A743" w:rsidR="005511D3" w:rsidRPr="000B3FC4" w:rsidRDefault="006F32DE" w:rsidP="0072412A">
            <w:pPr>
              <w:spacing w:before="120" w:after="120" w:line="288" w:lineRule="auto"/>
              <w:ind w:left="28" w:right="28"/>
              <w:jc w:val="center"/>
              <w:rPr>
                <w:rFonts w:cs="Arial"/>
                <w:szCs w:val="20"/>
              </w:rPr>
            </w:pPr>
            <w:r w:rsidRPr="000B3FC4">
              <w:rPr>
                <w:color w:val="000000"/>
                <w:szCs w:val="20"/>
              </w:rPr>
              <w:t>87.5</w:t>
            </w:r>
          </w:p>
        </w:tc>
        <w:tc>
          <w:tcPr>
            <w:tcW w:w="48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67C147" w14:textId="1714A84B" w:rsidR="005511D3" w:rsidRPr="000B3FC4" w:rsidRDefault="006F32DE" w:rsidP="0072412A">
            <w:pPr>
              <w:spacing w:before="120" w:after="120" w:line="288" w:lineRule="auto"/>
              <w:ind w:left="28" w:right="28"/>
              <w:jc w:val="center"/>
              <w:rPr>
                <w:rFonts w:cs="Arial"/>
                <w:szCs w:val="20"/>
              </w:rPr>
            </w:pPr>
            <w:r w:rsidRPr="000B3FC4">
              <w:rPr>
                <w:color w:val="000000"/>
                <w:szCs w:val="20"/>
              </w:rPr>
              <w:t>71.6</w:t>
            </w:r>
          </w:p>
        </w:tc>
        <w:tc>
          <w:tcPr>
            <w:tcW w:w="4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76E8BB9" w14:textId="3B89170A" w:rsidR="005511D3" w:rsidRPr="000B3FC4" w:rsidRDefault="005511D3" w:rsidP="0072412A">
            <w:pPr>
              <w:spacing w:before="120" w:after="120" w:line="288" w:lineRule="auto"/>
              <w:ind w:left="28" w:right="28"/>
              <w:jc w:val="center"/>
              <w:rPr>
                <w:rFonts w:cs="Arial"/>
                <w:szCs w:val="20"/>
              </w:rPr>
            </w:pPr>
            <w:r w:rsidRPr="000B3FC4">
              <w:rPr>
                <w:color w:val="000000"/>
                <w:szCs w:val="20"/>
              </w:rPr>
              <w:t>91.</w:t>
            </w:r>
            <w:r w:rsidR="006F32DE" w:rsidRPr="000B3FC4">
              <w:rPr>
                <w:color w:val="000000"/>
                <w:szCs w:val="20"/>
              </w:rPr>
              <w:t>9</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6F30443" w14:textId="2BB3D3F4" w:rsidR="005511D3" w:rsidRPr="000B3FC4" w:rsidRDefault="006F32DE" w:rsidP="0072412A">
            <w:pPr>
              <w:spacing w:before="120" w:after="120" w:line="288" w:lineRule="auto"/>
              <w:ind w:left="28" w:right="28"/>
              <w:jc w:val="center"/>
              <w:rPr>
                <w:rFonts w:cs="Arial"/>
                <w:szCs w:val="20"/>
              </w:rPr>
            </w:pPr>
            <w:r w:rsidRPr="000B3FC4">
              <w:rPr>
                <w:color w:val="000000"/>
                <w:szCs w:val="20"/>
              </w:rPr>
              <w:t>91.3</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F73FD4" w14:textId="4EFAAD8F" w:rsidR="005511D3" w:rsidRPr="000B3FC4" w:rsidRDefault="006F32DE" w:rsidP="0072412A">
            <w:pPr>
              <w:spacing w:before="120" w:after="120" w:line="288" w:lineRule="auto"/>
              <w:ind w:left="28" w:right="28"/>
              <w:jc w:val="center"/>
              <w:rPr>
                <w:rFonts w:cs="Arial"/>
                <w:szCs w:val="20"/>
              </w:rPr>
            </w:pPr>
            <w:r w:rsidRPr="000B3FC4">
              <w:rPr>
                <w:color w:val="000000"/>
                <w:szCs w:val="20"/>
              </w:rPr>
              <w:t>87.4</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58786A" w14:textId="332FA884" w:rsidR="005511D3" w:rsidRPr="000B3FC4" w:rsidRDefault="006F32DE" w:rsidP="0072412A">
            <w:pPr>
              <w:spacing w:before="120" w:after="120" w:line="288" w:lineRule="auto"/>
              <w:ind w:left="28" w:right="28"/>
              <w:jc w:val="center"/>
              <w:rPr>
                <w:rFonts w:cs="Arial"/>
                <w:szCs w:val="20"/>
              </w:rPr>
            </w:pPr>
            <w:r w:rsidRPr="000B3FC4">
              <w:rPr>
                <w:color w:val="000000"/>
                <w:szCs w:val="20"/>
              </w:rPr>
              <w:t>60,000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0105086" w14:textId="02707B2E" w:rsidR="005511D3" w:rsidRPr="000B3FC4" w:rsidRDefault="006F32DE" w:rsidP="0072412A">
            <w:pPr>
              <w:spacing w:before="120" w:after="120" w:line="288" w:lineRule="auto"/>
              <w:ind w:left="28" w:right="28"/>
              <w:jc w:val="center"/>
              <w:rPr>
                <w:rFonts w:cs="Arial"/>
                <w:szCs w:val="20"/>
              </w:rPr>
            </w:pPr>
            <w:r w:rsidRPr="000B3FC4">
              <w:rPr>
                <w:color w:val="000000"/>
                <w:szCs w:val="20"/>
              </w:rPr>
              <w:t>75,800</w:t>
            </w:r>
          </w:p>
        </w:tc>
        <w:tc>
          <w:tcPr>
            <w:tcW w:w="456" w:type="pct"/>
            <w:tcBorders>
              <w:top w:val="single" w:sz="4" w:space="0" w:color="000000"/>
              <w:left w:val="single" w:sz="4" w:space="0" w:color="000000"/>
              <w:bottom w:val="single" w:sz="4" w:space="0" w:color="000000"/>
              <w:right w:val="single" w:sz="4" w:space="0" w:color="000000"/>
            </w:tcBorders>
            <w:vAlign w:val="center"/>
          </w:tcPr>
          <w:p w14:paraId="568B0A7F" w14:textId="33D34F91" w:rsidR="005511D3" w:rsidRPr="000B3FC4" w:rsidRDefault="006F32DE" w:rsidP="0072412A">
            <w:pPr>
              <w:spacing w:before="120" w:after="120" w:line="288" w:lineRule="auto"/>
              <w:ind w:left="28" w:right="28"/>
              <w:jc w:val="center"/>
              <w:rPr>
                <w:rFonts w:cs="Arial"/>
                <w:szCs w:val="20"/>
              </w:rPr>
            </w:pPr>
            <w:r w:rsidRPr="000B3FC4">
              <w:rPr>
                <w:color w:val="000000"/>
                <w:szCs w:val="20"/>
              </w:rPr>
              <w:t>27.1</w:t>
            </w:r>
          </w:p>
        </w:tc>
        <w:tc>
          <w:tcPr>
            <w:tcW w:w="456" w:type="pct"/>
            <w:tcBorders>
              <w:top w:val="single" w:sz="4" w:space="0" w:color="000000"/>
              <w:left w:val="single" w:sz="4" w:space="0" w:color="000000"/>
              <w:bottom w:val="single" w:sz="4" w:space="0" w:color="000000"/>
              <w:right w:val="single" w:sz="4" w:space="0" w:color="000000"/>
            </w:tcBorders>
            <w:vAlign w:val="center"/>
          </w:tcPr>
          <w:p w14:paraId="2814ADFC" w14:textId="39AE1E1A" w:rsidR="005511D3" w:rsidRPr="000B3FC4" w:rsidRDefault="006F32DE" w:rsidP="0072412A">
            <w:pPr>
              <w:spacing w:before="120" w:after="120" w:line="288" w:lineRule="auto"/>
              <w:ind w:left="28" w:right="28"/>
              <w:jc w:val="center"/>
              <w:rPr>
                <w:rFonts w:cs="Arial"/>
                <w:szCs w:val="20"/>
              </w:rPr>
            </w:pPr>
            <w:r w:rsidRPr="000B3FC4">
              <w:rPr>
                <w:color w:val="000000"/>
                <w:szCs w:val="20"/>
              </w:rPr>
              <w:t>14.6</w:t>
            </w:r>
          </w:p>
        </w:tc>
      </w:tr>
      <w:tr w:rsidR="005511D3" w:rsidRPr="005A3AFE" w14:paraId="4E077192" w14:textId="680B7A9A" w:rsidTr="002A2D85">
        <w:trPr>
          <w:trHeight w:val="123"/>
        </w:trPr>
        <w:tc>
          <w:tcPr>
            <w:tcW w:w="43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bottom"/>
          </w:tcPr>
          <w:p w14:paraId="2AF54F78" w14:textId="33FDADEF" w:rsidR="005511D3" w:rsidRPr="000B3FC4" w:rsidRDefault="005C41B5" w:rsidP="0072412A">
            <w:pPr>
              <w:spacing w:before="120" w:after="120" w:line="288" w:lineRule="auto"/>
              <w:ind w:left="28" w:right="28"/>
              <w:rPr>
                <w:rFonts w:cs="Arial"/>
                <w:b/>
                <w:color w:val="000000"/>
                <w:szCs w:val="20"/>
              </w:rPr>
            </w:pPr>
            <w:r w:rsidRPr="000B3FC4">
              <w:rPr>
                <w:rFonts w:cs="Arial"/>
                <w:b/>
                <w:color w:val="000000"/>
                <w:szCs w:val="20"/>
              </w:rPr>
              <w:t>All internationals</w:t>
            </w:r>
          </w:p>
        </w:tc>
        <w:tc>
          <w:tcPr>
            <w:tcW w:w="456" w:type="pct"/>
            <w:tcBorders>
              <w:top w:val="single" w:sz="4" w:space="0" w:color="000000"/>
              <w:left w:val="single" w:sz="4" w:space="0" w:color="000000"/>
              <w:bottom w:val="single" w:sz="4" w:space="0" w:color="000000"/>
              <w:right w:val="single" w:sz="4" w:space="0" w:color="000000"/>
            </w:tcBorders>
            <w:vAlign w:val="center"/>
          </w:tcPr>
          <w:p w14:paraId="1FF66811" w14:textId="63F57A98"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62</w:t>
            </w:r>
            <w:r w:rsidR="005511D3" w:rsidRPr="000B3FC4">
              <w:rPr>
                <w:b/>
                <w:color w:val="000000"/>
                <w:szCs w:val="20"/>
              </w:rPr>
              <w:t>.5</w:t>
            </w:r>
          </w:p>
        </w:tc>
        <w:tc>
          <w:tcPr>
            <w:tcW w:w="456" w:type="pct"/>
            <w:tcBorders>
              <w:top w:val="single" w:sz="4" w:space="0" w:color="000000"/>
              <w:left w:val="single" w:sz="4" w:space="0" w:color="000000"/>
              <w:bottom w:val="single" w:sz="4" w:space="0" w:color="000000"/>
              <w:right w:val="single" w:sz="4" w:space="0" w:color="000000"/>
            </w:tcBorders>
            <w:vAlign w:val="center"/>
          </w:tcPr>
          <w:p w14:paraId="4B0313DD" w14:textId="01FF66B9" w:rsidR="005511D3" w:rsidRPr="000B3FC4" w:rsidRDefault="005511D3" w:rsidP="0072412A">
            <w:pPr>
              <w:spacing w:before="120" w:after="120" w:line="288" w:lineRule="auto"/>
              <w:ind w:left="28" w:right="28"/>
              <w:jc w:val="center"/>
              <w:rPr>
                <w:rFonts w:cs="Arial"/>
                <w:b/>
                <w:color w:val="000000"/>
                <w:szCs w:val="20"/>
              </w:rPr>
            </w:pPr>
            <w:r w:rsidRPr="000B3FC4">
              <w:rPr>
                <w:b/>
                <w:color w:val="000000"/>
                <w:szCs w:val="20"/>
              </w:rPr>
              <w:t>84.</w:t>
            </w:r>
            <w:r w:rsidR="006F32DE" w:rsidRPr="000B3FC4">
              <w:rPr>
                <w:b/>
                <w:color w:val="000000"/>
                <w:szCs w:val="20"/>
              </w:rPr>
              <w:t>1</w:t>
            </w:r>
          </w:p>
        </w:tc>
        <w:tc>
          <w:tcPr>
            <w:tcW w:w="48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01DEE42" w14:textId="326E605A"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75.9</w:t>
            </w:r>
          </w:p>
        </w:tc>
        <w:tc>
          <w:tcPr>
            <w:tcW w:w="4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4A462D" w14:textId="12F44C74" w:rsidR="005511D3" w:rsidRPr="000B3FC4" w:rsidRDefault="005511D3" w:rsidP="0072412A">
            <w:pPr>
              <w:spacing w:before="120" w:after="120" w:line="288" w:lineRule="auto"/>
              <w:ind w:left="28" w:right="28"/>
              <w:jc w:val="center"/>
              <w:rPr>
                <w:rFonts w:cs="Arial"/>
                <w:b/>
                <w:color w:val="000000"/>
                <w:szCs w:val="20"/>
              </w:rPr>
            </w:pPr>
            <w:r w:rsidRPr="000B3FC4">
              <w:rPr>
                <w:b/>
                <w:color w:val="000000"/>
                <w:szCs w:val="20"/>
              </w:rPr>
              <w:t>89.</w:t>
            </w:r>
            <w:r w:rsidR="006F32DE" w:rsidRPr="000B3FC4">
              <w:rPr>
                <w:b/>
                <w:color w:val="000000"/>
                <w:szCs w:val="20"/>
              </w:rPr>
              <w:t>1</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72EAE9" w14:textId="5D49F582"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89.3</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AAE02F" w14:textId="6B2444E2"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88.4</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67485C" w14:textId="0DEF380F"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66</w:t>
            </w:r>
            <w:r w:rsidR="005511D3" w:rsidRPr="000B3FC4">
              <w:rPr>
                <w:b/>
                <w:color w:val="000000"/>
                <w:szCs w:val="20"/>
              </w:rPr>
              <w:t>,000</w:t>
            </w:r>
          </w:p>
        </w:tc>
        <w:tc>
          <w:tcPr>
            <w:tcW w:w="45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4FD0BB" w14:textId="7AF1EC12"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85,000</w:t>
            </w:r>
          </w:p>
        </w:tc>
        <w:tc>
          <w:tcPr>
            <w:tcW w:w="456" w:type="pct"/>
            <w:tcBorders>
              <w:top w:val="single" w:sz="4" w:space="0" w:color="000000"/>
              <w:left w:val="single" w:sz="4" w:space="0" w:color="000000"/>
              <w:bottom w:val="single" w:sz="4" w:space="0" w:color="000000"/>
              <w:right w:val="single" w:sz="4" w:space="0" w:color="000000"/>
            </w:tcBorders>
            <w:vAlign w:val="center"/>
          </w:tcPr>
          <w:p w14:paraId="5A5A62C8" w14:textId="750F1B25"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24.7</w:t>
            </w:r>
          </w:p>
        </w:tc>
        <w:tc>
          <w:tcPr>
            <w:tcW w:w="456" w:type="pct"/>
            <w:tcBorders>
              <w:top w:val="single" w:sz="4" w:space="0" w:color="000000"/>
              <w:left w:val="single" w:sz="4" w:space="0" w:color="000000"/>
              <w:bottom w:val="single" w:sz="4" w:space="0" w:color="000000"/>
              <w:right w:val="single" w:sz="4" w:space="0" w:color="000000"/>
            </w:tcBorders>
            <w:vAlign w:val="center"/>
          </w:tcPr>
          <w:p w14:paraId="1B6B6780" w14:textId="6283A966" w:rsidR="005511D3" w:rsidRPr="000B3FC4" w:rsidRDefault="006F32DE" w:rsidP="0072412A">
            <w:pPr>
              <w:spacing w:before="120" w:after="120" w:line="288" w:lineRule="auto"/>
              <w:ind w:left="28" w:right="28"/>
              <w:jc w:val="center"/>
              <w:rPr>
                <w:rFonts w:cs="Arial"/>
                <w:b/>
                <w:color w:val="000000"/>
                <w:szCs w:val="20"/>
              </w:rPr>
            </w:pPr>
            <w:r w:rsidRPr="000B3FC4">
              <w:rPr>
                <w:b/>
                <w:color w:val="000000"/>
                <w:szCs w:val="20"/>
              </w:rPr>
              <w:t>15</w:t>
            </w:r>
            <w:r w:rsidR="005511D3" w:rsidRPr="000B3FC4">
              <w:rPr>
                <w:b/>
                <w:color w:val="000000"/>
                <w:szCs w:val="20"/>
              </w:rPr>
              <w:t>.8</w:t>
            </w:r>
          </w:p>
        </w:tc>
      </w:tr>
    </w:tbl>
    <w:p w14:paraId="7F1FB8BF" w14:textId="1F9ED6AF" w:rsidR="005800A1" w:rsidRPr="005A3AFE" w:rsidRDefault="005800A1" w:rsidP="007A24F8">
      <w:pPr>
        <w:pStyle w:val="BaseFigureNotes"/>
        <w:spacing w:before="120" w:after="120"/>
      </w:pPr>
      <w:r w:rsidRPr="008E6677">
        <w:rPr>
          <w:b/>
          <w:bCs/>
        </w:rPr>
        <w:t>Note:</w:t>
      </w:r>
      <w:r w:rsidRPr="005A3AFE">
        <w:t xml:space="preserve"> International graduates’ median salary figures only include data for international graduates working in Australia.</w:t>
      </w:r>
    </w:p>
    <w:p w14:paraId="0BD1B4AD" w14:textId="61B6F145" w:rsidR="00CD57C6" w:rsidRPr="00EB29BD" w:rsidRDefault="00CD57C6" w:rsidP="00A55102">
      <w:pPr>
        <w:pStyle w:val="BaseFigureNotes"/>
        <w:spacing w:after="240"/>
      </w:pPr>
      <w:r w:rsidRPr="00EB29BD">
        <w:t xml:space="preserve">‡ Medium-term labour force participation rates, and full-time and overall employment rates from 2025 onwards are not directly comparable with earlier years due to a change to how the labour force is defined. Caution should be exercised when interpreting shifts from the short- to medium-term for the </w:t>
      </w:r>
      <w:r w:rsidR="00101F9E" w:rsidRPr="00EB29BD">
        <w:t>2023</w:t>
      </w:r>
      <w:r w:rsidR="00886C60" w:rsidRPr="00886C60">
        <w:t>–</w:t>
      </w:r>
      <w:r w:rsidR="00101F9E" w:rsidRPr="00EB29BD">
        <w:t>2026</w:t>
      </w:r>
      <w:r w:rsidRPr="00EB29BD">
        <w:t xml:space="preserve"> cohort, as they partly reflect the change in methodology. See </w:t>
      </w:r>
      <w:r w:rsidRPr="00EB29BD">
        <w:rPr>
          <w:b/>
          <w:bCs/>
        </w:rPr>
        <w:t>Appendix 1</w:t>
      </w:r>
      <w:r w:rsidRPr="00EB29BD">
        <w:t xml:space="preserve"> </w:t>
      </w:r>
      <w:r w:rsidR="00EC73E7" w:rsidRPr="00EB29BD">
        <w:t xml:space="preserve">in the 2025 GOS-L National Report </w:t>
      </w:r>
      <w:r w:rsidRPr="00EB29BD">
        <w:t>for further information.</w:t>
      </w:r>
    </w:p>
    <w:p w14:paraId="34DCE55C" w14:textId="7C39EE22" w:rsidR="00F22D99" w:rsidRPr="005A3AFE" w:rsidRDefault="002C5DA8" w:rsidP="00A36D8A">
      <w:pPr>
        <w:pStyle w:val="Body"/>
      </w:pPr>
      <w:bookmarkStart w:id="228" w:name="_Ref204667338"/>
      <w:bookmarkStart w:id="229" w:name="_Ref204667332"/>
      <w:r w:rsidRPr="005A3AFE">
        <w:t xml:space="preserve">There were slightly </w:t>
      </w:r>
      <w:r w:rsidR="00D55E11" w:rsidRPr="005A3AFE">
        <w:t>fewer</w:t>
      </w:r>
      <w:r w:rsidRPr="005A3AFE">
        <w:t xml:space="preserve"> differences in salary growth between source countries at the postgraduate coursework level</w:t>
      </w:r>
      <w:r w:rsidR="00B466DA" w:rsidRPr="005A3AFE">
        <w:t xml:space="preserve">, with postgraduate coursework graduates from </w:t>
      </w:r>
      <w:r w:rsidR="00313996">
        <w:t xml:space="preserve">4 of </w:t>
      </w:r>
      <w:r w:rsidR="00B466DA" w:rsidRPr="005A3AFE">
        <w:t>the top 5 source countries</w:t>
      </w:r>
      <w:r w:rsidR="00A33A75" w:rsidRPr="005A3AFE">
        <w:t xml:space="preserve"> </w:t>
      </w:r>
      <w:r w:rsidR="005C434C" w:rsidRPr="005A3AFE">
        <w:t xml:space="preserve">reporting </w:t>
      </w:r>
      <w:r w:rsidR="00B466DA" w:rsidRPr="005A3AFE">
        <w:t xml:space="preserve">increases of </w:t>
      </w:r>
      <w:r w:rsidR="001107B8" w:rsidRPr="005A3AFE">
        <w:t>$</w:t>
      </w:r>
      <w:r w:rsidR="004A2588" w:rsidRPr="005A3AFE">
        <w:t>1</w:t>
      </w:r>
      <w:r w:rsidR="005F7DA5" w:rsidRPr="005A3AFE">
        <w:t>7</w:t>
      </w:r>
      <w:r w:rsidR="004A2588" w:rsidRPr="005A3AFE">
        <w:t>,</w:t>
      </w:r>
      <w:r w:rsidR="005F7DA5" w:rsidRPr="005A3AFE">
        <w:t>1</w:t>
      </w:r>
      <w:r w:rsidR="004A2588" w:rsidRPr="005A3AFE">
        <w:t xml:space="preserve">00 to </w:t>
      </w:r>
      <w:r w:rsidR="001107B8" w:rsidRPr="005A3AFE">
        <w:t>$</w:t>
      </w:r>
      <w:r w:rsidR="004A2588" w:rsidRPr="005A3AFE">
        <w:t>2</w:t>
      </w:r>
      <w:r w:rsidR="001107B8" w:rsidRPr="005A3AFE">
        <w:t>1,400 over the short- to medium-term.</w:t>
      </w:r>
      <w:r w:rsidR="00313996" w:rsidRPr="00E17B1D">
        <w:rPr>
          <w:rStyle w:val="FootnoteReference"/>
          <w:sz w:val="20"/>
        </w:rPr>
        <w:footnoteReference w:id="25"/>
      </w:r>
      <w:r w:rsidR="00A7162A" w:rsidRPr="00E17B1D">
        <w:t xml:space="preserve"> </w:t>
      </w:r>
      <w:r w:rsidR="00A7162A" w:rsidRPr="005A3AFE">
        <w:t xml:space="preserve">Notably, </w:t>
      </w:r>
      <w:r w:rsidR="005B74FD" w:rsidRPr="005A3AFE">
        <w:t xml:space="preserve">postgraduate coursework graduates from China (excludes SARs and Taiwan) and Nepal </w:t>
      </w:r>
      <w:r w:rsidR="00C24C41" w:rsidRPr="005A3AFE">
        <w:t>were more likely to pursue further full-time study in the short-term compared to the international average, and this continued in the medium-term with 21.1 per cent of graduates from China (excludes SARs and Taiwan)</w:t>
      </w:r>
      <w:r w:rsidR="001D4B05" w:rsidRPr="005A3AFE">
        <w:t xml:space="preserve"> and 14.2 per cent of graduates from Nepal</w:t>
      </w:r>
      <w:r w:rsidR="00C24C41" w:rsidRPr="005A3AFE">
        <w:t xml:space="preserve"> still pursuing further</w:t>
      </w:r>
      <w:r w:rsidR="00107778" w:rsidRPr="005A3AFE">
        <w:t xml:space="preserve"> </w:t>
      </w:r>
      <w:r w:rsidR="00C24C41" w:rsidRPr="005A3AFE">
        <w:t>full-time study</w:t>
      </w:r>
      <w:r w:rsidR="001D4B05" w:rsidRPr="005A3AFE">
        <w:t xml:space="preserve"> 3 years after </w:t>
      </w:r>
      <w:r w:rsidR="00CF18FA" w:rsidRPr="005A3AFE">
        <w:t>graduating</w:t>
      </w:r>
      <w:r w:rsidR="005C434C" w:rsidRPr="005A3AFE">
        <w:t xml:space="preserve"> with a postgraduate coursework qualification</w:t>
      </w:r>
      <w:r w:rsidR="00CF18FA" w:rsidRPr="005A3AFE">
        <w:t>.</w:t>
      </w:r>
      <w:bookmarkStart w:id="230" w:name="_Ref206015908"/>
    </w:p>
    <w:p w14:paraId="73CE93FC" w14:textId="6D5F66E0" w:rsidR="001E42D2" w:rsidRPr="005A3AFE" w:rsidRDefault="00E52883" w:rsidP="00A33BD9">
      <w:pPr>
        <w:pStyle w:val="Caption"/>
      </w:pPr>
      <w:bookmarkStart w:id="231" w:name="_Toc243492103"/>
      <w:r w:rsidRPr="005A3AFE">
        <w:lastRenderedPageBreak/>
        <w:t>Table</w:t>
      </w:r>
      <w:bookmarkEnd w:id="228"/>
      <w:r w:rsidRPr="005A3AFE">
        <w:t xml:space="preserve"> </w:t>
      </w:r>
      <w:fldSimple w:instr=" SEQ Table \* ARABIC ">
        <w:r w:rsidR="00C4459D">
          <w:rPr>
            <w:noProof/>
          </w:rPr>
          <w:t>11</w:t>
        </w:r>
      </w:fldSimple>
      <w:bookmarkEnd w:id="230"/>
      <w:r w:rsidR="007F6B22">
        <w:rPr>
          <w:noProof/>
        </w:rPr>
        <w:tab/>
      </w:r>
      <w:r w:rsidRPr="005A3AFE">
        <w:t xml:space="preserve">International </w:t>
      </w:r>
      <w:r w:rsidR="002D3766" w:rsidRPr="005A3AFE">
        <w:t>postgraduate coursework</w:t>
      </w:r>
      <w:r w:rsidRPr="005A3AFE">
        <w:t xml:space="preserve"> short- and medium-term outcomes by source country</w:t>
      </w:r>
      <w:bookmarkEnd w:id="229"/>
      <w:bookmarkEnd w:id="231"/>
    </w:p>
    <w:tbl>
      <w:tblPr>
        <w:tblW w:w="5026" w:type="pct"/>
        <w:tblInd w:w="-5" w:type="dxa"/>
        <w:tblCellMar>
          <w:left w:w="0" w:type="dxa"/>
          <w:right w:w="0" w:type="dxa"/>
        </w:tblCellMar>
        <w:tblLook w:val="0000" w:firstRow="0" w:lastRow="0" w:firstColumn="0" w:lastColumn="0" w:noHBand="0" w:noVBand="0"/>
      </w:tblPr>
      <w:tblGrid>
        <w:gridCol w:w="1360"/>
        <w:gridCol w:w="1498"/>
        <w:gridCol w:w="1498"/>
        <w:gridCol w:w="1498"/>
        <w:gridCol w:w="1499"/>
        <w:gridCol w:w="1499"/>
        <w:gridCol w:w="1499"/>
        <w:gridCol w:w="1499"/>
        <w:gridCol w:w="1499"/>
        <w:gridCol w:w="1499"/>
        <w:gridCol w:w="1499"/>
      </w:tblGrid>
      <w:tr w:rsidR="0043001A" w:rsidRPr="005A3AFE" w14:paraId="54F2513C" w14:textId="77777777" w:rsidTr="008A657F">
        <w:trPr>
          <w:trHeight w:val="1474"/>
          <w:tblHeader/>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2BDA3E1" w14:textId="77777777" w:rsidR="0043001A" w:rsidRPr="008A657F" w:rsidRDefault="0043001A" w:rsidP="00C43B9E">
            <w:pPr>
              <w:pStyle w:val="TablecolumnheadCENTRETABLES"/>
              <w:keepNext/>
              <w:spacing w:before="240" w:after="120"/>
              <w:ind w:left="113"/>
              <w:jc w:val="left"/>
              <w:rPr>
                <w:rFonts w:ascii="Arial" w:hAnsi="Arial" w:cs="Arial"/>
                <w:b/>
                <w:color w:val="auto"/>
                <w:sz w:val="20"/>
                <w:szCs w:val="20"/>
              </w:rPr>
            </w:pPr>
            <w:r w:rsidRPr="008A657F">
              <w:rPr>
                <w:rFonts w:ascii="Arial" w:hAnsi="Arial" w:cs="Arial"/>
                <w:b/>
                <w:color w:val="auto"/>
                <w:sz w:val="20"/>
                <w:szCs w:val="20"/>
              </w:rPr>
              <w:t>Source country</w:t>
            </w:r>
          </w:p>
        </w:tc>
        <w:tc>
          <w:tcPr>
            <w:tcW w:w="461" w:type="pct"/>
            <w:tcBorders>
              <w:top w:val="single" w:sz="4" w:space="0" w:color="000000"/>
              <w:left w:val="single" w:sz="4" w:space="0" w:color="000000"/>
              <w:right w:val="single" w:sz="4" w:space="0" w:color="000000"/>
            </w:tcBorders>
            <w:vAlign w:val="center"/>
          </w:tcPr>
          <w:p w14:paraId="680C6D5E" w14:textId="77777777" w:rsidR="007869B8" w:rsidRDefault="0043001A" w:rsidP="00C43B9E">
            <w:pPr>
              <w:pStyle w:val="TablecolumnheadCENTRETABLES"/>
              <w:keepNext/>
              <w:spacing w:before="120" w:after="120"/>
              <w:ind w:left="113"/>
              <w:jc w:val="left"/>
              <w:rPr>
                <w:rFonts w:ascii="Arial" w:hAnsi="Arial" w:cs="Arial"/>
                <w:bCs w:val="0"/>
                <w:color w:val="auto"/>
                <w:sz w:val="20"/>
                <w:szCs w:val="20"/>
              </w:rPr>
            </w:pPr>
            <w:r w:rsidRPr="00397DF6">
              <w:rPr>
                <w:rFonts w:ascii="Arial Bold" w:hAnsi="Arial Bold" w:cs="Arial"/>
                <w:b/>
                <w:color w:val="auto"/>
                <w:sz w:val="20"/>
                <w:szCs w:val="20"/>
              </w:rPr>
              <w:t>Full-time employment rate (%)</w:t>
            </w:r>
            <w:r w:rsidRPr="00397DF6">
              <w:rPr>
                <w:rFonts w:ascii="Arial Bold" w:hAnsi="Arial Bold" w:cs="Arial"/>
                <w:b/>
                <w:color w:val="auto"/>
                <w:sz w:val="20"/>
                <w:szCs w:val="20"/>
                <w:vertAlign w:val="superscript"/>
              </w:rPr>
              <w:t>‡</w:t>
            </w:r>
            <w:r>
              <w:rPr>
                <w:rFonts w:ascii="Arial" w:hAnsi="Arial" w:cs="Arial"/>
                <w:bCs w:val="0"/>
                <w:color w:val="auto"/>
                <w:sz w:val="20"/>
                <w:szCs w:val="20"/>
              </w:rPr>
              <w:t xml:space="preserve">: </w:t>
            </w:r>
          </w:p>
          <w:p w14:paraId="1B7A8CF8" w14:textId="7DB6C765" w:rsidR="0043001A" w:rsidRPr="00397DF6" w:rsidRDefault="0043001A" w:rsidP="00C43B9E">
            <w:pPr>
              <w:pStyle w:val="TablecolumnheadCENTRETABLES"/>
              <w:keepNext/>
              <w:spacing w:before="120" w:after="120"/>
              <w:ind w:left="113"/>
              <w:jc w:val="left"/>
              <w:rPr>
                <w:rFonts w:ascii="Arial Bold" w:hAnsi="Arial Bold" w:cs="Arial"/>
                <w:b/>
                <w:caps/>
                <w:color w:val="auto"/>
                <w:sz w:val="20"/>
                <w:szCs w:val="20"/>
              </w:rPr>
            </w:pPr>
            <w:r w:rsidRPr="00E57178">
              <w:rPr>
                <w:rFonts w:ascii="Arial" w:hAnsi="Arial" w:cs="Arial"/>
                <w:bCs w:val="0"/>
                <w:color w:val="auto"/>
                <w:sz w:val="20"/>
                <w:szCs w:val="20"/>
              </w:rPr>
              <w:t>Short-term (2023)</w:t>
            </w:r>
          </w:p>
        </w:tc>
        <w:tc>
          <w:tcPr>
            <w:tcW w:w="461" w:type="pct"/>
            <w:tcBorders>
              <w:top w:val="single" w:sz="4" w:space="0" w:color="000000"/>
              <w:left w:val="single" w:sz="4" w:space="0" w:color="000000"/>
              <w:right w:val="single" w:sz="4" w:space="0" w:color="000000"/>
            </w:tcBorders>
            <w:vAlign w:val="center"/>
          </w:tcPr>
          <w:p w14:paraId="27A70171" w14:textId="77777777" w:rsidR="007869B8" w:rsidRDefault="0043001A" w:rsidP="00C43B9E">
            <w:pPr>
              <w:pStyle w:val="TablecolumnheadCENTRETABLES"/>
              <w:keepNext/>
              <w:spacing w:before="120" w:after="120"/>
              <w:ind w:left="113"/>
              <w:jc w:val="left"/>
              <w:rPr>
                <w:rFonts w:ascii="Arial" w:hAnsi="Arial" w:cs="Arial"/>
                <w:bCs w:val="0"/>
                <w:color w:val="auto"/>
                <w:sz w:val="20"/>
                <w:szCs w:val="20"/>
              </w:rPr>
            </w:pPr>
            <w:r w:rsidRPr="00397DF6">
              <w:rPr>
                <w:rFonts w:ascii="Arial Bold" w:hAnsi="Arial Bold" w:cs="Arial"/>
                <w:b/>
                <w:color w:val="auto"/>
                <w:sz w:val="20"/>
                <w:szCs w:val="20"/>
              </w:rPr>
              <w:t>Full-time employment rate (%)</w:t>
            </w:r>
            <w:r w:rsidRPr="00397DF6">
              <w:rPr>
                <w:rFonts w:ascii="Arial Bold" w:hAnsi="Arial Bold" w:cs="Arial"/>
                <w:b/>
                <w:color w:val="auto"/>
                <w:sz w:val="20"/>
                <w:szCs w:val="20"/>
                <w:vertAlign w:val="superscript"/>
              </w:rPr>
              <w:t>‡</w:t>
            </w:r>
            <w:r>
              <w:rPr>
                <w:rFonts w:ascii="Arial" w:hAnsi="Arial" w:cs="Arial"/>
                <w:bCs w:val="0"/>
                <w:color w:val="auto"/>
                <w:sz w:val="20"/>
                <w:szCs w:val="20"/>
              </w:rPr>
              <w:t xml:space="preserve">: </w:t>
            </w:r>
          </w:p>
          <w:p w14:paraId="58FAF102" w14:textId="3FCC9CC5" w:rsidR="0043001A" w:rsidRPr="00397DF6" w:rsidRDefault="0043001A" w:rsidP="00C43B9E">
            <w:pPr>
              <w:pStyle w:val="TablecolumnheadCENTRETABLES"/>
              <w:keepNext/>
              <w:spacing w:before="120" w:after="120"/>
              <w:ind w:left="113"/>
              <w:jc w:val="left"/>
              <w:rPr>
                <w:rFonts w:ascii="Arial Bold" w:hAnsi="Arial Bold" w:cs="Arial"/>
                <w:b/>
                <w:caps/>
                <w:color w:val="auto"/>
                <w:sz w:val="20"/>
                <w:szCs w:val="20"/>
              </w:rPr>
            </w:pPr>
            <w:r w:rsidRPr="00E57178">
              <w:rPr>
                <w:rFonts w:ascii="Arial" w:hAnsi="Arial" w:cs="Arial"/>
                <w:bCs w:val="0"/>
                <w:color w:val="auto"/>
                <w:sz w:val="20"/>
                <w:szCs w:val="20"/>
              </w:rPr>
              <w:t>Medium-term (2026)</w:t>
            </w:r>
          </w:p>
        </w:tc>
        <w:tc>
          <w:tcPr>
            <w:tcW w:w="461" w:type="pct"/>
            <w:tcBorders>
              <w:top w:val="single" w:sz="4" w:space="0" w:color="000000"/>
              <w:left w:val="single" w:sz="4" w:space="0" w:color="000000"/>
              <w:right w:val="single" w:sz="4" w:space="0" w:color="000000"/>
            </w:tcBorders>
            <w:tcMar>
              <w:top w:w="57" w:type="dxa"/>
              <w:left w:w="57" w:type="dxa"/>
              <w:bottom w:w="57" w:type="dxa"/>
              <w:right w:w="57" w:type="dxa"/>
            </w:tcMar>
            <w:vAlign w:val="center"/>
          </w:tcPr>
          <w:p w14:paraId="0B6B4613" w14:textId="77777777" w:rsidR="007869B8" w:rsidRDefault="0043001A" w:rsidP="00C43B9E">
            <w:pPr>
              <w:pStyle w:val="TablecolumnheadCENTRETABLES"/>
              <w:keepNext/>
              <w:spacing w:before="120" w:after="120"/>
              <w:ind w:left="113"/>
              <w:jc w:val="left"/>
              <w:rPr>
                <w:rFonts w:ascii="Arial" w:hAnsi="Arial" w:cs="Arial"/>
                <w:bCs w:val="0"/>
                <w:color w:val="auto"/>
                <w:sz w:val="20"/>
                <w:szCs w:val="20"/>
              </w:rPr>
            </w:pPr>
            <w:r w:rsidRPr="00397DF6">
              <w:rPr>
                <w:rFonts w:ascii="Arial Bold" w:hAnsi="Arial Bold" w:cs="Arial"/>
                <w:b/>
                <w:color w:val="auto"/>
                <w:sz w:val="20"/>
                <w:szCs w:val="20"/>
              </w:rPr>
              <w:t>Overall employment rate (%)</w:t>
            </w:r>
            <w:r w:rsidRPr="00397DF6">
              <w:rPr>
                <w:rFonts w:ascii="Arial Bold" w:hAnsi="Arial Bold" w:cs="Arial"/>
                <w:b/>
                <w:color w:val="auto"/>
                <w:sz w:val="20"/>
                <w:szCs w:val="20"/>
                <w:vertAlign w:val="superscript"/>
              </w:rPr>
              <w:t>‡</w:t>
            </w:r>
            <w:r>
              <w:rPr>
                <w:rFonts w:ascii="Arial" w:hAnsi="Arial" w:cs="Arial"/>
                <w:bCs w:val="0"/>
                <w:color w:val="auto"/>
                <w:sz w:val="20"/>
                <w:szCs w:val="20"/>
              </w:rPr>
              <w:t xml:space="preserve">: </w:t>
            </w:r>
          </w:p>
          <w:p w14:paraId="6958CFA2" w14:textId="4CEF17A7" w:rsidR="0043001A" w:rsidRPr="00397DF6" w:rsidRDefault="0043001A" w:rsidP="00C43B9E">
            <w:pPr>
              <w:pStyle w:val="TablecolumnheadCENTRETABLES"/>
              <w:keepNext/>
              <w:spacing w:before="120" w:after="120"/>
              <w:ind w:left="113"/>
              <w:jc w:val="left"/>
              <w:rPr>
                <w:rFonts w:ascii="Arial Bold" w:hAnsi="Arial Bold" w:cs="Arial"/>
                <w:b/>
                <w:caps/>
                <w:color w:val="auto"/>
                <w:sz w:val="20"/>
                <w:szCs w:val="20"/>
              </w:rPr>
            </w:pPr>
            <w:r w:rsidRPr="00E57178">
              <w:rPr>
                <w:rFonts w:ascii="Arial" w:hAnsi="Arial" w:cs="Arial"/>
                <w:bCs w:val="0"/>
                <w:color w:val="auto"/>
                <w:sz w:val="20"/>
                <w:szCs w:val="20"/>
              </w:rPr>
              <w:t>Short-term (2023)</w:t>
            </w:r>
          </w:p>
        </w:tc>
        <w:tc>
          <w:tcPr>
            <w:tcW w:w="461" w:type="pct"/>
            <w:tcBorders>
              <w:top w:val="single" w:sz="4" w:space="0" w:color="000000"/>
              <w:left w:val="single" w:sz="4" w:space="0" w:color="000000"/>
              <w:right w:val="single" w:sz="4" w:space="0" w:color="000000"/>
            </w:tcBorders>
            <w:vAlign w:val="center"/>
          </w:tcPr>
          <w:p w14:paraId="24BB9288" w14:textId="77777777" w:rsidR="007869B8" w:rsidRDefault="0043001A" w:rsidP="00C43B9E">
            <w:pPr>
              <w:pStyle w:val="TablecolumnheadCENTRETABLES"/>
              <w:keepNext/>
              <w:spacing w:before="120" w:after="120"/>
              <w:ind w:left="113"/>
              <w:jc w:val="left"/>
              <w:rPr>
                <w:rFonts w:ascii="Arial" w:hAnsi="Arial" w:cs="Arial"/>
                <w:bCs w:val="0"/>
                <w:color w:val="auto"/>
                <w:sz w:val="20"/>
                <w:szCs w:val="20"/>
              </w:rPr>
            </w:pPr>
            <w:r w:rsidRPr="00397DF6">
              <w:rPr>
                <w:rFonts w:ascii="Arial Bold" w:hAnsi="Arial Bold" w:cs="Arial"/>
                <w:b/>
                <w:color w:val="auto"/>
                <w:sz w:val="20"/>
                <w:szCs w:val="20"/>
              </w:rPr>
              <w:t>Overall employment rate (%)</w:t>
            </w:r>
            <w:r w:rsidRPr="00397DF6">
              <w:rPr>
                <w:rFonts w:ascii="Arial Bold" w:hAnsi="Arial Bold" w:cs="Arial"/>
                <w:b/>
                <w:color w:val="auto"/>
                <w:sz w:val="20"/>
                <w:szCs w:val="20"/>
                <w:vertAlign w:val="superscript"/>
              </w:rPr>
              <w:t>‡</w:t>
            </w:r>
            <w:r>
              <w:rPr>
                <w:rFonts w:ascii="Arial" w:hAnsi="Arial" w:cs="Arial"/>
                <w:bCs w:val="0"/>
                <w:color w:val="auto"/>
                <w:sz w:val="20"/>
                <w:szCs w:val="20"/>
              </w:rPr>
              <w:t xml:space="preserve">: </w:t>
            </w:r>
          </w:p>
          <w:p w14:paraId="5225977C" w14:textId="2D6C09AA" w:rsidR="0043001A" w:rsidRPr="00397DF6" w:rsidRDefault="0043001A" w:rsidP="00C43B9E">
            <w:pPr>
              <w:pStyle w:val="TablecolumnheadCENTRETABLES"/>
              <w:keepNext/>
              <w:spacing w:before="120" w:after="120"/>
              <w:ind w:left="113"/>
              <w:jc w:val="left"/>
              <w:rPr>
                <w:rFonts w:ascii="Arial Bold" w:hAnsi="Arial Bold" w:cs="Arial"/>
                <w:b/>
                <w:caps/>
                <w:color w:val="auto"/>
                <w:sz w:val="20"/>
                <w:szCs w:val="20"/>
              </w:rPr>
            </w:pPr>
            <w:r w:rsidRPr="00E57178">
              <w:rPr>
                <w:rFonts w:ascii="Arial" w:hAnsi="Arial" w:cs="Arial"/>
                <w:bCs w:val="0"/>
                <w:color w:val="auto"/>
                <w:sz w:val="20"/>
                <w:szCs w:val="20"/>
              </w:rPr>
              <w:t>Medium-term (2026)</w:t>
            </w:r>
          </w:p>
        </w:tc>
        <w:tc>
          <w:tcPr>
            <w:tcW w:w="461" w:type="pct"/>
            <w:tcBorders>
              <w:top w:val="single" w:sz="4" w:space="0" w:color="000000"/>
              <w:left w:val="single" w:sz="4" w:space="0" w:color="000000"/>
              <w:right w:val="single" w:sz="4" w:space="0" w:color="000000"/>
            </w:tcBorders>
            <w:tcMar>
              <w:top w:w="57" w:type="dxa"/>
              <w:left w:w="57" w:type="dxa"/>
              <w:bottom w:w="57" w:type="dxa"/>
              <w:right w:w="57" w:type="dxa"/>
            </w:tcMar>
            <w:vAlign w:val="center"/>
          </w:tcPr>
          <w:p w14:paraId="1FA7D0DC" w14:textId="77777777" w:rsidR="007869B8" w:rsidRDefault="0043001A" w:rsidP="00C43B9E">
            <w:pPr>
              <w:pStyle w:val="TablecolumnheadCENTRETABLES"/>
              <w:keepNext/>
              <w:spacing w:before="120" w:after="120"/>
              <w:ind w:left="113"/>
              <w:jc w:val="left"/>
              <w:rPr>
                <w:rFonts w:ascii="Arial" w:hAnsi="Arial" w:cs="Arial"/>
                <w:bCs w:val="0"/>
                <w:color w:val="auto"/>
                <w:sz w:val="20"/>
                <w:szCs w:val="20"/>
              </w:rPr>
            </w:pPr>
            <w:r w:rsidRPr="00397DF6">
              <w:rPr>
                <w:rFonts w:ascii="Arial Bold" w:hAnsi="Arial Bold" w:cs="Arial"/>
                <w:b/>
                <w:color w:val="auto"/>
                <w:sz w:val="20"/>
                <w:szCs w:val="20"/>
              </w:rPr>
              <w:t>Labour force participation rate (%)</w:t>
            </w:r>
            <w:r w:rsidRPr="00397DF6">
              <w:rPr>
                <w:rFonts w:ascii="Arial Bold" w:hAnsi="Arial Bold" w:cs="Arial"/>
                <w:b/>
                <w:color w:val="auto"/>
                <w:sz w:val="20"/>
                <w:szCs w:val="20"/>
                <w:vertAlign w:val="superscript"/>
              </w:rPr>
              <w:t>‡</w:t>
            </w:r>
            <w:r>
              <w:rPr>
                <w:rFonts w:ascii="Arial" w:hAnsi="Arial" w:cs="Arial"/>
                <w:bCs w:val="0"/>
                <w:color w:val="auto"/>
                <w:sz w:val="20"/>
                <w:szCs w:val="20"/>
              </w:rPr>
              <w:t xml:space="preserve">: </w:t>
            </w:r>
          </w:p>
          <w:p w14:paraId="36DF63B6" w14:textId="4AF121BB" w:rsidR="0043001A" w:rsidRPr="00397DF6" w:rsidRDefault="0043001A" w:rsidP="00C43B9E">
            <w:pPr>
              <w:pStyle w:val="TablecolumnheadCENTRETABLES"/>
              <w:keepNext/>
              <w:spacing w:before="120" w:after="120"/>
              <w:ind w:left="113"/>
              <w:jc w:val="left"/>
              <w:rPr>
                <w:rFonts w:ascii="Arial Bold" w:hAnsi="Arial Bold" w:cs="Arial"/>
                <w:b/>
                <w:color w:val="auto"/>
                <w:sz w:val="20"/>
                <w:szCs w:val="20"/>
              </w:rPr>
            </w:pPr>
            <w:r w:rsidRPr="00E57178">
              <w:rPr>
                <w:rFonts w:ascii="Arial" w:hAnsi="Arial" w:cs="Arial"/>
                <w:bCs w:val="0"/>
                <w:color w:val="auto"/>
                <w:sz w:val="20"/>
                <w:szCs w:val="20"/>
              </w:rPr>
              <w:t>Short-term (2023)</w:t>
            </w:r>
          </w:p>
        </w:tc>
        <w:tc>
          <w:tcPr>
            <w:tcW w:w="461" w:type="pct"/>
            <w:tcBorders>
              <w:top w:val="single" w:sz="4" w:space="0" w:color="000000"/>
              <w:left w:val="single" w:sz="4" w:space="0" w:color="000000"/>
              <w:right w:val="single" w:sz="4" w:space="0" w:color="000000"/>
            </w:tcBorders>
            <w:vAlign w:val="center"/>
          </w:tcPr>
          <w:p w14:paraId="369D4DB8" w14:textId="77777777" w:rsidR="007869B8" w:rsidRDefault="0043001A" w:rsidP="00C43B9E">
            <w:pPr>
              <w:pStyle w:val="TablecolumnheadCENTRETABLES"/>
              <w:keepNext/>
              <w:spacing w:before="120" w:after="120"/>
              <w:ind w:left="113"/>
              <w:jc w:val="left"/>
              <w:rPr>
                <w:rFonts w:ascii="Arial" w:hAnsi="Arial" w:cs="Arial"/>
                <w:bCs w:val="0"/>
                <w:color w:val="auto"/>
                <w:sz w:val="20"/>
                <w:szCs w:val="20"/>
              </w:rPr>
            </w:pPr>
            <w:r w:rsidRPr="00397DF6">
              <w:rPr>
                <w:rFonts w:ascii="Arial Bold" w:hAnsi="Arial Bold" w:cs="Arial"/>
                <w:b/>
                <w:color w:val="auto"/>
                <w:sz w:val="20"/>
                <w:szCs w:val="20"/>
              </w:rPr>
              <w:t>Labour force participation rate (%)</w:t>
            </w:r>
            <w:r w:rsidRPr="00397DF6">
              <w:rPr>
                <w:rFonts w:ascii="Arial Bold" w:hAnsi="Arial Bold" w:cs="Arial"/>
                <w:b/>
                <w:color w:val="auto"/>
                <w:sz w:val="20"/>
                <w:szCs w:val="20"/>
                <w:vertAlign w:val="superscript"/>
              </w:rPr>
              <w:t>‡</w:t>
            </w:r>
            <w:r>
              <w:rPr>
                <w:rFonts w:ascii="Arial" w:hAnsi="Arial" w:cs="Arial"/>
                <w:bCs w:val="0"/>
                <w:color w:val="auto"/>
                <w:sz w:val="20"/>
                <w:szCs w:val="20"/>
              </w:rPr>
              <w:t xml:space="preserve">: </w:t>
            </w:r>
          </w:p>
          <w:p w14:paraId="07315A39" w14:textId="04045E2B" w:rsidR="0043001A" w:rsidRPr="00397DF6" w:rsidRDefault="0043001A" w:rsidP="00C43B9E">
            <w:pPr>
              <w:pStyle w:val="TablecolumnheadCENTRETABLES"/>
              <w:keepNext/>
              <w:spacing w:before="120" w:after="120"/>
              <w:ind w:left="113"/>
              <w:jc w:val="left"/>
              <w:rPr>
                <w:rFonts w:ascii="Arial Bold" w:hAnsi="Arial Bold" w:cs="Arial"/>
                <w:b/>
                <w:color w:val="auto"/>
                <w:sz w:val="20"/>
                <w:szCs w:val="20"/>
              </w:rPr>
            </w:pPr>
            <w:r w:rsidRPr="00E57178">
              <w:rPr>
                <w:rFonts w:ascii="Arial" w:hAnsi="Arial" w:cs="Arial"/>
                <w:bCs w:val="0"/>
                <w:color w:val="auto"/>
                <w:sz w:val="20"/>
                <w:szCs w:val="20"/>
              </w:rPr>
              <w:t>Medium-term (2026)</w:t>
            </w:r>
          </w:p>
        </w:tc>
        <w:tc>
          <w:tcPr>
            <w:tcW w:w="461" w:type="pct"/>
            <w:tcBorders>
              <w:top w:val="single" w:sz="4" w:space="0" w:color="000000"/>
              <w:left w:val="single" w:sz="4" w:space="0" w:color="000000"/>
              <w:right w:val="single" w:sz="4" w:space="0" w:color="000000"/>
            </w:tcBorders>
            <w:tcMar>
              <w:top w:w="57" w:type="dxa"/>
              <w:left w:w="57" w:type="dxa"/>
              <w:bottom w:w="57" w:type="dxa"/>
              <w:right w:w="0" w:type="dxa"/>
            </w:tcMar>
            <w:vAlign w:val="center"/>
          </w:tcPr>
          <w:p w14:paraId="700D72AC" w14:textId="215854F6" w:rsidR="007869B8" w:rsidRPr="008A657F" w:rsidRDefault="0043001A" w:rsidP="00C43B9E">
            <w:pPr>
              <w:pStyle w:val="TablecolumnheadCENTRETABLES"/>
              <w:keepNext/>
              <w:spacing w:before="120" w:after="120"/>
              <w:ind w:left="113"/>
              <w:jc w:val="left"/>
              <w:rPr>
                <w:rFonts w:ascii="Arial" w:hAnsi="Arial" w:cs="Arial"/>
                <w:bCs w:val="0"/>
                <w:color w:val="auto"/>
                <w:spacing w:val="-2"/>
                <w:sz w:val="20"/>
                <w:szCs w:val="20"/>
              </w:rPr>
            </w:pPr>
            <w:r w:rsidRPr="008A657F">
              <w:rPr>
                <w:rFonts w:ascii="Arial Bold" w:hAnsi="Arial Bold" w:cs="Arial"/>
                <w:b/>
                <w:color w:val="auto"/>
                <w:spacing w:val="-2"/>
                <w:sz w:val="20"/>
                <w:szCs w:val="20"/>
              </w:rPr>
              <w:t>Median annual full-time salary</w:t>
            </w:r>
            <w:r w:rsidR="008A657F">
              <w:rPr>
                <w:rFonts w:ascii="Arial Bold" w:hAnsi="Arial Bold" w:cs="Arial"/>
                <w:b/>
                <w:color w:val="auto"/>
                <w:spacing w:val="-2"/>
                <w:sz w:val="20"/>
                <w:szCs w:val="20"/>
              </w:rPr>
              <w:t> </w:t>
            </w:r>
            <w:r w:rsidRPr="008A657F">
              <w:rPr>
                <w:rFonts w:ascii="Arial Bold" w:hAnsi="Arial Bold" w:cs="Arial"/>
                <w:b/>
                <w:color w:val="auto"/>
                <w:spacing w:val="-2"/>
                <w:sz w:val="20"/>
                <w:szCs w:val="20"/>
              </w:rPr>
              <w:t>($)</w:t>
            </w:r>
            <w:r w:rsidRPr="008A657F">
              <w:rPr>
                <w:rFonts w:ascii="Arial" w:hAnsi="Arial" w:cs="Arial"/>
                <w:bCs w:val="0"/>
                <w:color w:val="auto"/>
                <w:spacing w:val="-2"/>
                <w:sz w:val="20"/>
                <w:szCs w:val="20"/>
              </w:rPr>
              <w:t xml:space="preserve">: </w:t>
            </w:r>
          </w:p>
          <w:p w14:paraId="7157F445" w14:textId="4BBB6B3A" w:rsidR="0043001A" w:rsidRPr="008A657F" w:rsidRDefault="0043001A" w:rsidP="00C43B9E">
            <w:pPr>
              <w:pStyle w:val="TablecolumnheadCENTRETABLES"/>
              <w:keepNext/>
              <w:spacing w:before="120" w:after="120"/>
              <w:ind w:left="113"/>
              <w:jc w:val="left"/>
              <w:rPr>
                <w:rFonts w:ascii="Arial Bold" w:hAnsi="Arial Bold" w:cs="Arial"/>
                <w:b/>
                <w:color w:val="auto"/>
                <w:spacing w:val="-2"/>
                <w:sz w:val="20"/>
                <w:szCs w:val="20"/>
              </w:rPr>
            </w:pPr>
            <w:r w:rsidRPr="008A657F">
              <w:rPr>
                <w:rFonts w:ascii="Arial" w:hAnsi="Arial" w:cs="Arial"/>
                <w:bCs w:val="0"/>
                <w:color w:val="auto"/>
                <w:spacing w:val="-2"/>
                <w:sz w:val="20"/>
                <w:szCs w:val="20"/>
              </w:rPr>
              <w:t>Short-term (2023)</w:t>
            </w:r>
          </w:p>
        </w:tc>
        <w:tc>
          <w:tcPr>
            <w:tcW w:w="461" w:type="pct"/>
            <w:tcBorders>
              <w:top w:val="single" w:sz="4" w:space="0" w:color="000000"/>
              <w:left w:val="single" w:sz="4" w:space="0" w:color="000000"/>
              <w:right w:val="single" w:sz="4" w:space="0" w:color="000000"/>
            </w:tcBorders>
            <w:vAlign w:val="center"/>
          </w:tcPr>
          <w:p w14:paraId="2F931F19" w14:textId="6B422DBA" w:rsidR="007869B8" w:rsidRPr="008A657F" w:rsidRDefault="0043001A" w:rsidP="00C43B9E">
            <w:pPr>
              <w:pStyle w:val="TablecolumnheadCENTRETABLES"/>
              <w:keepNext/>
              <w:spacing w:before="120" w:after="120"/>
              <w:ind w:left="113"/>
              <w:jc w:val="left"/>
              <w:rPr>
                <w:rFonts w:ascii="Arial" w:hAnsi="Arial" w:cs="Arial"/>
                <w:bCs w:val="0"/>
                <w:color w:val="auto"/>
                <w:spacing w:val="-2"/>
                <w:sz w:val="20"/>
                <w:szCs w:val="20"/>
              </w:rPr>
            </w:pPr>
            <w:r w:rsidRPr="008A657F">
              <w:rPr>
                <w:rFonts w:ascii="Arial Bold" w:hAnsi="Arial Bold" w:cs="Arial"/>
                <w:b/>
                <w:color w:val="auto"/>
                <w:spacing w:val="-2"/>
                <w:sz w:val="20"/>
                <w:szCs w:val="20"/>
              </w:rPr>
              <w:t>Median annual full</w:t>
            </w:r>
            <w:r w:rsidR="008A657F" w:rsidRPr="008A657F">
              <w:rPr>
                <w:rFonts w:ascii="Arial Bold" w:hAnsi="Arial Bold" w:cs="Arial"/>
                <w:b/>
                <w:color w:val="auto"/>
                <w:spacing w:val="-2"/>
                <w:sz w:val="20"/>
                <w:szCs w:val="20"/>
              </w:rPr>
              <w:noBreakHyphen/>
            </w:r>
            <w:r w:rsidRPr="008A657F">
              <w:rPr>
                <w:rFonts w:ascii="Arial Bold" w:hAnsi="Arial Bold" w:cs="Arial"/>
                <w:b/>
                <w:color w:val="auto"/>
                <w:spacing w:val="-2"/>
                <w:sz w:val="20"/>
                <w:szCs w:val="20"/>
              </w:rPr>
              <w:t>time salary</w:t>
            </w:r>
            <w:r w:rsidR="008A657F">
              <w:rPr>
                <w:rFonts w:ascii="Arial Bold" w:hAnsi="Arial Bold" w:cs="Arial"/>
                <w:b/>
                <w:color w:val="auto"/>
                <w:spacing w:val="-2"/>
                <w:sz w:val="20"/>
                <w:szCs w:val="20"/>
              </w:rPr>
              <w:t> </w:t>
            </w:r>
            <w:r w:rsidRPr="008A657F">
              <w:rPr>
                <w:rFonts w:ascii="Arial Bold" w:hAnsi="Arial Bold" w:cs="Arial"/>
                <w:b/>
                <w:color w:val="auto"/>
                <w:spacing w:val="-2"/>
                <w:sz w:val="20"/>
                <w:szCs w:val="20"/>
              </w:rPr>
              <w:t>($)</w:t>
            </w:r>
            <w:r w:rsidRPr="008A657F">
              <w:rPr>
                <w:rFonts w:ascii="Arial" w:hAnsi="Arial" w:cs="Arial"/>
                <w:bCs w:val="0"/>
                <w:color w:val="auto"/>
                <w:spacing w:val="-2"/>
                <w:sz w:val="20"/>
                <w:szCs w:val="20"/>
              </w:rPr>
              <w:t xml:space="preserve">: </w:t>
            </w:r>
          </w:p>
          <w:p w14:paraId="0B5EFEF2" w14:textId="4EF5322F" w:rsidR="0043001A" w:rsidRPr="008A657F" w:rsidRDefault="0043001A" w:rsidP="00C43B9E">
            <w:pPr>
              <w:pStyle w:val="TablecolumnheadCENTRETABLES"/>
              <w:keepNext/>
              <w:spacing w:before="120" w:after="120"/>
              <w:ind w:left="113"/>
              <w:jc w:val="left"/>
              <w:rPr>
                <w:rFonts w:ascii="Arial Bold" w:hAnsi="Arial Bold" w:cs="Arial"/>
                <w:b/>
                <w:color w:val="auto"/>
                <w:spacing w:val="-2"/>
                <w:sz w:val="20"/>
                <w:szCs w:val="20"/>
              </w:rPr>
            </w:pPr>
            <w:r w:rsidRPr="008A657F">
              <w:rPr>
                <w:rFonts w:ascii="Arial" w:hAnsi="Arial" w:cs="Arial"/>
                <w:bCs w:val="0"/>
                <w:color w:val="auto"/>
                <w:spacing w:val="-2"/>
                <w:sz w:val="20"/>
                <w:szCs w:val="20"/>
              </w:rPr>
              <w:t>Medium-term (2026)</w:t>
            </w:r>
          </w:p>
        </w:tc>
        <w:tc>
          <w:tcPr>
            <w:tcW w:w="461" w:type="pct"/>
            <w:tcBorders>
              <w:top w:val="single" w:sz="4" w:space="0" w:color="000000"/>
              <w:left w:val="single" w:sz="4" w:space="0" w:color="000000"/>
              <w:right w:val="single" w:sz="4" w:space="0" w:color="000000"/>
            </w:tcBorders>
            <w:vAlign w:val="center"/>
          </w:tcPr>
          <w:p w14:paraId="004D5CFD" w14:textId="2FC77031" w:rsidR="007869B8" w:rsidRPr="008A657F" w:rsidRDefault="0043001A" w:rsidP="00C43B9E">
            <w:pPr>
              <w:pStyle w:val="TablecolumnheadCENTRETABLES"/>
              <w:keepNext/>
              <w:spacing w:before="120" w:after="120"/>
              <w:ind w:left="113"/>
              <w:jc w:val="left"/>
              <w:rPr>
                <w:rFonts w:ascii="Arial" w:hAnsi="Arial" w:cs="Arial"/>
                <w:bCs w:val="0"/>
                <w:color w:val="auto"/>
                <w:spacing w:val="-2"/>
                <w:sz w:val="20"/>
                <w:szCs w:val="20"/>
              </w:rPr>
            </w:pPr>
            <w:r w:rsidRPr="008A657F">
              <w:rPr>
                <w:rFonts w:ascii="Arial Bold" w:hAnsi="Arial Bold" w:cs="Arial"/>
                <w:b/>
                <w:color w:val="auto"/>
                <w:spacing w:val="-2"/>
                <w:sz w:val="20"/>
                <w:szCs w:val="20"/>
              </w:rPr>
              <w:t>In further full</w:t>
            </w:r>
            <w:r w:rsidR="008A657F" w:rsidRPr="008A657F">
              <w:rPr>
                <w:rFonts w:ascii="Arial Bold" w:hAnsi="Arial Bold" w:cs="Arial"/>
                <w:b/>
                <w:color w:val="auto"/>
                <w:spacing w:val="-2"/>
                <w:sz w:val="20"/>
                <w:szCs w:val="20"/>
              </w:rPr>
              <w:noBreakHyphen/>
            </w:r>
            <w:r w:rsidRPr="008A657F">
              <w:rPr>
                <w:rFonts w:ascii="Arial Bold" w:hAnsi="Arial Bold" w:cs="Arial"/>
                <w:b/>
                <w:color w:val="auto"/>
                <w:spacing w:val="-2"/>
                <w:sz w:val="20"/>
                <w:szCs w:val="20"/>
              </w:rPr>
              <w:t>time study</w:t>
            </w:r>
            <w:r w:rsidR="008A657F">
              <w:rPr>
                <w:rFonts w:ascii="Arial Bold" w:hAnsi="Arial Bold" w:cs="Arial"/>
                <w:b/>
                <w:color w:val="auto"/>
                <w:spacing w:val="-2"/>
                <w:sz w:val="20"/>
                <w:szCs w:val="20"/>
              </w:rPr>
              <w:t> </w:t>
            </w:r>
            <w:r w:rsidRPr="008A657F">
              <w:rPr>
                <w:rFonts w:ascii="Arial Bold" w:hAnsi="Arial Bold" w:cs="Arial"/>
                <w:b/>
                <w:color w:val="auto"/>
                <w:spacing w:val="-2"/>
                <w:sz w:val="20"/>
                <w:szCs w:val="20"/>
              </w:rPr>
              <w:t>(%)</w:t>
            </w:r>
            <w:r w:rsidRPr="008A657F">
              <w:rPr>
                <w:rFonts w:ascii="Arial" w:hAnsi="Arial" w:cs="Arial"/>
                <w:bCs w:val="0"/>
                <w:color w:val="auto"/>
                <w:spacing w:val="-2"/>
                <w:sz w:val="20"/>
                <w:szCs w:val="20"/>
              </w:rPr>
              <w:t xml:space="preserve">: </w:t>
            </w:r>
          </w:p>
          <w:p w14:paraId="3F665277" w14:textId="3A1CDCBF" w:rsidR="0043001A" w:rsidRPr="008A657F" w:rsidRDefault="0043001A" w:rsidP="00C43B9E">
            <w:pPr>
              <w:pStyle w:val="TablecolumnheadCENTRETABLES"/>
              <w:keepNext/>
              <w:spacing w:before="120" w:after="120"/>
              <w:ind w:left="113"/>
              <w:jc w:val="left"/>
              <w:rPr>
                <w:rFonts w:ascii="Arial Bold" w:hAnsi="Arial Bold" w:cs="Arial"/>
                <w:b/>
                <w:color w:val="auto"/>
                <w:spacing w:val="-2"/>
                <w:sz w:val="20"/>
                <w:szCs w:val="20"/>
              </w:rPr>
            </w:pPr>
            <w:r w:rsidRPr="008A657F">
              <w:rPr>
                <w:rFonts w:ascii="Arial" w:hAnsi="Arial" w:cs="Arial"/>
                <w:bCs w:val="0"/>
                <w:color w:val="auto"/>
                <w:spacing w:val="-2"/>
                <w:sz w:val="20"/>
                <w:szCs w:val="20"/>
              </w:rPr>
              <w:t>Short-term (2023)</w:t>
            </w:r>
          </w:p>
        </w:tc>
        <w:tc>
          <w:tcPr>
            <w:tcW w:w="461" w:type="pct"/>
            <w:tcBorders>
              <w:top w:val="single" w:sz="4" w:space="0" w:color="000000"/>
              <w:left w:val="single" w:sz="4" w:space="0" w:color="000000"/>
              <w:right w:val="single" w:sz="4" w:space="0" w:color="000000"/>
            </w:tcBorders>
            <w:vAlign w:val="center"/>
          </w:tcPr>
          <w:p w14:paraId="7C595970" w14:textId="407E53F8" w:rsidR="007869B8" w:rsidRPr="008A657F" w:rsidRDefault="0043001A" w:rsidP="00C43B9E">
            <w:pPr>
              <w:pStyle w:val="TablecolumnheadCENTRETABLES"/>
              <w:keepNext/>
              <w:spacing w:before="120" w:after="120"/>
              <w:ind w:left="113"/>
              <w:jc w:val="left"/>
              <w:rPr>
                <w:rFonts w:ascii="Arial" w:hAnsi="Arial" w:cs="Arial"/>
                <w:bCs w:val="0"/>
                <w:color w:val="auto"/>
                <w:spacing w:val="-2"/>
                <w:sz w:val="20"/>
                <w:szCs w:val="20"/>
              </w:rPr>
            </w:pPr>
            <w:r w:rsidRPr="008A657F">
              <w:rPr>
                <w:rFonts w:ascii="Arial Bold" w:hAnsi="Arial Bold" w:cs="Arial"/>
                <w:b/>
                <w:color w:val="auto"/>
                <w:spacing w:val="-2"/>
                <w:sz w:val="20"/>
                <w:szCs w:val="20"/>
              </w:rPr>
              <w:t>In further full</w:t>
            </w:r>
            <w:r w:rsidR="008A657F" w:rsidRPr="008A657F">
              <w:rPr>
                <w:rFonts w:ascii="Arial Bold" w:hAnsi="Arial Bold" w:cs="Arial"/>
                <w:b/>
                <w:color w:val="auto"/>
                <w:spacing w:val="-2"/>
                <w:sz w:val="20"/>
                <w:szCs w:val="20"/>
              </w:rPr>
              <w:noBreakHyphen/>
            </w:r>
            <w:r w:rsidRPr="008A657F">
              <w:rPr>
                <w:rFonts w:ascii="Arial Bold" w:hAnsi="Arial Bold" w:cs="Arial"/>
                <w:b/>
                <w:color w:val="auto"/>
                <w:spacing w:val="-2"/>
                <w:sz w:val="20"/>
                <w:szCs w:val="20"/>
              </w:rPr>
              <w:t>time study</w:t>
            </w:r>
            <w:r w:rsidR="008A657F">
              <w:rPr>
                <w:rFonts w:ascii="Arial Bold" w:hAnsi="Arial Bold" w:cs="Arial"/>
                <w:b/>
                <w:color w:val="auto"/>
                <w:spacing w:val="-2"/>
                <w:sz w:val="20"/>
                <w:szCs w:val="20"/>
              </w:rPr>
              <w:t> </w:t>
            </w:r>
            <w:r w:rsidRPr="008A657F">
              <w:rPr>
                <w:rFonts w:ascii="Arial Bold" w:hAnsi="Arial Bold" w:cs="Arial"/>
                <w:b/>
                <w:color w:val="auto"/>
                <w:spacing w:val="-2"/>
                <w:sz w:val="20"/>
                <w:szCs w:val="20"/>
              </w:rPr>
              <w:t>(%)</w:t>
            </w:r>
            <w:r w:rsidRPr="008A657F">
              <w:rPr>
                <w:rFonts w:ascii="Arial" w:hAnsi="Arial" w:cs="Arial"/>
                <w:bCs w:val="0"/>
                <w:color w:val="auto"/>
                <w:spacing w:val="-2"/>
                <w:sz w:val="20"/>
                <w:szCs w:val="20"/>
              </w:rPr>
              <w:t>:</w:t>
            </w:r>
          </w:p>
          <w:p w14:paraId="56675345" w14:textId="789AABE6" w:rsidR="0043001A" w:rsidRPr="008A657F" w:rsidRDefault="0043001A" w:rsidP="00C43B9E">
            <w:pPr>
              <w:pStyle w:val="TablecolumnheadCENTRETABLES"/>
              <w:keepNext/>
              <w:spacing w:before="120" w:after="120"/>
              <w:ind w:left="113"/>
              <w:jc w:val="left"/>
              <w:rPr>
                <w:rFonts w:ascii="Arial Bold" w:hAnsi="Arial Bold" w:cs="Arial"/>
                <w:b/>
                <w:color w:val="auto"/>
                <w:spacing w:val="-2"/>
                <w:sz w:val="20"/>
                <w:szCs w:val="20"/>
              </w:rPr>
            </w:pPr>
            <w:r w:rsidRPr="008A657F">
              <w:rPr>
                <w:rFonts w:ascii="Arial" w:hAnsi="Arial" w:cs="Arial"/>
                <w:bCs w:val="0"/>
                <w:color w:val="auto"/>
                <w:spacing w:val="-2"/>
                <w:sz w:val="20"/>
                <w:szCs w:val="20"/>
              </w:rPr>
              <w:t>Medium-term (2026)</w:t>
            </w:r>
          </w:p>
        </w:tc>
      </w:tr>
      <w:tr w:rsidR="00BD4736" w:rsidRPr="005A3AFE" w14:paraId="0B5D3146" w14:textId="77777777" w:rsidTr="008A657F">
        <w:trPr>
          <w:trHeight w:val="55"/>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center"/>
          </w:tcPr>
          <w:p w14:paraId="7065EE3C" w14:textId="34862A9A" w:rsidR="00BD4736" w:rsidRPr="00E57178" w:rsidRDefault="003F47A4" w:rsidP="00C43B9E">
            <w:pPr>
              <w:keepNext/>
              <w:spacing w:before="120" w:after="120" w:line="288" w:lineRule="auto"/>
              <w:ind w:left="113"/>
              <w:rPr>
                <w:rFonts w:cs="Arial"/>
                <w:szCs w:val="20"/>
              </w:rPr>
            </w:pPr>
            <w:r w:rsidRPr="00E57178">
              <w:rPr>
                <w:rFonts w:cs="Arial"/>
                <w:color w:val="000000"/>
                <w:szCs w:val="20"/>
              </w:rPr>
              <w:t xml:space="preserve">China </w:t>
            </w:r>
            <w:r w:rsidR="000B3FC4">
              <w:rPr>
                <w:rFonts w:cs="Arial"/>
                <w:color w:val="000000"/>
                <w:szCs w:val="20"/>
              </w:rPr>
              <w:br/>
            </w:r>
            <w:r w:rsidRPr="00E57178">
              <w:rPr>
                <w:rFonts w:cs="Arial"/>
                <w:color w:val="000000"/>
                <w:szCs w:val="20"/>
              </w:rPr>
              <w:t>(excludes SARs and Taiwan)</w:t>
            </w:r>
          </w:p>
        </w:tc>
        <w:tc>
          <w:tcPr>
            <w:tcW w:w="461" w:type="pct"/>
            <w:tcBorders>
              <w:top w:val="single" w:sz="4" w:space="0" w:color="000000"/>
              <w:left w:val="single" w:sz="4" w:space="0" w:color="000000"/>
              <w:bottom w:val="single" w:sz="4" w:space="0" w:color="000000"/>
              <w:right w:val="single" w:sz="4" w:space="0" w:color="000000"/>
            </w:tcBorders>
            <w:vAlign w:val="center"/>
          </w:tcPr>
          <w:p w14:paraId="11715D60" w14:textId="1F30E76C"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60.3</w:t>
            </w:r>
          </w:p>
        </w:tc>
        <w:tc>
          <w:tcPr>
            <w:tcW w:w="461" w:type="pct"/>
            <w:tcBorders>
              <w:top w:val="single" w:sz="4" w:space="0" w:color="000000"/>
              <w:left w:val="single" w:sz="4" w:space="0" w:color="000000"/>
              <w:bottom w:val="single" w:sz="4" w:space="0" w:color="000000"/>
              <w:right w:val="single" w:sz="4" w:space="0" w:color="000000"/>
            </w:tcBorders>
            <w:vAlign w:val="center"/>
          </w:tcPr>
          <w:p w14:paraId="4517DCCE" w14:textId="33D41ABB"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84.1</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F7E95C4" w14:textId="395664E9"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71.0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444C41" w14:textId="7CC10D21"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87.4</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2E4177" w14:textId="441F31AC"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88.9</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A9242C7" w14:textId="4871A4F8"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86.4</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18B03F" w14:textId="0B2A085D" w:rsidR="00BD4736" w:rsidRPr="00E57178" w:rsidRDefault="00BD4736" w:rsidP="00C43B9E">
            <w:pPr>
              <w:keepNext/>
              <w:spacing w:before="120" w:after="120" w:line="288" w:lineRule="auto"/>
              <w:ind w:left="113"/>
              <w:jc w:val="center"/>
              <w:rPr>
                <w:rFonts w:cs="Arial"/>
                <w:szCs w:val="20"/>
              </w:rPr>
            </w:pPr>
            <w:r w:rsidRPr="00E57178">
              <w:rPr>
                <w:rFonts w:cs="Arial"/>
                <w:color w:val="000000"/>
                <w:szCs w:val="20"/>
              </w:rPr>
              <w:t>60,000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2E4691" w14:textId="2BEF9A3D"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80,000</w:t>
            </w:r>
          </w:p>
        </w:tc>
        <w:tc>
          <w:tcPr>
            <w:tcW w:w="461" w:type="pct"/>
            <w:tcBorders>
              <w:top w:val="single" w:sz="4" w:space="0" w:color="000000"/>
              <w:left w:val="single" w:sz="4" w:space="0" w:color="000000"/>
              <w:bottom w:val="single" w:sz="4" w:space="0" w:color="000000"/>
              <w:right w:val="single" w:sz="4" w:space="0" w:color="000000"/>
            </w:tcBorders>
            <w:vAlign w:val="center"/>
          </w:tcPr>
          <w:p w14:paraId="0855EED0" w14:textId="66C673A2"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19.6</w:t>
            </w:r>
          </w:p>
        </w:tc>
        <w:tc>
          <w:tcPr>
            <w:tcW w:w="461" w:type="pct"/>
            <w:tcBorders>
              <w:top w:val="single" w:sz="4" w:space="0" w:color="000000"/>
              <w:left w:val="single" w:sz="4" w:space="0" w:color="000000"/>
              <w:bottom w:val="single" w:sz="4" w:space="0" w:color="000000"/>
              <w:right w:val="single" w:sz="4" w:space="0" w:color="000000"/>
            </w:tcBorders>
            <w:vAlign w:val="center"/>
          </w:tcPr>
          <w:p w14:paraId="63B755A3" w14:textId="00AD2E57" w:rsidR="00BD4736" w:rsidRPr="00E57178" w:rsidRDefault="003F47A4" w:rsidP="00C43B9E">
            <w:pPr>
              <w:keepNext/>
              <w:spacing w:before="120" w:after="120" w:line="288" w:lineRule="auto"/>
              <w:ind w:left="113"/>
              <w:jc w:val="center"/>
              <w:rPr>
                <w:rFonts w:cs="Arial"/>
                <w:szCs w:val="20"/>
              </w:rPr>
            </w:pPr>
            <w:r w:rsidRPr="00E57178">
              <w:rPr>
                <w:rFonts w:cs="Arial"/>
                <w:color w:val="000000"/>
                <w:szCs w:val="20"/>
              </w:rPr>
              <w:t>21.1</w:t>
            </w:r>
          </w:p>
        </w:tc>
      </w:tr>
      <w:tr w:rsidR="00BD4736" w:rsidRPr="005A3AFE" w14:paraId="12B4F0F9" w14:textId="77777777" w:rsidTr="008A657F">
        <w:trPr>
          <w:trHeight w:val="55"/>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center"/>
          </w:tcPr>
          <w:p w14:paraId="113802DB" w14:textId="330639C5" w:rsidR="00BD4736" w:rsidRPr="00E57178" w:rsidRDefault="003F47A4" w:rsidP="00C43B9E">
            <w:pPr>
              <w:spacing w:before="120" w:after="120" w:line="288" w:lineRule="auto"/>
              <w:ind w:left="113"/>
              <w:rPr>
                <w:rFonts w:cs="Arial"/>
                <w:szCs w:val="20"/>
              </w:rPr>
            </w:pPr>
            <w:r w:rsidRPr="00E57178">
              <w:rPr>
                <w:rFonts w:cs="Arial"/>
                <w:color w:val="000000"/>
                <w:szCs w:val="20"/>
              </w:rPr>
              <w:t>India</w:t>
            </w:r>
          </w:p>
        </w:tc>
        <w:tc>
          <w:tcPr>
            <w:tcW w:w="461" w:type="pct"/>
            <w:tcBorders>
              <w:top w:val="single" w:sz="4" w:space="0" w:color="000000"/>
              <w:left w:val="single" w:sz="4" w:space="0" w:color="000000"/>
              <w:bottom w:val="single" w:sz="4" w:space="0" w:color="000000"/>
              <w:right w:val="single" w:sz="4" w:space="0" w:color="000000"/>
            </w:tcBorders>
            <w:vAlign w:val="center"/>
          </w:tcPr>
          <w:p w14:paraId="2CD2366B" w14:textId="7BCA2D1F" w:rsidR="00BD4736" w:rsidRPr="00E57178" w:rsidRDefault="00BD4736" w:rsidP="00C43B9E">
            <w:pPr>
              <w:spacing w:before="120" w:after="120" w:line="288" w:lineRule="auto"/>
              <w:ind w:left="113"/>
              <w:jc w:val="center"/>
              <w:rPr>
                <w:rFonts w:cs="Arial"/>
                <w:szCs w:val="20"/>
              </w:rPr>
            </w:pPr>
            <w:r w:rsidRPr="00E57178">
              <w:rPr>
                <w:rFonts w:cs="Arial"/>
                <w:color w:val="000000"/>
                <w:szCs w:val="20"/>
              </w:rPr>
              <w:t>58.</w:t>
            </w:r>
            <w:r w:rsidR="003F47A4" w:rsidRPr="00E57178">
              <w:rPr>
                <w:rFonts w:cs="Arial"/>
                <w:color w:val="000000"/>
                <w:szCs w:val="20"/>
              </w:rPr>
              <w:t>8</w:t>
            </w:r>
          </w:p>
        </w:tc>
        <w:tc>
          <w:tcPr>
            <w:tcW w:w="461" w:type="pct"/>
            <w:tcBorders>
              <w:top w:val="single" w:sz="4" w:space="0" w:color="000000"/>
              <w:left w:val="single" w:sz="4" w:space="0" w:color="000000"/>
              <w:bottom w:val="single" w:sz="4" w:space="0" w:color="000000"/>
              <w:right w:val="single" w:sz="4" w:space="0" w:color="000000"/>
            </w:tcBorders>
            <w:vAlign w:val="center"/>
          </w:tcPr>
          <w:p w14:paraId="177E7CD1" w14:textId="1774A78C"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81.6</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871E83" w14:textId="1CD4BE55"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78.3</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CAA7775" w14:textId="33D09E7C"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86.7</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B5A49D" w14:textId="3304354C"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94.9</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78DE18" w14:textId="3DCDF174"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88.6</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ED2E5E" w14:textId="520ADCCE"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62,600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1871FD" w14:textId="09E3D72E"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84</w:t>
            </w:r>
            <w:r w:rsidR="00BD4736" w:rsidRPr="00E57178">
              <w:rPr>
                <w:rFonts w:cs="Arial"/>
                <w:color w:val="000000"/>
                <w:szCs w:val="20"/>
              </w:rPr>
              <w:t>,000</w:t>
            </w:r>
          </w:p>
        </w:tc>
        <w:tc>
          <w:tcPr>
            <w:tcW w:w="461" w:type="pct"/>
            <w:tcBorders>
              <w:top w:val="single" w:sz="4" w:space="0" w:color="000000"/>
              <w:left w:val="single" w:sz="4" w:space="0" w:color="000000"/>
              <w:bottom w:val="single" w:sz="4" w:space="0" w:color="000000"/>
              <w:right w:val="single" w:sz="4" w:space="0" w:color="000000"/>
            </w:tcBorders>
            <w:vAlign w:val="center"/>
          </w:tcPr>
          <w:p w14:paraId="12D9C657" w14:textId="7BF08C95"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10.2</w:t>
            </w:r>
          </w:p>
        </w:tc>
        <w:tc>
          <w:tcPr>
            <w:tcW w:w="461" w:type="pct"/>
            <w:tcBorders>
              <w:top w:val="single" w:sz="4" w:space="0" w:color="000000"/>
              <w:left w:val="single" w:sz="4" w:space="0" w:color="000000"/>
              <w:bottom w:val="single" w:sz="4" w:space="0" w:color="000000"/>
              <w:right w:val="single" w:sz="4" w:space="0" w:color="000000"/>
            </w:tcBorders>
            <w:vAlign w:val="center"/>
          </w:tcPr>
          <w:p w14:paraId="479AA4E6" w14:textId="0E2A0AFB"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9.0</w:t>
            </w:r>
          </w:p>
        </w:tc>
      </w:tr>
      <w:tr w:rsidR="00BD4736" w:rsidRPr="005A3AFE" w14:paraId="0A9C9DA2" w14:textId="77777777" w:rsidTr="008A657F">
        <w:trPr>
          <w:trHeight w:val="55"/>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center"/>
          </w:tcPr>
          <w:p w14:paraId="428D4158" w14:textId="722B301B" w:rsidR="00BD4736" w:rsidRPr="00E57178" w:rsidRDefault="00BD4736" w:rsidP="00C43B9E">
            <w:pPr>
              <w:spacing w:before="120" w:after="120" w:line="288" w:lineRule="auto"/>
              <w:ind w:left="113"/>
              <w:rPr>
                <w:rFonts w:cs="Arial"/>
                <w:szCs w:val="20"/>
              </w:rPr>
            </w:pPr>
            <w:r w:rsidRPr="00E57178">
              <w:rPr>
                <w:rFonts w:cs="Arial"/>
                <w:color w:val="000000"/>
                <w:szCs w:val="20"/>
              </w:rPr>
              <w:t>Nepal</w:t>
            </w:r>
          </w:p>
        </w:tc>
        <w:tc>
          <w:tcPr>
            <w:tcW w:w="461" w:type="pct"/>
            <w:tcBorders>
              <w:top w:val="single" w:sz="4" w:space="0" w:color="000000"/>
              <w:left w:val="single" w:sz="4" w:space="0" w:color="000000"/>
              <w:bottom w:val="single" w:sz="4" w:space="0" w:color="000000"/>
              <w:right w:val="single" w:sz="4" w:space="0" w:color="000000"/>
            </w:tcBorders>
            <w:vAlign w:val="center"/>
          </w:tcPr>
          <w:p w14:paraId="4010B259" w14:textId="3B8C53AE"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67.0</w:t>
            </w:r>
          </w:p>
        </w:tc>
        <w:tc>
          <w:tcPr>
            <w:tcW w:w="461" w:type="pct"/>
            <w:tcBorders>
              <w:top w:val="single" w:sz="4" w:space="0" w:color="000000"/>
              <w:left w:val="single" w:sz="4" w:space="0" w:color="000000"/>
              <w:bottom w:val="single" w:sz="4" w:space="0" w:color="000000"/>
              <w:right w:val="single" w:sz="4" w:space="0" w:color="000000"/>
            </w:tcBorders>
            <w:vAlign w:val="center"/>
          </w:tcPr>
          <w:p w14:paraId="5B96D0F4" w14:textId="06790C89"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86.9</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DB0B90" w14:textId="4E43C15D"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80.4</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5774DE" w14:textId="68ACB408"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90.3</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2B5585" w14:textId="051B37F0"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96.0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47CA63B" w14:textId="570C47CF"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83.2</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021A40" w14:textId="61B0C476"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63,000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B5C38B" w14:textId="714B96A0"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80,100</w:t>
            </w:r>
          </w:p>
        </w:tc>
        <w:tc>
          <w:tcPr>
            <w:tcW w:w="461" w:type="pct"/>
            <w:tcBorders>
              <w:top w:val="single" w:sz="4" w:space="0" w:color="000000"/>
              <w:left w:val="single" w:sz="4" w:space="0" w:color="000000"/>
              <w:bottom w:val="single" w:sz="4" w:space="0" w:color="000000"/>
              <w:right w:val="single" w:sz="4" w:space="0" w:color="000000"/>
            </w:tcBorders>
            <w:vAlign w:val="center"/>
          </w:tcPr>
          <w:p w14:paraId="7C1B9178" w14:textId="10BA05B4"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19.8</w:t>
            </w:r>
          </w:p>
        </w:tc>
        <w:tc>
          <w:tcPr>
            <w:tcW w:w="461" w:type="pct"/>
            <w:tcBorders>
              <w:top w:val="single" w:sz="4" w:space="0" w:color="000000"/>
              <w:left w:val="single" w:sz="4" w:space="0" w:color="000000"/>
              <w:bottom w:val="single" w:sz="4" w:space="0" w:color="000000"/>
              <w:right w:val="single" w:sz="4" w:space="0" w:color="000000"/>
            </w:tcBorders>
            <w:vAlign w:val="center"/>
          </w:tcPr>
          <w:p w14:paraId="48A8B10A" w14:textId="0DA80D4A"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14.2</w:t>
            </w:r>
          </w:p>
        </w:tc>
      </w:tr>
      <w:tr w:rsidR="00BD4736" w:rsidRPr="005A3AFE" w14:paraId="2E4D08EB" w14:textId="77777777" w:rsidTr="008A657F">
        <w:trPr>
          <w:trHeight w:val="55"/>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center"/>
          </w:tcPr>
          <w:p w14:paraId="355810E4" w14:textId="4D8A9A68" w:rsidR="00BD4736" w:rsidRPr="00E57178" w:rsidRDefault="003F47A4" w:rsidP="00C43B9E">
            <w:pPr>
              <w:spacing w:before="120" w:after="120" w:line="288" w:lineRule="auto"/>
              <w:ind w:left="113"/>
              <w:rPr>
                <w:rFonts w:cs="Arial"/>
                <w:szCs w:val="20"/>
              </w:rPr>
            </w:pPr>
            <w:r w:rsidRPr="00E57178">
              <w:rPr>
                <w:rFonts w:cs="Arial"/>
                <w:color w:val="000000"/>
                <w:szCs w:val="20"/>
              </w:rPr>
              <w:t>Indonesia</w:t>
            </w:r>
          </w:p>
        </w:tc>
        <w:tc>
          <w:tcPr>
            <w:tcW w:w="461" w:type="pct"/>
            <w:tcBorders>
              <w:top w:val="single" w:sz="4" w:space="0" w:color="000000"/>
              <w:left w:val="single" w:sz="4" w:space="0" w:color="000000"/>
              <w:bottom w:val="single" w:sz="4" w:space="0" w:color="000000"/>
              <w:right w:val="single" w:sz="4" w:space="0" w:color="000000"/>
            </w:tcBorders>
            <w:vAlign w:val="center"/>
          </w:tcPr>
          <w:p w14:paraId="0E8CC7C8" w14:textId="1F5C500B"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80.6</w:t>
            </w:r>
          </w:p>
        </w:tc>
        <w:tc>
          <w:tcPr>
            <w:tcW w:w="461" w:type="pct"/>
            <w:tcBorders>
              <w:top w:val="single" w:sz="4" w:space="0" w:color="000000"/>
              <w:left w:val="single" w:sz="4" w:space="0" w:color="000000"/>
              <w:bottom w:val="single" w:sz="4" w:space="0" w:color="000000"/>
              <w:right w:val="single" w:sz="4" w:space="0" w:color="000000"/>
            </w:tcBorders>
            <w:vAlign w:val="center"/>
          </w:tcPr>
          <w:p w14:paraId="49D90C09" w14:textId="08AE4645"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97.0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AFA0F1" w14:textId="10F84FC2"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84.3</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ABE1811" w14:textId="465492BD"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96.4</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AE07D6" w14:textId="2C7A166A"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93.5</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6F7769" w14:textId="2DEB1844"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91.1</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344A262" w14:textId="650217E4"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n/a</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1635A9" w14:textId="7918AD4A"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79,200</w:t>
            </w:r>
          </w:p>
        </w:tc>
        <w:tc>
          <w:tcPr>
            <w:tcW w:w="461" w:type="pct"/>
            <w:tcBorders>
              <w:top w:val="single" w:sz="4" w:space="0" w:color="000000"/>
              <w:left w:val="single" w:sz="4" w:space="0" w:color="000000"/>
              <w:bottom w:val="single" w:sz="4" w:space="0" w:color="000000"/>
              <w:right w:val="single" w:sz="4" w:space="0" w:color="000000"/>
            </w:tcBorders>
            <w:vAlign w:val="center"/>
          </w:tcPr>
          <w:p w14:paraId="2E1566BE" w14:textId="7BAA4B09"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24</w:t>
            </w:r>
            <w:r w:rsidR="00BD4736" w:rsidRPr="00E57178">
              <w:rPr>
                <w:rFonts w:cs="Arial"/>
                <w:color w:val="000000"/>
                <w:szCs w:val="20"/>
              </w:rPr>
              <w:t>.8</w:t>
            </w:r>
          </w:p>
        </w:tc>
        <w:tc>
          <w:tcPr>
            <w:tcW w:w="461" w:type="pct"/>
            <w:tcBorders>
              <w:top w:val="single" w:sz="4" w:space="0" w:color="000000"/>
              <w:left w:val="single" w:sz="4" w:space="0" w:color="000000"/>
              <w:bottom w:val="single" w:sz="4" w:space="0" w:color="000000"/>
              <w:right w:val="single" w:sz="4" w:space="0" w:color="000000"/>
            </w:tcBorders>
            <w:vAlign w:val="center"/>
          </w:tcPr>
          <w:p w14:paraId="06135268" w14:textId="550460A2" w:rsidR="00BD4736" w:rsidRPr="00E57178" w:rsidRDefault="00BD4736" w:rsidP="00C43B9E">
            <w:pPr>
              <w:spacing w:before="120" w:after="120" w:line="288" w:lineRule="auto"/>
              <w:ind w:left="113"/>
              <w:jc w:val="center"/>
              <w:rPr>
                <w:rFonts w:cs="Arial"/>
                <w:szCs w:val="20"/>
              </w:rPr>
            </w:pPr>
            <w:r w:rsidRPr="00E57178">
              <w:rPr>
                <w:rFonts w:cs="Arial"/>
                <w:color w:val="000000"/>
                <w:szCs w:val="20"/>
              </w:rPr>
              <w:t>9</w:t>
            </w:r>
            <w:r w:rsidR="003F47A4" w:rsidRPr="00E57178">
              <w:rPr>
                <w:rFonts w:cs="Arial"/>
                <w:color w:val="000000"/>
                <w:szCs w:val="20"/>
              </w:rPr>
              <w:t>.3</w:t>
            </w:r>
          </w:p>
        </w:tc>
      </w:tr>
      <w:tr w:rsidR="00BD4736" w:rsidRPr="005A3AFE" w14:paraId="58794DEF" w14:textId="77777777" w:rsidTr="008A657F">
        <w:trPr>
          <w:trHeight w:val="28"/>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center"/>
          </w:tcPr>
          <w:p w14:paraId="5C5BEE7E" w14:textId="492A1A6A" w:rsidR="00BD4736" w:rsidRPr="00E57178" w:rsidRDefault="003F47A4" w:rsidP="00C43B9E">
            <w:pPr>
              <w:spacing w:before="120" w:after="120" w:line="288" w:lineRule="auto"/>
              <w:ind w:left="113"/>
              <w:rPr>
                <w:rFonts w:cs="Arial"/>
                <w:szCs w:val="20"/>
              </w:rPr>
            </w:pPr>
            <w:r w:rsidRPr="00E57178">
              <w:rPr>
                <w:rFonts w:cs="Arial"/>
                <w:color w:val="000000"/>
                <w:szCs w:val="20"/>
              </w:rPr>
              <w:t>Hong Kong (SAR of China)</w:t>
            </w:r>
          </w:p>
        </w:tc>
        <w:tc>
          <w:tcPr>
            <w:tcW w:w="461" w:type="pct"/>
            <w:tcBorders>
              <w:top w:val="single" w:sz="4" w:space="0" w:color="000000"/>
              <w:left w:val="single" w:sz="4" w:space="0" w:color="000000"/>
              <w:bottom w:val="single" w:sz="4" w:space="0" w:color="000000"/>
              <w:right w:val="single" w:sz="4" w:space="0" w:color="000000"/>
            </w:tcBorders>
            <w:vAlign w:val="center"/>
          </w:tcPr>
          <w:p w14:paraId="4DD950C8" w14:textId="63EEDDC6"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56.2</w:t>
            </w:r>
          </w:p>
        </w:tc>
        <w:tc>
          <w:tcPr>
            <w:tcW w:w="461" w:type="pct"/>
            <w:tcBorders>
              <w:top w:val="single" w:sz="4" w:space="0" w:color="000000"/>
              <w:left w:val="single" w:sz="4" w:space="0" w:color="000000"/>
              <w:bottom w:val="single" w:sz="4" w:space="0" w:color="000000"/>
              <w:right w:val="single" w:sz="4" w:space="0" w:color="000000"/>
            </w:tcBorders>
            <w:vAlign w:val="center"/>
          </w:tcPr>
          <w:p w14:paraId="24FCEFE9" w14:textId="7EE0ACC6" w:rsidR="00BD4736" w:rsidRPr="00E57178" w:rsidRDefault="00BD4736" w:rsidP="00C43B9E">
            <w:pPr>
              <w:spacing w:before="120" w:after="120" w:line="288" w:lineRule="auto"/>
              <w:ind w:left="113"/>
              <w:jc w:val="center"/>
              <w:rPr>
                <w:rFonts w:cs="Arial"/>
                <w:szCs w:val="20"/>
              </w:rPr>
            </w:pPr>
            <w:r w:rsidRPr="00E57178">
              <w:rPr>
                <w:rFonts w:cs="Arial"/>
                <w:color w:val="000000"/>
                <w:szCs w:val="20"/>
              </w:rPr>
              <w:t>91.</w:t>
            </w:r>
            <w:r w:rsidR="003F47A4" w:rsidRPr="00E57178">
              <w:rPr>
                <w:rFonts w:cs="Arial"/>
                <w:color w:val="000000"/>
                <w:szCs w:val="20"/>
              </w:rPr>
              <w:t>7</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8C7CA9" w14:textId="20A2D058"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62.1</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973005" w14:textId="5203A6E6"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91.8</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19F461" w14:textId="74447A43"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94.6</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BC0E86F" w14:textId="3AC99E24"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92.4</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A1B0D5" w14:textId="0A45508F"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70,000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09B24C" w14:textId="730A7E18"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89</w:t>
            </w:r>
            <w:r w:rsidR="00BD4736" w:rsidRPr="00E57178">
              <w:rPr>
                <w:rFonts w:cs="Arial"/>
                <w:color w:val="000000"/>
                <w:szCs w:val="20"/>
              </w:rPr>
              <w:t>,000</w:t>
            </w:r>
          </w:p>
        </w:tc>
        <w:tc>
          <w:tcPr>
            <w:tcW w:w="461" w:type="pct"/>
            <w:tcBorders>
              <w:top w:val="single" w:sz="4" w:space="0" w:color="000000"/>
              <w:left w:val="single" w:sz="4" w:space="0" w:color="000000"/>
              <w:bottom w:val="single" w:sz="4" w:space="0" w:color="000000"/>
              <w:right w:val="single" w:sz="4" w:space="0" w:color="000000"/>
            </w:tcBorders>
            <w:vAlign w:val="center"/>
          </w:tcPr>
          <w:p w14:paraId="7F09DC0E" w14:textId="19930B5C" w:rsidR="00BD4736" w:rsidRPr="00E57178" w:rsidRDefault="00BD4736" w:rsidP="00C43B9E">
            <w:pPr>
              <w:spacing w:before="120" w:after="120" w:line="288" w:lineRule="auto"/>
              <w:ind w:left="113"/>
              <w:jc w:val="center"/>
              <w:rPr>
                <w:rFonts w:cs="Arial"/>
                <w:szCs w:val="20"/>
              </w:rPr>
            </w:pPr>
            <w:r w:rsidRPr="00E57178">
              <w:rPr>
                <w:rFonts w:cs="Arial"/>
                <w:color w:val="000000"/>
                <w:szCs w:val="20"/>
              </w:rPr>
              <w:t>6.</w:t>
            </w:r>
            <w:r w:rsidR="003F47A4" w:rsidRPr="00E57178">
              <w:rPr>
                <w:rFonts w:cs="Arial"/>
                <w:color w:val="000000"/>
                <w:szCs w:val="20"/>
              </w:rPr>
              <w:t>2</w:t>
            </w:r>
          </w:p>
        </w:tc>
        <w:tc>
          <w:tcPr>
            <w:tcW w:w="461" w:type="pct"/>
            <w:tcBorders>
              <w:top w:val="single" w:sz="4" w:space="0" w:color="000000"/>
              <w:left w:val="single" w:sz="4" w:space="0" w:color="000000"/>
              <w:bottom w:val="single" w:sz="4" w:space="0" w:color="000000"/>
              <w:right w:val="single" w:sz="4" w:space="0" w:color="000000"/>
            </w:tcBorders>
            <w:vAlign w:val="center"/>
          </w:tcPr>
          <w:p w14:paraId="384C0C1C" w14:textId="3A5E9D03" w:rsidR="00BD4736" w:rsidRPr="00E57178" w:rsidRDefault="003F47A4" w:rsidP="00C43B9E">
            <w:pPr>
              <w:spacing w:before="120" w:after="120" w:line="288" w:lineRule="auto"/>
              <w:ind w:left="113"/>
              <w:jc w:val="center"/>
              <w:rPr>
                <w:rFonts w:cs="Arial"/>
                <w:szCs w:val="20"/>
              </w:rPr>
            </w:pPr>
            <w:r w:rsidRPr="00E57178">
              <w:rPr>
                <w:rFonts w:cs="Arial"/>
                <w:color w:val="000000"/>
                <w:szCs w:val="20"/>
              </w:rPr>
              <w:t>4</w:t>
            </w:r>
            <w:r w:rsidR="00BD4736" w:rsidRPr="00E57178">
              <w:rPr>
                <w:rFonts w:cs="Arial"/>
                <w:color w:val="000000"/>
                <w:szCs w:val="20"/>
              </w:rPr>
              <w:t>.7</w:t>
            </w:r>
          </w:p>
        </w:tc>
      </w:tr>
      <w:tr w:rsidR="00BD4736" w:rsidRPr="005A3AFE" w14:paraId="31DEB0BB" w14:textId="77777777" w:rsidTr="008A657F">
        <w:trPr>
          <w:trHeight w:val="123"/>
        </w:trPr>
        <w:tc>
          <w:tcPr>
            <w:tcW w:w="39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0" w:type="dxa"/>
            </w:tcMar>
            <w:vAlign w:val="center"/>
          </w:tcPr>
          <w:p w14:paraId="40AFB9C4" w14:textId="47AC301F" w:rsidR="00BD4736" w:rsidRPr="00E57178" w:rsidRDefault="00FE255D" w:rsidP="00C43B9E">
            <w:pPr>
              <w:spacing w:before="120" w:after="120" w:line="288" w:lineRule="auto"/>
              <w:ind w:left="113"/>
              <w:rPr>
                <w:rFonts w:cs="Arial"/>
                <w:color w:val="000000"/>
                <w:szCs w:val="20"/>
              </w:rPr>
            </w:pPr>
            <w:r w:rsidRPr="00E57178">
              <w:rPr>
                <w:rFonts w:cs="Arial"/>
                <w:color w:val="000000"/>
                <w:szCs w:val="20"/>
              </w:rPr>
              <w:t>All internationals</w:t>
            </w:r>
          </w:p>
        </w:tc>
        <w:tc>
          <w:tcPr>
            <w:tcW w:w="461" w:type="pct"/>
            <w:tcBorders>
              <w:top w:val="single" w:sz="4" w:space="0" w:color="000000"/>
              <w:left w:val="single" w:sz="4" w:space="0" w:color="000000"/>
              <w:bottom w:val="single" w:sz="4" w:space="0" w:color="000000"/>
              <w:right w:val="single" w:sz="4" w:space="0" w:color="000000"/>
            </w:tcBorders>
            <w:vAlign w:val="center"/>
          </w:tcPr>
          <w:p w14:paraId="30767C48" w14:textId="419E25CC"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67.1</w:t>
            </w:r>
          </w:p>
        </w:tc>
        <w:tc>
          <w:tcPr>
            <w:tcW w:w="461" w:type="pct"/>
            <w:tcBorders>
              <w:top w:val="single" w:sz="4" w:space="0" w:color="000000"/>
              <w:left w:val="single" w:sz="4" w:space="0" w:color="000000"/>
              <w:bottom w:val="single" w:sz="4" w:space="0" w:color="000000"/>
              <w:right w:val="single" w:sz="4" w:space="0" w:color="000000"/>
            </w:tcBorders>
            <w:vAlign w:val="center"/>
          </w:tcPr>
          <w:p w14:paraId="4C8A9518" w14:textId="4FB68C88"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87.5</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86A9BC" w14:textId="35DC8F13"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78.6</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2A8056" w14:textId="14C8FE8B"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90.8</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8A6AF1" w14:textId="29C503DA"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93.6</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635513B" w14:textId="3641EDB4"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89.5</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7A0852" w14:textId="7A002C16"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67,000</w:t>
            </w:r>
          </w:p>
        </w:tc>
        <w:tc>
          <w:tcPr>
            <w:tcW w:w="46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9DFAFE" w14:textId="18B005E1"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86</w:t>
            </w:r>
            <w:r w:rsidR="00BD4736" w:rsidRPr="00E57178">
              <w:rPr>
                <w:rFonts w:cs="Arial"/>
                <w:color w:val="000000"/>
                <w:szCs w:val="20"/>
              </w:rPr>
              <w:t>,000</w:t>
            </w:r>
          </w:p>
        </w:tc>
        <w:tc>
          <w:tcPr>
            <w:tcW w:w="461" w:type="pct"/>
            <w:tcBorders>
              <w:top w:val="single" w:sz="4" w:space="0" w:color="000000"/>
              <w:left w:val="single" w:sz="4" w:space="0" w:color="000000"/>
              <w:bottom w:val="single" w:sz="4" w:space="0" w:color="000000"/>
              <w:right w:val="single" w:sz="4" w:space="0" w:color="000000"/>
            </w:tcBorders>
            <w:vAlign w:val="center"/>
          </w:tcPr>
          <w:p w14:paraId="11B2CDE0" w14:textId="23855DF2" w:rsidR="00BD4736" w:rsidRPr="00E57178" w:rsidRDefault="003F47A4" w:rsidP="00C43B9E">
            <w:pPr>
              <w:spacing w:before="120" w:after="120" w:line="288" w:lineRule="auto"/>
              <w:ind w:left="113"/>
              <w:jc w:val="center"/>
              <w:rPr>
                <w:rFonts w:cs="Arial"/>
                <w:color w:val="000000"/>
                <w:szCs w:val="20"/>
              </w:rPr>
            </w:pPr>
            <w:r w:rsidRPr="00E57178">
              <w:rPr>
                <w:rFonts w:cs="Arial"/>
                <w:color w:val="000000"/>
                <w:szCs w:val="20"/>
              </w:rPr>
              <w:t>15.3</w:t>
            </w:r>
          </w:p>
        </w:tc>
        <w:tc>
          <w:tcPr>
            <w:tcW w:w="461" w:type="pct"/>
            <w:tcBorders>
              <w:top w:val="single" w:sz="4" w:space="0" w:color="000000"/>
              <w:left w:val="single" w:sz="4" w:space="0" w:color="000000"/>
              <w:bottom w:val="single" w:sz="4" w:space="0" w:color="000000"/>
              <w:right w:val="single" w:sz="4" w:space="0" w:color="000000"/>
            </w:tcBorders>
            <w:vAlign w:val="center"/>
          </w:tcPr>
          <w:p w14:paraId="1390B78F" w14:textId="7CF72D9C" w:rsidR="00BD4736" w:rsidRPr="00E57178" w:rsidRDefault="00BD4736" w:rsidP="00C43B9E">
            <w:pPr>
              <w:spacing w:before="120" w:after="120" w:line="288" w:lineRule="auto"/>
              <w:ind w:left="113"/>
              <w:jc w:val="center"/>
              <w:rPr>
                <w:rFonts w:cs="Arial"/>
                <w:color w:val="000000"/>
                <w:szCs w:val="20"/>
              </w:rPr>
            </w:pPr>
            <w:r w:rsidRPr="00E57178">
              <w:rPr>
                <w:rFonts w:cs="Arial"/>
                <w:color w:val="000000"/>
                <w:szCs w:val="20"/>
              </w:rPr>
              <w:t>11.</w:t>
            </w:r>
            <w:r w:rsidR="003F47A4" w:rsidRPr="00E57178">
              <w:rPr>
                <w:rFonts w:cs="Arial"/>
                <w:color w:val="000000"/>
                <w:szCs w:val="20"/>
              </w:rPr>
              <w:t>5</w:t>
            </w:r>
          </w:p>
        </w:tc>
      </w:tr>
    </w:tbl>
    <w:p w14:paraId="378EA76F" w14:textId="6605E590" w:rsidR="0075761F" w:rsidRPr="005A3AFE" w:rsidRDefault="005800A1" w:rsidP="00C43B9E">
      <w:pPr>
        <w:pStyle w:val="BaseFigureNotes"/>
        <w:spacing w:before="120" w:after="60"/>
      </w:pPr>
      <w:r w:rsidRPr="007360CE">
        <w:rPr>
          <w:b/>
          <w:bCs/>
        </w:rPr>
        <w:t>Note</w:t>
      </w:r>
      <w:r w:rsidRPr="005A3AFE">
        <w:t xml:space="preserve">: </w:t>
      </w:r>
      <w:r w:rsidR="00081ECD">
        <w:t xml:space="preserve">1. </w:t>
      </w:r>
      <w:r w:rsidRPr="005A3AFE">
        <w:t>International graduates’ median salary figures only include data for international graduates working in Australia.</w:t>
      </w:r>
    </w:p>
    <w:p w14:paraId="499AE3E9" w14:textId="60EA1EB9" w:rsidR="005F7DA5" w:rsidRPr="005A3AFE" w:rsidRDefault="00081ECD" w:rsidP="00C43B9E">
      <w:pPr>
        <w:pStyle w:val="BaseFigureNotes"/>
        <w:spacing w:after="120"/>
        <w:ind w:left="510"/>
      </w:pPr>
      <w:r>
        <w:t xml:space="preserve">2. </w:t>
      </w:r>
      <w:r w:rsidR="005F7DA5" w:rsidRPr="005A3AFE">
        <w:t>A blank cell indicates there is no data for that cell and n/a indicates a suppressed value (n&lt;25).</w:t>
      </w:r>
    </w:p>
    <w:p w14:paraId="7D1CBD36" w14:textId="1002D92E" w:rsidR="00CD57C6" w:rsidRPr="005A3AFE" w:rsidRDefault="00CD57C6" w:rsidP="00C43B9E">
      <w:pPr>
        <w:pStyle w:val="BaseFigureNotes"/>
      </w:pPr>
      <w:r w:rsidRPr="005A3AFE">
        <w:t xml:space="preserve">‡ Medium-term labour force participation rates, and full-time and overall employment rates from 2025 onwards are not directly comparable with earlier years due to a change to how the labour force is defined. Caution should be exercised when interpreting shifts from the short- to medium-term for the </w:t>
      </w:r>
      <w:r w:rsidR="00C67B80" w:rsidRPr="005A3AFE">
        <w:t>2023</w:t>
      </w:r>
      <w:r w:rsidR="00886C60" w:rsidRPr="00886C60">
        <w:t>–</w:t>
      </w:r>
      <w:r w:rsidRPr="005A3AFE">
        <w:t>202</w:t>
      </w:r>
      <w:r w:rsidR="0048014A" w:rsidRPr="005A3AFE">
        <w:t>6</w:t>
      </w:r>
      <w:r w:rsidRPr="005A3AFE">
        <w:t xml:space="preserve"> cohort, as they partly reflect the change in methodology. See </w:t>
      </w:r>
      <w:r w:rsidRPr="005A3AFE">
        <w:rPr>
          <w:b/>
          <w:bCs/>
        </w:rPr>
        <w:t>Appendix 1</w:t>
      </w:r>
      <w:r w:rsidRPr="005A3AFE">
        <w:t xml:space="preserve"> </w:t>
      </w:r>
      <w:r w:rsidR="00EC73E7">
        <w:t xml:space="preserve">in the 2025 GOS-L National Report </w:t>
      </w:r>
      <w:r w:rsidRPr="005A3AFE">
        <w:t>for further information.</w:t>
      </w:r>
    </w:p>
    <w:p w14:paraId="6AEA95CD" w14:textId="77777777" w:rsidR="00A55102" w:rsidRPr="00A55102" w:rsidRDefault="00A55102" w:rsidP="00A55102">
      <w:pPr>
        <w:rPr>
          <w:lang w:val="en-GB"/>
        </w:rPr>
      </w:pPr>
    </w:p>
    <w:p w14:paraId="28F70E65" w14:textId="77AE1332" w:rsidR="00A55102" w:rsidRPr="00A55102" w:rsidRDefault="00A55102" w:rsidP="00A55102">
      <w:pPr>
        <w:rPr>
          <w:lang w:val="en-GB"/>
        </w:rPr>
        <w:sectPr w:rsidR="00A55102" w:rsidRPr="00A55102" w:rsidSect="00A11753">
          <w:footerReference w:type="default" r:id="rId86"/>
          <w:pgSz w:w="16840" w:h="11900" w:orient="landscape"/>
          <w:pgMar w:top="709" w:right="284" w:bottom="709" w:left="284" w:header="397" w:footer="397" w:gutter="0"/>
          <w:cols w:space="708"/>
          <w:docGrid w:linePitch="360"/>
        </w:sectPr>
      </w:pPr>
    </w:p>
    <w:p w14:paraId="22DF6A03" w14:textId="77777777" w:rsidR="00AF2DF0" w:rsidRPr="00A869B4" w:rsidRDefault="00AF2DF0" w:rsidP="007A24F8">
      <w:pPr>
        <w:pStyle w:val="Appendix1"/>
      </w:pPr>
      <w:bookmarkStart w:id="232" w:name="_Toc207707342"/>
      <w:bookmarkStart w:id="233" w:name="_Toc207707343"/>
      <w:bookmarkStart w:id="234" w:name="_Toc207707344"/>
      <w:bookmarkStart w:id="235" w:name="_Toc207707346"/>
      <w:bookmarkStart w:id="236" w:name="_Toc207707347"/>
      <w:bookmarkStart w:id="237" w:name="_Toc207707348"/>
      <w:bookmarkStart w:id="238" w:name="_Toc207707349"/>
      <w:bookmarkStart w:id="239" w:name="_Toc207707350"/>
      <w:bookmarkStart w:id="240" w:name="_Toc207707351"/>
      <w:bookmarkStart w:id="241" w:name="_Toc207707353"/>
      <w:bookmarkStart w:id="242" w:name="_Toc207707354"/>
      <w:bookmarkStart w:id="243" w:name="_Toc112745309"/>
      <w:bookmarkStart w:id="244" w:name="_Toc191481322"/>
      <w:bookmarkStart w:id="245" w:name="_Ref211241817"/>
      <w:bookmarkStart w:id="246" w:name="_Ref211241830"/>
      <w:bookmarkStart w:id="247" w:name="_Toc215068911"/>
      <w:bookmarkStart w:id="248" w:name="_Toc243492357"/>
      <w:bookmarkStart w:id="249" w:name="_Toc244083901"/>
      <w:bookmarkStart w:id="250" w:name="_Hlk78478452"/>
      <w:bookmarkStart w:id="251" w:name="_Toc22200391"/>
      <w:bookmarkEnd w:id="232"/>
      <w:bookmarkEnd w:id="233"/>
      <w:bookmarkEnd w:id="234"/>
      <w:bookmarkEnd w:id="235"/>
      <w:bookmarkEnd w:id="236"/>
      <w:bookmarkEnd w:id="237"/>
      <w:bookmarkEnd w:id="238"/>
      <w:bookmarkEnd w:id="239"/>
      <w:bookmarkEnd w:id="240"/>
      <w:bookmarkEnd w:id="241"/>
      <w:bookmarkEnd w:id="242"/>
      <w:r w:rsidRPr="00A869B4">
        <w:lastRenderedPageBreak/>
        <w:t>Labour market and graduate satisfaction definitions</w:t>
      </w:r>
      <w:bookmarkEnd w:id="243"/>
      <w:bookmarkEnd w:id="244"/>
      <w:bookmarkEnd w:id="245"/>
      <w:bookmarkEnd w:id="246"/>
      <w:bookmarkEnd w:id="247"/>
      <w:bookmarkEnd w:id="248"/>
      <w:bookmarkEnd w:id="249"/>
    </w:p>
    <w:bookmarkEnd w:id="250"/>
    <w:p w14:paraId="6FF2BA19" w14:textId="7BE8B2F1" w:rsidR="00AF2DF0" w:rsidRPr="005A3AFE" w:rsidRDefault="00AF2DF0" w:rsidP="000B18F6">
      <w:pPr>
        <w:spacing w:after="120" w:line="300" w:lineRule="auto"/>
        <w:rPr>
          <w:rFonts w:eastAsia="Times New Roman" w:cs="Times New Roman"/>
          <w:szCs w:val="20"/>
        </w:rPr>
      </w:pPr>
      <w:r w:rsidRPr="005A3AFE">
        <w:rPr>
          <w:rFonts w:eastAsia="Times New Roman" w:cs="Times New Roman"/>
          <w:szCs w:val="20"/>
        </w:rPr>
        <w:t>The 202</w:t>
      </w:r>
      <w:r w:rsidR="00505081" w:rsidRPr="005A3AFE">
        <w:rPr>
          <w:rFonts w:eastAsia="Times New Roman" w:cs="Times New Roman"/>
          <w:szCs w:val="20"/>
        </w:rPr>
        <w:t>6</w:t>
      </w:r>
      <w:r w:rsidRPr="005A3AFE">
        <w:rPr>
          <w:rFonts w:eastAsia="Times New Roman" w:cs="Times New Roman"/>
          <w:szCs w:val="20"/>
        </w:rPr>
        <w:t xml:space="preserve"> GOS-L uses labour force indicator definitions informed by the Standards for Labour Force Statistics used by the ABS. Definitions for indicators used throughout this report are presented i</w:t>
      </w:r>
      <w:r w:rsidR="000B18F6">
        <w:rPr>
          <w:rFonts w:eastAsia="Times New Roman" w:cs="Times New Roman"/>
          <w:szCs w:val="20"/>
        </w:rPr>
        <w:t xml:space="preserve">n </w:t>
      </w:r>
      <w:r w:rsidR="000B18F6" w:rsidRPr="000B18F6">
        <w:rPr>
          <w:rFonts w:eastAsia="Times New Roman" w:cs="Times New Roman"/>
          <w:b/>
          <w:bCs/>
          <w:szCs w:val="20"/>
        </w:rPr>
        <w:fldChar w:fldCharType="begin"/>
      </w:r>
      <w:r w:rsidR="000B18F6" w:rsidRPr="000B18F6">
        <w:rPr>
          <w:rFonts w:eastAsia="Times New Roman" w:cs="Times New Roman"/>
          <w:b/>
          <w:bCs/>
          <w:szCs w:val="20"/>
        </w:rPr>
        <w:instrText xml:space="preserve"> REF _Ref242963162 \h </w:instrText>
      </w:r>
      <w:r w:rsidR="000B18F6">
        <w:rPr>
          <w:rFonts w:eastAsia="Times New Roman" w:cs="Times New Roman"/>
          <w:b/>
          <w:bCs/>
          <w:szCs w:val="20"/>
        </w:rPr>
        <w:instrText xml:space="preserve"> \* MERGEFORMAT </w:instrText>
      </w:r>
      <w:r w:rsidR="000B18F6" w:rsidRPr="000B18F6">
        <w:rPr>
          <w:rFonts w:eastAsia="Times New Roman" w:cs="Times New Roman"/>
          <w:b/>
          <w:bCs/>
          <w:szCs w:val="20"/>
        </w:rPr>
      </w:r>
      <w:r w:rsidR="000B18F6" w:rsidRPr="000B18F6">
        <w:rPr>
          <w:rFonts w:eastAsia="Times New Roman" w:cs="Times New Roman"/>
          <w:b/>
          <w:bCs/>
          <w:szCs w:val="20"/>
        </w:rPr>
        <w:fldChar w:fldCharType="separate"/>
      </w:r>
      <w:r w:rsidR="000B18F6" w:rsidRPr="000B18F6">
        <w:rPr>
          <w:rFonts w:eastAsia="Times New Roman" w:cs="Times New Roman"/>
          <w:b/>
          <w:bCs/>
          <w:szCs w:val="20"/>
        </w:rPr>
        <w:fldChar w:fldCharType="end"/>
      </w:r>
      <w:r w:rsidR="000B18F6" w:rsidRPr="000B18F6">
        <w:rPr>
          <w:rFonts w:eastAsia="Times New Roman" w:cs="Times New Roman"/>
          <w:b/>
          <w:bCs/>
          <w:szCs w:val="20"/>
        </w:rPr>
        <w:fldChar w:fldCharType="begin"/>
      </w:r>
      <w:r w:rsidR="000B18F6" w:rsidRPr="000B18F6">
        <w:rPr>
          <w:rFonts w:eastAsia="Times New Roman" w:cs="Times New Roman"/>
          <w:b/>
          <w:bCs/>
          <w:szCs w:val="20"/>
        </w:rPr>
        <w:instrText xml:space="preserve"> REF _Ref149253021 \h </w:instrText>
      </w:r>
      <w:r w:rsidR="000B18F6">
        <w:rPr>
          <w:rFonts w:eastAsia="Times New Roman" w:cs="Times New Roman"/>
          <w:b/>
          <w:bCs/>
          <w:szCs w:val="20"/>
        </w:rPr>
        <w:instrText xml:space="preserve"> \* MERGEFORMAT </w:instrText>
      </w:r>
      <w:r w:rsidR="000B18F6" w:rsidRPr="000B18F6">
        <w:rPr>
          <w:rFonts w:eastAsia="Times New Roman" w:cs="Times New Roman"/>
          <w:b/>
          <w:bCs/>
          <w:szCs w:val="20"/>
        </w:rPr>
      </w:r>
      <w:r w:rsidR="000B18F6" w:rsidRPr="000B18F6">
        <w:rPr>
          <w:rFonts w:eastAsia="Times New Roman" w:cs="Times New Roman"/>
          <w:b/>
          <w:bCs/>
          <w:szCs w:val="20"/>
        </w:rPr>
        <w:fldChar w:fldCharType="separate"/>
      </w:r>
      <w:r w:rsidR="000B18F6" w:rsidRPr="000B18F6">
        <w:rPr>
          <w:b/>
          <w:bCs/>
        </w:rPr>
        <w:t xml:space="preserve">Table </w:t>
      </w:r>
      <w:r w:rsidR="000B18F6" w:rsidRPr="000B18F6">
        <w:rPr>
          <w:b/>
          <w:bCs/>
          <w:noProof/>
        </w:rPr>
        <w:t>12</w:t>
      </w:r>
      <w:r w:rsidR="000B18F6" w:rsidRPr="000B18F6">
        <w:rPr>
          <w:rFonts w:eastAsia="Times New Roman" w:cs="Times New Roman"/>
          <w:b/>
          <w:bCs/>
          <w:szCs w:val="20"/>
        </w:rPr>
        <w:fldChar w:fldCharType="end"/>
      </w:r>
      <w:r w:rsidRPr="005A3AFE">
        <w:rPr>
          <w:rFonts w:eastAsia="Times New Roman" w:cs="Times New Roman"/>
          <w:szCs w:val="20"/>
        </w:rPr>
        <w:t>.</w:t>
      </w:r>
      <w:bookmarkEnd w:id="251"/>
    </w:p>
    <w:p w14:paraId="3B028B29" w14:textId="19DA819E" w:rsidR="001E42D2" w:rsidRPr="005A3AFE" w:rsidRDefault="00AF2DF0" w:rsidP="007869B8">
      <w:pPr>
        <w:pStyle w:val="Caption"/>
      </w:pPr>
      <w:bookmarkStart w:id="252" w:name="_Ref149253021"/>
      <w:bookmarkStart w:id="253" w:name="_Toc191490627"/>
      <w:bookmarkStart w:id="254" w:name="_Toc214995747"/>
      <w:bookmarkStart w:id="255" w:name="_Ref242963162"/>
      <w:bookmarkStart w:id="256" w:name="_Toc243492104"/>
      <w:r w:rsidRPr="005A3AFE">
        <w:t xml:space="preserve">Table </w:t>
      </w:r>
      <w:fldSimple w:instr=" SEQ Table \* ARABIC ">
        <w:r w:rsidR="00487685">
          <w:rPr>
            <w:noProof/>
          </w:rPr>
          <w:t>12</w:t>
        </w:r>
      </w:fldSimple>
      <w:bookmarkEnd w:id="252"/>
      <w:r w:rsidR="007F6B22">
        <w:tab/>
      </w:r>
      <w:r w:rsidRPr="005A3AFE">
        <w:t>Indicator definitions</w:t>
      </w:r>
      <w:bookmarkEnd w:id="253"/>
      <w:bookmarkEnd w:id="254"/>
      <w:bookmarkEnd w:id="255"/>
      <w:bookmarkEnd w:id="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6230"/>
      </w:tblGrid>
      <w:tr w:rsidR="00AF2DF0" w:rsidRPr="005A3AFE" w14:paraId="28E7206C" w14:textId="77777777" w:rsidTr="00E57178">
        <w:tc>
          <w:tcPr>
            <w:tcW w:w="4248" w:type="dxa"/>
            <w:tcMar>
              <w:top w:w="44" w:type="dxa"/>
              <w:left w:w="86" w:type="dxa"/>
              <w:bottom w:w="86" w:type="dxa"/>
              <w:right w:w="44" w:type="dxa"/>
            </w:tcMar>
            <w:vAlign w:val="bottom"/>
            <w:hideMark/>
          </w:tcPr>
          <w:p w14:paraId="4759BE23" w14:textId="77777777" w:rsidR="00AF2DF0" w:rsidRPr="00EB29BD" w:rsidRDefault="00AF2DF0" w:rsidP="00A869B4">
            <w:pPr>
              <w:spacing w:before="50" w:after="50"/>
              <w:ind w:left="28" w:right="28"/>
              <w:rPr>
                <w:rFonts w:eastAsia="Yu Gothic" w:cs="Arial"/>
                <w:b/>
                <w:spacing w:val="-2"/>
                <w:szCs w:val="20"/>
                <w:lang w:val="en-GB"/>
              </w:rPr>
            </w:pPr>
            <w:r w:rsidRPr="00EB29BD">
              <w:rPr>
                <w:rFonts w:eastAsia="Yu Gothic" w:cs="Arial"/>
                <w:b/>
                <w:spacing w:val="-2"/>
                <w:szCs w:val="20"/>
                <w:lang w:val="en-GB"/>
              </w:rPr>
              <w:t>Indicator/element</w:t>
            </w:r>
          </w:p>
        </w:tc>
        <w:tc>
          <w:tcPr>
            <w:tcW w:w="6230" w:type="dxa"/>
            <w:tcMar>
              <w:top w:w="44" w:type="dxa"/>
              <w:left w:w="86" w:type="dxa"/>
              <w:bottom w:w="86" w:type="dxa"/>
              <w:right w:w="44" w:type="dxa"/>
            </w:tcMar>
            <w:vAlign w:val="bottom"/>
            <w:hideMark/>
          </w:tcPr>
          <w:p w14:paraId="58E01DE1" w14:textId="77777777" w:rsidR="00AF2DF0" w:rsidRPr="00EB29BD" w:rsidRDefault="00AF2DF0" w:rsidP="00A869B4">
            <w:pPr>
              <w:spacing w:before="50" w:after="50"/>
              <w:ind w:left="28" w:right="28"/>
              <w:rPr>
                <w:rFonts w:eastAsia="Yu Gothic" w:cs="Arial"/>
                <w:b/>
                <w:spacing w:val="-2"/>
                <w:szCs w:val="20"/>
                <w:lang w:val="en-GB"/>
              </w:rPr>
            </w:pPr>
            <w:r w:rsidRPr="00EB29BD">
              <w:rPr>
                <w:rFonts w:eastAsia="Yu Gothic" w:cs="Arial"/>
                <w:b/>
                <w:spacing w:val="-2"/>
                <w:szCs w:val="20"/>
                <w:lang w:val="en-GB"/>
              </w:rPr>
              <w:t>Definition</w:t>
            </w:r>
          </w:p>
        </w:tc>
      </w:tr>
      <w:tr w:rsidR="00AF2DF0" w:rsidRPr="005A3AFE" w14:paraId="08B0D04F" w14:textId="77777777" w:rsidTr="00E57178">
        <w:tc>
          <w:tcPr>
            <w:tcW w:w="4248" w:type="dxa"/>
            <w:tcMar>
              <w:top w:w="44" w:type="dxa"/>
              <w:left w:w="86" w:type="dxa"/>
              <w:bottom w:w="86" w:type="dxa"/>
              <w:right w:w="44" w:type="dxa"/>
            </w:tcMar>
          </w:tcPr>
          <w:p w14:paraId="45D3A75A"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Available for employment</w:t>
            </w:r>
            <w:r w:rsidRPr="00EB29BD">
              <w:rPr>
                <w:rFonts w:eastAsia="Yu Gothic" w:cs="Arial"/>
                <w:spacing w:val="-2"/>
                <w:szCs w:val="20"/>
                <w:vertAlign w:val="superscript"/>
                <w:lang w:val="en-GB"/>
              </w:rPr>
              <w:t>†</w:t>
            </w:r>
          </w:p>
        </w:tc>
        <w:tc>
          <w:tcPr>
            <w:tcW w:w="6230" w:type="dxa"/>
            <w:tcMar>
              <w:top w:w="44" w:type="dxa"/>
              <w:left w:w="86" w:type="dxa"/>
              <w:bottom w:w="86" w:type="dxa"/>
              <w:right w:w="44" w:type="dxa"/>
            </w:tcMar>
          </w:tcPr>
          <w:p w14:paraId="63C7F28C"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 xml:space="preserve">Graduates who were employed, </w:t>
            </w:r>
            <w:r w:rsidRPr="00EB29BD">
              <w:rPr>
                <w:rFonts w:eastAsia="Yu Gothic" w:cs="Arial"/>
                <w:i/>
                <w:iCs/>
                <w:spacing w:val="-2"/>
                <w:szCs w:val="20"/>
                <w:lang w:val="en-GB"/>
              </w:rPr>
              <w:t xml:space="preserve">actively </w:t>
            </w:r>
            <w:r w:rsidRPr="00EB29BD">
              <w:rPr>
                <w:rFonts w:eastAsia="Yu Gothic" w:cs="Arial"/>
                <w:spacing w:val="-2"/>
                <w:szCs w:val="20"/>
                <w:lang w:val="en-GB"/>
              </w:rPr>
              <w:t>looking for employment or waiting to start a job in the week prior to the survey.</w:t>
            </w:r>
          </w:p>
        </w:tc>
      </w:tr>
      <w:tr w:rsidR="00AF2DF0" w:rsidRPr="005A3AFE" w14:paraId="2F336CC0" w14:textId="77777777" w:rsidTr="00E57178">
        <w:tc>
          <w:tcPr>
            <w:tcW w:w="4248" w:type="dxa"/>
            <w:tcMar>
              <w:top w:w="44" w:type="dxa"/>
              <w:left w:w="86" w:type="dxa"/>
              <w:bottom w:w="86" w:type="dxa"/>
              <w:right w:w="44" w:type="dxa"/>
            </w:tcMar>
          </w:tcPr>
          <w:p w14:paraId="02342C50"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Available for full-time employment</w:t>
            </w:r>
            <w:r w:rsidRPr="00EB29BD">
              <w:rPr>
                <w:rFonts w:eastAsia="Yu Gothic" w:cs="Arial"/>
                <w:spacing w:val="-2"/>
                <w:szCs w:val="20"/>
                <w:vertAlign w:val="superscript"/>
                <w:lang w:val="en-GB"/>
              </w:rPr>
              <w:t>†</w:t>
            </w:r>
          </w:p>
        </w:tc>
        <w:tc>
          <w:tcPr>
            <w:tcW w:w="6230" w:type="dxa"/>
            <w:tcMar>
              <w:top w:w="44" w:type="dxa"/>
              <w:left w:w="86" w:type="dxa"/>
              <w:bottom w:w="86" w:type="dxa"/>
              <w:right w:w="44" w:type="dxa"/>
            </w:tcMar>
          </w:tcPr>
          <w:p w14:paraId="2694A2B9" w14:textId="77777777" w:rsidR="00AF2DF0" w:rsidRPr="00E57178" w:rsidRDefault="00AF2DF0" w:rsidP="00A869B4">
            <w:pPr>
              <w:spacing w:before="50" w:after="50"/>
              <w:ind w:left="28" w:right="28"/>
              <w:rPr>
                <w:rFonts w:eastAsia="Yu Gothic" w:cs="Arial"/>
                <w:spacing w:val="-4"/>
                <w:szCs w:val="20"/>
                <w:lang w:val="en-GB"/>
              </w:rPr>
            </w:pPr>
            <w:r w:rsidRPr="00E57178">
              <w:rPr>
                <w:rFonts w:eastAsia="Yu Gothic" w:cs="Arial"/>
                <w:spacing w:val="-4"/>
                <w:szCs w:val="20"/>
                <w:lang w:val="en-GB"/>
              </w:rPr>
              <w:t xml:space="preserve">Graduates who were employed full-time or </w:t>
            </w:r>
            <w:r w:rsidRPr="00E57178">
              <w:rPr>
                <w:rFonts w:eastAsia="Yu Gothic" w:cs="Arial"/>
                <w:i/>
                <w:iCs/>
                <w:spacing w:val="-4"/>
                <w:szCs w:val="20"/>
                <w:lang w:val="en-GB"/>
              </w:rPr>
              <w:t xml:space="preserve">actively </w:t>
            </w:r>
            <w:r w:rsidRPr="00E57178">
              <w:rPr>
                <w:rFonts w:eastAsia="Yu Gothic" w:cs="Arial"/>
                <w:spacing w:val="-4"/>
                <w:szCs w:val="20"/>
                <w:lang w:val="en-GB"/>
              </w:rPr>
              <w:t>looking for full-time employment in the week prior to the survey. This includes those in part-time employment and looking for full-time work in the week prior to the survey.</w:t>
            </w:r>
          </w:p>
        </w:tc>
      </w:tr>
      <w:tr w:rsidR="00AF2DF0" w:rsidRPr="005A3AFE" w14:paraId="11837876" w14:textId="77777777" w:rsidTr="00E57178">
        <w:tc>
          <w:tcPr>
            <w:tcW w:w="4248" w:type="dxa"/>
            <w:tcMar>
              <w:top w:w="44" w:type="dxa"/>
              <w:left w:w="86" w:type="dxa"/>
              <w:bottom w:w="86" w:type="dxa"/>
              <w:right w:w="44" w:type="dxa"/>
            </w:tcMar>
            <w:hideMark/>
          </w:tcPr>
          <w:p w14:paraId="62DFCE8D"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Employed</w:t>
            </w:r>
          </w:p>
        </w:tc>
        <w:tc>
          <w:tcPr>
            <w:tcW w:w="6230" w:type="dxa"/>
            <w:tcMar>
              <w:top w:w="44" w:type="dxa"/>
              <w:left w:w="86" w:type="dxa"/>
              <w:bottom w:w="86" w:type="dxa"/>
              <w:right w:w="44" w:type="dxa"/>
            </w:tcMar>
            <w:hideMark/>
          </w:tcPr>
          <w:p w14:paraId="3F03D808"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 xml:space="preserve">Graduates who were usually or actually in paid employment for one or more hours in the week before the survey. </w:t>
            </w:r>
          </w:p>
        </w:tc>
      </w:tr>
      <w:tr w:rsidR="00AF2DF0" w:rsidRPr="005A3AFE" w14:paraId="2DFDAA27" w14:textId="77777777" w:rsidTr="00E57178">
        <w:tc>
          <w:tcPr>
            <w:tcW w:w="4248" w:type="dxa"/>
            <w:tcMar>
              <w:top w:w="44" w:type="dxa"/>
              <w:left w:w="86" w:type="dxa"/>
              <w:bottom w:w="86" w:type="dxa"/>
              <w:right w:w="44" w:type="dxa"/>
            </w:tcMar>
            <w:hideMark/>
          </w:tcPr>
          <w:p w14:paraId="7BB0FA44"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Employed full-time</w:t>
            </w:r>
          </w:p>
        </w:tc>
        <w:tc>
          <w:tcPr>
            <w:tcW w:w="6230" w:type="dxa"/>
            <w:tcMar>
              <w:top w:w="44" w:type="dxa"/>
              <w:left w:w="86" w:type="dxa"/>
              <w:bottom w:w="86" w:type="dxa"/>
              <w:right w:w="44" w:type="dxa"/>
            </w:tcMar>
            <w:hideMark/>
          </w:tcPr>
          <w:p w14:paraId="4F7DF3C5"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Graduates who were usually or actually in paid employment for at least 35 hours per week in the week before the survey.</w:t>
            </w:r>
          </w:p>
        </w:tc>
      </w:tr>
      <w:tr w:rsidR="00AF2DF0" w:rsidRPr="005A3AFE" w14:paraId="12C265D9" w14:textId="77777777" w:rsidTr="00E57178">
        <w:tc>
          <w:tcPr>
            <w:tcW w:w="4248" w:type="dxa"/>
            <w:tcMar>
              <w:top w:w="44" w:type="dxa"/>
              <w:left w:w="86" w:type="dxa"/>
              <w:bottom w:w="86" w:type="dxa"/>
              <w:right w:w="44" w:type="dxa"/>
            </w:tcMar>
          </w:tcPr>
          <w:p w14:paraId="77756EFC"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Employed part-time</w:t>
            </w:r>
          </w:p>
        </w:tc>
        <w:tc>
          <w:tcPr>
            <w:tcW w:w="6230" w:type="dxa"/>
            <w:tcMar>
              <w:top w:w="44" w:type="dxa"/>
              <w:left w:w="86" w:type="dxa"/>
              <w:bottom w:w="86" w:type="dxa"/>
              <w:right w:w="44" w:type="dxa"/>
            </w:tcMar>
          </w:tcPr>
          <w:p w14:paraId="6F2FAB10" w14:textId="77777777" w:rsidR="00AF2DF0" w:rsidRPr="00E57178" w:rsidRDefault="00AF2DF0" w:rsidP="00A869B4">
            <w:pPr>
              <w:spacing w:before="50" w:after="50"/>
              <w:ind w:left="28" w:right="28"/>
              <w:rPr>
                <w:rFonts w:eastAsia="Yu Gothic" w:cs="Arial"/>
                <w:spacing w:val="-4"/>
                <w:szCs w:val="20"/>
                <w:lang w:val="en-GB"/>
              </w:rPr>
            </w:pPr>
            <w:r w:rsidRPr="00E57178">
              <w:rPr>
                <w:rFonts w:eastAsia="Yu Gothic" w:cs="Arial"/>
                <w:spacing w:val="-4"/>
                <w:szCs w:val="20"/>
                <w:lang w:val="en-GB"/>
              </w:rPr>
              <w:t>Graduates who were usually or actually in paid employment for</w:t>
            </w:r>
            <w:r w:rsidRPr="00E57178">
              <w:rPr>
                <w:rFonts w:ascii="Aptos Display" w:eastAsia="Yu Gothic" w:hAnsi="Aptos Display" w:cs="Gotham-Light"/>
                <w:color w:val="000A23"/>
                <w:spacing w:val="-4"/>
                <w:szCs w:val="20"/>
                <w:lang w:val="en-GB"/>
              </w:rPr>
              <w:t xml:space="preserve"> </w:t>
            </w:r>
            <w:r w:rsidRPr="00E57178">
              <w:rPr>
                <w:rFonts w:eastAsia="Yu Gothic" w:cs="Arial"/>
                <w:spacing w:val="-4"/>
                <w:szCs w:val="20"/>
                <w:lang w:val="en-GB"/>
              </w:rPr>
              <w:t>at least one hour but less than 35 hours in the week before the survey.</w:t>
            </w:r>
          </w:p>
        </w:tc>
      </w:tr>
      <w:tr w:rsidR="00AF2DF0" w:rsidRPr="005A3AFE" w14:paraId="10750A39" w14:textId="77777777" w:rsidTr="00E57178">
        <w:tc>
          <w:tcPr>
            <w:tcW w:w="4248" w:type="dxa"/>
            <w:tcMar>
              <w:top w:w="44" w:type="dxa"/>
              <w:left w:w="86" w:type="dxa"/>
              <w:bottom w:w="86" w:type="dxa"/>
              <w:right w:w="44" w:type="dxa"/>
            </w:tcMar>
          </w:tcPr>
          <w:p w14:paraId="46C9F200"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Full-time employment rate</w:t>
            </w:r>
          </w:p>
        </w:tc>
        <w:tc>
          <w:tcPr>
            <w:tcW w:w="6230" w:type="dxa"/>
            <w:tcMar>
              <w:top w:w="44" w:type="dxa"/>
              <w:left w:w="86" w:type="dxa"/>
              <w:bottom w:w="86" w:type="dxa"/>
              <w:right w:w="44" w:type="dxa"/>
            </w:tcMar>
          </w:tcPr>
          <w:p w14:paraId="4C55BE5E"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Graduates employed full-time, as a proportion of those available for full-time work. Note that some graduates available for full-time work may be in part-time employment and looking for full-time work.</w:t>
            </w:r>
          </w:p>
        </w:tc>
      </w:tr>
      <w:tr w:rsidR="00AF2DF0" w:rsidRPr="005A3AFE" w14:paraId="1EA7485E" w14:textId="77777777" w:rsidTr="00E57178">
        <w:tc>
          <w:tcPr>
            <w:tcW w:w="4248" w:type="dxa"/>
            <w:tcMar>
              <w:top w:w="44" w:type="dxa"/>
              <w:left w:w="86" w:type="dxa"/>
              <w:bottom w:w="86" w:type="dxa"/>
              <w:right w:w="44" w:type="dxa"/>
            </w:tcMar>
          </w:tcPr>
          <w:p w14:paraId="7515D9A9"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Further full-time study rate</w:t>
            </w:r>
          </w:p>
        </w:tc>
        <w:tc>
          <w:tcPr>
            <w:tcW w:w="6230" w:type="dxa"/>
            <w:tcMar>
              <w:top w:w="44" w:type="dxa"/>
              <w:left w:w="86" w:type="dxa"/>
              <w:bottom w:w="86" w:type="dxa"/>
              <w:right w:w="44" w:type="dxa"/>
            </w:tcMar>
          </w:tcPr>
          <w:p w14:paraId="624C27FF" w14:textId="77777777" w:rsidR="00AF2DF0" w:rsidRPr="00E57178" w:rsidRDefault="00AF2DF0" w:rsidP="00A869B4">
            <w:pPr>
              <w:spacing w:before="50" w:after="50"/>
              <w:ind w:left="28" w:right="28"/>
              <w:rPr>
                <w:rFonts w:eastAsia="Yu Gothic" w:cs="Arial"/>
                <w:szCs w:val="20"/>
                <w:lang w:val="en-GB"/>
              </w:rPr>
            </w:pPr>
            <w:bookmarkStart w:id="257" w:name="_Hlk153201430"/>
            <w:r w:rsidRPr="00E57178">
              <w:rPr>
                <w:rFonts w:eastAsia="Yu Gothic" w:cs="Arial"/>
                <w:szCs w:val="20"/>
                <w:lang w:val="en-GB"/>
              </w:rPr>
              <w:t>Graduates who reported being in further full-time study, as a proportion of all graduates.</w:t>
            </w:r>
            <w:bookmarkEnd w:id="257"/>
          </w:p>
        </w:tc>
      </w:tr>
      <w:tr w:rsidR="00AF2DF0" w:rsidRPr="005A3AFE" w14:paraId="0ABC97DD" w14:textId="77777777" w:rsidTr="00E57178">
        <w:tc>
          <w:tcPr>
            <w:tcW w:w="4248" w:type="dxa"/>
            <w:tcMar>
              <w:top w:w="44" w:type="dxa"/>
              <w:left w:w="86" w:type="dxa"/>
              <w:bottom w:w="86" w:type="dxa"/>
              <w:right w:w="44" w:type="dxa"/>
            </w:tcMar>
          </w:tcPr>
          <w:p w14:paraId="128FF2C0"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Labour force participation rate</w:t>
            </w:r>
          </w:p>
        </w:tc>
        <w:tc>
          <w:tcPr>
            <w:tcW w:w="6230" w:type="dxa"/>
            <w:tcMar>
              <w:top w:w="44" w:type="dxa"/>
              <w:left w:w="86" w:type="dxa"/>
              <w:bottom w:w="86" w:type="dxa"/>
              <w:right w:w="44" w:type="dxa"/>
            </w:tcMar>
          </w:tcPr>
          <w:p w14:paraId="376076DC" w14:textId="77777777" w:rsidR="00AF2DF0" w:rsidRPr="00E57178" w:rsidRDefault="00AF2DF0" w:rsidP="00A869B4">
            <w:pPr>
              <w:spacing w:before="50" w:after="50"/>
              <w:ind w:left="28" w:right="28"/>
              <w:rPr>
                <w:rFonts w:eastAsia="Yu Gothic" w:cs="Arial"/>
                <w:spacing w:val="-4"/>
                <w:szCs w:val="20"/>
                <w:lang w:val="en-GB"/>
              </w:rPr>
            </w:pPr>
            <w:r w:rsidRPr="00E57178">
              <w:rPr>
                <w:rFonts w:eastAsia="Yu Gothic" w:cs="Arial"/>
                <w:spacing w:val="-4"/>
                <w:szCs w:val="20"/>
                <w:lang w:val="en-GB"/>
              </w:rPr>
              <w:t>Graduates available for employment, as a proportion of all graduates.</w:t>
            </w:r>
          </w:p>
        </w:tc>
      </w:tr>
      <w:tr w:rsidR="00AF2DF0" w:rsidRPr="005A3AFE" w14:paraId="5ACE11BA" w14:textId="77777777" w:rsidTr="00E57178">
        <w:tc>
          <w:tcPr>
            <w:tcW w:w="4248" w:type="dxa"/>
            <w:tcMar>
              <w:top w:w="44" w:type="dxa"/>
              <w:left w:w="86" w:type="dxa"/>
              <w:bottom w:w="86" w:type="dxa"/>
              <w:right w:w="44" w:type="dxa"/>
            </w:tcMar>
          </w:tcPr>
          <w:p w14:paraId="001AA6C5"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Median salary</w:t>
            </w:r>
          </w:p>
        </w:tc>
        <w:tc>
          <w:tcPr>
            <w:tcW w:w="6230" w:type="dxa"/>
            <w:tcMar>
              <w:top w:w="44" w:type="dxa"/>
              <w:left w:w="86" w:type="dxa"/>
              <w:bottom w:w="86" w:type="dxa"/>
              <w:right w:w="44" w:type="dxa"/>
            </w:tcMar>
          </w:tcPr>
          <w:p w14:paraId="197C90DC"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The median annual salary of graduates employed full-time.</w:t>
            </w:r>
          </w:p>
        </w:tc>
      </w:tr>
      <w:tr w:rsidR="00AF2DF0" w:rsidRPr="005A3AFE" w14:paraId="75C0B984" w14:textId="77777777" w:rsidTr="00E57178">
        <w:tc>
          <w:tcPr>
            <w:tcW w:w="4248" w:type="dxa"/>
            <w:tcMar>
              <w:top w:w="44" w:type="dxa"/>
              <w:left w:w="86" w:type="dxa"/>
              <w:bottom w:w="86" w:type="dxa"/>
              <w:right w:w="44" w:type="dxa"/>
            </w:tcMar>
          </w:tcPr>
          <w:p w14:paraId="2E8AF18E" w14:textId="77777777" w:rsidR="00AF2DF0" w:rsidRPr="00E57178" w:rsidRDefault="00AF2DF0" w:rsidP="00A869B4">
            <w:pPr>
              <w:spacing w:before="50" w:after="50"/>
              <w:ind w:left="28" w:right="28"/>
              <w:rPr>
                <w:rFonts w:eastAsia="Yu Gothic" w:cs="Arial"/>
                <w:spacing w:val="-4"/>
                <w:szCs w:val="20"/>
                <w:lang w:val="en-GB"/>
              </w:rPr>
            </w:pPr>
            <w:r w:rsidRPr="00E57178">
              <w:rPr>
                <w:rFonts w:eastAsia="Yu Gothic" w:cs="Arial"/>
                <w:spacing w:val="-4"/>
                <w:szCs w:val="20"/>
                <w:lang w:val="en-GB"/>
              </w:rPr>
              <w:t>Overall course satisfaction indicator (Undergraduate and postgraduate coursework)</w:t>
            </w:r>
          </w:p>
        </w:tc>
        <w:tc>
          <w:tcPr>
            <w:tcW w:w="6230" w:type="dxa"/>
            <w:tcMar>
              <w:top w:w="44" w:type="dxa"/>
              <w:left w:w="86" w:type="dxa"/>
              <w:bottom w:w="86" w:type="dxa"/>
              <w:right w:w="44" w:type="dxa"/>
            </w:tcMar>
          </w:tcPr>
          <w:p w14:paraId="2361B09A"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The proportion of graduates who ‘agreed’ or ‘strongly agreed’ that they were satisfied with the overall quality of their course.</w:t>
            </w:r>
          </w:p>
        </w:tc>
      </w:tr>
      <w:tr w:rsidR="00AF2DF0" w:rsidRPr="005A3AFE" w14:paraId="4C9FB634" w14:textId="77777777" w:rsidTr="00E57178">
        <w:tc>
          <w:tcPr>
            <w:tcW w:w="4248" w:type="dxa"/>
            <w:tcMar>
              <w:top w:w="44" w:type="dxa"/>
              <w:left w:w="86" w:type="dxa"/>
              <w:bottom w:w="86" w:type="dxa"/>
              <w:right w:w="44" w:type="dxa"/>
            </w:tcMar>
          </w:tcPr>
          <w:p w14:paraId="7D99F848"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Overall employment rate</w:t>
            </w:r>
          </w:p>
        </w:tc>
        <w:tc>
          <w:tcPr>
            <w:tcW w:w="6230" w:type="dxa"/>
            <w:tcMar>
              <w:top w:w="44" w:type="dxa"/>
              <w:left w:w="86" w:type="dxa"/>
              <w:bottom w:w="86" w:type="dxa"/>
              <w:right w:w="44" w:type="dxa"/>
            </w:tcMar>
          </w:tcPr>
          <w:p w14:paraId="16D6E1C3"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Graduates employed for one or more hours, as a proportion of those available for employment.</w:t>
            </w:r>
          </w:p>
        </w:tc>
      </w:tr>
      <w:tr w:rsidR="00AF2DF0" w:rsidRPr="005A3AFE" w14:paraId="45004B85" w14:textId="77777777" w:rsidTr="00E57178">
        <w:tc>
          <w:tcPr>
            <w:tcW w:w="4248" w:type="dxa"/>
            <w:tcMar>
              <w:top w:w="44" w:type="dxa"/>
              <w:left w:w="86" w:type="dxa"/>
              <w:bottom w:w="86" w:type="dxa"/>
              <w:right w:w="44" w:type="dxa"/>
            </w:tcMar>
          </w:tcPr>
          <w:p w14:paraId="261DC3DB" w14:textId="77777777" w:rsidR="00AF2DF0" w:rsidRPr="00EB29BD" w:rsidRDefault="00AF2DF0" w:rsidP="00A869B4">
            <w:pPr>
              <w:spacing w:before="50" w:after="50"/>
              <w:ind w:left="28" w:right="28"/>
              <w:rPr>
                <w:rFonts w:eastAsia="Yu Gothic" w:cs="Arial"/>
                <w:spacing w:val="-2"/>
                <w:szCs w:val="20"/>
                <w:lang w:val="en-GB"/>
              </w:rPr>
            </w:pPr>
            <w:bookmarkStart w:id="258" w:name="_Hlk153201747"/>
            <w:r w:rsidRPr="00EB29BD">
              <w:rPr>
                <w:rFonts w:eastAsia="Yu Gothic" w:cs="Arial"/>
                <w:spacing w:val="-2"/>
                <w:szCs w:val="20"/>
                <w:lang w:val="en-GB"/>
              </w:rPr>
              <w:t>Postgraduate research graduate satisfaction:</w:t>
            </w:r>
          </w:p>
          <w:p w14:paraId="5EEF6FAA"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Overall satisfaction</w:t>
            </w:r>
          </w:p>
          <w:p w14:paraId="229BB50F"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Intellectual climate</w:t>
            </w:r>
          </w:p>
          <w:p w14:paraId="4A7DD44B"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Infrastructure</w:t>
            </w:r>
          </w:p>
          <w:p w14:paraId="584624E6"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Goals and expectations</w:t>
            </w:r>
          </w:p>
          <w:p w14:paraId="16027BBA"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Supervision</w:t>
            </w:r>
          </w:p>
          <w:p w14:paraId="78513ED2"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Skills development</w:t>
            </w:r>
          </w:p>
          <w:p w14:paraId="5FE3FD97"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Thesis examination and industry, and</w:t>
            </w:r>
          </w:p>
          <w:p w14:paraId="48847B12" w14:textId="77777777" w:rsidR="00AF2DF0" w:rsidRPr="00EB29BD" w:rsidRDefault="00AF2DF0" w:rsidP="00A869B4">
            <w:pPr>
              <w:numPr>
                <w:ilvl w:val="0"/>
                <w:numId w:val="35"/>
              </w:numPr>
              <w:spacing w:before="50" w:after="50"/>
              <w:ind w:left="28" w:right="28"/>
              <w:rPr>
                <w:rFonts w:eastAsia="Yu Gothic" w:cs="Arial"/>
                <w:spacing w:val="-2"/>
                <w:szCs w:val="20"/>
                <w:lang w:val="en-GB"/>
              </w:rPr>
            </w:pPr>
            <w:r w:rsidRPr="00EB29BD">
              <w:rPr>
                <w:rFonts w:eastAsia="Yu Gothic" w:cs="Arial"/>
                <w:spacing w:val="-2"/>
                <w:szCs w:val="20"/>
                <w:lang w:val="en-GB"/>
              </w:rPr>
              <w:t>External engagement.</w:t>
            </w:r>
          </w:p>
        </w:tc>
        <w:tc>
          <w:tcPr>
            <w:tcW w:w="6230" w:type="dxa"/>
            <w:tcMar>
              <w:top w:w="44" w:type="dxa"/>
              <w:left w:w="86" w:type="dxa"/>
              <w:bottom w:w="86" w:type="dxa"/>
              <w:right w:w="44" w:type="dxa"/>
            </w:tcMar>
          </w:tcPr>
          <w:p w14:paraId="1D724CFD"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Calculated from multiple survey items, representing the proportion of graduates who gave a positive response to items associated with each aspect of their higher degree by research (HDR) experience.</w:t>
            </w:r>
          </w:p>
        </w:tc>
      </w:tr>
      <w:bookmarkEnd w:id="258"/>
      <w:tr w:rsidR="00AF2DF0" w:rsidRPr="005A3AFE" w14:paraId="6AC0839A" w14:textId="77777777" w:rsidTr="00E57178">
        <w:tc>
          <w:tcPr>
            <w:tcW w:w="4248" w:type="dxa"/>
            <w:tcMar>
              <w:top w:w="44" w:type="dxa"/>
              <w:left w:w="86" w:type="dxa"/>
              <w:bottom w:w="86" w:type="dxa"/>
              <w:right w:w="44" w:type="dxa"/>
            </w:tcMar>
          </w:tcPr>
          <w:p w14:paraId="375DFD57"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Underemployed</w:t>
            </w:r>
          </w:p>
        </w:tc>
        <w:tc>
          <w:tcPr>
            <w:tcW w:w="6230" w:type="dxa"/>
            <w:tcMar>
              <w:top w:w="44" w:type="dxa"/>
              <w:left w:w="86" w:type="dxa"/>
              <w:bottom w:w="86" w:type="dxa"/>
              <w:right w:w="44" w:type="dxa"/>
            </w:tcMar>
            <w:vAlign w:val="center"/>
          </w:tcPr>
          <w:p w14:paraId="2BCCCC25" w14:textId="77777777" w:rsidR="00AF2DF0" w:rsidRPr="00EB29BD" w:rsidRDefault="00AF2DF0" w:rsidP="00A869B4">
            <w:pPr>
              <w:spacing w:before="50" w:after="50"/>
              <w:ind w:left="28" w:right="28"/>
              <w:rPr>
                <w:rFonts w:eastAsia="Yu Gothic" w:cs="Arial"/>
                <w:spacing w:val="-2"/>
                <w:szCs w:val="20"/>
                <w:lang w:val="en-GB"/>
              </w:rPr>
            </w:pPr>
            <w:r w:rsidRPr="00EB29BD">
              <w:rPr>
                <w:rFonts w:eastAsia="Yu Gothic" w:cs="Arial"/>
                <w:spacing w:val="-2"/>
                <w:szCs w:val="20"/>
                <w:lang w:val="en-GB"/>
              </w:rPr>
              <w:t>Graduates who were usually or actually in paid employment for fewer than 35 hours per week, in the week before the survey, and who would prefer to work additional hours regardless of if they were available to work those additional hours.</w:t>
            </w:r>
          </w:p>
        </w:tc>
      </w:tr>
    </w:tbl>
    <w:p w14:paraId="7DAB0903" w14:textId="77777777" w:rsidR="00AF2DF0" w:rsidRPr="005A3AFE" w:rsidRDefault="00AF2DF0" w:rsidP="00A869B4">
      <w:pPr>
        <w:pStyle w:val="BaseFigureNotes"/>
        <w:rPr>
          <w:lang w:val="en-GB" w:eastAsia="en-GB"/>
        </w:rPr>
      </w:pPr>
      <w:bookmarkStart w:id="259" w:name="_Toc500947613"/>
      <w:bookmarkStart w:id="260" w:name="_Toc500949068"/>
      <w:bookmarkStart w:id="261" w:name="_Toc500949338"/>
      <w:bookmarkStart w:id="262" w:name="_Toc528315531"/>
      <w:bookmarkStart w:id="263" w:name="_Toc22810107"/>
      <w:bookmarkStart w:id="264" w:name="_Toc22810196"/>
      <w:bookmarkStart w:id="265" w:name="_Toc22825145"/>
      <w:bookmarkStart w:id="266" w:name="_Toc112745310"/>
      <w:bookmarkStart w:id="267" w:name="_Toc191481323"/>
      <w:r w:rsidRPr="005A3AFE">
        <w:rPr>
          <w:lang w:val="en-GB" w:eastAsia="en-GB"/>
        </w:rPr>
        <w:t>† From 2025 onwards, respondents who were not currently working and only passively looking for work are no longer considered to be available for employment. Prior to 2025,</w:t>
      </w:r>
      <w:r w:rsidRPr="005A3AFE">
        <w:rPr>
          <w:rFonts w:cs="Times New Roman"/>
          <w:lang w:val="en-GB" w:eastAsia="en-GB"/>
        </w:rPr>
        <w:t xml:space="preserve"> </w:t>
      </w:r>
      <w:r w:rsidRPr="005A3AFE">
        <w:rPr>
          <w:lang w:val="en-GB" w:eastAsia="en-GB"/>
        </w:rPr>
        <w:t>both active and passive job search types were included.</w:t>
      </w:r>
    </w:p>
    <w:p w14:paraId="2585B84B" w14:textId="77777777" w:rsidR="00AF2DF0" w:rsidRPr="002A2D85" w:rsidRDefault="00AF2DF0" w:rsidP="007A24F8">
      <w:pPr>
        <w:pStyle w:val="Appendix2"/>
        <w:spacing w:after="160"/>
        <w:ind w:left="1134"/>
        <w:rPr>
          <w:color w:val="5D6C16" w:themeColor="accent1" w:themeShade="80"/>
        </w:rPr>
      </w:pPr>
      <w:bookmarkStart w:id="268" w:name="_Toc215068912"/>
      <w:bookmarkStart w:id="269" w:name="_Toc243492358"/>
      <w:r w:rsidRPr="002A2D85">
        <w:rPr>
          <w:color w:val="5D6C16" w:themeColor="accent1" w:themeShade="80"/>
        </w:rPr>
        <w:lastRenderedPageBreak/>
        <w:t>Examples of graduate labour market outcomes</w:t>
      </w:r>
      <w:bookmarkEnd w:id="259"/>
      <w:bookmarkEnd w:id="260"/>
      <w:bookmarkEnd w:id="261"/>
      <w:bookmarkEnd w:id="262"/>
      <w:bookmarkEnd w:id="263"/>
      <w:bookmarkEnd w:id="264"/>
      <w:bookmarkEnd w:id="265"/>
      <w:bookmarkEnd w:id="266"/>
      <w:bookmarkEnd w:id="267"/>
      <w:bookmarkEnd w:id="268"/>
      <w:bookmarkEnd w:id="269"/>
    </w:p>
    <w:p w14:paraId="4EAA2BA5" w14:textId="7B7F0FD2" w:rsidR="00853C50" w:rsidRPr="005A3AFE" w:rsidRDefault="00853C50" w:rsidP="00AF2DF0">
      <w:pPr>
        <w:spacing w:before="120" w:after="120" w:line="300" w:lineRule="auto"/>
        <w:rPr>
          <w:rFonts w:eastAsia="Times New Roman" w:cs="Times New Roman"/>
          <w:szCs w:val="20"/>
        </w:rPr>
      </w:pPr>
      <w:bookmarkStart w:id="270" w:name="_Toc22200392"/>
      <w:bookmarkStart w:id="271" w:name="_Toc22200394"/>
      <w:r w:rsidRPr="005A3AFE">
        <w:rPr>
          <w:rFonts w:eastAsia="Times New Roman" w:cs="Times New Roman"/>
          <w:szCs w:val="20"/>
        </w:rPr>
        <w:t>The names and examples used in this report are fictitious and are provided for illustrative purposes only.</w:t>
      </w:r>
    </w:p>
    <w:p w14:paraId="15FBE6FF" w14:textId="6AEE2FBC" w:rsidR="00AF2DF0" w:rsidRPr="005A3AFE" w:rsidRDefault="00AF2DF0" w:rsidP="00AF2DF0">
      <w:pPr>
        <w:spacing w:before="120" w:after="120" w:line="300" w:lineRule="auto"/>
        <w:rPr>
          <w:rFonts w:eastAsia="Times New Roman" w:cs="Times New Roman"/>
          <w:szCs w:val="20"/>
        </w:rPr>
      </w:pPr>
      <w:r w:rsidRPr="005A3AFE">
        <w:rPr>
          <w:rFonts w:eastAsia="Times New Roman" w:cs="Times New Roman"/>
          <w:b/>
          <w:bCs/>
          <w:szCs w:val="20"/>
        </w:rPr>
        <w:t>Amy</w:t>
      </w:r>
      <w:r w:rsidRPr="005A3AFE">
        <w:rPr>
          <w:rFonts w:eastAsia="Times New Roman" w:cs="Times New Roman"/>
          <w:szCs w:val="20"/>
        </w:rPr>
        <w:t xml:space="preserve"> works 37 hours a week. Amy is both ‘available for employment’ and ‘available for full-time employment’, as well as both ‘employed’ and ‘employed full-time’. Amy is counted towards the labour force participation rate. Amy’s usual salary is counted towards the median salary figure.</w:t>
      </w:r>
      <w:bookmarkEnd w:id="270"/>
    </w:p>
    <w:p w14:paraId="7BD97EA1" w14:textId="77777777" w:rsidR="00AF2DF0" w:rsidRPr="005A3AFE" w:rsidRDefault="00AF2DF0" w:rsidP="00AF2DF0">
      <w:pPr>
        <w:spacing w:before="120" w:after="120" w:line="300" w:lineRule="auto"/>
        <w:rPr>
          <w:rFonts w:eastAsia="Times New Roman" w:cs="Times New Roman"/>
          <w:szCs w:val="20"/>
        </w:rPr>
      </w:pPr>
      <w:bookmarkStart w:id="272" w:name="_Toc22200393"/>
      <w:r w:rsidRPr="005A3AFE">
        <w:rPr>
          <w:rFonts w:eastAsia="Times New Roman" w:cs="Times New Roman"/>
          <w:b/>
          <w:bCs/>
          <w:szCs w:val="20"/>
        </w:rPr>
        <w:t>Bryan</w:t>
      </w:r>
      <w:r w:rsidRPr="005A3AFE">
        <w:rPr>
          <w:rFonts w:eastAsia="Times New Roman" w:cs="Times New Roman"/>
          <w:szCs w:val="20"/>
        </w:rPr>
        <w:t xml:space="preserve"> works 20 hours a week while also studying full-time. He does not want to work additional hours. Bryan is ‘available for employment’, ‘employed’ and ‘employed part-time’ but is not ‘available for full-time work’ or ‘employed full-time’. Bryan is counted towards the full-time study rate, overall employment rate and the labour force participation rate. Bryan’s salary is not counted towards the median salary figure.</w:t>
      </w:r>
      <w:bookmarkEnd w:id="272"/>
      <w:r w:rsidRPr="005A3AFE">
        <w:rPr>
          <w:rFonts w:eastAsia="Times New Roman" w:cs="Times New Roman"/>
          <w:szCs w:val="20"/>
        </w:rPr>
        <w:t xml:space="preserve"> Bryan is not considered ‘underemployed’.</w:t>
      </w:r>
    </w:p>
    <w:bookmarkEnd w:id="271"/>
    <w:p w14:paraId="61DBD6F4" w14:textId="77777777" w:rsidR="00AF2DF0" w:rsidRPr="005A3AFE" w:rsidRDefault="00AF2DF0" w:rsidP="00AF2DF0">
      <w:pPr>
        <w:spacing w:before="120" w:after="120" w:line="300" w:lineRule="auto"/>
        <w:rPr>
          <w:rFonts w:eastAsia="Times New Roman" w:cs="Times New Roman"/>
          <w:szCs w:val="20"/>
        </w:rPr>
      </w:pPr>
      <w:r w:rsidRPr="005A3AFE">
        <w:rPr>
          <w:rFonts w:eastAsia="Times New Roman" w:cs="Times New Roman"/>
          <w:b/>
          <w:bCs/>
          <w:szCs w:val="20"/>
        </w:rPr>
        <w:t>Krishna</w:t>
      </w:r>
      <w:r w:rsidRPr="005A3AFE">
        <w:rPr>
          <w:rFonts w:eastAsia="Times New Roman" w:cs="Times New Roman"/>
          <w:szCs w:val="20"/>
        </w:rPr>
        <w:t xml:space="preserve"> works 6 hours a week but would prefer to work 40 hours per week. Krishna is both ‘available for employment’ and ‘available for full-time employment’. Krishna is ‘employed’ and ‘employed part-time’ but not ‘employed full-time’. Krishna is also considered ‘underemployed’. Krishna is counted towards the labour force participation rate. Krishna’s salary is not counted towards the median salary figure.</w:t>
      </w:r>
    </w:p>
    <w:p w14:paraId="49D24135" w14:textId="578BD678" w:rsidR="00AF2DF0" w:rsidRPr="005A3AFE" w:rsidRDefault="00AF2DF0" w:rsidP="00AF2DF0">
      <w:pPr>
        <w:spacing w:before="120" w:after="120" w:line="300" w:lineRule="auto"/>
        <w:rPr>
          <w:rFonts w:eastAsia="Times New Roman" w:cs="Times New Roman"/>
          <w:szCs w:val="20"/>
        </w:rPr>
      </w:pPr>
      <w:bookmarkStart w:id="273" w:name="_Toc22200395"/>
      <w:r w:rsidRPr="005A3AFE">
        <w:rPr>
          <w:rFonts w:eastAsia="Times New Roman" w:cs="Times New Roman"/>
          <w:b/>
          <w:bCs/>
          <w:szCs w:val="20"/>
        </w:rPr>
        <w:t>Dilek</w:t>
      </w:r>
      <w:r w:rsidRPr="005A3AFE">
        <w:rPr>
          <w:rFonts w:eastAsia="Times New Roman" w:cs="Times New Roman"/>
          <w:szCs w:val="20"/>
        </w:rPr>
        <w:t xml:space="preserve"> is studying full-time and is neither working nor looking for work. Dilek is ‘not available for employment’ and therefore is not counted towards the labour force participation rate.</w:t>
      </w:r>
      <w:r w:rsidR="004A4B01">
        <w:rPr>
          <w:rFonts w:eastAsia="Times New Roman" w:cs="Times New Roman"/>
          <w:szCs w:val="20"/>
        </w:rPr>
        <w:t xml:space="preserve"> </w:t>
      </w:r>
      <w:r w:rsidR="00962D63">
        <w:rPr>
          <w:rFonts w:eastAsia="Times New Roman" w:cs="Times New Roman"/>
          <w:szCs w:val="20"/>
        </w:rPr>
        <w:t>Although h</w:t>
      </w:r>
      <w:r w:rsidR="004A4B01">
        <w:rPr>
          <w:rFonts w:eastAsia="Times New Roman" w:cs="Times New Roman"/>
          <w:szCs w:val="20"/>
        </w:rPr>
        <w:t xml:space="preserve">e is not </w:t>
      </w:r>
      <w:r w:rsidR="00962D63">
        <w:rPr>
          <w:rFonts w:eastAsia="Times New Roman" w:cs="Times New Roman"/>
          <w:szCs w:val="20"/>
        </w:rPr>
        <w:t>‘</w:t>
      </w:r>
      <w:r w:rsidR="004A4B01">
        <w:rPr>
          <w:rFonts w:eastAsia="Times New Roman" w:cs="Times New Roman"/>
          <w:szCs w:val="20"/>
        </w:rPr>
        <w:t>employed’, he is not considered ‘unemployed’.</w:t>
      </w:r>
      <w:r w:rsidRPr="005A3AFE">
        <w:rPr>
          <w:rFonts w:eastAsia="Times New Roman" w:cs="Times New Roman"/>
          <w:szCs w:val="20"/>
        </w:rPr>
        <w:t xml:space="preserve"> However, Dilek is counted towards the full-time study rate.</w:t>
      </w:r>
      <w:bookmarkEnd w:id="273"/>
    </w:p>
    <w:p w14:paraId="221C5DAE" w14:textId="77777777" w:rsidR="00AF2DF0" w:rsidRPr="005A3AFE" w:rsidRDefault="00AF2DF0" w:rsidP="00AF2DF0">
      <w:pPr>
        <w:spacing w:before="120" w:after="120" w:line="300" w:lineRule="auto"/>
        <w:rPr>
          <w:rFonts w:eastAsia="Times New Roman" w:cs="Times New Roman"/>
          <w:szCs w:val="20"/>
        </w:rPr>
      </w:pPr>
      <w:bookmarkStart w:id="274" w:name="_Toc22200396"/>
      <w:r w:rsidRPr="005A3AFE">
        <w:rPr>
          <w:rFonts w:eastAsia="Times New Roman" w:cs="Times New Roman"/>
          <w:b/>
          <w:bCs/>
          <w:szCs w:val="20"/>
        </w:rPr>
        <w:t>Emily</w:t>
      </w:r>
      <w:r w:rsidRPr="005A3AFE">
        <w:rPr>
          <w:rFonts w:eastAsia="Times New Roman" w:cs="Times New Roman"/>
          <w:szCs w:val="20"/>
        </w:rPr>
        <w:t xml:space="preserve"> is not working but she has been actively looking for full-time work. Emily is both ‘available for employment’ and ‘available for full-time employment’. Emily is counted towards the labour force participation rate. However, Emily is neither ‘employed’ nor ‘employed full-time’ and can also be referred to as ‘unemployed’.</w:t>
      </w:r>
      <w:bookmarkEnd w:id="274"/>
    </w:p>
    <w:p w14:paraId="07F679BC" w14:textId="57B2FC29" w:rsidR="00F5724A" w:rsidRDefault="00AF2DF0" w:rsidP="00AF2DF0">
      <w:pPr>
        <w:spacing w:before="120" w:after="120" w:line="300" w:lineRule="auto"/>
        <w:rPr>
          <w:rFonts w:eastAsia="Times New Roman" w:cs="Times New Roman"/>
          <w:szCs w:val="20"/>
        </w:rPr>
      </w:pPr>
      <w:r w:rsidRPr="005A3AFE">
        <w:rPr>
          <w:rFonts w:eastAsia="Times New Roman" w:cs="Times New Roman"/>
          <w:b/>
          <w:bCs/>
          <w:szCs w:val="20"/>
        </w:rPr>
        <w:t xml:space="preserve">Xavier </w:t>
      </w:r>
      <w:r w:rsidRPr="005A3AFE">
        <w:rPr>
          <w:rFonts w:eastAsia="Times New Roman" w:cs="Times New Roman"/>
          <w:szCs w:val="20"/>
        </w:rPr>
        <w:t>is studying full-time and not currently working. He occasionally looks at job ads online but he has not actively looked for a job, such as registered with an employment agency, submitted an application, or asked friends and relatives for assistance in finding a job. Xavier is counted towards the full-time study rate but he is not considered ‘available for employment’ or ‘available for full-time employment’, and he is not counted towards the labour force participation rate.</w:t>
      </w:r>
    </w:p>
    <w:p w14:paraId="3542A45E" w14:textId="135E7337" w:rsidR="00F5724A" w:rsidRPr="005A3AFE" w:rsidRDefault="00F5724A" w:rsidP="00AF2DF0">
      <w:pPr>
        <w:spacing w:before="120" w:after="120" w:line="300" w:lineRule="auto"/>
        <w:rPr>
          <w:rFonts w:eastAsia="Times New Roman" w:cs="Times New Roman"/>
          <w:szCs w:val="20"/>
        </w:rPr>
        <w:sectPr w:rsidR="00F5724A" w:rsidRPr="005A3AFE" w:rsidSect="00A11753">
          <w:footerReference w:type="default" r:id="rId87"/>
          <w:pgSz w:w="11906" w:h="16838" w:code="9"/>
          <w:pgMar w:top="709" w:right="709" w:bottom="709" w:left="709" w:header="283" w:footer="567" w:gutter="0"/>
          <w:cols w:space="708"/>
          <w:docGrid w:linePitch="360"/>
        </w:sectPr>
      </w:pPr>
      <w:r w:rsidRPr="0036340F">
        <w:rPr>
          <w:rFonts w:eastAsia="Times New Roman" w:cs="Times New Roman"/>
          <w:b/>
          <w:bCs/>
          <w:szCs w:val="20"/>
        </w:rPr>
        <w:t>Steve</w:t>
      </w:r>
      <w:r>
        <w:rPr>
          <w:rFonts w:eastAsia="Times New Roman" w:cs="Times New Roman"/>
          <w:szCs w:val="20"/>
        </w:rPr>
        <w:t xml:space="preserve"> completed his qualification on shore in Australia </w:t>
      </w:r>
      <w:r w:rsidR="00B40DA5">
        <w:rPr>
          <w:rFonts w:eastAsia="Times New Roman" w:cs="Times New Roman"/>
          <w:szCs w:val="20"/>
        </w:rPr>
        <w:t>but moved overseas after graduation</w:t>
      </w:r>
      <w:r w:rsidR="00B678B6">
        <w:rPr>
          <w:rFonts w:eastAsia="Times New Roman" w:cs="Times New Roman"/>
          <w:szCs w:val="20"/>
        </w:rPr>
        <w:t xml:space="preserve">. He now works 37 hours a week for an Italian employer. Steve is </w:t>
      </w:r>
      <w:r w:rsidR="00B678B6" w:rsidRPr="005A3AFE">
        <w:rPr>
          <w:rFonts w:eastAsia="Times New Roman" w:cs="Times New Roman"/>
          <w:szCs w:val="20"/>
        </w:rPr>
        <w:t xml:space="preserve">both ‘available for employment’ and ‘available for full-time employment’, as well as both ‘employed’ and ‘employed full-time’. </w:t>
      </w:r>
      <w:r w:rsidR="00B678B6">
        <w:rPr>
          <w:rFonts w:eastAsia="Times New Roman" w:cs="Times New Roman"/>
          <w:szCs w:val="20"/>
        </w:rPr>
        <w:t>Steve</w:t>
      </w:r>
      <w:r w:rsidR="00B678B6" w:rsidRPr="005A3AFE">
        <w:rPr>
          <w:rFonts w:eastAsia="Times New Roman" w:cs="Times New Roman"/>
          <w:szCs w:val="20"/>
        </w:rPr>
        <w:t xml:space="preserve"> is counted towards the labour force participation rate. </w:t>
      </w:r>
      <w:r w:rsidR="00B678B6">
        <w:rPr>
          <w:rFonts w:eastAsia="Times New Roman" w:cs="Times New Roman"/>
          <w:szCs w:val="20"/>
        </w:rPr>
        <w:t xml:space="preserve">Steve’s salary is not </w:t>
      </w:r>
      <w:r w:rsidR="002B3B03">
        <w:rPr>
          <w:rFonts w:eastAsia="Times New Roman" w:cs="Times New Roman"/>
          <w:szCs w:val="20"/>
        </w:rPr>
        <w:t>counted</w:t>
      </w:r>
      <w:r w:rsidR="00B678B6">
        <w:rPr>
          <w:rFonts w:eastAsia="Times New Roman" w:cs="Times New Roman"/>
          <w:szCs w:val="20"/>
        </w:rPr>
        <w:t xml:space="preserve"> towards the median salary figure.</w:t>
      </w:r>
    </w:p>
    <w:p w14:paraId="3143A17B" w14:textId="60A31067" w:rsidR="00F62370" w:rsidRPr="00A869B4" w:rsidRDefault="00196382" w:rsidP="00E57178">
      <w:pPr>
        <w:pStyle w:val="Appendix1"/>
        <w:ind w:left="2552" w:hanging="2552"/>
      </w:pPr>
      <w:bookmarkStart w:id="275" w:name="_Toc243492359"/>
      <w:bookmarkStart w:id="276" w:name="_Toc244083902"/>
      <w:r w:rsidRPr="00A869B4">
        <w:lastRenderedPageBreak/>
        <w:t>Detailed tables</w:t>
      </w:r>
      <w:bookmarkEnd w:id="275"/>
      <w:bookmarkEnd w:id="276"/>
    </w:p>
    <w:p w14:paraId="16A03939" w14:textId="3D5CE3E2" w:rsidR="003E66E8" w:rsidRPr="002A2D85" w:rsidRDefault="003E66E8" w:rsidP="006928F1">
      <w:pPr>
        <w:pStyle w:val="Appendix2"/>
        <w:spacing w:after="240"/>
        <w:ind w:left="1134"/>
        <w:rPr>
          <w:color w:val="5D6C16" w:themeColor="accent1" w:themeShade="80"/>
        </w:rPr>
      </w:pPr>
      <w:bookmarkStart w:id="277" w:name="_Toc207656012"/>
      <w:bookmarkStart w:id="278" w:name="_Toc207656504"/>
      <w:bookmarkStart w:id="279" w:name="_Toc207707357"/>
      <w:bookmarkStart w:id="280" w:name="_Toc207656013"/>
      <w:bookmarkStart w:id="281" w:name="_Toc207656505"/>
      <w:bookmarkStart w:id="282" w:name="_Toc207707358"/>
      <w:bookmarkStart w:id="283" w:name="_Toc207656209"/>
      <w:bookmarkStart w:id="284" w:name="_Toc207656701"/>
      <w:bookmarkStart w:id="285" w:name="_Toc207707554"/>
      <w:bookmarkStart w:id="286" w:name="_Toc243492360"/>
      <w:bookmarkEnd w:id="277"/>
      <w:bookmarkEnd w:id="278"/>
      <w:bookmarkEnd w:id="279"/>
      <w:bookmarkEnd w:id="280"/>
      <w:bookmarkEnd w:id="281"/>
      <w:bookmarkEnd w:id="282"/>
      <w:bookmarkEnd w:id="283"/>
      <w:bookmarkEnd w:id="284"/>
      <w:bookmarkEnd w:id="285"/>
      <w:r w:rsidRPr="002A2D85">
        <w:rPr>
          <w:color w:val="5D6C16" w:themeColor="accent1" w:themeShade="80"/>
        </w:rPr>
        <w:t>Gender pay gap</w:t>
      </w:r>
      <w:bookmarkEnd w:id="286"/>
    </w:p>
    <w:p w14:paraId="7135E260" w14:textId="70E6BBDA" w:rsidR="00917202" w:rsidRPr="005A3AFE" w:rsidRDefault="003E66E8" w:rsidP="00A33BD9">
      <w:pPr>
        <w:pStyle w:val="Caption"/>
      </w:pPr>
      <w:bookmarkStart w:id="287" w:name="_Ref207356837"/>
      <w:bookmarkStart w:id="288" w:name="_Toc243492105"/>
      <w:r w:rsidRPr="005A3AFE">
        <w:t xml:space="preserve">Table </w:t>
      </w:r>
      <w:fldSimple w:instr=" SEQ Table \* ARABIC ">
        <w:r w:rsidR="00487685">
          <w:rPr>
            <w:noProof/>
          </w:rPr>
          <w:t>13</w:t>
        </w:r>
      </w:fldSimple>
      <w:bookmarkEnd w:id="287"/>
      <w:r w:rsidR="007F6B22">
        <w:tab/>
      </w:r>
      <w:r w:rsidRPr="005A3AFE">
        <w:t>Undergraduate median annual full-time salary by gender and study area</w:t>
      </w:r>
      <w:bookmarkStart w:id="289" w:name="_Ref204666665"/>
      <w:bookmarkEnd w:id="288"/>
    </w:p>
    <w:tbl>
      <w:tblPr>
        <w:tblStyle w:val="TableGrid1"/>
        <w:tblW w:w="5000" w:type="pct"/>
        <w:tblLayout w:type="fixed"/>
        <w:tblLook w:val="04A0" w:firstRow="1" w:lastRow="0" w:firstColumn="1" w:lastColumn="0" w:noHBand="0" w:noVBand="1"/>
      </w:tblPr>
      <w:tblGrid>
        <w:gridCol w:w="2238"/>
        <w:gridCol w:w="2293"/>
        <w:gridCol w:w="2552"/>
        <w:gridCol w:w="2126"/>
        <w:gridCol w:w="2268"/>
        <w:gridCol w:w="2552"/>
        <w:gridCol w:w="2233"/>
      </w:tblGrid>
      <w:tr w:rsidR="00953D60" w:rsidRPr="005A3AFE" w14:paraId="2B1EEB2F" w14:textId="77777777" w:rsidTr="008A657F">
        <w:trPr>
          <w:trHeight w:val="1247"/>
          <w:tblHeader/>
        </w:trPr>
        <w:tc>
          <w:tcPr>
            <w:tcW w:w="2238" w:type="dxa"/>
          </w:tcPr>
          <w:p w14:paraId="321CD2FE" w14:textId="301287C0" w:rsidR="00953D60" w:rsidRPr="008A657F" w:rsidRDefault="00953D60" w:rsidP="008A657F">
            <w:pPr>
              <w:spacing w:before="360" w:after="120"/>
              <w:ind w:left="113" w:right="113"/>
              <w:rPr>
                <w:rFonts w:cs="Arial"/>
                <w:b/>
                <w:bCs/>
                <w:szCs w:val="20"/>
                <w:lang w:eastAsia="en-AU"/>
              </w:rPr>
            </w:pPr>
            <w:r w:rsidRPr="008A657F">
              <w:rPr>
                <w:rFonts w:cs="Arial"/>
                <w:b/>
                <w:bCs/>
                <w:szCs w:val="20"/>
                <w:lang w:eastAsia="en-AU"/>
              </w:rPr>
              <w:t>Study area</w:t>
            </w:r>
          </w:p>
        </w:tc>
        <w:tc>
          <w:tcPr>
            <w:tcW w:w="2293" w:type="dxa"/>
            <w:vAlign w:val="center"/>
          </w:tcPr>
          <w:p w14:paraId="2124625D" w14:textId="77777777" w:rsidR="00953D60" w:rsidRDefault="00953D60" w:rsidP="00953D60">
            <w:pPr>
              <w:spacing w:before="60" w:after="60"/>
              <w:ind w:left="57"/>
              <w:rPr>
                <w:rFonts w:cs="Arial"/>
                <w:spacing w:val="-4"/>
                <w:szCs w:val="20"/>
                <w:lang w:eastAsia="en-AU"/>
              </w:rPr>
            </w:pPr>
            <w:r w:rsidRPr="00953D60">
              <w:rPr>
                <w:rFonts w:cs="Arial"/>
                <w:b/>
                <w:bCs/>
                <w:szCs w:val="20"/>
                <w:lang w:eastAsia="en-AU"/>
              </w:rPr>
              <w:t>Short-term (2023)</w:t>
            </w:r>
            <w:r w:rsidRPr="00953D60">
              <w:rPr>
                <w:rFonts w:cs="Arial"/>
                <w:spacing w:val="-4"/>
                <w:szCs w:val="20"/>
                <w:lang w:eastAsia="en-AU"/>
              </w:rPr>
              <w:t xml:space="preserve">: </w:t>
            </w:r>
          </w:p>
          <w:p w14:paraId="3DBCE42E" w14:textId="6288474E" w:rsidR="00953D60" w:rsidRPr="00953D60" w:rsidRDefault="00953D60" w:rsidP="00953D60">
            <w:pPr>
              <w:spacing w:before="60" w:after="60"/>
              <w:ind w:left="57"/>
              <w:rPr>
                <w:rFonts w:cs="Arial"/>
                <w:b/>
                <w:bCs/>
                <w:szCs w:val="20"/>
                <w:lang w:eastAsia="en-AU"/>
              </w:rPr>
            </w:pPr>
            <w:r w:rsidRPr="00953D60">
              <w:rPr>
                <w:rFonts w:cs="Arial"/>
                <w:spacing w:val="-4"/>
                <w:szCs w:val="20"/>
                <w:lang w:eastAsia="en-AU"/>
              </w:rPr>
              <w:t>Male median salary ($)</w:t>
            </w:r>
          </w:p>
        </w:tc>
        <w:tc>
          <w:tcPr>
            <w:tcW w:w="2552" w:type="dxa"/>
            <w:vAlign w:val="center"/>
          </w:tcPr>
          <w:p w14:paraId="6C3972F6" w14:textId="77777777" w:rsidR="00953D60" w:rsidRDefault="00953D60" w:rsidP="00953D60">
            <w:pPr>
              <w:spacing w:before="60" w:after="60"/>
              <w:ind w:left="57"/>
              <w:rPr>
                <w:rFonts w:cs="Arial"/>
                <w:szCs w:val="20"/>
                <w:lang w:eastAsia="en-AU"/>
              </w:rPr>
            </w:pPr>
            <w:r w:rsidRPr="00953D60">
              <w:rPr>
                <w:rFonts w:cs="Arial"/>
                <w:b/>
                <w:bCs/>
                <w:szCs w:val="20"/>
                <w:lang w:eastAsia="en-AU"/>
              </w:rPr>
              <w:t>Short-term (2023)</w:t>
            </w:r>
            <w:r w:rsidRPr="00953D60">
              <w:rPr>
                <w:rFonts w:cs="Arial"/>
                <w:szCs w:val="20"/>
                <w:lang w:eastAsia="en-AU"/>
              </w:rPr>
              <w:t xml:space="preserve">: </w:t>
            </w:r>
          </w:p>
          <w:p w14:paraId="128A9ED7" w14:textId="0BDE5A43" w:rsidR="00953D60" w:rsidRPr="00953D60" w:rsidRDefault="00953D60" w:rsidP="00953D60">
            <w:pPr>
              <w:spacing w:before="60" w:after="60"/>
              <w:ind w:left="57"/>
              <w:rPr>
                <w:rFonts w:cs="Arial"/>
                <w:b/>
                <w:bCs/>
                <w:szCs w:val="20"/>
                <w:lang w:eastAsia="en-AU"/>
              </w:rPr>
            </w:pPr>
            <w:r w:rsidRPr="00953D60">
              <w:rPr>
                <w:rFonts w:cs="Arial"/>
                <w:szCs w:val="20"/>
                <w:lang w:eastAsia="en-AU"/>
              </w:rPr>
              <w:t>Female median salary ($)</w:t>
            </w:r>
          </w:p>
        </w:tc>
        <w:tc>
          <w:tcPr>
            <w:tcW w:w="2126" w:type="dxa"/>
            <w:vAlign w:val="center"/>
          </w:tcPr>
          <w:p w14:paraId="4FF70461" w14:textId="77777777" w:rsidR="00953D60" w:rsidRDefault="00953D60" w:rsidP="00953D60">
            <w:pPr>
              <w:spacing w:before="60" w:after="60"/>
              <w:ind w:left="57"/>
              <w:rPr>
                <w:rFonts w:cs="Arial"/>
                <w:spacing w:val="-4"/>
                <w:szCs w:val="20"/>
                <w:lang w:eastAsia="en-AU"/>
              </w:rPr>
            </w:pPr>
            <w:r w:rsidRPr="00953D60">
              <w:rPr>
                <w:rFonts w:cs="Arial"/>
                <w:b/>
                <w:bCs/>
                <w:spacing w:val="-4"/>
                <w:szCs w:val="20"/>
                <w:lang w:eastAsia="en-AU"/>
              </w:rPr>
              <w:t>Short-term (2023)</w:t>
            </w:r>
            <w:r w:rsidRPr="00953D60">
              <w:rPr>
                <w:rFonts w:cs="Arial"/>
                <w:spacing w:val="-4"/>
                <w:szCs w:val="20"/>
                <w:lang w:eastAsia="en-AU"/>
              </w:rPr>
              <w:t xml:space="preserve">: </w:t>
            </w:r>
          </w:p>
          <w:p w14:paraId="16D7208F" w14:textId="72FC312A" w:rsidR="00953D60" w:rsidRPr="00953D60" w:rsidRDefault="00953D60" w:rsidP="00953D60">
            <w:pPr>
              <w:spacing w:before="60" w:after="60"/>
              <w:ind w:left="57"/>
              <w:rPr>
                <w:rFonts w:cs="Arial"/>
                <w:b/>
                <w:bCs/>
                <w:spacing w:val="-4"/>
                <w:szCs w:val="20"/>
                <w:lang w:eastAsia="en-AU"/>
              </w:rPr>
            </w:pPr>
            <w:r w:rsidRPr="00953D60">
              <w:rPr>
                <w:rFonts w:cs="Arial"/>
                <w:spacing w:val="-4"/>
                <w:szCs w:val="20"/>
                <w:lang w:eastAsia="en-AU"/>
              </w:rPr>
              <w:t>Gender pay gap (%)</w:t>
            </w:r>
          </w:p>
        </w:tc>
        <w:tc>
          <w:tcPr>
            <w:tcW w:w="2268" w:type="dxa"/>
            <w:vAlign w:val="center"/>
          </w:tcPr>
          <w:p w14:paraId="283BE4B2" w14:textId="77777777" w:rsidR="00953D60" w:rsidRDefault="00953D60" w:rsidP="00953D60">
            <w:pPr>
              <w:spacing w:before="60" w:after="60"/>
              <w:ind w:left="57"/>
              <w:rPr>
                <w:rFonts w:cs="Arial"/>
                <w:spacing w:val="-2"/>
                <w:szCs w:val="20"/>
                <w:lang w:eastAsia="en-AU"/>
              </w:rPr>
            </w:pPr>
            <w:r w:rsidRPr="00953D60">
              <w:rPr>
                <w:rFonts w:cs="Arial"/>
                <w:b/>
                <w:bCs/>
                <w:spacing w:val="-2"/>
                <w:szCs w:val="20"/>
                <w:lang w:eastAsia="en-AU"/>
              </w:rPr>
              <w:t>Medium-term (2026)</w:t>
            </w:r>
            <w:r w:rsidRPr="00953D60">
              <w:rPr>
                <w:rFonts w:cs="Arial"/>
                <w:spacing w:val="-2"/>
                <w:szCs w:val="20"/>
                <w:lang w:eastAsia="en-AU"/>
              </w:rPr>
              <w:t xml:space="preserve">: </w:t>
            </w:r>
          </w:p>
          <w:p w14:paraId="033C8FFB" w14:textId="526FDB46" w:rsidR="00953D60" w:rsidRPr="00953D60" w:rsidRDefault="00953D60" w:rsidP="00953D60">
            <w:pPr>
              <w:spacing w:before="60" w:after="60"/>
              <w:ind w:left="57"/>
              <w:rPr>
                <w:rFonts w:cs="Arial"/>
                <w:b/>
                <w:bCs/>
                <w:spacing w:val="-2"/>
                <w:szCs w:val="20"/>
                <w:lang w:eastAsia="en-AU"/>
              </w:rPr>
            </w:pPr>
            <w:r w:rsidRPr="00953D60">
              <w:rPr>
                <w:rFonts w:cs="Arial"/>
                <w:spacing w:val="-2"/>
                <w:szCs w:val="20"/>
                <w:lang w:eastAsia="en-AU"/>
              </w:rPr>
              <w:t>Male median salary ($)</w:t>
            </w:r>
          </w:p>
        </w:tc>
        <w:tc>
          <w:tcPr>
            <w:tcW w:w="2552" w:type="dxa"/>
            <w:vAlign w:val="center"/>
          </w:tcPr>
          <w:p w14:paraId="40919A59" w14:textId="77777777" w:rsidR="00953D60" w:rsidRDefault="00953D60" w:rsidP="00953D60">
            <w:pPr>
              <w:spacing w:before="60" w:after="60"/>
              <w:ind w:left="57"/>
              <w:rPr>
                <w:rFonts w:cs="Arial"/>
                <w:spacing w:val="-4"/>
                <w:szCs w:val="20"/>
                <w:lang w:eastAsia="en-AU"/>
              </w:rPr>
            </w:pPr>
            <w:r w:rsidRPr="00953D60">
              <w:rPr>
                <w:rFonts w:cs="Arial"/>
                <w:b/>
                <w:bCs/>
                <w:spacing w:val="-4"/>
                <w:szCs w:val="20"/>
                <w:lang w:eastAsia="en-AU"/>
              </w:rPr>
              <w:t>Medium-term (2026)</w:t>
            </w:r>
            <w:r w:rsidRPr="00953D60">
              <w:rPr>
                <w:rFonts w:cs="Arial"/>
                <w:spacing w:val="-4"/>
                <w:szCs w:val="20"/>
                <w:lang w:eastAsia="en-AU"/>
              </w:rPr>
              <w:t xml:space="preserve">: </w:t>
            </w:r>
          </w:p>
          <w:p w14:paraId="456C5318" w14:textId="1CC15975" w:rsidR="00953D60" w:rsidRPr="00953D60" w:rsidRDefault="00953D60" w:rsidP="00953D60">
            <w:pPr>
              <w:spacing w:before="60" w:after="60"/>
              <w:ind w:left="57"/>
              <w:rPr>
                <w:rFonts w:cs="Arial"/>
                <w:b/>
                <w:bCs/>
                <w:spacing w:val="-4"/>
                <w:szCs w:val="20"/>
                <w:lang w:eastAsia="en-AU"/>
              </w:rPr>
            </w:pPr>
            <w:r w:rsidRPr="00953D60">
              <w:rPr>
                <w:rFonts w:cs="Arial"/>
                <w:spacing w:val="-4"/>
                <w:szCs w:val="20"/>
                <w:lang w:eastAsia="en-AU"/>
              </w:rPr>
              <w:t>Female median salary ($)</w:t>
            </w:r>
          </w:p>
        </w:tc>
        <w:tc>
          <w:tcPr>
            <w:tcW w:w="2233" w:type="dxa"/>
            <w:vAlign w:val="center"/>
          </w:tcPr>
          <w:p w14:paraId="6ACF6547" w14:textId="77777777" w:rsidR="00953D60" w:rsidRDefault="00953D60" w:rsidP="00953D60">
            <w:pPr>
              <w:spacing w:before="60" w:after="60"/>
              <w:ind w:left="57"/>
              <w:rPr>
                <w:rFonts w:cs="Arial"/>
                <w:spacing w:val="-4"/>
                <w:szCs w:val="20"/>
                <w:lang w:eastAsia="en-AU"/>
              </w:rPr>
            </w:pPr>
            <w:r w:rsidRPr="00953D60">
              <w:rPr>
                <w:rFonts w:cs="Arial"/>
                <w:b/>
                <w:bCs/>
                <w:spacing w:val="-4"/>
                <w:szCs w:val="20"/>
                <w:lang w:eastAsia="en-AU"/>
              </w:rPr>
              <w:t>Medium-term (2026)</w:t>
            </w:r>
            <w:r w:rsidRPr="00953D60">
              <w:rPr>
                <w:rFonts w:cs="Arial"/>
                <w:spacing w:val="-4"/>
                <w:szCs w:val="20"/>
                <w:lang w:eastAsia="en-AU"/>
              </w:rPr>
              <w:t xml:space="preserve">: </w:t>
            </w:r>
          </w:p>
          <w:p w14:paraId="5608CFF6" w14:textId="2CDB0EB1" w:rsidR="00953D60" w:rsidRPr="00953D60" w:rsidRDefault="00953D60" w:rsidP="00953D60">
            <w:pPr>
              <w:spacing w:before="60" w:after="60"/>
              <w:ind w:left="57"/>
              <w:rPr>
                <w:rFonts w:cs="Arial"/>
                <w:b/>
                <w:bCs/>
                <w:spacing w:val="-4"/>
                <w:szCs w:val="20"/>
                <w:lang w:eastAsia="en-AU"/>
              </w:rPr>
            </w:pPr>
            <w:r w:rsidRPr="00953D60">
              <w:rPr>
                <w:rFonts w:cs="Arial"/>
                <w:spacing w:val="-4"/>
                <w:szCs w:val="20"/>
                <w:lang w:eastAsia="en-AU"/>
              </w:rPr>
              <w:t>Gender pay gap (%)</w:t>
            </w:r>
          </w:p>
        </w:tc>
      </w:tr>
      <w:tr w:rsidR="00C22E24" w:rsidRPr="005A3AFE" w14:paraId="23F64D04" w14:textId="77777777" w:rsidTr="00953D60">
        <w:trPr>
          <w:trHeight w:val="309"/>
        </w:trPr>
        <w:tc>
          <w:tcPr>
            <w:tcW w:w="2238" w:type="dxa"/>
            <w:noWrap/>
            <w:vAlign w:val="center"/>
            <w:hideMark/>
          </w:tcPr>
          <w:p w14:paraId="71C2DAEF"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Agriculture and environmental studies</w:t>
            </w:r>
          </w:p>
        </w:tc>
        <w:tc>
          <w:tcPr>
            <w:tcW w:w="2293" w:type="dxa"/>
            <w:noWrap/>
            <w:vAlign w:val="center"/>
            <w:hideMark/>
          </w:tcPr>
          <w:p w14:paraId="5B560606" w14:textId="6FDA5BD9"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75,200</w:t>
            </w:r>
          </w:p>
        </w:tc>
        <w:tc>
          <w:tcPr>
            <w:tcW w:w="2552" w:type="dxa"/>
            <w:noWrap/>
            <w:vAlign w:val="center"/>
            <w:hideMark/>
          </w:tcPr>
          <w:p w14:paraId="0E31F01F" w14:textId="7E7C50DD"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70,000</w:t>
            </w:r>
          </w:p>
        </w:tc>
        <w:tc>
          <w:tcPr>
            <w:tcW w:w="2126" w:type="dxa"/>
            <w:noWrap/>
            <w:vAlign w:val="center"/>
            <w:hideMark/>
          </w:tcPr>
          <w:p w14:paraId="2CD583DE" w14:textId="31F66958"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6.9</w:t>
            </w:r>
          </w:p>
        </w:tc>
        <w:tc>
          <w:tcPr>
            <w:tcW w:w="2268" w:type="dxa"/>
            <w:noWrap/>
            <w:vAlign w:val="center"/>
            <w:hideMark/>
          </w:tcPr>
          <w:p w14:paraId="1630B4BE" w14:textId="1B963D5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100,000</w:t>
            </w:r>
          </w:p>
        </w:tc>
        <w:tc>
          <w:tcPr>
            <w:tcW w:w="2552" w:type="dxa"/>
            <w:noWrap/>
            <w:vAlign w:val="center"/>
            <w:hideMark/>
          </w:tcPr>
          <w:p w14:paraId="65928F60" w14:textId="2C6E43A9"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92,000</w:t>
            </w:r>
          </w:p>
        </w:tc>
        <w:tc>
          <w:tcPr>
            <w:tcW w:w="2233" w:type="dxa"/>
            <w:noWrap/>
            <w:vAlign w:val="center"/>
            <w:hideMark/>
          </w:tcPr>
          <w:p w14:paraId="4293321D" w14:textId="55341DF3"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8.0</w:t>
            </w:r>
          </w:p>
        </w:tc>
      </w:tr>
      <w:tr w:rsidR="00C22E24" w:rsidRPr="005A3AFE" w14:paraId="4AC29DC4" w14:textId="77777777" w:rsidTr="00953D60">
        <w:trPr>
          <w:trHeight w:val="309"/>
        </w:trPr>
        <w:tc>
          <w:tcPr>
            <w:tcW w:w="2238" w:type="dxa"/>
            <w:noWrap/>
            <w:vAlign w:val="center"/>
            <w:hideMark/>
          </w:tcPr>
          <w:p w14:paraId="3AF55B0F"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Architecture and built environment</w:t>
            </w:r>
          </w:p>
        </w:tc>
        <w:tc>
          <w:tcPr>
            <w:tcW w:w="2293" w:type="dxa"/>
            <w:noWrap/>
            <w:vAlign w:val="center"/>
            <w:hideMark/>
          </w:tcPr>
          <w:p w14:paraId="71B328A9" w14:textId="2940ABA8"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73,200</w:t>
            </w:r>
          </w:p>
        </w:tc>
        <w:tc>
          <w:tcPr>
            <w:tcW w:w="2552" w:type="dxa"/>
            <w:noWrap/>
            <w:vAlign w:val="center"/>
            <w:hideMark/>
          </w:tcPr>
          <w:p w14:paraId="012BCFEA" w14:textId="1A8EFCB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65,200</w:t>
            </w:r>
          </w:p>
        </w:tc>
        <w:tc>
          <w:tcPr>
            <w:tcW w:w="2126" w:type="dxa"/>
            <w:noWrap/>
            <w:vAlign w:val="center"/>
            <w:hideMark/>
          </w:tcPr>
          <w:p w14:paraId="08D3E282" w14:textId="4B6DC9F8"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10.9</w:t>
            </w:r>
          </w:p>
        </w:tc>
        <w:tc>
          <w:tcPr>
            <w:tcW w:w="2268" w:type="dxa"/>
            <w:noWrap/>
            <w:vAlign w:val="center"/>
            <w:hideMark/>
          </w:tcPr>
          <w:p w14:paraId="43A545EE" w14:textId="3557C7E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95,200</w:t>
            </w:r>
          </w:p>
        </w:tc>
        <w:tc>
          <w:tcPr>
            <w:tcW w:w="2552" w:type="dxa"/>
            <w:noWrap/>
            <w:vAlign w:val="center"/>
            <w:hideMark/>
          </w:tcPr>
          <w:p w14:paraId="3678A35A" w14:textId="684D133F"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82,000</w:t>
            </w:r>
          </w:p>
        </w:tc>
        <w:tc>
          <w:tcPr>
            <w:tcW w:w="2233" w:type="dxa"/>
            <w:noWrap/>
            <w:vAlign w:val="center"/>
            <w:hideMark/>
          </w:tcPr>
          <w:p w14:paraId="4D1F746F" w14:textId="4DEA0F0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13.9</w:t>
            </w:r>
          </w:p>
        </w:tc>
      </w:tr>
      <w:tr w:rsidR="00C22E24" w:rsidRPr="005A3AFE" w14:paraId="6295152D" w14:textId="77777777" w:rsidTr="00953D60">
        <w:trPr>
          <w:trHeight w:val="309"/>
        </w:trPr>
        <w:tc>
          <w:tcPr>
            <w:tcW w:w="2238" w:type="dxa"/>
            <w:noWrap/>
            <w:vAlign w:val="center"/>
            <w:hideMark/>
          </w:tcPr>
          <w:p w14:paraId="272B4112"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Business and management</w:t>
            </w:r>
          </w:p>
        </w:tc>
        <w:tc>
          <w:tcPr>
            <w:tcW w:w="2293" w:type="dxa"/>
            <w:noWrap/>
            <w:vAlign w:val="center"/>
            <w:hideMark/>
          </w:tcPr>
          <w:p w14:paraId="416C1359" w14:textId="5052B6F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70,500</w:t>
            </w:r>
          </w:p>
        </w:tc>
        <w:tc>
          <w:tcPr>
            <w:tcW w:w="2552" w:type="dxa"/>
            <w:noWrap/>
            <w:vAlign w:val="center"/>
            <w:hideMark/>
          </w:tcPr>
          <w:p w14:paraId="6A2F25EE" w14:textId="3DC7F713"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68,500</w:t>
            </w:r>
          </w:p>
        </w:tc>
        <w:tc>
          <w:tcPr>
            <w:tcW w:w="2126" w:type="dxa"/>
            <w:noWrap/>
            <w:vAlign w:val="center"/>
            <w:hideMark/>
          </w:tcPr>
          <w:p w14:paraId="2DCF0B2E" w14:textId="274E6006"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2.8</w:t>
            </w:r>
          </w:p>
        </w:tc>
        <w:tc>
          <w:tcPr>
            <w:tcW w:w="2268" w:type="dxa"/>
            <w:noWrap/>
            <w:vAlign w:val="center"/>
            <w:hideMark/>
          </w:tcPr>
          <w:p w14:paraId="7AECB6E1" w14:textId="035A5F5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100,000</w:t>
            </w:r>
          </w:p>
        </w:tc>
        <w:tc>
          <w:tcPr>
            <w:tcW w:w="2552" w:type="dxa"/>
            <w:noWrap/>
            <w:vAlign w:val="center"/>
            <w:hideMark/>
          </w:tcPr>
          <w:p w14:paraId="6630C767" w14:textId="3A527809"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92,000</w:t>
            </w:r>
          </w:p>
        </w:tc>
        <w:tc>
          <w:tcPr>
            <w:tcW w:w="2233" w:type="dxa"/>
            <w:noWrap/>
            <w:vAlign w:val="center"/>
            <w:hideMark/>
          </w:tcPr>
          <w:p w14:paraId="785EA962" w14:textId="04C684AC"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8.0</w:t>
            </w:r>
          </w:p>
        </w:tc>
      </w:tr>
      <w:tr w:rsidR="00C22E24" w:rsidRPr="005A3AFE" w14:paraId="3732F1D1" w14:textId="77777777" w:rsidTr="00953D60">
        <w:trPr>
          <w:trHeight w:val="309"/>
        </w:trPr>
        <w:tc>
          <w:tcPr>
            <w:tcW w:w="2238" w:type="dxa"/>
            <w:noWrap/>
            <w:vAlign w:val="center"/>
            <w:hideMark/>
          </w:tcPr>
          <w:p w14:paraId="0C5A53DD"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Communications</w:t>
            </w:r>
          </w:p>
        </w:tc>
        <w:tc>
          <w:tcPr>
            <w:tcW w:w="2293" w:type="dxa"/>
            <w:noWrap/>
            <w:vAlign w:val="center"/>
            <w:hideMark/>
          </w:tcPr>
          <w:p w14:paraId="00500A13" w14:textId="27974046"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68,500</w:t>
            </w:r>
          </w:p>
        </w:tc>
        <w:tc>
          <w:tcPr>
            <w:tcW w:w="2552" w:type="dxa"/>
            <w:noWrap/>
            <w:vAlign w:val="center"/>
            <w:hideMark/>
          </w:tcPr>
          <w:p w14:paraId="199F24A4" w14:textId="2F9C6F98"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65,200</w:t>
            </w:r>
          </w:p>
        </w:tc>
        <w:tc>
          <w:tcPr>
            <w:tcW w:w="2126" w:type="dxa"/>
            <w:noWrap/>
            <w:vAlign w:val="center"/>
            <w:hideMark/>
          </w:tcPr>
          <w:p w14:paraId="094D61BA" w14:textId="4EDC80B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4.8</w:t>
            </w:r>
          </w:p>
        </w:tc>
        <w:tc>
          <w:tcPr>
            <w:tcW w:w="2268" w:type="dxa"/>
            <w:noWrap/>
            <w:vAlign w:val="center"/>
            <w:hideMark/>
          </w:tcPr>
          <w:p w14:paraId="78AADC9D" w14:textId="5F6F74CF"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81,300</w:t>
            </w:r>
          </w:p>
        </w:tc>
        <w:tc>
          <w:tcPr>
            <w:tcW w:w="2552" w:type="dxa"/>
            <w:noWrap/>
            <w:vAlign w:val="center"/>
            <w:hideMark/>
          </w:tcPr>
          <w:p w14:paraId="4DDE6056" w14:textId="3F324DB5"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82,200</w:t>
            </w:r>
          </w:p>
        </w:tc>
        <w:tc>
          <w:tcPr>
            <w:tcW w:w="2233" w:type="dxa"/>
            <w:noWrap/>
            <w:vAlign w:val="center"/>
            <w:hideMark/>
          </w:tcPr>
          <w:p w14:paraId="6722A579" w14:textId="7C41E7B4"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-1.1</w:t>
            </w:r>
          </w:p>
        </w:tc>
      </w:tr>
      <w:tr w:rsidR="00C22E24" w:rsidRPr="005A3AFE" w14:paraId="0419F52E" w14:textId="77777777" w:rsidTr="00953D60">
        <w:trPr>
          <w:trHeight w:val="309"/>
        </w:trPr>
        <w:tc>
          <w:tcPr>
            <w:tcW w:w="2238" w:type="dxa"/>
            <w:noWrap/>
            <w:vAlign w:val="center"/>
            <w:hideMark/>
          </w:tcPr>
          <w:p w14:paraId="3873B71E"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Computing and information systems</w:t>
            </w:r>
          </w:p>
        </w:tc>
        <w:tc>
          <w:tcPr>
            <w:tcW w:w="2293" w:type="dxa"/>
            <w:noWrap/>
            <w:vAlign w:val="center"/>
            <w:hideMark/>
          </w:tcPr>
          <w:p w14:paraId="4A44CBB8" w14:textId="6901694C"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75,000</w:t>
            </w:r>
          </w:p>
        </w:tc>
        <w:tc>
          <w:tcPr>
            <w:tcW w:w="2552" w:type="dxa"/>
            <w:noWrap/>
            <w:vAlign w:val="center"/>
            <w:hideMark/>
          </w:tcPr>
          <w:p w14:paraId="4C48392B" w14:textId="70EEFDA7"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73,100</w:t>
            </w:r>
          </w:p>
        </w:tc>
        <w:tc>
          <w:tcPr>
            <w:tcW w:w="2126" w:type="dxa"/>
            <w:noWrap/>
            <w:vAlign w:val="center"/>
            <w:hideMark/>
          </w:tcPr>
          <w:p w14:paraId="09C612F9" w14:textId="0762E9B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2.5</w:t>
            </w:r>
          </w:p>
        </w:tc>
        <w:tc>
          <w:tcPr>
            <w:tcW w:w="2268" w:type="dxa"/>
            <w:noWrap/>
            <w:vAlign w:val="center"/>
            <w:hideMark/>
          </w:tcPr>
          <w:p w14:paraId="0ED28099" w14:textId="4551ADD9"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102,000</w:t>
            </w:r>
          </w:p>
        </w:tc>
        <w:tc>
          <w:tcPr>
            <w:tcW w:w="2552" w:type="dxa"/>
            <w:noWrap/>
            <w:vAlign w:val="center"/>
            <w:hideMark/>
          </w:tcPr>
          <w:p w14:paraId="3C9C3284" w14:textId="1C07C21E"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101,700</w:t>
            </w:r>
          </w:p>
        </w:tc>
        <w:tc>
          <w:tcPr>
            <w:tcW w:w="2233" w:type="dxa"/>
            <w:noWrap/>
            <w:vAlign w:val="center"/>
            <w:hideMark/>
          </w:tcPr>
          <w:p w14:paraId="4F4ACFFD" w14:textId="78ABE42B"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0.3</w:t>
            </w:r>
          </w:p>
        </w:tc>
      </w:tr>
      <w:tr w:rsidR="00C22E24" w:rsidRPr="005A3AFE" w14:paraId="73B2196B" w14:textId="77777777" w:rsidTr="00953D60">
        <w:trPr>
          <w:trHeight w:val="309"/>
        </w:trPr>
        <w:tc>
          <w:tcPr>
            <w:tcW w:w="2238" w:type="dxa"/>
            <w:noWrap/>
            <w:vAlign w:val="center"/>
            <w:hideMark/>
          </w:tcPr>
          <w:p w14:paraId="72DF9823"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Creative arts</w:t>
            </w:r>
          </w:p>
        </w:tc>
        <w:tc>
          <w:tcPr>
            <w:tcW w:w="2293" w:type="dxa"/>
            <w:noWrap/>
            <w:vAlign w:val="center"/>
            <w:hideMark/>
          </w:tcPr>
          <w:p w14:paraId="06DC59EC" w14:textId="631B7F19"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62,600</w:t>
            </w:r>
          </w:p>
        </w:tc>
        <w:tc>
          <w:tcPr>
            <w:tcW w:w="2552" w:type="dxa"/>
            <w:noWrap/>
            <w:vAlign w:val="center"/>
            <w:hideMark/>
          </w:tcPr>
          <w:p w14:paraId="4E727917" w14:textId="7CC30A95"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57,400</w:t>
            </w:r>
          </w:p>
        </w:tc>
        <w:tc>
          <w:tcPr>
            <w:tcW w:w="2126" w:type="dxa"/>
            <w:noWrap/>
            <w:vAlign w:val="center"/>
            <w:hideMark/>
          </w:tcPr>
          <w:p w14:paraId="189C56B4" w14:textId="755D40A7"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8.3</w:t>
            </w:r>
          </w:p>
        </w:tc>
        <w:tc>
          <w:tcPr>
            <w:tcW w:w="2268" w:type="dxa"/>
            <w:noWrap/>
            <w:vAlign w:val="center"/>
            <w:hideMark/>
          </w:tcPr>
          <w:p w14:paraId="40B6E7B8" w14:textId="05EDB673"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75,000</w:t>
            </w:r>
          </w:p>
        </w:tc>
        <w:tc>
          <w:tcPr>
            <w:tcW w:w="2552" w:type="dxa"/>
            <w:noWrap/>
            <w:vAlign w:val="center"/>
            <w:hideMark/>
          </w:tcPr>
          <w:p w14:paraId="43E45DC1" w14:textId="7A1199C8"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77,000</w:t>
            </w:r>
          </w:p>
        </w:tc>
        <w:tc>
          <w:tcPr>
            <w:tcW w:w="2233" w:type="dxa"/>
            <w:noWrap/>
            <w:vAlign w:val="center"/>
            <w:hideMark/>
          </w:tcPr>
          <w:p w14:paraId="2AED7BC6" w14:textId="15862A67"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-2.7</w:t>
            </w:r>
          </w:p>
        </w:tc>
      </w:tr>
      <w:tr w:rsidR="00C22E24" w:rsidRPr="005A3AFE" w14:paraId="7FC24843" w14:textId="77777777" w:rsidTr="00953D60">
        <w:trPr>
          <w:trHeight w:val="309"/>
        </w:trPr>
        <w:tc>
          <w:tcPr>
            <w:tcW w:w="2238" w:type="dxa"/>
            <w:noWrap/>
            <w:vAlign w:val="center"/>
            <w:hideMark/>
          </w:tcPr>
          <w:p w14:paraId="12860A72"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Dentistry</w:t>
            </w:r>
          </w:p>
        </w:tc>
        <w:tc>
          <w:tcPr>
            <w:tcW w:w="2293" w:type="dxa"/>
            <w:noWrap/>
            <w:vAlign w:val="center"/>
            <w:hideMark/>
          </w:tcPr>
          <w:p w14:paraId="3B4B7288" w14:textId="47DE7EDA"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n/a</w:t>
            </w:r>
          </w:p>
        </w:tc>
        <w:tc>
          <w:tcPr>
            <w:tcW w:w="2552" w:type="dxa"/>
            <w:noWrap/>
            <w:vAlign w:val="center"/>
            <w:hideMark/>
          </w:tcPr>
          <w:p w14:paraId="5875B14F" w14:textId="1E31151C"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n/a</w:t>
            </w:r>
          </w:p>
        </w:tc>
        <w:tc>
          <w:tcPr>
            <w:tcW w:w="2126" w:type="dxa"/>
            <w:noWrap/>
            <w:vAlign w:val="center"/>
            <w:hideMark/>
          </w:tcPr>
          <w:p w14:paraId="361FFEBD" w14:textId="1F37D392"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n/a</w:t>
            </w:r>
          </w:p>
        </w:tc>
        <w:tc>
          <w:tcPr>
            <w:tcW w:w="2268" w:type="dxa"/>
            <w:noWrap/>
            <w:vAlign w:val="center"/>
            <w:hideMark/>
          </w:tcPr>
          <w:p w14:paraId="047C66BD" w14:textId="58413EF9"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n/a</w:t>
            </w:r>
          </w:p>
        </w:tc>
        <w:tc>
          <w:tcPr>
            <w:tcW w:w="2552" w:type="dxa"/>
            <w:noWrap/>
            <w:vAlign w:val="center"/>
            <w:hideMark/>
          </w:tcPr>
          <w:p w14:paraId="337E1E7A" w14:textId="57DE7CFA"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109,300</w:t>
            </w:r>
          </w:p>
        </w:tc>
        <w:tc>
          <w:tcPr>
            <w:tcW w:w="2233" w:type="dxa"/>
            <w:noWrap/>
            <w:vAlign w:val="center"/>
            <w:hideMark/>
          </w:tcPr>
          <w:p w14:paraId="0864028B" w14:textId="420728D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n/a</w:t>
            </w:r>
          </w:p>
        </w:tc>
      </w:tr>
      <w:tr w:rsidR="00C22E24" w:rsidRPr="005A3AFE" w14:paraId="3A164159" w14:textId="77777777" w:rsidTr="00953D60">
        <w:trPr>
          <w:trHeight w:val="309"/>
        </w:trPr>
        <w:tc>
          <w:tcPr>
            <w:tcW w:w="2238" w:type="dxa"/>
            <w:noWrap/>
            <w:vAlign w:val="center"/>
            <w:hideMark/>
          </w:tcPr>
          <w:p w14:paraId="5B5B3444"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Engineering</w:t>
            </w:r>
          </w:p>
        </w:tc>
        <w:tc>
          <w:tcPr>
            <w:tcW w:w="2293" w:type="dxa"/>
            <w:noWrap/>
            <w:vAlign w:val="center"/>
            <w:hideMark/>
          </w:tcPr>
          <w:p w14:paraId="54F0ED58" w14:textId="6DC4B8AF"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75,000</w:t>
            </w:r>
          </w:p>
        </w:tc>
        <w:tc>
          <w:tcPr>
            <w:tcW w:w="2552" w:type="dxa"/>
            <w:noWrap/>
            <w:vAlign w:val="center"/>
            <w:hideMark/>
          </w:tcPr>
          <w:p w14:paraId="39CE1E3D" w14:textId="5BA4472E"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75,000</w:t>
            </w:r>
          </w:p>
        </w:tc>
        <w:tc>
          <w:tcPr>
            <w:tcW w:w="2126" w:type="dxa"/>
            <w:noWrap/>
            <w:vAlign w:val="center"/>
            <w:hideMark/>
          </w:tcPr>
          <w:p w14:paraId="336AD8C3" w14:textId="57155BE7"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0.0</w:t>
            </w:r>
          </w:p>
        </w:tc>
        <w:tc>
          <w:tcPr>
            <w:tcW w:w="2268" w:type="dxa"/>
            <w:noWrap/>
            <w:vAlign w:val="center"/>
            <w:hideMark/>
          </w:tcPr>
          <w:p w14:paraId="250A7913" w14:textId="2802D478"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108,000</w:t>
            </w:r>
          </w:p>
        </w:tc>
        <w:tc>
          <w:tcPr>
            <w:tcW w:w="2552" w:type="dxa"/>
            <w:noWrap/>
            <w:vAlign w:val="center"/>
            <w:hideMark/>
          </w:tcPr>
          <w:p w14:paraId="1DD38547" w14:textId="3A1513B6"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104,400</w:t>
            </w:r>
          </w:p>
        </w:tc>
        <w:tc>
          <w:tcPr>
            <w:tcW w:w="2233" w:type="dxa"/>
            <w:noWrap/>
            <w:vAlign w:val="center"/>
            <w:hideMark/>
          </w:tcPr>
          <w:p w14:paraId="56ACB12F" w14:textId="6973866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3.3</w:t>
            </w:r>
          </w:p>
        </w:tc>
      </w:tr>
      <w:tr w:rsidR="00C22E24" w:rsidRPr="005A3AFE" w14:paraId="5C61331D" w14:textId="77777777" w:rsidTr="00953D60">
        <w:trPr>
          <w:trHeight w:val="309"/>
        </w:trPr>
        <w:tc>
          <w:tcPr>
            <w:tcW w:w="2238" w:type="dxa"/>
            <w:noWrap/>
            <w:vAlign w:val="center"/>
            <w:hideMark/>
          </w:tcPr>
          <w:p w14:paraId="02D5D50B"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Health services and support</w:t>
            </w:r>
          </w:p>
        </w:tc>
        <w:tc>
          <w:tcPr>
            <w:tcW w:w="2293" w:type="dxa"/>
            <w:noWrap/>
            <w:vAlign w:val="center"/>
            <w:hideMark/>
          </w:tcPr>
          <w:p w14:paraId="605AB513" w14:textId="79C603BB"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75,300</w:t>
            </w:r>
          </w:p>
        </w:tc>
        <w:tc>
          <w:tcPr>
            <w:tcW w:w="2552" w:type="dxa"/>
            <w:noWrap/>
            <w:vAlign w:val="center"/>
            <w:hideMark/>
          </w:tcPr>
          <w:p w14:paraId="12E18EF2" w14:textId="5A3C1F84"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71,000</w:t>
            </w:r>
          </w:p>
        </w:tc>
        <w:tc>
          <w:tcPr>
            <w:tcW w:w="2126" w:type="dxa"/>
            <w:noWrap/>
            <w:vAlign w:val="center"/>
            <w:hideMark/>
          </w:tcPr>
          <w:p w14:paraId="723599C0" w14:textId="0FF732CC"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5.7</w:t>
            </w:r>
          </w:p>
        </w:tc>
        <w:tc>
          <w:tcPr>
            <w:tcW w:w="2268" w:type="dxa"/>
            <w:noWrap/>
            <w:vAlign w:val="center"/>
            <w:hideMark/>
          </w:tcPr>
          <w:p w14:paraId="0D5851AA" w14:textId="35CDC772"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98,100</w:t>
            </w:r>
          </w:p>
        </w:tc>
        <w:tc>
          <w:tcPr>
            <w:tcW w:w="2552" w:type="dxa"/>
            <w:noWrap/>
            <w:vAlign w:val="center"/>
            <w:hideMark/>
          </w:tcPr>
          <w:p w14:paraId="1041A46D" w14:textId="41AA30EE"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92,000</w:t>
            </w:r>
          </w:p>
        </w:tc>
        <w:tc>
          <w:tcPr>
            <w:tcW w:w="2233" w:type="dxa"/>
            <w:noWrap/>
            <w:vAlign w:val="center"/>
            <w:hideMark/>
          </w:tcPr>
          <w:p w14:paraId="414DAFE1" w14:textId="196483BE"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6.2</w:t>
            </w:r>
          </w:p>
        </w:tc>
      </w:tr>
      <w:tr w:rsidR="00C22E24" w:rsidRPr="005A3AFE" w14:paraId="17D9CA49" w14:textId="77777777" w:rsidTr="00953D60">
        <w:trPr>
          <w:trHeight w:val="309"/>
        </w:trPr>
        <w:tc>
          <w:tcPr>
            <w:tcW w:w="2238" w:type="dxa"/>
            <w:noWrap/>
            <w:vAlign w:val="center"/>
            <w:hideMark/>
          </w:tcPr>
          <w:p w14:paraId="17F2BA5A"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Humanities, culture and social sciences</w:t>
            </w:r>
          </w:p>
        </w:tc>
        <w:tc>
          <w:tcPr>
            <w:tcW w:w="2293" w:type="dxa"/>
            <w:noWrap/>
            <w:vAlign w:val="center"/>
            <w:hideMark/>
          </w:tcPr>
          <w:p w14:paraId="55E3C7DD" w14:textId="1B27A70C"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70,000</w:t>
            </w:r>
          </w:p>
        </w:tc>
        <w:tc>
          <w:tcPr>
            <w:tcW w:w="2552" w:type="dxa"/>
            <w:noWrap/>
            <w:vAlign w:val="center"/>
            <w:hideMark/>
          </w:tcPr>
          <w:p w14:paraId="1E7759D4" w14:textId="2AA435B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68,000</w:t>
            </w:r>
          </w:p>
        </w:tc>
        <w:tc>
          <w:tcPr>
            <w:tcW w:w="2126" w:type="dxa"/>
            <w:noWrap/>
            <w:vAlign w:val="center"/>
            <w:hideMark/>
          </w:tcPr>
          <w:p w14:paraId="63BDED1C" w14:textId="401EDC60"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2.9</w:t>
            </w:r>
          </w:p>
        </w:tc>
        <w:tc>
          <w:tcPr>
            <w:tcW w:w="2268" w:type="dxa"/>
            <w:noWrap/>
            <w:vAlign w:val="center"/>
            <w:hideMark/>
          </w:tcPr>
          <w:p w14:paraId="083E35E0" w14:textId="0831F534"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95,000</w:t>
            </w:r>
          </w:p>
        </w:tc>
        <w:tc>
          <w:tcPr>
            <w:tcW w:w="2552" w:type="dxa"/>
            <w:noWrap/>
            <w:vAlign w:val="center"/>
            <w:hideMark/>
          </w:tcPr>
          <w:p w14:paraId="55A578AA" w14:textId="32322D3A"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90,000</w:t>
            </w:r>
          </w:p>
        </w:tc>
        <w:tc>
          <w:tcPr>
            <w:tcW w:w="2233" w:type="dxa"/>
            <w:noWrap/>
            <w:vAlign w:val="center"/>
            <w:hideMark/>
          </w:tcPr>
          <w:p w14:paraId="4812E4A1" w14:textId="7AF92C3B"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5.3</w:t>
            </w:r>
          </w:p>
        </w:tc>
      </w:tr>
      <w:tr w:rsidR="00C22E24" w:rsidRPr="005A3AFE" w14:paraId="77B7EE2B" w14:textId="77777777" w:rsidTr="00953D60">
        <w:trPr>
          <w:trHeight w:val="309"/>
        </w:trPr>
        <w:tc>
          <w:tcPr>
            <w:tcW w:w="2238" w:type="dxa"/>
            <w:noWrap/>
            <w:vAlign w:val="center"/>
            <w:hideMark/>
          </w:tcPr>
          <w:p w14:paraId="1932052C" w14:textId="77777777" w:rsidR="00C22E24" w:rsidRPr="00953D60" w:rsidRDefault="00C22E24" w:rsidP="00536802">
            <w:pPr>
              <w:spacing w:before="120" w:after="120"/>
              <w:ind w:left="113" w:right="113"/>
              <w:rPr>
                <w:rFonts w:cs="Arial"/>
                <w:color w:val="000000"/>
                <w:szCs w:val="20"/>
                <w:lang w:eastAsia="en-AU"/>
              </w:rPr>
            </w:pPr>
            <w:r w:rsidRPr="00953D60">
              <w:rPr>
                <w:rFonts w:cs="Arial"/>
                <w:color w:val="000000"/>
                <w:szCs w:val="20"/>
                <w:lang w:eastAsia="en-AU"/>
              </w:rPr>
              <w:t>Law and paralegal studies</w:t>
            </w:r>
          </w:p>
        </w:tc>
        <w:tc>
          <w:tcPr>
            <w:tcW w:w="2293" w:type="dxa"/>
            <w:noWrap/>
            <w:vAlign w:val="center"/>
            <w:hideMark/>
          </w:tcPr>
          <w:p w14:paraId="2EFD3ABC" w14:textId="47A9C60F"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78,000</w:t>
            </w:r>
          </w:p>
        </w:tc>
        <w:tc>
          <w:tcPr>
            <w:tcW w:w="2552" w:type="dxa"/>
            <w:noWrap/>
            <w:vAlign w:val="center"/>
            <w:hideMark/>
          </w:tcPr>
          <w:p w14:paraId="43C2F84B" w14:textId="093FF4E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72,000</w:t>
            </w:r>
          </w:p>
        </w:tc>
        <w:tc>
          <w:tcPr>
            <w:tcW w:w="2126" w:type="dxa"/>
            <w:noWrap/>
            <w:vAlign w:val="center"/>
            <w:hideMark/>
          </w:tcPr>
          <w:p w14:paraId="29BC1F5A" w14:textId="4422E013"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7.7</w:t>
            </w:r>
          </w:p>
        </w:tc>
        <w:tc>
          <w:tcPr>
            <w:tcW w:w="2268" w:type="dxa"/>
            <w:noWrap/>
            <w:vAlign w:val="center"/>
            <w:hideMark/>
          </w:tcPr>
          <w:p w14:paraId="310B8BD3" w14:textId="1B68E7A5"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109,300</w:t>
            </w:r>
          </w:p>
        </w:tc>
        <w:tc>
          <w:tcPr>
            <w:tcW w:w="2552" w:type="dxa"/>
            <w:noWrap/>
            <w:vAlign w:val="center"/>
            <w:hideMark/>
          </w:tcPr>
          <w:p w14:paraId="22FFE61C" w14:textId="27E743D1"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100,700</w:t>
            </w:r>
          </w:p>
        </w:tc>
        <w:tc>
          <w:tcPr>
            <w:tcW w:w="2233" w:type="dxa"/>
            <w:noWrap/>
            <w:vAlign w:val="center"/>
            <w:hideMark/>
          </w:tcPr>
          <w:p w14:paraId="4E2B8C73" w14:textId="08FB107F" w:rsidR="00C22E24" w:rsidRPr="00953D60" w:rsidRDefault="00C22E24" w:rsidP="00953D60">
            <w:pPr>
              <w:spacing w:before="120" w:after="120"/>
              <w:ind w:left="113" w:right="113"/>
              <w:jc w:val="center"/>
              <w:rPr>
                <w:rFonts w:cs="Arial"/>
                <w:color w:val="000000"/>
                <w:szCs w:val="20"/>
                <w:lang w:eastAsia="en-AU"/>
              </w:rPr>
            </w:pPr>
            <w:r w:rsidRPr="00953D60">
              <w:rPr>
                <w:rFonts w:cs="Arial"/>
                <w:color w:val="3A3A3A"/>
                <w:szCs w:val="20"/>
              </w:rPr>
              <w:t>7.9</w:t>
            </w:r>
          </w:p>
        </w:tc>
      </w:tr>
      <w:tr w:rsidR="00C22E24" w:rsidRPr="005A3AFE" w14:paraId="2F8CFA3E" w14:textId="77777777" w:rsidTr="00953D60">
        <w:trPr>
          <w:trHeight w:val="309"/>
        </w:trPr>
        <w:tc>
          <w:tcPr>
            <w:tcW w:w="2238" w:type="dxa"/>
            <w:noWrap/>
            <w:vAlign w:val="center"/>
            <w:hideMark/>
          </w:tcPr>
          <w:p w14:paraId="6638D204"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lastRenderedPageBreak/>
              <w:t>Medicine</w:t>
            </w:r>
          </w:p>
        </w:tc>
        <w:tc>
          <w:tcPr>
            <w:tcW w:w="2293" w:type="dxa"/>
            <w:noWrap/>
            <w:vAlign w:val="center"/>
            <w:hideMark/>
          </w:tcPr>
          <w:p w14:paraId="2CDDE0F6" w14:textId="09298F0C" w:rsidR="00C22E24" w:rsidRPr="00E57178" w:rsidRDefault="002A2D85" w:rsidP="00953D60">
            <w:pPr>
              <w:spacing w:before="120" w:after="120"/>
              <w:ind w:left="113" w:right="113"/>
              <w:jc w:val="center"/>
              <w:rPr>
                <w:rFonts w:cs="Arial"/>
                <w:color w:val="000000"/>
                <w:szCs w:val="20"/>
                <w:lang w:eastAsia="en-AU"/>
              </w:rPr>
            </w:pPr>
            <w:r>
              <w:rPr>
                <w:rFonts w:cs="Arial"/>
                <w:color w:val="3A3A3A"/>
                <w:szCs w:val="20"/>
              </w:rPr>
              <w:t xml:space="preserve">: </w:t>
            </w:r>
            <w:r w:rsidR="00C22E24" w:rsidRPr="00E57178">
              <w:rPr>
                <w:rFonts w:cs="Arial"/>
                <w:color w:val="3A3A3A"/>
                <w:szCs w:val="20"/>
              </w:rPr>
              <w:t>89,200</w:t>
            </w:r>
          </w:p>
        </w:tc>
        <w:tc>
          <w:tcPr>
            <w:tcW w:w="2552" w:type="dxa"/>
            <w:noWrap/>
            <w:vAlign w:val="center"/>
            <w:hideMark/>
          </w:tcPr>
          <w:p w14:paraId="570BFA5C" w14:textId="634018E5"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83,000</w:t>
            </w:r>
          </w:p>
        </w:tc>
        <w:tc>
          <w:tcPr>
            <w:tcW w:w="2126" w:type="dxa"/>
            <w:noWrap/>
            <w:vAlign w:val="center"/>
            <w:hideMark/>
          </w:tcPr>
          <w:p w14:paraId="01906FB8" w14:textId="22B4989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7.0</w:t>
            </w:r>
          </w:p>
        </w:tc>
        <w:tc>
          <w:tcPr>
            <w:tcW w:w="2268" w:type="dxa"/>
            <w:noWrap/>
            <w:vAlign w:val="center"/>
            <w:hideMark/>
          </w:tcPr>
          <w:p w14:paraId="1D1AA696" w14:textId="5B3E1F5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130,200</w:t>
            </w:r>
          </w:p>
        </w:tc>
        <w:tc>
          <w:tcPr>
            <w:tcW w:w="2552" w:type="dxa"/>
            <w:noWrap/>
            <w:vAlign w:val="center"/>
            <w:hideMark/>
          </w:tcPr>
          <w:p w14:paraId="22757993" w14:textId="12723B1E"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120,300</w:t>
            </w:r>
          </w:p>
        </w:tc>
        <w:tc>
          <w:tcPr>
            <w:tcW w:w="2233" w:type="dxa"/>
            <w:noWrap/>
            <w:vAlign w:val="center"/>
            <w:hideMark/>
          </w:tcPr>
          <w:p w14:paraId="0FC5BA69" w14:textId="054E2156"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7.6</w:t>
            </w:r>
          </w:p>
        </w:tc>
      </w:tr>
      <w:tr w:rsidR="00C22E24" w:rsidRPr="005A3AFE" w14:paraId="64D2A7C9" w14:textId="77777777" w:rsidTr="00953D60">
        <w:trPr>
          <w:trHeight w:val="309"/>
        </w:trPr>
        <w:tc>
          <w:tcPr>
            <w:tcW w:w="2238" w:type="dxa"/>
            <w:noWrap/>
            <w:vAlign w:val="center"/>
            <w:hideMark/>
          </w:tcPr>
          <w:p w14:paraId="4E68DF2C"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Nursing</w:t>
            </w:r>
          </w:p>
        </w:tc>
        <w:tc>
          <w:tcPr>
            <w:tcW w:w="2293" w:type="dxa"/>
            <w:noWrap/>
            <w:vAlign w:val="center"/>
            <w:hideMark/>
          </w:tcPr>
          <w:p w14:paraId="2846777C" w14:textId="00AD7698"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69,700</w:t>
            </w:r>
          </w:p>
        </w:tc>
        <w:tc>
          <w:tcPr>
            <w:tcW w:w="2552" w:type="dxa"/>
            <w:noWrap/>
            <w:vAlign w:val="center"/>
            <w:hideMark/>
          </w:tcPr>
          <w:p w14:paraId="32629FC6" w14:textId="254F5C8B"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70,000</w:t>
            </w:r>
          </w:p>
        </w:tc>
        <w:tc>
          <w:tcPr>
            <w:tcW w:w="2126" w:type="dxa"/>
            <w:noWrap/>
            <w:vAlign w:val="center"/>
            <w:hideMark/>
          </w:tcPr>
          <w:p w14:paraId="0C982C99" w14:textId="2161A33B"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-0.4</w:t>
            </w:r>
          </w:p>
        </w:tc>
        <w:tc>
          <w:tcPr>
            <w:tcW w:w="2268" w:type="dxa"/>
            <w:noWrap/>
            <w:vAlign w:val="center"/>
            <w:hideMark/>
          </w:tcPr>
          <w:p w14:paraId="44F3AFDD" w14:textId="5E369DFC"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89,900</w:t>
            </w:r>
          </w:p>
        </w:tc>
        <w:tc>
          <w:tcPr>
            <w:tcW w:w="2552" w:type="dxa"/>
            <w:noWrap/>
            <w:vAlign w:val="center"/>
            <w:hideMark/>
          </w:tcPr>
          <w:p w14:paraId="53AE99A9" w14:textId="545BEDAB"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89,700</w:t>
            </w:r>
          </w:p>
        </w:tc>
        <w:tc>
          <w:tcPr>
            <w:tcW w:w="2233" w:type="dxa"/>
            <w:noWrap/>
            <w:vAlign w:val="center"/>
            <w:hideMark/>
          </w:tcPr>
          <w:p w14:paraId="6C49C335" w14:textId="39BFD0BF"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0.2</w:t>
            </w:r>
          </w:p>
        </w:tc>
      </w:tr>
      <w:tr w:rsidR="00C22E24" w:rsidRPr="005A3AFE" w14:paraId="135A2665" w14:textId="77777777" w:rsidTr="00953D60">
        <w:trPr>
          <w:trHeight w:val="309"/>
        </w:trPr>
        <w:tc>
          <w:tcPr>
            <w:tcW w:w="2238" w:type="dxa"/>
            <w:noWrap/>
            <w:vAlign w:val="center"/>
            <w:hideMark/>
          </w:tcPr>
          <w:p w14:paraId="007BBAA4"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Pharmacy</w:t>
            </w:r>
          </w:p>
        </w:tc>
        <w:tc>
          <w:tcPr>
            <w:tcW w:w="2293" w:type="dxa"/>
            <w:noWrap/>
            <w:vAlign w:val="center"/>
            <w:hideMark/>
          </w:tcPr>
          <w:p w14:paraId="25B3D948" w14:textId="5D1D5A58"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552" w:type="dxa"/>
            <w:noWrap/>
            <w:vAlign w:val="center"/>
            <w:hideMark/>
          </w:tcPr>
          <w:p w14:paraId="7FA35F5E" w14:textId="77D61B6B"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56,100</w:t>
            </w:r>
          </w:p>
        </w:tc>
        <w:tc>
          <w:tcPr>
            <w:tcW w:w="2126" w:type="dxa"/>
            <w:noWrap/>
            <w:vAlign w:val="center"/>
            <w:hideMark/>
          </w:tcPr>
          <w:p w14:paraId="398E980A" w14:textId="787A970E"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268" w:type="dxa"/>
            <w:noWrap/>
            <w:vAlign w:val="center"/>
            <w:hideMark/>
          </w:tcPr>
          <w:p w14:paraId="2E6B95AB" w14:textId="6F34E303"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552" w:type="dxa"/>
            <w:noWrap/>
            <w:vAlign w:val="center"/>
            <w:hideMark/>
          </w:tcPr>
          <w:p w14:paraId="70599962" w14:textId="19EEC890"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99,100</w:t>
            </w:r>
          </w:p>
        </w:tc>
        <w:tc>
          <w:tcPr>
            <w:tcW w:w="2233" w:type="dxa"/>
            <w:noWrap/>
            <w:vAlign w:val="center"/>
            <w:hideMark/>
          </w:tcPr>
          <w:p w14:paraId="385E43C1" w14:textId="7050494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r>
      <w:tr w:rsidR="00C22E24" w:rsidRPr="005A3AFE" w14:paraId="3CB1F468" w14:textId="77777777" w:rsidTr="00953D60">
        <w:trPr>
          <w:trHeight w:val="309"/>
        </w:trPr>
        <w:tc>
          <w:tcPr>
            <w:tcW w:w="2238" w:type="dxa"/>
            <w:noWrap/>
            <w:vAlign w:val="center"/>
            <w:hideMark/>
          </w:tcPr>
          <w:p w14:paraId="047FBE05"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Psychology</w:t>
            </w:r>
          </w:p>
        </w:tc>
        <w:tc>
          <w:tcPr>
            <w:tcW w:w="2293" w:type="dxa"/>
            <w:noWrap/>
            <w:vAlign w:val="center"/>
            <w:hideMark/>
          </w:tcPr>
          <w:p w14:paraId="33A98AAD" w14:textId="42028CE7"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72,400</w:t>
            </w:r>
          </w:p>
        </w:tc>
        <w:tc>
          <w:tcPr>
            <w:tcW w:w="2552" w:type="dxa"/>
            <w:noWrap/>
            <w:vAlign w:val="center"/>
            <w:hideMark/>
          </w:tcPr>
          <w:p w14:paraId="0A39E5EB" w14:textId="0FB1BD09"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70,000</w:t>
            </w:r>
          </w:p>
        </w:tc>
        <w:tc>
          <w:tcPr>
            <w:tcW w:w="2126" w:type="dxa"/>
            <w:noWrap/>
            <w:vAlign w:val="center"/>
            <w:hideMark/>
          </w:tcPr>
          <w:p w14:paraId="6A361E64" w14:textId="0EB7FFB7"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3.3</w:t>
            </w:r>
          </w:p>
        </w:tc>
        <w:tc>
          <w:tcPr>
            <w:tcW w:w="2268" w:type="dxa"/>
            <w:noWrap/>
            <w:vAlign w:val="center"/>
            <w:hideMark/>
          </w:tcPr>
          <w:p w14:paraId="3938E11C" w14:textId="246CB08D"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95,600</w:t>
            </w:r>
          </w:p>
        </w:tc>
        <w:tc>
          <w:tcPr>
            <w:tcW w:w="2552" w:type="dxa"/>
            <w:noWrap/>
            <w:vAlign w:val="center"/>
            <w:hideMark/>
          </w:tcPr>
          <w:p w14:paraId="5620AF89" w14:textId="6A99B212"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92,000</w:t>
            </w:r>
          </w:p>
        </w:tc>
        <w:tc>
          <w:tcPr>
            <w:tcW w:w="2233" w:type="dxa"/>
            <w:noWrap/>
            <w:vAlign w:val="center"/>
            <w:hideMark/>
          </w:tcPr>
          <w:p w14:paraId="3EFAF5BC" w14:textId="43D9B82B"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3.8</w:t>
            </w:r>
          </w:p>
        </w:tc>
      </w:tr>
      <w:tr w:rsidR="00C22E24" w:rsidRPr="005A3AFE" w14:paraId="3D795FFB" w14:textId="77777777" w:rsidTr="00953D60">
        <w:trPr>
          <w:trHeight w:val="309"/>
        </w:trPr>
        <w:tc>
          <w:tcPr>
            <w:tcW w:w="2238" w:type="dxa"/>
            <w:noWrap/>
            <w:vAlign w:val="center"/>
            <w:hideMark/>
          </w:tcPr>
          <w:p w14:paraId="11F9FBB9"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Rehabilitation</w:t>
            </w:r>
          </w:p>
        </w:tc>
        <w:tc>
          <w:tcPr>
            <w:tcW w:w="2293" w:type="dxa"/>
            <w:noWrap/>
            <w:vAlign w:val="center"/>
            <w:hideMark/>
          </w:tcPr>
          <w:p w14:paraId="3E3A95B0" w14:textId="2FD891E0"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70,100</w:t>
            </w:r>
          </w:p>
        </w:tc>
        <w:tc>
          <w:tcPr>
            <w:tcW w:w="2552" w:type="dxa"/>
            <w:noWrap/>
            <w:vAlign w:val="center"/>
            <w:hideMark/>
          </w:tcPr>
          <w:p w14:paraId="688D6497" w14:textId="13A0AC5F"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71,000</w:t>
            </w:r>
          </w:p>
        </w:tc>
        <w:tc>
          <w:tcPr>
            <w:tcW w:w="2126" w:type="dxa"/>
            <w:noWrap/>
            <w:vAlign w:val="center"/>
            <w:hideMark/>
          </w:tcPr>
          <w:p w14:paraId="1358E507" w14:textId="127B154D"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-1.3</w:t>
            </w:r>
          </w:p>
        </w:tc>
        <w:tc>
          <w:tcPr>
            <w:tcW w:w="2268" w:type="dxa"/>
            <w:noWrap/>
            <w:vAlign w:val="center"/>
            <w:hideMark/>
          </w:tcPr>
          <w:p w14:paraId="5456EDCC" w14:textId="25605F7C"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90,000</w:t>
            </w:r>
          </w:p>
        </w:tc>
        <w:tc>
          <w:tcPr>
            <w:tcW w:w="2552" w:type="dxa"/>
            <w:noWrap/>
            <w:vAlign w:val="center"/>
            <w:hideMark/>
          </w:tcPr>
          <w:p w14:paraId="25ED840D" w14:textId="3B5A4DF9"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95,100</w:t>
            </w:r>
          </w:p>
        </w:tc>
        <w:tc>
          <w:tcPr>
            <w:tcW w:w="2233" w:type="dxa"/>
            <w:noWrap/>
            <w:vAlign w:val="center"/>
            <w:hideMark/>
          </w:tcPr>
          <w:p w14:paraId="23EFB181" w14:textId="16ECEFFC"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-5.7</w:t>
            </w:r>
          </w:p>
        </w:tc>
      </w:tr>
      <w:tr w:rsidR="00C22E24" w:rsidRPr="005A3AFE" w14:paraId="77879256" w14:textId="77777777" w:rsidTr="00953D60">
        <w:trPr>
          <w:trHeight w:val="309"/>
        </w:trPr>
        <w:tc>
          <w:tcPr>
            <w:tcW w:w="2238" w:type="dxa"/>
            <w:noWrap/>
            <w:vAlign w:val="center"/>
            <w:hideMark/>
          </w:tcPr>
          <w:p w14:paraId="7463E9E9"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Science and mathematics</w:t>
            </w:r>
          </w:p>
        </w:tc>
        <w:tc>
          <w:tcPr>
            <w:tcW w:w="2293" w:type="dxa"/>
            <w:noWrap/>
            <w:vAlign w:val="center"/>
            <w:hideMark/>
          </w:tcPr>
          <w:p w14:paraId="381185A8" w14:textId="7F7DE395"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71,300</w:t>
            </w:r>
          </w:p>
        </w:tc>
        <w:tc>
          <w:tcPr>
            <w:tcW w:w="2552" w:type="dxa"/>
            <w:noWrap/>
            <w:vAlign w:val="center"/>
            <w:hideMark/>
          </w:tcPr>
          <w:p w14:paraId="13415B2C" w14:textId="5119C940"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67,400</w:t>
            </w:r>
          </w:p>
        </w:tc>
        <w:tc>
          <w:tcPr>
            <w:tcW w:w="2126" w:type="dxa"/>
            <w:noWrap/>
            <w:vAlign w:val="center"/>
            <w:hideMark/>
          </w:tcPr>
          <w:p w14:paraId="4D5351FE" w14:textId="1ABF5531"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5.5</w:t>
            </w:r>
          </w:p>
        </w:tc>
        <w:tc>
          <w:tcPr>
            <w:tcW w:w="2268" w:type="dxa"/>
            <w:noWrap/>
            <w:vAlign w:val="center"/>
            <w:hideMark/>
          </w:tcPr>
          <w:p w14:paraId="107D6128" w14:textId="7A3AE281"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93,700</w:t>
            </w:r>
          </w:p>
        </w:tc>
        <w:tc>
          <w:tcPr>
            <w:tcW w:w="2552" w:type="dxa"/>
            <w:noWrap/>
            <w:vAlign w:val="center"/>
            <w:hideMark/>
          </w:tcPr>
          <w:p w14:paraId="3504F3E1" w14:textId="282A16D1"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85,000</w:t>
            </w:r>
          </w:p>
        </w:tc>
        <w:tc>
          <w:tcPr>
            <w:tcW w:w="2233" w:type="dxa"/>
            <w:noWrap/>
            <w:vAlign w:val="center"/>
            <w:hideMark/>
          </w:tcPr>
          <w:p w14:paraId="1A0CC8FF" w14:textId="3933E695"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9.3</w:t>
            </w:r>
          </w:p>
        </w:tc>
      </w:tr>
      <w:tr w:rsidR="00C22E24" w:rsidRPr="005A3AFE" w14:paraId="10D69237" w14:textId="77777777" w:rsidTr="00953D60">
        <w:trPr>
          <w:trHeight w:val="309"/>
        </w:trPr>
        <w:tc>
          <w:tcPr>
            <w:tcW w:w="2238" w:type="dxa"/>
            <w:noWrap/>
            <w:vAlign w:val="center"/>
            <w:hideMark/>
          </w:tcPr>
          <w:p w14:paraId="2705D3D2"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Social work</w:t>
            </w:r>
          </w:p>
        </w:tc>
        <w:tc>
          <w:tcPr>
            <w:tcW w:w="2293" w:type="dxa"/>
            <w:noWrap/>
            <w:vAlign w:val="center"/>
            <w:hideMark/>
          </w:tcPr>
          <w:p w14:paraId="259BEC64" w14:textId="1DEF00F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77,300</w:t>
            </w:r>
          </w:p>
        </w:tc>
        <w:tc>
          <w:tcPr>
            <w:tcW w:w="2552" w:type="dxa"/>
            <w:noWrap/>
            <w:vAlign w:val="center"/>
            <w:hideMark/>
          </w:tcPr>
          <w:p w14:paraId="69C88EA5" w14:textId="780AFAB6"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77,700</w:t>
            </w:r>
          </w:p>
        </w:tc>
        <w:tc>
          <w:tcPr>
            <w:tcW w:w="2126" w:type="dxa"/>
            <w:noWrap/>
            <w:vAlign w:val="center"/>
            <w:hideMark/>
          </w:tcPr>
          <w:p w14:paraId="4E15335F" w14:textId="1721BB4C"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-0.5</w:t>
            </w:r>
          </w:p>
        </w:tc>
        <w:tc>
          <w:tcPr>
            <w:tcW w:w="2268" w:type="dxa"/>
            <w:noWrap/>
            <w:vAlign w:val="center"/>
            <w:hideMark/>
          </w:tcPr>
          <w:p w14:paraId="1E609EC7" w14:textId="4F59C9C1"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99,000</w:t>
            </w:r>
          </w:p>
        </w:tc>
        <w:tc>
          <w:tcPr>
            <w:tcW w:w="2552" w:type="dxa"/>
            <w:noWrap/>
            <w:vAlign w:val="center"/>
            <w:hideMark/>
          </w:tcPr>
          <w:p w14:paraId="7BB7F4E8" w14:textId="09074DBF"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97,000</w:t>
            </w:r>
          </w:p>
        </w:tc>
        <w:tc>
          <w:tcPr>
            <w:tcW w:w="2233" w:type="dxa"/>
            <w:noWrap/>
            <w:vAlign w:val="center"/>
            <w:hideMark/>
          </w:tcPr>
          <w:p w14:paraId="5B3B6676" w14:textId="041B0BEF"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2.0</w:t>
            </w:r>
          </w:p>
        </w:tc>
      </w:tr>
      <w:tr w:rsidR="00C22E24" w:rsidRPr="005A3AFE" w14:paraId="2E524842" w14:textId="77777777" w:rsidTr="00953D60">
        <w:trPr>
          <w:trHeight w:val="309"/>
        </w:trPr>
        <w:tc>
          <w:tcPr>
            <w:tcW w:w="2238" w:type="dxa"/>
            <w:noWrap/>
            <w:vAlign w:val="center"/>
            <w:hideMark/>
          </w:tcPr>
          <w:p w14:paraId="12B3F730"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Teacher education</w:t>
            </w:r>
          </w:p>
        </w:tc>
        <w:tc>
          <w:tcPr>
            <w:tcW w:w="2293" w:type="dxa"/>
            <w:noWrap/>
            <w:vAlign w:val="center"/>
            <w:hideMark/>
          </w:tcPr>
          <w:p w14:paraId="1D1EB08D" w14:textId="4367BA06"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76,000</w:t>
            </w:r>
          </w:p>
        </w:tc>
        <w:tc>
          <w:tcPr>
            <w:tcW w:w="2552" w:type="dxa"/>
            <w:noWrap/>
            <w:vAlign w:val="center"/>
            <w:hideMark/>
          </w:tcPr>
          <w:p w14:paraId="3D67C8F8" w14:textId="5077BFC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75,000</w:t>
            </w:r>
          </w:p>
        </w:tc>
        <w:tc>
          <w:tcPr>
            <w:tcW w:w="2126" w:type="dxa"/>
            <w:noWrap/>
            <w:vAlign w:val="center"/>
            <w:hideMark/>
          </w:tcPr>
          <w:p w14:paraId="5195B154" w14:textId="1CA5819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1.3</w:t>
            </w:r>
          </w:p>
        </w:tc>
        <w:tc>
          <w:tcPr>
            <w:tcW w:w="2268" w:type="dxa"/>
            <w:noWrap/>
            <w:vAlign w:val="center"/>
            <w:hideMark/>
          </w:tcPr>
          <w:p w14:paraId="76C0B82E" w14:textId="3951F1E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96,700</w:t>
            </w:r>
          </w:p>
        </w:tc>
        <w:tc>
          <w:tcPr>
            <w:tcW w:w="2552" w:type="dxa"/>
            <w:noWrap/>
            <w:vAlign w:val="center"/>
            <w:hideMark/>
          </w:tcPr>
          <w:p w14:paraId="5A66C6A7" w14:textId="0B3B949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93,400</w:t>
            </w:r>
          </w:p>
        </w:tc>
        <w:tc>
          <w:tcPr>
            <w:tcW w:w="2233" w:type="dxa"/>
            <w:noWrap/>
            <w:vAlign w:val="center"/>
            <w:hideMark/>
          </w:tcPr>
          <w:p w14:paraId="33DFDDF1" w14:textId="1468D59F"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3.4</w:t>
            </w:r>
          </w:p>
        </w:tc>
      </w:tr>
      <w:tr w:rsidR="00C22E24" w:rsidRPr="005A3AFE" w14:paraId="72F7EF96" w14:textId="77777777" w:rsidTr="00953D60">
        <w:trPr>
          <w:trHeight w:val="309"/>
        </w:trPr>
        <w:tc>
          <w:tcPr>
            <w:tcW w:w="2238" w:type="dxa"/>
            <w:noWrap/>
            <w:vAlign w:val="center"/>
            <w:hideMark/>
          </w:tcPr>
          <w:p w14:paraId="25AAE06C" w14:textId="308960A1"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Tourism, hospitality, personal services, sport</w:t>
            </w:r>
            <w:r w:rsidR="006F3AEE">
              <w:rPr>
                <w:rFonts w:cs="Arial"/>
                <w:color w:val="000000"/>
                <w:szCs w:val="20"/>
                <w:lang w:eastAsia="en-AU"/>
              </w:rPr>
              <w:t xml:space="preserve"> </w:t>
            </w:r>
            <w:r w:rsidRPr="00E57178">
              <w:rPr>
                <w:rFonts w:cs="Arial"/>
                <w:color w:val="000000"/>
                <w:szCs w:val="20"/>
                <w:lang w:eastAsia="en-AU"/>
              </w:rPr>
              <w:t>and recreation</w:t>
            </w:r>
          </w:p>
        </w:tc>
        <w:tc>
          <w:tcPr>
            <w:tcW w:w="2293" w:type="dxa"/>
            <w:noWrap/>
            <w:vAlign w:val="center"/>
            <w:hideMark/>
          </w:tcPr>
          <w:p w14:paraId="27705DE9" w14:textId="3E49F2C4"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552" w:type="dxa"/>
            <w:noWrap/>
            <w:vAlign w:val="center"/>
            <w:hideMark/>
          </w:tcPr>
          <w:p w14:paraId="1CCF82D9" w14:textId="545C09BF"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126" w:type="dxa"/>
            <w:noWrap/>
            <w:vAlign w:val="center"/>
            <w:hideMark/>
          </w:tcPr>
          <w:p w14:paraId="5FDB7215" w14:textId="4C156035"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268" w:type="dxa"/>
            <w:noWrap/>
            <w:vAlign w:val="center"/>
            <w:hideMark/>
          </w:tcPr>
          <w:p w14:paraId="00B472C3" w14:textId="469FED13"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552" w:type="dxa"/>
            <w:noWrap/>
            <w:vAlign w:val="center"/>
            <w:hideMark/>
          </w:tcPr>
          <w:p w14:paraId="25A3623B" w14:textId="5EA60805"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233" w:type="dxa"/>
            <w:noWrap/>
            <w:vAlign w:val="center"/>
            <w:hideMark/>
          </w:tcPr>
          <w:p w14:paraId="07FC3E8A" w14:textId="2DE11873"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r>
      <w:tr w:rsidR="00C22E24" w:rsidRPr="005A3AFE" w14:paraId="2BDFC73C" w14:textId="77777777" w:rsidTr="00953D60">
        <w:trPr>
          <w:trHeight w:val="309"/>
        </w:trPr>
        <w:tc>
          <w:tcPr>
            <w:tcW w:w="2238" w:type="dxa"/>
            <w:noWrap/>
            <w:vAlign w:val="center"/>
            <w:hideMark/>
          </w:tcPr>
          <w:p w14:paraId="2CAF3F92" w14:textId="77777777" w:rsidR="00C22E24" w:rsidRPr="00E57178" w:rsidRDefault="00C22E24" w:rsidP="00536802">
            <w:pPr>
              <w:spacing w:before="120" w:after="120"/>
              <w:ind w:left="113" w:right="113"/>
              <w:rPr>
                <w:rFonts w:cs="Arial"/>
                <w:color w:val="000000"/>
                <w:szCs w:val="20"/>
                <w:lang w:eastAsia="en-AU"/>
              </w:rPr>
            </w:pPr>
            <w:r w:rsidRPr="00E57178">
              <w:rPr>
                <w:rFonts w:cs="Arial"/>
                <w:color w:val="000000"/>
                <w:szCs w:val="20"/>
                <w:lang w:eastAsia="en-AU"/>
              </w:rPr>
              <w:t>Veterinary science</w:t>
            </w:r>
          </w:p>
        </w:tc>
        <w:tc>
          <w:tcPr>
            <w:tcW w:w="2293" w:type="dxa"/>
            <w:noWrap/>
            <w:vAlign w:val="center"/>
            <w:hideMark/>
          </w:tcPr>
          <w:p w14:paraId="5A269FD3" w14:textId="4D7718F1"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552" w:type="dxa"/>
            <w:noWrap/>
            <w:vAlign w:val="center"/>
            <w:hideMark/>
          </w:tcPr>
          <w:p w14:paraId="16CE4F0D" w14:textId="073B264A"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68,400</w:t>
            </w:r>
          </w:p>
        </w:tc>
        <w:tc>
          <w:tcPr>
            <w:tcW w:w="2126" w:type="dxa"/>
            <w:noWrap/>
            <w:vAlign w:val="center"/>
            <w:hideMark/>
          </w:tcPr>
          <w:p w14:paraId="03BB60B2" w14:textId="082B3D81"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268" w:type="dxa"/>
            <w:noWrap/>
            <w:vAlign w:val="center"/>
            <w:hideMark/>
          </w:tcPr>
          <w:p w14:paraId="46793E44" w14:textId="1E6297B9"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c>
          <w:tcPr>
            <w:tcW w:w="2552" w:type="dxa"/>
            <w:noWrap/>
            <w:vAlign w:val="center"/>
            <w:hideMark/>
          </w:tcPr>
          <w:p w14:paraId="345699FC" w14:textId="540A6DEC"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93,600</w:t>
            </w:r>
          </w:p>
        </w:tc>
        <w:tc>
          <w:tcPr>
            <w:tcW w:w="2233" w:type="dxa"/>
            <w:noWrap/>
            <w:vAlign w:val="center"/>
            <w:hideMark/>
          </w:tcPr>
          <w:p w14:paraId="795E25DF" w14:textId="12C8872C" w:rsidR="00C22E24" w:rsidRPr="00E57178" w:rsidRDefault="00C22E24" w:rsidP="00953D60">
            <w:pPr>
              <w:spacing w:before="120" w:after="120"/>
              <w:ind w:left="113" w:right="113"/>
              <w:jc w:val="center"/>
              <w:rPr>
                <w:rFonts w:cs="Arial"/>
                <w:color w:val="000000"/>
                <w:szCs w:val="20"/>
                <w:lang w:eastAsia="en-AU"/>
              </w:rPr>
            </w:pPr>
            <w:r w:rsidRPr="00E57178">
              <w:rPr>
                <w:rFonts w:cs="Arial"/>
                <w:color w:val="3A3A3A"/>
                <w:szCs w:val="20"/>
              </w:rPr>
              <w:t>n/a</w:t>
            </w:r>
          </w:p>
        </w:tc>
      </w:tr>
      <w:tr w:rsidR="00C22E24" w:rsidRPr="005A3AFE" w14:paraId="4536008C" w14:textId="77777777" w:rsidTr="00953D60">
        <w:trPr>
          <w:trHeight w:val="309"/>
        </w:trPr>
        <w:tc>
          <w:tcPr>
            <w:tcW w:w="2238" w:type="dxa"/>
            <w:noWrap/>
            <w:vAlign w:val="center"/>
            <w:hideMark/>
          </w:tcPr>
          <w:p w14:paraId="42EB1FF0" w14:textId="4CD6B7EC" w:rsidR="00C22E24" w:rsidRPr="00E57178" w:rsidRDefault="00CE0738" w:rsidP="00536802">
            <w:pPr>
              <w:spacing w:before="120" w:after="120"/>
              <w:ind w:left="113" w:right="113"/>
              <w:rPr>
                <w:rFonts w:cs="Arial"/>
                <w:b/>
                <w:bCs/>
                <w:color w:val="000000"/>
                <w:szCs w:val="20"/>
                <w:lang w:eastAsia="en-AU"/>
              </w:rPr>
            </w:pPr>
            <w:r w:rsidRPr="00E57178">
              <w:rPr>
                <w:rFonts w:cs="Arial"/>
                <w:b/>
                <w:bCs/>
                <w:color w:val="000000"/>
                <w:szCs w:val="20"/>
                <w:lang w:eastAsia="en-AU"/>
              </w:rPr>
              <w:t>All study areas</w:t>
            </w:r>
          </w:p>
        </w:tc>
        <w:tc>
          <w:tcPr>
            <w:tcW w:w="2293" w:type="dxa"/>
            <w:noWrap/>
            <w:vAlign w:val="center"/>
            <w:hideMark/>
          </w:tcPr>
          <w:p w14:paraId="51351D8B" w14:textId="677324E1" w:rsidR="00C22E24" w:rsidRPr="00E57178" w:rsidRDefault="00C22E24" w:rsidP="00953D60">
            <w:pPr>
              <w:spacing w:before="120" w:after="120"/>
              <w:ind w:left="113" w:right="113"/>
              <w:jc w:val="center"/>
              <w:rPr>
                <w:rFonts w:cs="Arial"/>
                <w:b/>
                <w:bCs/>
                <w:color w:val="000000"/>
                <w:szCs w:val="20"/>
                <w:lang w:eastAsia="en-AU"/>
              </w:rPr>
            </w:pPr>
            <w:r w:rsidRPr="00E57178">
              <w:rPr>
                <w:rFonts w:cs="Arial"/>
                <w:b/>
                <w:bCs/>
                <w:color w:val="3A3A3A"/>
                <w:szCs w:val="20"/>
              </w:rPr>
              <w:t>74,000</w:t>
            </w:r>
          </w:p>
        </w:tc>
        <w:tc>
          <w:tcPr>
            <w:tcW w:w="2552" w:type="dxa"/>
            <w:noWrap/>
            <w:vAlign w:val="center"/>
            <w:hideMark/>
          </w:tcPr>
          <w:p w14:paraId="7DBB31C9" w14:textId="2CEC3696" w:rsidR="00C22E24" w:rsidRPr="00E57178" w:rsidRDefault="00C22E24" w:rsidP="00953D60">
            <w:pPr>
              <w:spacing w:before="120" w:after="120"/>
              <w:ind w:left="113" w:right="113"/>
              <w:jc w:val="center"/>
              <w:rPr>
                <w:rFonts w:cs="Arial"/>
                <w:b/>
                <w:bCs/>
                <w:color w:val="000000"/>
                <w:szCs w:val="20"/>
                <w:lang w:eastAsia="en-AU"/>
              </w:rPr>
            </w:pPr>
            <w:r w:rsidRPr="00E57178">
              <w:rPr>
                <w:rFonts w:cs="Arial"/>
                <w:b/>
                <w:bCs/>
                <w:color w:val="3A3A3A"/>
                <w:szCs w:val="20"/>
              </w:rPr>
              <w:t>70,100</w:t>
            </w:r>
          </w:p>
        </w:tc>
        <w:tc>
          <w:tcPr>
            <w:tcW w:w="2126" w:type="dxa"/>
            <w:noWrap/>
            <w:vAlign w:val="center"/>
            <w:hideMark/>
          </w:tcPr>
          <w:p w14:paraId="1171F97D" w14:textId="14D7F9D9" w:rsidR="00C22E24" w:rsidRPr="00E57178" w:rsidRDefault="00C22E24" w:rsidP="00953D60">
            <w:pPr>
              <w:spacing w:before="120" w:after="120"/>
              <w:ind w:left="113" w:right="113"/>
              <w:jc w:val="center"/>
              <w:rPr>
                <w:rFonts w:cs="Arial"/>
                <w:b/>
                <w:bCs/>
                <w:color w:val="000000"/>
                <w:szCs w:val="20"/>
                <w:lang w:eastAsia="en-AU"/>
              </w:rPr>
            </w:pPr>
            <w:r w:rsidRPr="00E57178">
              <w:rPr>
                <w:rFonts w:cs="Arial"/>
                <w:b/>
                <w:bCs/>
                <w:color w:val="3A3A3A"/>
                <w:szCs w:val="20"/>
              </w:rPr>
              <w:t>5.3</w:t>
            </w:r>
          </w:p>
        </w:tc>
        <w:tc>
          <w:tcPr>
            <w:tcW w:w="2268" w:type="dxa"/>
            <w:noWrap/>
            <w:vAlign w:val="center"/>
            <w:hideMark/>
          </w:tcPr>
          <w:p w14:paraId="5C7CE17D" w14:textId="471540E2" w:rsidR="00C22E24" w:rsidRPr="00E57178" w:rsidRDefault="00C22E24" w:rsidP="00953D60">
            <w:pPr>
              <w:spacing w:before="120" w:after="120"/>
              <w:ind w:left="113" w:right="113"/>
              <w:jc w:val="center"/>
              <w:rPr>
                <w:rFonts w:cs="Arial"/>
                <w:b/>
                <w:bCs/>
                <w:color w:val="000000"/>
                <w:szCs w:val="20"/>
                <w:lang w:eastAsia="en-AU"/>
              </w:rPr>
            </w:pPr>
            <w:r w:rsidRPr="00E57178">
              <w:rPr>
                <w:rFonts w:cs="Arial"/>
                <w:b/>
                <w:bCs/>
                <w:color w:val="3A3A3A"/>
                <w:szCs w:val="20"/>
              </w:rPr>
              <w:t>99,000</w:t>
            </w:r>
          </w:p>
        </w:tc>
        <w:tc>
          <w:tcPr>
            <w:tcW w:w="2552" w:type="dxa"/>
            <w:noWrap/>
            <w:vAlign w:val="center"/>
            <w:hideMark/>
          </w:tcPr>
          <w:p w14:paraId="3DE35147" w14:textId="253FEBAA" w:rsidR="00C22E24" w:rsidRPr="00E57178" w:rsidRDefault="00C22E24" w:rsidP="00953D60">
            <w:pPr>
              <w:spacing w:before="120" w:after="120"/>
              <w:ind w:left="113" w:right="113"/>
              <w:jc w:val="center"/>
              <w:rPr>
                <w:rFonts w:cs="Arial"/>
                <w:b/>
                <w:bCs/>
                <w:color w:val="000000"/>
                <w:szCs w:val="20"/>
                <w:lang w:eastAsia="en-AU"/>
              </w:rPr>
            </w:pPr>
            <w:r w:rsidRPr="00E57178">
              <w:rPr>
                <w:rFonts w:cs="Arial"/>
                <w:b/>
                <w:bCs/>
                <w:color w:val="3A3A3A"/>
                <w:szCs w:val="20"/>
              </w:rPr>
              <w:t>91,000</w:t>
            </w:r>
          </w:p>
        </w:tc>
        <w:tc>
          <w:tcPr>
            <w:tcW w:w="2233" w:type="dxa"/>
            <w:noWrap/>
            <w:vAlign w:val="center"/>
            <w:hideMark/>
          </w:tcPr>
          <w:p w14:paraId="54B1D49A" w14:textId="3C98BF71" w:rsidR="00C22E24" w:rsidRPr="00E57178" w:rsidRDefault="00C22E24" w:rsidP="00953D60">
            <w:pPr>
              <w:spacing w:before="120" w:after="120"/>
              <w:ind w:left="113" w:right="113"/>
              <w:jc w:val="center"/>
              <w:rPr>
                <w:rFonts w:cs="Arial"/>
                <w:b/>
                <w:bCs/>
                <w:color w:val="000000"/>
                <w:szCs w:val="20"/>
                <w:lang w:eastAsia="en-AU"/>
              </w:rPr>
            </w:pPr>
            <w:r w:rsidRPr="00E57178">
              <w:rPr>
                <w:rFonts w:cs="Arial"/>
                <w:b/>
                <w:bCs/>
                <w:color w:val="3A3A3A"/>
                <w:szCs w:val="20"/>
              </w:rPr>
              <w:t>8.1</w:t>
            </w:r>
          </w:p>
        </w:tc>
      </w:tr>
    </w:tbl>
    <w:p w14:paraId="504C5183" w14:textId="5EC7CB98" w:rsidR="00C808D8" w:rsidRDefault="00C808D8" w:rsidP="00536802">
      <w:pPr>
        <w:pStyle w:val="BaseFigureNotes"/>
        <w:spacing w:before="120" w:after="120"/>
        <w:ind w:left="113" w:right="113"/>
      </w:pPr>
      <w:r w:rsidRPr="001061E4">
        <w:rPr>
          <w:b/>
          <w:bCs/>
        </w:rPr>
        <w:t>Note</w:t>
      </w:r>
      <w:r w:rsidRPr="005A3AFE">
        <w:t xml:space="preserve">: </w:t>
      </w:r>
      <w:bookmarkEnd w:id="132"/>
      <w:bookmarkEnd w:id="133"/>
      <w:bookmarkEnd w:id="289"/>
      <w:r w:rsidR="002A2D85">
        <w:t xml:space="preserve">1. </w:t>
      </w:r>
      <w:r w:rsidR="0034213B" w:rsidRPr="005A3AFE">
        <w:t>A blank cell indicates there is no data for that cell and n/a indicates a suppressed value (n&lt;25).</w:t>
      </w:r>
    </w:p>
    <w:p w14:paraId="0274B842" w14:textId="0AAEFB8F" w:rsidR="006928F1" w:rsidRPr="002A2D85" w:rsidRDefault="002A2D85" w:rsidP="002A2D85">
      <w:pPr>
        <w:pStyle w:val="BaseFigureNotes"/>
        <w:spacing w:before="120" w:after="120"/>
        <w:ind w:left="624" w:right="113"/>
        <w:rPr>
          <w:spacing w:val="-4"/>
        </w:rPr>
      </w:pPr>
      <w:r w:rsidRPr="002A2D85">
        <w:rPr>
          <w:spacing w:val="-4"/>
        </w:rPr>
        <w:t xml:space="preserve">2. </w:t>
      </w:r>
      <w:r w:rsidR="00D00380" w:rsidRPr="002A2D85">
        <w:rPr>
          <w:spacing w:val="-4"/>
        </w:rPr>
        <w:t>The gender pay gap is calculated as 100 x (Male median salary – Female median salary)/Male median salary, consistent with the methodology used by the Workplace Gender Equality Agency (WGEA).</w:t>
      </w:r>
    </w:p>
    <w:p w14:paraId="2B282B97" w14:textId="03DD6BE8" w:rsidR="00C4459D" w:rsidRPr="002A2D85" w:rsidRDefault="00C4459D" w:rsidP="007869B8">
      <w:pPr>
        <w:pStyle w:val="Appendix2"/>
        <w:spacing w:before="120"/>
        <w:ind w:left="1134" w:right="113"/>
        <w:rPr>
          <w:color w:val="5D6C16" w:themeColor="accent1" w:themeShade="80"/>
        </w:rPr>
      </w:pPr>
      <w:bookmarkStart w:id="290" w:name="_Toc243492361"/>
      <w:r w:rsidRPr="002A2D85">
        <w:rPr>
          <w:color w:val="5D6C16" w:themeColor="accent1" w:themeShade="80"/>
        </w:rPr>
        <w:lastRenderedPageBreak/>
        <w:t>Study area</w:t>
      </w:r>
      <w:bookmarkEnd w:id="290"/>
    </w:p>
    <w:p w14:paraId="3CBCE980" w14:textId="453E81F0" w:rsidR="00C4459D" w:rsidRPr="001061E4" w:rsidRDefault="00C4459D" w:rsidP="007869B8">
      <w:pPr>
        <w:pStyle w:val="Caption"/>
        <w:ind w:right="113"/>
      </w:pPr>
      <w:bookmarkStart w:id="291" w:name="_Toc243492106"/>
      <w:r>
        <w:t xml:space="preserve">Table </w:t>
      </w:r>
      <w:fldSimple w:instr=" SEQ Table \* ARABIC ">
        <w:r w:rsidR="00487685">
          <w:rPr>
            <w:noProof/>
          </w:rPr>
          <w:t>14</w:t>
        </w:r>
      </w:fldSimple>
      <w:r w:rsidR="007F6B22">
        <w:tab/>
      </w:r>
      <w:r w:rsidRPr="00CF1C60">
        <w:t>Domestic postgraduate coursework labour market outcomes by study area</w:t>
      </w:r>
      <w:bookmarkEnd w:id="291"/>
    </w:p>
    <w:tbl>
      <w:tblPr>
        <w:tblW w:w="5000" w:type="pct"/>
        <w:tblLayout w:type="fixed"/>
        <w:tblCellMar>
          <w:left w:w="0" w:type="dxa"/>
          <w:right w:w="0" w:type="dxa"/>
        </w:tblCellMar>
        <w:tblLook w:val="0000" w:firstRow="0" w:lastRow="0" w:firstColumn="0" w:lastColumn="0" w:noHBand="0" w:noVBand="0"/>
        <w:tblCaption w:val="Table 5  Short- (2014) and medium-term (2017) outcomes for undergraduates by study area "/>
      </w:tblPr>
      <w:tblGrid>
        <w:gridCol w:w="1839"/>
        <w:gridCol w:w="1803"/>
        <w:gridCol w:w="1803"/>
        <w:gridCol w:w="1803"/>
        <w:gridCol w:w="1803"/>
        <w:gridCol w:w="1802"/>
        <w:gridCol w:w="1802"/>
        <w:gridCol w:w="1802"/>
        <w:gridCol w:w="1805"/>
      </w:tblGrid>
      <w:tr w:rsidR="00000117" w:rsidRPr="00CF1C60" w14:paraId="13606F60" w14:textId="77777777" w:rsidTr="007869B8">
        <w:trPr>
          <w:trHeight w:val="1644"/>
          <w:tblHeader/>
        </w:trPr>
        <w:tc>
          <w:tcPr>
            <w:tcW w:w="565" w:type="pct"/>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tcPr>
          <w:p w14:paraId="3598078F" w14:textId="7C31B1F4" w:rsidR="00000117" w:rsidRPr="008E3305" w:rsidRDefault="00000117" w:rsidP="007869B8">
            <w:pPr>
              <w:widowControl w:val="0"/>
              <w:autoSpaceDE w:val="0"/>
              <w:autoSpaceDN w:val="0"/>
              <w:adjustRightInd w:val="0"/>
              <w:spacing w:before="240" w:after="60" w:line="288" w:lineRule="auto"/>
              <w:ind w:left="113" w:right="113"/>
              <w:textAlignment w:val="center"/>
              <w:rPr>
                <w:rFonts w:eastAsia="MS Mincho" w:cs="Arial"/>
                <w:b/>
                <w:caps/>
                <w:szCs w:val="20"/>
                <w:lang w:val="en-GB"/>
              </w:rPr>
            </w:pPr>
            <w:r w:rsidRPr="008E3305">
              <w:rPr>
                <w:rFonts w:eastAsia="MS Mincho" w:cs="Arial"/>
                <w:b/>
                <w:szCs w:val="20"/>
                <w:lang w:val="en-GB"/>
              </w:rPr>
              <w:t>Study</w:t>
            </w:r>
            <w:r w:rsidRPr="008E3305">
              <w:rPr>
                <w:rFonts w:eastAsia="MS Mincho" w:cs="Arial"/>
                <w:b/>
                <w:caps/>
                <w:szCs w:val="20"/>
                <w:lang w:val="en-GB"/>
              </w:rPr>
              <w:t xml:space="preserve"> </w:t>
            </w:r>
            <w:r w:rsidRPr="008E3305">
              <w:rPr>
                <w:rFonts w:eastAsia="MS Mincho" w:cs="Arial"/>
                <w:b/>
                <w:szCs w:val="20"/>
                <w:lang w:val="en-GB"/>
              </w:rPr>
              <w:t>area</w:t>
            </w:r>
          </w:p>
        </w:tc>
        <w:tc>
          <w:tcPr>
            <w:tcW w:w="554" w:type="pct"/>
            <w:tcBorders>
              <w:top w:val="single" w:sz="4" w:space="0" w:color="auto"/>
              <w:left w:val="single" w:sz="4" w:space="0" w:color="000000"/>
              <w:right w:val="single" w:sz="4" w:space="0" w:color="000000"/>
            </w:tcBorders>
            <w:vAlign w:val="center"/>
          </w:tcPr>
          <w:p w14:paraId="24160986" w14:textId="0002EFF0"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caps/>
                <w:spacing w:val="-2"/>
                <w:szCs w:val="20"/>
                <w:lang w:val="en-GB"/>
              </w:rPr>
            </w:pPr>
            <w:r w:rsidRPr="008E3305">
              <w:rPr>
                <w:rFonts w:eastAsia="MS Mincho" w:cs="Arial"/>
                <w:b/>
                <w:spacing w:val="-2"/>
                <w:szCs w:val="20"/>
                <w:lang w:val="en-GB"/>
              </w:rPr>
              <w:t>Full-time - employment rate</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caps/>
                <w:spacing w:val="-2"/>
                <w:szCs w:val="20"/>
                <w:lang w:val="en-GB"/>
              </w:rPr>
              <w:t xml:space="preserve">: </w:t>
            </w:r>
          </w:p>
          <w:p w14:paraId="003B10A5" w14:textId="7D619820"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spacing w:val="-2"/>
                <w:szCs w:val="20"/>
                <w:lang w:val="en-GB"/>
              </w:rPr>
            </w:pPr>
            <w:r w:rsidRPr="008E3305">
              <w:rPr>
                <w:rFonts w:eastAsia="MS Mincho" w:cs="Arial"/>
                <w:bCs/>
                <w:caps/>
                <w:spacing w:val="-2"/>
                <w:szCs w:val="20"/>
                <w:lang w:val="en-GB"/>
              </w:rPr>
              <w:t>S</w:t>
            </w:r>
            <w:r w:rsidRPr="008E3305">
              <w:rPr>
                <w:rFonts w:eastAsia="MS Mincho" w:cs="Arial"/>
                <w:bCs/>
                <w:spacing w:val="-2"/>
                <w:szCs w:val="20"/>
                <w:lang w:val="en-GB"/>
              </w:rPr>
              <w:t>hort</w:t>
            </w:r>
            <w:r w:rsidRPr="008E3305">
              <w:rPr>
                <w:rFonts w:eastAsia="MS Mincho" w:cs="Arial"/>
                <w:bCs/>
                <w:spacing w:val="-2"/>
                <w:szCs w:val="20"/>
                <w:lang w:val="en-GB"/>
              </w:rPr>
              <w:noBreakHyphen/>
              <w:t>term (2023)</w:t>
            </w:r>
          </w:p>
        </w:tc>
        <w:tc>
          <w:tcPr>
            <w:tcW w:w="554" w:type="pct"/>
            <w:tcBorders>
              <w:top w:val="single" w:sz="4" w:space="0" w:color="auto"/>
              <w:left w:val="single" w:sz="4" w:space="0" w:color="000000"/>
              <w:right w:val="single" w:sz="4" w:space="0" w:color="000000"/>
            </w:tcBorders>
            <w:vAlign w:val="center"/>
          </w:tcPr>
          <w:p w14:paraId="280761E4" w14:textId="31BFA0B8"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spacing w:val="-2"/>
                <w:szCs w:val="20"/>
                <w:lang w:val="en-GB"/>
              </w:rPr>
            </w:pPr>
            <w:r w:rsidRPr="008E3305">
              <w:rPr>
                <w:rFonts w:eastAsia="MS Mincho" w:cs="Arial"/>
                <w:b/>
                <w:spacing w:val="-2"/>
                <w:szCs w:val="20"/>
                <w:lang w:val="en-GB"/>
              </w:rPr>
              <w:t>Full-time - employment rate</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spacing w:val="-2"/>
                <w:szCs w:val="20"/>
                <w:lang w:val="en-GB"/>
              </w:rPr>
              <w:t xml:space="preserve">: </w:t>
            </w:r>
          </w:p>
          <w:p w14:paraId="16A04D58" w14:textId="7C7823EE"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spacing w:val="-2"/>
                <w:szCs w:val="20"/>
                <w:lang w:val="en-GB"/>
              </w:rPr>
            </w:pPr>
            <w:r w:rsidRPr="008E3305">
              <w:rPr>
                <w:rFonts w:eastAsia="MS Mincho" w:cs="Arial"/>
                <w:bCs/>
                <w:spacing w:val="-2"/>
                <w:szCs w:val="20"/>
                <w:lang w:val="en-GB"/>
              </w:rPr>
              <w:t>Medium-term (2025)</w:t>
            </w:r>
          </w:p>
        </w:tc>
        <w:tc>
          <w:tcPr>
            <w:tcW w:w="554" w:type="pct"/>
            <w:tcBorders>
              <w:top w:val="single" w:sz="4" w:space="0" w:color="auto"/>
              <w:left w:val="single" w:sz="4" w:space="0" w:color="000000"/>
              <w:right w:val="single" w:sz="4" w:space="0" w:color="000000"/>
            </w:tcBorders>
            <w:tcMar>
              <w:top w:w="57" w:type="dxa"/>
              <w:left w:w="57" w:type="dxa"/>
              <w:bottom w:w="57" w:type="dxa"/>
              <w:right w:w="57" w:type="dxa"/>
            </w:tcMar>
            <w:vAlign w:val="center"/>
          </w:tcPr>
          <w:p w14:paraId="3169BAC4" w14:textId="5EE270C5"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caps/>
                <w:spacing w:val="-2"/>
                <w:szCs w:val="20"/>
                <w:lang w:val="en-GB"/>
              </w:rPr>
            </w:pPr>
            <w:r w:rsidRPr="008E3305">
              <w:rPr>
                <w:rFonts w:eastAsia="MS Mincho" w:cs="Arial"/>
                <w:b/>
                <w:spacing w:val="-2"/>
                <w:szCs w:val="20"/>
                <w:lang w:val="en-GB"/>
              </w:rPr>
              <w:t>Overall - employment rate</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caps/>
                <w:spacing w:val="-2"/>
                <w:szCs w:val="20"/>
                <w:lang w:val="en-GB"/>
              </w:rPr>
              <w:t xml:space="preserve">: </w:t>
            </w:r>
          </w:p>
          <w:p w14:paraId="11FF3708" w14:textId="3E432831"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spacing w:val="-2"/>
                <w:szCs w:val="20"/>
                <w:lang w:val="en-GB"/>
              </w:rPr>
            </w:pPr>
            <w:r w:rsidRPr="008E3305">
              <w:rPr>
                <w:rFonts w:eastAsia="MS Mincho" w:cs="Arial"/>
                <w:bCs/>
                <w:caps/>
                <w:spacing w:val="-2"/>
                <w:szCs w:val="20"/>
                <w:lang w:val="en-GB"/>
              </w:rPr>
              <w:t>S</w:t>
            </w:r>
            <w:r w:rsidRPr="008E3305">
              <w:rPr>
                <w:rFonts w:eastAsia="MS Mincho" w:cs="Arial"/>
                <w:bCs/>
                <w:spacing w:val="-2"/>
                <w:szCs w:val="20"/>
                <w:lang w:val="en-GB"/>
              </w:rPr>
              <w:t>hort-term (2023)</w:t>
            </w:r>
          </w:p>
        </w:tc>
        <w:tc>
          <w:tcPr>
            <w:tcW w:w="554" w:type="pct"/>
            <w:tcBorders>
              <w:top w:val="single" w:sz="4" w:space="0" w:color="auto"/>
              <w:left w:val="single" w:sz="4" w:space="0" w:color="000000"/>
              <w:right w:val="single" w:sz="4" w:space="0" w:color="000000"/>
            </w:tcBorders>
            <w:vAlign w:val="center"/>
          </w:tcPr>
          <w:p w14:paraId="5B619700" w14:textId="02F1D97B"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spacing w:val="-2"/>
                <w:szCs w:val="20"/>
                <w:lang w:val="en-GB"/>
              </w:rPr>
            </w:pPr>
            <w:r w:rsidRPr="008E3305">
              <w:rPr>
                <w:rFonts w:eastAsia="MS Mincho" w:cs="Arial"/>
                <w:b/>
                <w:spacing w:val="-2"/>
                <w:szCs w:val="20"/>
                <w:lang w:val="en-GB"/>
              </w:rPr>
              <w:t>Overall - employment rate</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spacing w:val="-2"/>
                <w:szCs w:val="20"/>
                <w:lang w:val="en-GB"/>
              </w:rPr>
              <w:t xml:space="preserve">: </w:t>
            </w:r>
          </w:p>
          <w:p w14:paraId="5C096648" w14:textId="402EB84F"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spacing w:val="-2"/>
                <w:szCs w:val="20"/>
                <w:lang w:val="en-GB"/>
              </w:rPr>
            </w:pPr>
            <w:r w:rsidRPr="008E3305">
              <w:rPr>
                <w:rFonts w:eastAsia="MS Mincho" w:cs="Arial"/>
                <w:bCs/>
                <w:spacing w:val="-2"/>
                <w:szCs w:val="20"/>
                <w:lang w:val="en-GB"/>
              </w:rPr>
              <w:t>Medium-term (2025)</w:t>
            </w:r>
          </w:p>
        </w:tc>
        <w:tc>
          <w:tcPr>
            <w:tcW w:w="554" w:type="pct"/>
            <w:tcBorders>
              <w:top w:val="single" w:sz="4" w:space="0" w:color="auto"/>
              <w:left w:val="single" w:sz="4" w:space="0" w:color="000000"/>
              <w:right w:val="single" w:sz="4" w:space="0" w:color="000000"/>
            </w:tcBorders>
            <w:tcMar>
              <w:top w:w="57" w:type="dxa"/>
              <w:left w:w="57" w:type="dxa"/>
              <w:bottom w:w="57" w:type="dxa"/>
              <w:right w:w="57" w:type="dxa"/>
            </w:tcMar>
            <w:vAlign w:val="center"/>
          </w:tcPr>
          <w:p w14:paraId="4B42781F" w14:textId="77777777"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caps/>
                <w:spacing w:val="-2"/>
                <w:szCs w:val="20"/>
                <w:lang w:val="en-GB"/>
              </w:rPr>
            </w:pPr>
            <w:r w:rsidRPr="008E3305">
              <w:rPr>
                <w:rFonts w:eastAsia="MS Mincho" w:cs="Arial"/>
                <w:b/>
                <w:spacing w:val="-2"/>
                <w:szCs w:val="20"/>
                <w:lang w:val="en-GB"/>
              </w:rPr>
              <w:t>Labour force participation rate (%)</w:t>
            </w:r>
            <w:r w:rsidRPr="008E3305">
              <w:rPr>
                <w:rFonts w:eastAsia="MS Mincho" w:cs="Arial"/>
                <w:bCs/>
                <w:caps/>
                <w:spacing w:val="-2"/>
                <w:szCs w:val="20"/>
                <w:lang w:val="en-GB"/>
              </w:rPr>
              <w:t>:</w:t>
            </w:r>
          </w:p>
          <w:p w14:paraId="7C60186B" w14:textId="6643E365"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caps/>
                <w:spacing w:val="-2"/>
                <w:szCs w:val="20"/>
                <w:lang w:val="en-GB"/>
              </w:rPr>
            </w:pPr>
            <w:r w:rsidRPr="008E3305">
              <w:rPr>
                <w:rFonts w:eastAsia="MS Mincho" w:cs="Arial"/>
                <w:bCs/>
                <w:caps/>
                <w:spacing w:val="-2"/>
                <w:szCs w:val="20"/>
                <w:lang w:val="en-GB"/>
              </w:rPr>
              <w:t>S</w:t>
            </w:r>
            <w:r w:rsidRPr="008E3305">
              <w:rPr>
                <w:rFonts w:eastAsia="MS Mincho" w:cs="Arial"/>
                <w:bCs/>
                <w:spacing w:val="-2"/>
                <w:szCs w:val="20"/>
                <w:lang w:val="en-GB"/>
              </w:rPr>
              <w:t>hort</w:t>
            </w:r>
            <w:r w:rsidRPr="008E3305">
              <w:rPr>
                <w:rFonts w:eastAsia="MS Mincho" w:cs="Arial"/>
                <w:bCs/>
                <w:spacing w:val="-2"/>
                <w:szCs w:val="20"/>
                <w:lang w:val="en-GB"/>
              </w:rPr>
              <w:noBreakHyphen/>
              <w:t>term (2023)</w:t>
            </w:r>
          </w:p>
        </w:tc>
        <w:tc>
          <w:tcPr>
            <w:tcW w:w="554" w:type="pct"/>
            <w:tcBorders>
              <w:top w:val="single" w:sz="4" w:space="0" w:color="auto"/>
              <w:left w:val="single" w:sz="4" w:space="0" w:color="000000"/>
              <w:right w:val="single" w:sz="4" w:space="0" w:color="000000"/>
            </w:tcBorders>
            <w:vAlign w:val="center"/>
          </w:tcPr>
          <w:p w14:paraId="3E66AB94" w14:textId="5633AC57"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spacing w:val="-2"/>
                <w:szCs w:val="20"/>
                <w:lang w:val="en-GB"/>
              </w:rPr>
            </w:pPr>
            <w:r w:rsidRPr="008E3305">
              <w:rPr>
                <w:rFonts w:eastAsia="MS Mincho" w:cs="Arial"/>
                <w:b/>
                <w:spacing w:val="-2"/>
                <w:szCs w:val="20"/>
                <w:lang w:val="en-GB"/>
              </w:rPr>
              <w:t>Labour force participation rate</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spacing w:val="-2"/>
                <w:szCs w:val="20"/>
                <w:lang w:val="en-GB"/>
              </w:rPr>
              <w:t xml:space="preserve">: </w:t>
            </w:r>
          </w:p>
          <w:p w14:paraId="6FA5BF8E" w14:textId="50072D6E"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caps/>
                <w:spacing w:val="-2"/>
                <w:szCs w:val="20"/>
                <w:lang w:val="en-GB"/>
              </w:rPr>
            </w:pPr>
            <w:r w:rsidRPr="008E3305">
              <w:rPr>
                <w:rFonts w:eastAsia="MS Mincho" w:cs="Arial"/>
                <w:bCs/>
                <w:spacing w:val="-2"/>
                <w:szCs w:val="20"/>
                <w:lang w:val="en-GB"/>
              </w:rPr>
              <w:t>Medium-term (2025)</w:t>
            </w:r>
          </w:p>
        </w:tc>
        <w:tc>
          <w:tcPr>
            <w:tcW w:w="554" w:type="pct"/>
            <w:tcBorders>
              <w:top w:val="single" w:sz="4" w:space="0" w:color="auto"/>
              <w:left w:val="single" w:sz="4" w:space="0" w:color="000000"/>
              <w:right w:val="single" w:sz="4" w:space="0" w:color="000000"/>
            </w:tcBorders>
            <w:tcMar>
              <w:top w:w="57" w:type="dxa"/>
              <w:left w:w="57" w:type="dxa"/>
              <w:bottom w:w="57" w:type="dxa"/>
              <w:right w:w="0" w:type="dxa"/>
            </w:tcMar>
            <w:vAlign w:val="center"/>
          </w:tcPr>
          <w:p w14:paraId="09A05B89" w14:textId="72C2B5B9"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caps/>
                <w:spacing w:val="-2"/>
                <w:szCs w:val="20"/>
                <w:lang w:val="en-GB"/>
              </w:rPr>
            </w:pPr>
            <w:r w:rsidRPr="008E3305">
              <w:rPr>
                <w:rFonts w:eastAsia="MS Mincho" w:cs="Arial"/>
                <w:b/>
                <w:spacing w:val="-2"/>
                <w:szCs w:val="20"/>
                <w:lang w:val="en-GB"/>
              </w:rPr>
              <w:t>Median annual full-time salary</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caps/>
                <w:spacing w:val="-2"/>
                <w:szCs w:val="20"/>
                <w:lang w:val="en-GB"/>
              </w:rPr>
              <w:t xml:space="preserve">: </w:t>
            </w:r>
          </w:p>
          <w:p w14:paraId="02A31428" w14:textId="03D125B6"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caps/>
                <w:spacing w:val="-2"/>
                <w:szCs w:val="20"/>
                <w:lang w:val="en-GB"/>
              </w:rPr>
            </w:pPr>
            <w:r w:rsidRPr="008E3305">
              <w:rPr>
                <w:rFonts w:eastAsia="MS Mincho" w:cs="Arial"/>
                <w:bCs/>
                <w:caps/>
                <w:spacing w:val="-2"/>
                <w:szCs w:val="20"/>
                <w:lang w:val="en-GB"/>
              </w:rPr>
              <w:t>S</w:t>
            </w:r>
            <w:r w:rsidRPr="008E3305">
              <w:rPr>
                <w:rFonts w:eastAsia="MS Mincho" w:cs="Arial"/>
                <w:bCs/>
                <w:spacing w:val="-2"/>
                <w:szCs w:val="20"/>
                <w:lang w:val="en-GB"/>
              </w:rPr>
              <w:t>hort-term (2023)</w:t>
            </w:r>
          </w:p>
        </w:tc>
        <w:tc>
          <w:tcPr>
            <w:tcW w:w="555" w:type="pct"/>
            <w:tcBorders>
              <w:top w:val="single" w:sz="4" w:space="0" w:color="auto"/>
              <w:left w:val="single" w:sz="4" w:space="0" w:color="000000"/>
              <w:right w:val="single" w:sz="4" w:space="0" w:color="000000"/>
            </w:tcBorders>
            <w:vAlign w:val="center"/>
          </w:tcPr>
          <w:p w14:paraId="3D995232" w14:textId="67E4F6A7" w:rsidR="007869B8" w:rsidRPr="008E3305" w:rsidRDefault="00000117" w:rsidP="008E3305">
            <w:pPr>
              <w:widowControl w:val="0"/>
              <w:autoSpaceDE w:val="0"/>
              <w:autoSpaceDN w:val="0"/>
              <w:adjustRightInd w:val="0"/>
              <w:spacing w:before="60" w:after="60" w:line="288" w:lineRule="auto"/>
              <w:ind w:left="227"/>
              <w:textAlignment w:val="center"/>
              <w:rPr>
                <w:rFonts w:eastAsia="MS Mincho" w:cs="Arial"/>
                <w:bCs/>
                <w:spacing w:val="-2"/>
                <w:szCs w:val="20"/>
                <w:lang w:val="en-GB"/>
              </w:rPr>
            </w:pPr>
            <w:r w:rsidRPr="008E3305">
              <w:rPr>
                <w:rFonts w:eastAsia="MS Mincho" w:cs="Arial"/>
                <w:b/>
                <w:spacing w:val="-2"/>
                <w:szCs w:val="20"/>
                <w:lang w:val="en-GB"/>
              </w:rPr>
              <w:t>Median annual full-time salary</w:t>
            </w:r>
            <w:r w:rsidR="007869B8" w:rsidRPr="008E3305">
              <w:rPr>
                <w:rFonts w:eastAsia="MS Mincho" w:cs="Arial"/>
                <w:b/>
                <w:spacing w:val="-2"/>
                <w:szCs w:val="20"/>
                <w:lang w:val="en-GB"/>
              </w:rPr>
              <w:t> </w:t>
            </w:r>
            <w:r w:rsidRPr="008E3305">
              <w:rPr>
                <w:rFonts w:eastAsia="MS Mincho" w:cs="Arial"/>
                <w:b/>
                <w:spacing w:val="-2"/>
                <w:szCs w:val="20"/>
                <w:lang w:val="en-GB"/>
              </w:rPr>
              <w:t>($)</w:t>
            </w:r>
            <w:r w:rsidRPr="008E3305">
              <w:rPr>
                <w:rFonts w:eastAsia="MS Mincho" w:cs="Arial"/>
                <w:bCs/>
                <w:spacing w:val="-2"/>
                <w:szCs w:val="20"/>
                <w:lang w:val="en-GB"/>
              </w:rPr>
              <w:t xml:space="preserve">: </w:t>
            </w:r>
          </w:p>
          <w:p w14:paraId="44B29DE7" w14:textId="67E454E2" w:rsidR="00000117" w:rsidRPr="008E3305" w:rsidRDefault="00000117" w:rsidP="008E3305">
            <w:pPr>
              <w:widowControl w:val="0"/>
              <w:autoSpaceDE w:val="0"/>
              <w:autoSpaceDN w:val="0"/>
              <w:adjustRightInd w:val="0"/>
              <w:spacing w:before="60" w:after="60" w:line="288" w:lineRule="auto"/>
              <w:ind w:left="227"/>
              <w:textAlignment w:val="center"/>
              <w:rPr>
                <w:rFonts w:eastAsia="MS Mincho" w:cs="Arial"/>
                <w:b/>
                <w:caps/>
                <w:spacing w:val="-2"/>
                <w:szCs w:val="20"/>
                <w:lang w:val="en-GB"/>
              </w:rPr>
            </w:pPr>
            <w:r w:rsidRPr="008E3305">
              <w:rPr>
                <w:rFonts w:eastAsia="MS Mincho" w:cs="Arial"/>
                <w:bCs/>
                <w:spacing w:val="-2"/>
                <w:szCs w:val="20"/>
                <w:lang w:val="en-GB"/>
              </w:rPr>
              <w:t>Medium-term (2025)</w:t>
            </w:r>
          </w:p>
        </w:tc>
      </w:tr>
      <w:tr w:rsidR="00C4459D" w:rsidRPr="00CF1C60" w14:paraId="7799588B"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7F698CA2" w14:textId="77777777" w:rsidR="00C4459D" w:rsidRPr="008E3305" w:rsidRDefault="00C4459D" w:rsidP="00536802">
            <w:pPr>
              <w:spacing w:before="120" w:after="120" w:line="288" w:lineRule="auto"/>
              <w:ind w:left="113" w:right="113"/>
              <w:rPr>
                <w:rFonts w:eastAsia="Aptos" w:cs="Arial"/>
                <w:b/>
                <w:bCs/>
                <w:szCs w:val="20"/>
              </w:rPr>
            </w:pPr>
            <w:r w:rsidRPr="008E3305">
              <w:rPr>
                <w:rFonts w:cs="Arial"/>
                <w:color w:val="000000"/>
                <w:szCs w:val="20"/>
              </w:rPr>
              <w:t>Agriculture and environmental studies</w:t>
            </w:r>
          </w:p>
        </w:tc>
        <w:tc>
          <w:tcPr>
            <w:tcW w:w="554" w:type="pct"/>
            <w:tcBorders>
              <w:top w:val="single" w:sz="4" w:space="0" w:color="000000"/>
              <w:left w:val="single" w:sz="4" w:space="0" w:color="000000"/>
              <w:bottom w:val="single" w:sz="4" w:space="0" w:color="000000"/>
              <w:right w:val="single" w:sz="4" w:space="0" w:color="000000"/>
            </w:tcBorders>
            <w:vAlign w:val="center"/>
          </w:tcPr>
          <w:p w14:paraId="0F450E87" w14:textId="31DA8E4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83.1</w:t>
            </w:r>
          </w:p>
        </w:tc>
        <w:tc>
          <w:tcPr>
            <w:tcW w:w="554" w:type="pct"/>
            <w:tcBorders>
              <w:top w:val="single" w:sz="4" w:space="0" w:color="000000"/>
              <w:left w:val="single" w:sz="4" w:space="0" w:color="000000"/>
              <w:bottom w:val="single" w:sz="4" w:space="0" w:color="000000"/>
              <w:right w:val="single" w:sz="4" w:space="0" w:color="000000"/>
            </w:tcBorders>
            <w:vAlign w:val="center"/>
          </w:tcPr>
          <w:p w14:paraId="674B0544" w14:textId="57EBC44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15F2B2" w14:textId="35A71FC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90C6D35" w14:textId="210481D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CC65C3B" w14:textId="4D32949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CCEBF9" w14:textId="263BE46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856D33" w14:textId="2C185D9D"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83,200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BB0AC7" w14:textId="5B8C324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102,000</w:t>
            </w:r>
          </w:p>
        </w:tc>
      </w:tr>
      <w:tr w:rsidR="00C4459D" w:rsidRPr="00CF1C60" w14:paraId="6CEB58F3"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50E6CE0C"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Architecture and built environment</w:t>
            </w:r>
          </w:p>
        </w:tc>
        <w:tc>
          <w:tcPr>
            <w:tcW w:w="554" w:type="pct"/>
            <w:tcBorders>
              <w:top w:val="single" w:sz="4" w:space="0" w:color="000000"/>
              <w:left w:val="single" w:sz="4" w:space="0" w:color="000000"/>
              <w:bottom w:val="single" w:sz="4" w:space="0" w:color="000000"/>
              <w:right w:val="single" w:sz="4" w:space="0" w:color="000000"/>
            </w:tcBorders>
            <w:vAlign w:val="center"/>
          </w:tcPr>
          <w:p w14:paraId="417B7E72" w14:textId="0AF44CF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89.5</w:t>
            </w:r>
          </w:p>
        </w:tc>
        <w:tc>
          <w:tcPr>
            <w:tcW w:w="554" w:type="pct"/>
            <w:tcBorders>
              <w:top w:val="single" w:sz="4" w:space="0" w:color="000000"/>
              <w:left w:val="single" w:sz="4" w:space="0" w:color="000000"/>
              <w:bottom w:val="single" w:sz="4" w:space="0" w:color="000000"/>
              <w:right w:val="single" w:sz="4" w:space="0" w:color="000000"/>
            </w:tcBorders>
            <w:vAlign w:val="center"/>
          </w:tcPr>
          <w:p w14:paraId="39AEBE52" w14:textId="00D093C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C820A2" w14:textId="12C55FD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98E6AE" w14:textId="192F79B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D6768D" w14:textId="007697B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98.2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58EFB28" w14:textId="5A6756C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45F1CA" w14:textId="457A7E4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75,100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59BE6D" w14:textId="0CA2A82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98,000</w:t>
            </w:r>
          </w:p>
        </w:tc>
      </w:tr>
      <w:tr w:rsidR="00C4459D" w:rsidRPr="00CF1C60" w14:paraId="68A104F5"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1BC05E23"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Business and management</w:t>
            </w:r>
          </w:p>
        </w:tc>
        <w:tc>
          <w:tcPr>
            <w:tcW w:w="554" w:type="pct"/>
            <w:tcBorders>
              <w:top w:val="single" w:sz="4" w:space="0" w:color="000000"/>
              <w:left w:val="single" w:sz="4" w:space="0" w:color="000000"/>
              <w:bottom w:val="single" w:sz="4" w:space="0" w:color="000000"/>
              <w:right w:val="single" w:sz="4" w:space="0" w:color="000000"/>
            </w:tcBorders>
            <w:vAlign w:val="center"/>
          </w:tcPr>
          <w:p w14:paraId="3DE821EF" w14:textId="6B6CC14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92.6</w:t>
            </w:r>
          </w:p>
        </w:tc>
        <w:tc>
          <w:tcPr>
            <w:tcW w:w="554" w:type="pct"/>
            <w:tcBorders>
              <w:top w:val="single" w:sz="4" w:space="0" w:color="000000"/>
              <w:left w:val="single" w:sz="4" w:space="0" w:color="000000"/>
              <w:bottom w:val="single" w:sz="4" w:space="0" w:color="000000"/>
              <w:right w:val="single" w:sz="4" w:space="0" w:color="000000"/>
            </w:tcBorders>
            <w:vAlign w:val="center"/>
          </w:tcPr>
          <w:p w14:paraId="0D6A90AA" w14:textId="6BE8D72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C3C7E22" w14:textId="1FB2B4E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BFB6EB" w14:textId="4E4FBA7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D923AC" w14:textId="1E6E2B8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3A5035" w14:textId="06D51EA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23C91C" w14:textId="25DAF44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121,000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E7186E" w14:textId="4489300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148,700</w:t>
            </w:r>
          </w:p>
        </w:tc>
      </w:tr>
      <w:tr w:rsidR="00C4459D" w:rsidRPr="00CF1C60" w14:paraId="51D88431"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4481269"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Communications</w:t>
            </w:r>
          </w:p>
        </w:tc>
        <w:tc>
          <w:tcPr>
            <w:tcW w:w="554" w:type="pct"/>
            <w:tcBorders>
              <w:top w:val="single" w:sz="4" w:space="0" w:color="000000"/>
              <w:left w:val="single" w:sz="4" w:space="0" w:color="000000"/>
              <w:bottom w:val="single" w:sz="4" w:space="0" w:color="000000"/>
              <w:right w:val="single" w:sz="4" w:space="0" w:color="000000"/>
            </w:tcBorders>
            <w:vAlign w:val="center"/>
          </w:tcPr>
          <w:p w14:paraId="5BF6ECBB" w14:textId="67D19B0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79.3</w:t>
            </w:r>
          </w:p>
        </w:tc>
        <w:tc>
          <w:tcPr>
            <w:tcW w:w="554" w:type="pct"/>
            <w:tcBorders>
              <w:top w:val="single" w:sz="4" w:space="0" w:color="000000"/>
              <w:left w:val="single" w:sz="4" w:space="0" w:color="000000"/>
              <w:bottom w:val="single" w:sz="4" w:space="0" w:color="000000"/>
              <w:right w:val="single" w:sz="4" w:space="0" w:color="000000"/>
            </w:tcBorders>
            <w:vAlign w:val="center"/>
          </w:tcPr>
          <w:p w14:paraId="2AE4B0AE" w14:textId="475BD23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87.5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5AC886" w14:textId="049D658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93.6</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CB70D5" w14:textId="7A451C1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B45F0B" w14:textId="62F8513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AEDD4C" w14:textId="712847C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91.7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6C7E36" w14:textId="7C1740A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73,000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3289AC" w14:textId="12CBF82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100,000</w:t>
            </w:r>
          </w:p>
        </w:tc>
      </w:tr>
      <w:tr w:rsidR="00C4459D" w:rsidRPr="00CF1C60" w14:paraId="257907BC"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7A543D9D"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Computing and information systems</w:t>
            </w:r>
          </w:p>
        </w:tc>
        <w:tc>
          <w:tcPr>
            <w:tcW w:w="554" w:type="pct"/>
            <w:tcBorders>
              <w:top w:val="single" w:sz="4" w:space="0" w:color="000000"/>
              <w:left w:val="single" w:sz="4" w:space="0" w:color="000000"/>
              <w:bottom w:val="single" w:sz="4" w:space="0" w:color="000000"/>
              <w:right w:val="single" w:sz="4" w:space="0" w:color="000000"/>
            </w:tcBorders>
            <w:vAlign w:val="center"/>
          </w:tcPr>
          <w:p w14:paraId="0CCCACDF" w14:textId="75172CC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87.9</w:t>
            </w:r>
          </w:p>
        </w:tc>
        <w:tc>
          <w:tcPr>
            <w:tcW w:w="554" w:type="pct"/>
            <w:tcBorders>
              <w:top w:val="single" w:sz="4" w:space="0" w:color="000000"/>
              <w:left w:val="single" w:sz="4" w:space="0" w:color="000000"/>
              <w:bottom w:val="single" w:sz="4" w:space="0" w:color="000000"/>
              <w:right w:val="single" w:sz="4" w:space="0" w:color="000000"/>
            </w:tcBorders>
            <w:vAlign w:val="center"/>
          </w:tcPr>
          <w:p w14:paraId="23108BCE" w14:textId="34E3802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CD0186E" w14:textId="3ED4649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6460F72" w14:textId="1F41044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CB804D" w14:textId="5906EA6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05D56D" w14:textId="2C2C866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4D98D10" w14:textId="41A31B0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107,200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05902E" w14:textId="73152ED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130,000</w:t>
            </w:r>
          </w:p>
        </w:tc>
      </w:tr>
      <w:tr w:rsidR="00C4459D" w:rsidRPr="00CF1C60" w14:paraId="2391761D"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F2A74AA"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Creative arts</w:t>
            </w:r>
          </w:p>
        </w:tc>
        <w:tc>
          <w:tcPr>
            <w:tcW w:w="554" w:type="pct"/>
            <w:tcBorders>
              <w:top w:val="single" w:sz="4" w:space="0" w:color="000000"/>
              <w:left w:val="single" w:sz="4" w:space="0" w:color="000000"/>
              <w:bottom w:val="single" w:sz="4" w:space="0" w:color="000000"/>
              <w:right w:val="single" w:sz="4" w:space="0" w:color="000000"/>
            </w:tcBorders>
            <w:vAlign w:val="center"/>
          </w:tcPr>
          <w:p w14:paraId="0ACA6E89" w14:textId="185516A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75.9</w:t>
            </w:r>
          </w:p>
        </w:tc>
        <w:tc>
          <w:tcPr>
            <w:tcW w:w="554" w:type="pct"/>
            <w:tcBorders>
              <w:top w:val="single" w:sz="4" w:space="0" w:color="000000"/>
              <w:left w:val="single" w:sz="4" w:space="0" w:color="000000"/>
              <w:bottom w:val="single" w:sz="4" w:space="0" w:color="000000"/>
              <w:right w:val="single" w:sz="4" w:space="0" w:color="000000"/>
            </w:tcBorders>
            <w:vAlign w:val="center"/>
          </w:tcPr>
          <w:p w14:paraId="12FF29E8" w14:textId="3F5C22AD"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86.9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F75C3B" w14:textId="5E3C98A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87.2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9A310D" w14:textId="34A6D62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58B5F5" w14:textId="0082E8E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91.4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54969F8" w14:textId="11E469E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90.6</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733380" w14:textId="625F0EC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78,000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8B7844" w14:textId="340573F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90,000</w:t>
            </w:r>
          </w:p>
        </w:tc>
      </w:tr>
      <w:tr w:rsidR="00C4459D" w:rsidRPr="00CF1C60" w14:paraId="423FBA35"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1E6CECDC"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Dentistry</w:t>
            </w:r>
          </w:p>
        </w:tc>
        <w:tc>
          <w:tcPr>
            <w:tcW w:w="554" w:type="pct"/>
            <w:tcBorders>
              <w:top w:val="single" w:sz="4" w:space="0" w:color="000000"/>
              <w:left w:val="single" w:sz="4" w:space="0" w:color="000000"/>
              <w:bottom w:val="single" w:sz="4" w:space="0" w:color="000000"/>
              <w:right w:val="single" w:sz="4" w:space="0" w:color="000000"/>
            </w:tcBorders>
            <w:vAlign w:val="center"/>
          </w:tcPr>
          <w:p w14:paraId="53C781D9" w14:textId="7DCC040A"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vAlign w:val="center"/>
          </w:tcPr>
          <w:p w14:paraId="27CD3814" w14:textId="77E3D9A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6ED0D5E" w14:textId="7AE9530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F26882B" w14:textId="33DB8B4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42BC3B" w14:textId="6BDF823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89.3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3BD868" w14:textId="42474A0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E9F7BC" w14:textId="7A53047A"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D194A1" w14:textId="6A1400A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r>
      <w:tr w:rsidR="00C4459D" w:rsidRPr="00CF1C60" w14:paraId="2C49F807"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1D7554D"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Engineering</w:t>
            </w:r>
          </w:p>
        </w:tc>
        <w:tc>
          <w:tcPr>
            <w:tcW w:w="554" w:type="pct"/>
            <w:tcBorders>
              <w:top w:val="single" w:sz="4" w:space="0" w:color="000000"/>
              <w:left w:val="single" w:sz="4" w:space="0" w:color="000000"/>
              <w:bottom w:val="single" w:sz="4" w:space="0" w:color="000000"/>
              <w:right w:val="single" w:sz="4" w:space="0" w:color="000000"/>
            </w:tcBorders>
            <w:vAlign w:val="center"/>
          </w:tcPr>
          <w:p w14:paraId="5CF040D7" w14:textId="24C28DC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91.6</w:t>
            </w:r>
          </w:p>
        </w:tc>
        <w:tc>
          <w:tcPr>
            <w:tcW w:w="554" w:type="pct"/>
            <w:tcBorders>
              <w:top w:val="single" w:sz="4" w:space="0" w:color="000000"/>
              <w:left w:val="single" w:sz="4" w:space="0" w:color="000000"/>
              <w:bottom w:val="single" w:sz="4" w:space="0" w:color="000000"/>
              <w:right w:val="single" w:sz="4" w:space="0" w:color="000000"/>
            </w:tcBorders>
            <w:vAlign w:val="center"/>
          </w:tcPr>
          <w:p w14:paraId="07F45818" w14:textId="27B3FCB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E437FB" w14:textId="0BD0710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4478EB" w14:textId="6079FB9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DF95F4" w14:textId="69318CD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888F86" w14:textId="34BED2E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F6F85E" w14:textId="183E492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107,000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CA3358B" w14:textId="3B39DB6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137,900</w:t>
            </w:r>
          </w:p>
        </w:tc>
      </w:tr>
      <w:tr w:rsidR="00C4459D" w:rsidRPr="00CF1C60" w14:paraId="10C5BC07"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CBCF8EA"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Health services and support</w:t>
            </w:r>
          </w:p>
        </w:tc>
        <w:tc>
          <w:tcPr>
            <w:tcW w:w="554" w:type="pct"/>
            <w:tcBorders>
              <w:top w:val="single" w:sz="4" w:space="0" w:color="000000"/>
              <w:left w:val="single" w:sz="4" w:space="0" w:color="000000"/>
              <w:bottom w:val="single" w:sz="4" w:space="0" w:color="000000"/>
              <w:right w:val="single" w:sz="4" w:space="0" w:color="000000"/>
            </w:tcBorders>
            <w:vAlign w:val="center"/>
          </w:tcPr>
          <w:p w14:paraId="68A5F0B6" w14:textId="2032A20D"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89.8</w:t>
            </w:r>
          </w:p>
        </w:tc>
        <w:tc>
          <w:tcPr>
            <w:tcW w:w="554" w:type="pct"/>
            <w:tcBorders>
              <w:top w:val="single" w:sz="4" w:space="0" w:color="000000"/>
              <w:left w:val="single" w:sz="4" w:space="0" w:color="000000"/>
              <w:bottom w:val="single" w:sz="4" w:space="0" w:color="000000"/>
              <w:right w:val="single" w:sz="4" w:space="0" w:color="000000"/>
            </w:tcBorders>
            <w:vAlign w:val="center"/>
          </w:tcPr>
          <w:p w14:paraId="41106FCD" w14:textId="288D5AD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9DE4B7" w14:textId="01AF61A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A5C00C4" w14:textId="578F0E4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965990" w14:textId="3F02F29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F6B49E" w14:textId="708B020A"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7BD9EE" w14:textId="0EC4BCB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99,200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16452B5" w14:textId="78D03DE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118,300</w:t>
            </w:r>
          </w:p>
        </w:tc>
      </w:tr>
      <w:tr w:rsidR="00C4459D" w:rsidRPr="00CF1C60" w14:paraId="4967AE8F"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CCB1CF5" w14:textId="16F69228"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lastRenderedPageBreak/>
              <w:t>Humanities, culture and social</w:t>
            </w:r>
            <w:r w:rsidR="00536802" w:rsidRPr="008E3305">
              <w:rPr>
                <w:rFonts w:cs="Arial"/>
                <w:color w:val="000000"/>
                <w:szCs w:val="20"/>
              </w:rPr>
              <w:t> </w:t>
            </w:r>
            <w:r w:rsidRPr="008E3305">
              <w:rPr>
                <w:rFonts w:cs="Arial"/>
                <w:color w:val="000000"/>
                <w:szCs w:val="20"/>
              </w:rPr>
              <w:t>sciences</w:t>
            </w:r>
          </w:p>
        </w:tc>
        <w:tc>
          <w:tcPr>
            <w:tcW w:w="554" w:type="pct"/>
            <w:tcBorders>
              <w:top w:val="single" w:sz="4" w:space="0" w:color="000000"/>
              <w:left w:val="single" w:sz="4" w:space="0" w:color="000000"/>
              <w:bottom w:val="single" w:sz="4" w:space="0" w:color="000000"/>
              <w:right w:val="single" w:sz="4" w:space="0" w:color="000000"/>
            </w:tcBorders>
            <w:vAlign w:val="center"/>
          </w:tcPr>
          <w:p w14:paraId="67229042" w14:textId="191851B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86.9</w:t>
            </w:r>
          </w:p>
        </w:tc>
        <w:tc>
          <w:tcPr>
            <w:tcW w:w="554" w:type="pct"/>
            <w:tcBorders>
              <w:top w:val="single" w:sz="4" w:space="0" w:color="000000"/>
              <w:left w:val="single" w:sz="4" w:space="0" w:color="000000"/>
              <w:bottom w:val="single" w:sz="4" w:space="0" w:color="000000"/>
              <w:right w:val="single" w:sz="4" w:space="0" w:color="000000"/>
            </w:tcBorders>
            <w:vAlign w:val="center"/>
          </w:tcPr>
          <w:p w14:paraId="34052917" w14:textId="619F93A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062D86" w14:textId="30AAE2DA"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90D432D" w14:textId="385B197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D6D27E" w14:textId="17537CB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855E7A4" w14:textId="001389A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89.2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A45D71" w14:textId="59F1C1D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86,000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A169E2" w14:textId="62036E5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105,000</w:t>
            </w:r>
          </w:p>
        </w:tc>
      </w:tr>
      <w:tr w:rsidR="00C4459D" w:rsidRPr="00CF1C60" w14:paraId="1F1600E8"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9A08B47"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Law and paralegal studies</w:t>
            </w:r>
          </w:p>
        </w:tc>
        <w:tc>
          <w:tcPr>
            <w:tcW w:w="554" w:type="pct"/>
            <w:tcBorders>
              <w:top w:val="single" w:sz="4" w:space="0" w:color="000000"/>
              <w:left w:val="single" w:sz="4" w:space="0" w:color="000000"/>
              <w:bottom w:val="single" w:sz="4" w:space="0" w:color="000000"/>
              <w:right w:val="single" w:sz="4" w:space="0" w:color="000000"/>
            </w:tcBorders>
            <w:vAlign w:val="center"/>
          </w:tcPr>
          <w:p w14:paraId="0F0BE8C8" w14:textId="0B3326C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92.6</w:t>
            </w:r>
          </w:p>
        </w:tc>
        <w:tc>
          <w:tcPr>
            <w:tcW w:w="554" w:type="pct"/>
            <w:tcBorders>
              <w:top w:val="single" w:sz="4" w:space="0" w:color="000000"/>
              <w:left w:val="single" w:sz="4" w:space="0" w:color="000000"/>
              <w:bottom w:val="single" w:sz="4" w:space="0" w:color="000000"/>
              <w:right w:val="single" w:sz="4" w:space="0" w:color="000000"/>
            </w:tcBorders>
            <w:vAlign w:val="center"/>
          </w:tcPr>
          <w:p w14:paraId="56EDE6CB" w14:textId="5C61F11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BBE50A" w14:textId="2C955B9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64EB507" w14:textId="6EDDB8A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83CC3E" w14:textId="0CED534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3F6CA4" w14:textId="60F17EB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F37D52D" w14:textId="47F7C6D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86,000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F9F417" w14:textId="588EA1E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121,400</w:t>
            </w:r>
          </w:p>
        </w:tc>
      </w:tr>
      <w:tr w:rsidR="00C4459D" w:rsidRPr="00CF1C60" w14:paraId="710CCDB6"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A2D82FF"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Medicine</w:t>
            </w:r>
          </w:p>
        </w:tc>
        <w:tc>
          <w:tcPr>
            <w:tcW w:w="554" w:type="pct"/>
            <w:tcBorders>
              <w:top w:val="single" w:sz="4" w:space="0" w:color="000000"/>
              <w:left w:val="single" w:sz="4" w:space="0" w:color="000000"/>
              <w:bottom w:val="single" w:sz="4" w:space="0" w:color="000000"/>
              <w:right w:val="single" w:sz="4" w:space="0" w:color="000000"/>
            </w:tcBorders>
            <w:vAlign w:val="center"/>
          </w:tcPr>
          <w:p w14:paraId="2F074BC0" w14:textId="5B94D11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97.6</w:t>
            </w:r>
          </w:p>
        </w:tc>
        <w:tc>
          <w:tcPr>
            <w:tcW w:w="554" w:type="pct"/>
            <w:tcBorders>
              <w:top w:val="single" w:sz="4" w:space="0" w:color="000000"/>
              <w:left w:val="single" w:sz="4" w:space="0" w:color="000000"/>
              <w:bottom w:val="single" w:sz="4" w:space="0" w:color="000000"/>
              <w:right w:val="single" w:sz="4" w:space="0" w:color="000000"/>
            </w:tcBorders>
            <w:vAlign w:val="center"/>
          </w:tcPr>
          <w:p w14:paraId="45F1D9CB" w14:textId="1ACD0D5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98.1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3D20CD" w14:textId="6A48A4A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99.2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20536E" w14:textId="276DBE4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97.6</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2D7F92" w14:textId="0419F74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83F15C" w14:textId="0DD9533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CF30C9" w14:textId="52E0C7A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87,700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8F6B1B" w14:textId="442E92A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130,000</w:t>
            </w:r>
          </w:p>
        </w:tc>
      </w:tr>
      <w:tr w:rsidR="00C4459D" w:rsidRPr="00CF1C60" w14:paraId="2E21BF5F"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133CB655"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Nursing</w:t>
            </w:r>
          </w:p>
        </w:tc>
        <w:tc>
          <w:tcPr>
            <w:tcW w:w="554" w:type="pct"/>
            <w:tcBorders>
              <w:top w:val="single" w:sz="4" w:space="0" w:color="000000"/>
              <w:left w:val="single" w:sz="4" w:space="0" w:color="000000"/>
              <w:bottom w:val="single" w:sz="4" w:space="0" w:color="000000"/>
              <w:right w:val="single" w:sz="4" w:space="0" w:color="000000"/>
            </w:tcBorders>
            <w:vAlign w:val="center"/>
          </w:tcPr>
          <w:p w14:paraId="1B2B8E0F" w14:textId="16570F6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92.3</w:t>
            </w:r>
          </w:p>
        </w:tc>
        <w:tc>
          <w:tcPr>
            <w:tcW w:w="554" w:type="pct"/>
            <w:tcBorders>
              <w:top w:val="single" w:sz="4" w:space="0" w:color="000000"/>
              <w:left w:val="single" w:sz="4" w:space="0" w:color="000000"/>
              <w:bottom w:val="single" w:sz="4" w:space="0" w:color="000000"/>
              <w:right w:val="single" w:sz="4" w:space="0" w:color="000000"/>
            </w:tcBorders>
            <w:vAlign w:val="center"/>
          </w:tcPr>
          <w:p w14:paraId="70F58B3F" w14:textId="52A55DB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EBD9C3" w14:textId="49F4CFA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0DDAA4" w14:textId="45AAB20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89A663" w14:textId="6867A31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AC0F184" w14:textId="5B8C4BE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93.7</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FE2EB8" w14:textId="5BEEF01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98,100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53138D" w14:textId="1BC5E84D"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119,000</w:t>
            </w:r>
          </w:p>
        </w:tc>
      </w:tr>
      <w:tr w:rsidR="00C4459D" w:rsidRPr="00CF1C60" w14:paraId="35C039A2"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5FB76D5C"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Pharmacy</w:t>
            </w:r>
          </w:p>
        </w:tc>
        <w:tc>
          <w:tcPr>
            <w:tcW w:w="554" w:type="pct"/>
            <w:tcBorders>
              <w:top w:val="single" w:sz="4" w:space="0" w:color="000000"/>
              <w:left w:val="single" w:sz="4" w:space="0" w:color="000000"/>
              <w:bottom w:val="single" w:sz="4" w:space="0" w:color="000000"/>
              <w:right w:val="single" w:sz="4" w:space="0" w:color="000000"/>
            </w:tcBorders>
            <w:vAlign w:val="center"/>
          </w:tcPr>
          <w:p w14:paraId="1AEB5810" w14:textId="11BEBAC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vAlign w:val="center"/>
          </w:tcPr>
          <w:p w14:paraId="519E1808" w14:textId="32A226D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0CC9EB" w14:textId="502B16A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AAAFC23" w14:textId="3A810B9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C97944B" w14:textId="4AFE390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98.0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E20E952" w14:textId="2CB6218A"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A3D417" w14:textId="1EFB2AD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79,300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0C665F" w14:textId="26903C0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105,700</w:t>
            </w:r>
          </w:p>
        </w:tc>
      </w:tr>
      <w:tr w:rsidR="00C4459D" w:rsidRPr="00CF1C60" w14:paraId="335A5FA5"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A6FBDA4"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Psychology</w:t>
            </w:r>
          </w:p>
        </w:tc>
        <w:tc>
          <w:tcPr>
            <w:tcW w:w="554" w:type="pct"/>
            <w:tcBorders>
              <w:top w:val="single" w:sz="4" w:space="0" w:color="000000"/>
              <w:left w:val="single" w:sz="4" w:space="0" w:color="000000"/>
              <w:bottom w:val="single" w:sz="4" w:space="0" w:color="000000"/>
              <w:right w:val="single" w:sz="4" w:space="0" w:color="000000"/>
            </w:tcBorders>
            <w:vAlign w:val="center"/>
          </w:tcPr>
          <w:p w14:paraId="1BCB027D" w14:textId="7D2F1A7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90.0</w:t>
            </w:r>
          </w:p>
        </w:tc>
        <w:tc>
          <w:tcPr>
            <w:tcW w:w="554" w:type="pct"/>
            <w:tcBorders>
              <w:top w:val="single" w:sz="4" w:space="0" w:color="000000"/>
              <w:left w:val="single" w:sz="4" w:space="0" w:color="000000"/>
              <w:bottom w:val="single" w:sz="4" w:space="0" w:color="000000"/>
              <w:right w:val="single" w:sz="4" w:space="0" w:color="000000"/>
            </w:tcBorders>
            <w:vAlign w:val="center"/>
          </w:tcPr>
          <w:p w14:paraId="562B3AF1" w14:textId="23BCD93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811EF8" w14:textId="6E99B81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8DEDC2" w14:textId="6C79FB1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E6E0E7" w14:textId="61C349C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91.5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4EC4F3" w14:textId="1BCDFCF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E67F9B" w14:textId="66BCA46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BA5BA4" w14:textId="4BCC5B2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118,300</w:t>
            </w:r>
          </w:p>
        </w:tc>
      </w:tr>
      <w:tr w:rsidR="00C4459D" w:rsidRPr="00CF1C60" w14:paraId="51EF1B75"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2D141835"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Rehabilitation</w:t>
            </w:r>
          </w:p>
        </w:tc>
        <w:tc>
          <w:tcPr>
            <w:tcW w:w="554" w:type="pct"/>
            <w:tcBorders>
              <w:top w:val="single" w:sz="4" w:space="0" w:color="000000"/>
              <w:left w:val="single" w:sz="4" w:space="0" w:color="000000"/>
              <w:bottom w:val="single" w:sz="4" w:space="0" w:color="000000"/>
              <w:right w:val="single" w:sz="4" w:space="0" w:color="000000"/>
            </w:tcBorders>
            <w:vAlign w:val="center"/>
          </w:tcPr>
          <w:p w14:paraId="76F165DE" w14:textId="6ECC34D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98.2</w:t>
            </w:r>
          </w:p>
        </w:tc>
        <w:tc>
          <w:tcPr>
            <w:tcW w:w="554" w:type="pct"/>
            <w:tcBorders>
              <w:top w:val="single" w:sz="4" w:space="0" w:color="000000"/>
              <w:left w:val="single" w:sz="4" w:space="0" w:color="000000"/>
              <w:bottom w:val="single" w:sz="4" w:space="0" w:color="000000"/>
              <w:right w:val="single" w:sz="4" w:space="0" w:color="000000"/>
            </w:tcBorders>
            <w:vAlign w:val="center"/>
          </w:tcPr>
          <w:p w14:paraId="25DDF3D4" w14:textId="493C4DF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DFE15C" w14:textId="4118BDE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D55BFD" w14:textId="7686D435"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36E361" w14:textId="5099010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BE04C9" w14:textId="68425D9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CA794C" w14:textId="58FEA50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74,300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9C3021" w14:textId="5F89ED9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95,800</w:t>
            </w:r>
          </w:p>
        </w:tc>
      </w:tr>
      <w:tr w:rsidR="00C4459D" w:rsidRPr="00CF1C60" w14:paraId="78C6DE22"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5CFD3D8E"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Science and mathematics</w:t>
            </w:r>
          </w:p>
        </w:tc>
        <w:tc>
          <w:tcPr>
            <w:tcW w:w="554" w:type="pct"/>
            <w:tcBorders>
              <w:top w:val="single" w:sz="4" w:space="0" w:color="000000"/>
              <w:left w:val="single" w:sz="4" w:space="0" w:color="000000"/>
              <w:bottom w:val="single" w:sz="4" w:space="0" w:color="000000"/>
              <w:right w:val="single" w:sz="4" w:space="0" w:color="000000"/>
            </w:tcBorders>
            <w:vAlign w:val="center"/>
          </w:tcPr>
          <w:p w14:paraId="7A2F598F" w14:textId="05AD51C9"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82.7</w:t>
            </w:r>
          </w:p>
        </w:tc>
        <w:tc>
          <w:tcPr>
            <w:tcW w:w="554" w:type="pct"/>
            <w:tcBorders>
              <w:top w:val="single" w:sz="4" w:space="0" w:color="000000"/>
              <w:left w:val="single" w:sz="4" w:space="0" w:color="000000"/>
              <w:bottom w:val="single" w:sz="4" w:space="0" w:color="000000"/>
              <w:right w:val="single" w:sz="4" w:space="0" w:color="000000"/>
            </w:tcBorders>
            <w:vAlign w:val="center"/>
          </w:tcPr>
          <w:p w14:paraId="058BAF26" w14:textId="2FD544A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92.4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CB035E" w14:textId="2BF8470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91.8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4D20B0" w14:textId="1F57E11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EBDD39" w14:textId="2DB6C45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94.1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992B305" w14:textId="358B6ACB"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89.1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BEA7C18" w14:textId="7272E6F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96,500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A75DD0" w14:textId="0B1E18DF"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116,000</w:t>
            </w:r>
          </w:p>
        </w:tc>
      </w:tr>
      <w:tr w:rsidR="00C4459D" w:rsidRPr="00CF1C60" w14:paraId="1E7DACD0"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0044BBF0" w14:textId="77777777" w:rsidR="00C4459D" w:rsidRPr="008E3305" w:rsidRDefault="00C4459D" w:rsidP="00536802">
            <w:pPr>
              <w:spacing w:before="120" w:after="120" w:line="288" w:lineRule="auto"/>
              <w:ind w:left="113" w:right="113"/>
              <w:rPr>
                <w:rFonts w:eastAsia="Aptos" w:cs="Arial"/>
                <w:szCs w:val="20"/>
              </w:rPr>
            </w:pPr>
            <w:r w:rsidRPr="008E3305">
              <w:rPr>
                <w:rFonts w:cs="Arial"/>
                <w:color w:val="000000"/>
                <w:szCs w:val="20"/>
              </w:rPr>
              <w:t>Social work</w:t>
            </w:r>
          </w:p>
        </w:tc>
        <w:tc>
          <w:tcPr>
            <w:tcW w:w="554" w:type="pct"/>
            <w:tcBorders>
              <w:top w:val="single" w:sz="4" w:space="0" w:color="000000"/>
              <w:left w:val="single" w:sz="4" w:space="0" w:color="000000"/>
              <w:bottom w:val="single" w:sz="4" w:space="0" w:color="000000"/>
              <w:right w:val="single" w:sz="4" w:space="0" w:color="000000"/>
            </w:tcBorders>
            <w:vAlign w:val="center"/>
          </w:tcPr>
          <w:p w14:paraId="67EA83C8" w14:textId="2DC16A2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83.0</w:t>
            </w:r>
          </w:p>
        </w:tc>
        <w:tc>
          <w:tcPr>
            <w:tcW w:w="554" w:type="pct"/>
            <w:tcBorders>
              <w:top w:val="single" w:sz="4" w:space="0" w:color="000000"/>
              <w:left w:val="single" w:sz="4" w:space="0" w:color="000000"/>
              <w:bottom w:val="single" w:sz="4" w:space="0" w:color="000000"/>
              <w:right w:val="single" w:sz="4" w:space="0" w:color="000000"/>
            </w:tcBorders>
            <w:vAlign w:val="center"/>
          </w:tcPr>
          <w:p w14:paraId="2ACE8632" w14:textId="293C457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FFEFBAA" w14:textId="57A706F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0977E3" w14:textId="5E88635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A48EBBF" w14:textId="7B6521F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88E5A3" w14:textId="7101F0A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0DE83BE" w14:textId="37CAF1FD"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86,700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70EE96" w14:textId="785D559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104,800</w:t>
            </w:r>
          </w:p>
        </w:tc>
      </w:tr>
      <w:tr w:rsidR="00C4459D" w:rsidRPr="00CF1C60" w14:paraId="55BDDA26"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565B6381" w14:textId="77777777" w:rsidR="00C4459D" w:rsidRPr="008E3305" w:rsidRDefault="00C4459D" w:rsidP="00536802">
            <w:pPr>
              <w:spacing w:before="120" w:after="120" w:line="288" w:lineRule="auto"/>
              <w:ind w:left="113" w:right="113"/>
              <w:rPr>
                <w:rFonts w:eastAsia="Aptos" w:cs="Arial"/>
                <w:b/>
                <w:bCs/>
                <w:szCs w:val="20"/>
              </w:rPr>
            </w:pPr>
            <w:r w:rsidRPr="008E3305">
              <w:rPr>
                <w:rFonts w:cs="Arial"/>
                <w:color w:val="000000"/>
                <w:szCs w:val="20"/>
              </w:rPr>
              <w:t>Teacher education</w:t>
            </w:r>
          </w:p>
        </w:tc>
        <w:tc>
          <w:tcPr>
            <w:tcW w:w="554" w:type="pct"/>
            <w:tcBorders>
              <w:top w:val="single" w:sz="4" w:space="0" w:color="000000"/>
              <w:left w:val="single" w:sz="4" w:space="0" w:color="000000"/>
              <w:bottom w:val="single" w:sz="4" w:space="0" w:color="000000"/>
              <w:right w:val="single" w:sz="4" w:space="0" w:color="000000"/>
            </w:tcBorders>
            <w:vAlign w:val="center"/>
          </w:tcPr>
          <w:p w14:paraId="0B0531B2" w14:textId="79220B6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90.9</w:t>
            </w:r>
          </w:p>
        </w:tc>
        <w:tc>
          <w:tcPr>
            <w:tcW w:w="554" w:type="pct"/>
            <w:tcBorders>
              <w:top w:val="single" w:sz="4" w:space="0" w:color="000000"/>
              <w:left w:val="single" w:sz="4" w:space="0" w:color="000000"/>
              <w:bottom w:val="single" w:sz="4" w:space="0" w:color="000000"/>
              <w:right w:val="single" w:sz="4" w:space="0" w:color="000000"/>
            </w:tcBorders>
            <w:vAlign w:val="center"/>
          </w:tcPr>
          <w:p w14:paraId="6150275E" w14:textId="20A431E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0339B5" w14:textId="541CEFB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C9B88F" w14:textId="0D346AE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BA1DB1" w14:textId="4EAC5ADC"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96.8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11DDAC" w14:textId="742EC3C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93.6</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720F89" w14:textId="7B27351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CAE4F1" w14:textId="3677AB0E"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111,000</w:t>
            </w:r>
          </w:p>
        </w:tc>
      </w:tr>
      <w:tr w:rsidR="00C4459D" w:rsidRPr="00CF1C60" w14:paraId="2F943AA7"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6F66D385" w14:textId="3A5AFFB9" w:rsidR="00C4459D" w:rsidRPr="008E3305" w:rsidRDefault="00C4459D" w:rsidP="00536802">
            <w:pPr>
              <w:keepNext/>
              <w:keepLines/>
              <w:spacing w:before="120" w:after="120" w:line="288" w:lineRule="auto"/>
              <w:ind w:left="113" w:right="113"/>
              <w:rPr>
                <w:rFonts w:eastAsia="Aptos" w:cs="Arial"/>
                <w:b/>
                <w:bCs/>
                <w:szCs w:val="20"/>
              </w:rPr>
            </w:pPr>
            <w:r w:rsidRPr="008E3305">
              <w:rPr>
                <w:rFonts w:cs="Arial"/>
                <w:color w:val="000000"/>
                <w:szCs w:val="20"/>
              </w:rPr>
              <w:lastRenderedPageBreak/>
              <w:t>Tourism, hospitality, personal services, sport</w:t>
            </w:r>
            <w:r w:rsidR="00536802" w:rsidRPr="008E3305">
              <w:rPr>
                <w:rFonts w:cs="Arial"/>
                <w:color w:val="000000"/>
                <w:szCs w:val="20"/>
              </w:rPr>
              <w:t xml:space="preserve"> </w:t>
            </w:r>
            <w:r w:rsidRPr="008E3305">
              <w:rPr>
                <w:rFonts w:cs="Arial"/>
                <w:color w:val="000000"/>
                <w:szCs w:val="20"/>
              </w:rPr>
              <w:t>and recreation</w:t>
            </w:r>
          </w:p>
        </w:tc>
        <w:tc>
          <w:tcPr>
            <w:tcW w:w="554" w:type="pct"/>
            <w:tcBorders>
              <w:top w:val="single" w:sz="4" w:space="0" w:color="000000"/>
              <w:left w:val="single" w:sz="4" w:space="0" w:color="000000"/>
              <w:bottom w:val="single" w:sz="4" w:space="0" w:color="000000"/>
              <w:right w:val="single" w:sz="4" w:space="0" w:color="000000"/>
            </w:tcBorders>
            <w:vAlign w:val="center"/>
          </w:tcPr>
          <w:p w14:paraId="56CD8ED9" w14:textId="588530DD"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vAlign w:val="center"/>
          </w:tcPr>
          <w:p w14:paraId="26EE0CA6" w14:textId="76999720"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6812C6" w14:textId="3EC41CC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4A500EF" w14:textId="2E0EDBE2"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21A3D8" w14:textId="6DF4BC8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A977932" w14:textId="1B88155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0116A4D" w14:textId="637DC8A6"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727DE9E" w14:textId="45F7BE27"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n/a</w:t>
            </w:r>
          </w:p>
        </w:tc>
      </w:tr>
      <w:tr w:rsidR="00C4459D" w:rsidRPr="00CF1C60" w14:paraId="784681C4"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649AD7AE" w14:textId="77777777" w:rsidR="00C4459D" w:rsidRPr="008E3305" w:rsidRDefault="00C4459D" w:rsidP="00536802">
            <w:pPr>
              <w:spacing w:before="120" w:after="120" w:line="288" w:lineRule="auto"/>
              <w:ind w:left="113" w:right="113"/>
              <w:rPr>
                <w:rFonts w:eastAsia="Aptos" w:cs="Arial"/>
                <w:b/>
                <w:bCs/>
                <w:szCs w:val="20"/>
              </w:rPr>
            </w:pPr>
            <w:r w:rsidRPr="008E3305">
              <w:rPr>
                <w:rFonts w:cs="Arial"/>
                <w:color w:val="000000"/>
                <w:szCs w:val="20"/>
              </w:rPr>
              <w:t>Veterinary science</w:t>
            </w:r>
          </w:p>
        </w:tc>
        <w:tc>
          <w:tcPr>
            <w:tcW w:w="554" w:type="pct"/>
            <w:tcBorders>
              <w:top w:val="single" w:sz="4" w:space="0" w:color="000000"/>
              <w:left w:val="single" w:sz="4" w:space="0" w:color="000000"/>
              <w:bottom w:val="single" w:sz="4" w:space="0" w:color="000000"/>
              <w:right w:val="single" w:sz="4" w:space="0" w:color="000000"/>
            </w:tcBorders>
            <w:vAlign w:val="center"/>
          </w:tcPr>
          <w:p w14:paraId="23512533" w14:textId="51896554"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97.3</w:t>
            </w:r>
          </w:p>
        </w:tc>
        <w:tc>
          <w:tcPr>
            <w:tcW w:w="554" w:type="pct"/>
            <w:tcBorders>
              <w:top w:val="single" w:sz="4" w:space="0" w:color="000000"/>
              <w:left w:val="single" w:sz="4" w:space="0" w:color="000000"/>
              <w:bottom w:val="single" w:sz="4" w:space="0" w:color="000000"/>
              <w:right w:val="single" w:sz="4" w:space="0" w:color="000000"/>
            </w:tcBorders>
            <w:vAlign w:val="center"/>
          </w:tcPr>
          <w:p w14:paraId="7B0CDA15" w14:textId="084FBE6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7175F8D" w14:textId="520C4681"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B96AE2" w14:textId="75A0CD2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461E97" w14:textId="496B6CE3"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93.2</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710736D" w14:textId="78914F3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95.5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28FE02" w14:textId="013D46C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79,300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A54B4B" w14:textId="3C99F668" w:rsidR="00C4459D" w:rsidRPr="008E3305" w:rsidRDefault="00C4459D" w:rsidP="007869B8">
            <w:pPr>
              <w:spacing w:before="120" w:after="120" w:line="288" w:lineRule="auto"/>
              <w:ind w:left="113" w:right="113"/>
              <w:jc w:val="center"/>
              <w:rPr>
                <w:rFonts w:eastAsia="Aptos" w:cs="Arial"/>
                <w:color w:val="000000"/>
                <w:szCs w:val="20"/>
              </w:rPr>
            </w:pPr>
            <w:r w:rsidRPr="008E3305">
              <w:rPr>
                <w:rFonts w:cs="Arial"/>
                <w:szCs w:val="20"/>
              </w:rPr>
              <w:t>100,000</w:t>
            </w:r>
          </w:p>
        </w:tc>
      </w:tr>
      <w:tr w:rsidR="00C4459D" w:rsidRPr="00CF1C60" w14:paraId="30D77068" w14:textId="77777777" w:rsidTr="007869B8">
        <w:trPr>
          <w:trHeight w:val="60"/>
        </w:trPr>
        <w:tc>
          <w:tcPr>
            <w:tcW w:w="565" w:type="pct"/>
            <w:tcBorders>
              <w:top w:val="single" w:sz="4" w:space="0" w:color="000000"/>
              <w:left w:val="single" w:sz="4" w:space="0" w:color="auto"/>
              <w:bottom w:val="single" w:sz="4" w:space="0" w:color="000000"/>
              <w:right w:val="single" w:sz="4" w:space="0" w:color="000000"/>
            </w:tcBorders>
            <w:tcMar>
              <w:top w:w="57" w:type="dxa"/>
              <w:left w:w="57" w:type="dxa"/>
              <w:bottom w:w="57" w:type="dxa"/>
              <w:right w:w="0" w:type="dxa"/>
            </w:tcMar>
            <w:vAlign w:val="center"/>
          </w:tcPr>
          <w:p w14:paraId="43ED306B" w14:textId="16EFC758" w:rsidR="00C4459D" w:rsidRPr="008E3305" w:rsidRDefault="00C4459D" w:rsidP="00536802">
            <w:pPr>
              <w:spacing w:before="120" w:after="120" w:line="288" w:lineRule="auto"/>
              <w:ind w:left="113" w:right="113"/>
              <w:rPr>
                <w:rFonts w:eastAsia="Aptos" w:cs="Arial"/>
                <w:b/>
                <w:bCs/>
                <w:szCs w:val="20"/>
              </w:rPr>
            </w:pPr>
            <w:r w:rsidRPr="008E3305">
              <w:rPr>
                <w:rFonts w:eastAsia="Aptos" w:cs="Arial"/>
                <w:b/>
                <w:bCs/>
                <w:szCs w:val="20"/>
              </w:rPr>
              <w:t>All study areas</w:t>
            </w:r>
          </w:p>
        </w:tc>
        <w:tc>
          <w:tcPr>
            <w:tcW w:w="554" w:type="pct"/>
            <w:tcBorders>
              <w:top w:val="single" w:sz="4" w:space="0" w:color="000000"/>
              <w:left w:val="single" w:sz="4" w:space="0" w:color="000000"/>
              <w:bottom w:val="single" w:sz="4" w:space="0" w:color="000000"/>
              <w:right w:val="single" w:sz="4" w:space="0" w:color="000000"/>
            </w:tcBorders>
            <w:vAlign w:val="center"/>
          </w:tcPr>
          <w:p w14:paraId="7D674837" w14:textId="779CA115"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90.2</w:t>
            </w:r>
          </w:p>
        </w:tc>
        <w:tc>
          <w:tcPr>
            <w:tcW w:w="554" w:type="pct"/>
            <w:tcBorders>
              <w:top w:val="single" w:sz="4" w:space="0" w:color="000000"/>
              <w:left w:val="single" w:sz="4" w:space="0" w:color="000000"/>
              <w:bottom w:val="single" w:sz="4" w:space="0" w:color="000000"/>
              <w:right w:val="single" w:sz="4" w:space="0" w:color="000000"/>
            </w:tcBorders>
            <w:vAlign w:val="center"/>
          </w:tcPr>
          <w:p w14:paraId="7E4A73E4" w14:textId="012619B7"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95.1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94CF33C" w14:textId="1D91F799"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94.4</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1BEC95" w14:textId="0955F997"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96.5</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4FFB48" w14:textId="47E698B2"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96.3</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67A2E5" w14:textId="70F2C90A"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93.1</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E0E557" w14:textId="7AD41189"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98,000</w:t>
            </w:r>
          </w:p>
        </w:tc>
        <w:tc>
          <w:tcPr>
            <w:tcW w:w="55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CAEC49" w14:textId="21C8D700" w:rsidR="00C4459D" w:rsidRPr="008E3305" w:rsidRDefault="00C4459D" w:rsidP="007869B8">
            <w:pPr>
              <w:spacing w:before="120" w:after="120" w:line="288" w:lineRule="auto"/>
              <w:ind w:left="113" w:right="113"/>
              <w:jc w:val="center"/>
              <w:rPr>
                <w:rFonts w:eastAsia="Aptos" w:cs="Arial"/>
                <w:b/>
                <w:bCs/>
                <w:color w:val="000000"/>
                <w:szCs w:val="20"/>
              </w:rPr>
            </w:pPr>
            <w:r w:rsidRPr="008E3305">
              <w:rPr>
                <w:rFonts w:cs="Arial"/>
                <w:b/>
                <w:bCs/>
                <w:szCs w:val="20"/>
              </w:rPr>
              <w:t>120,000</w:t>
            </w:r>
          </w:p>
        </w:tc>
      </w:tr>
    </w:tbl>
    <w:p w14:paraId="5DA2DE10" w14:textId="0F0F582A" w:rsidR="00431F49" w:rsidRPr="00767A99" w:rsidRDefault="00431F49" w:rsidP="001061E4">
      <w:pPr>
        <w:pStyle w:val="BaseFigureNotes"/>
        <w:spacing w:before="120"/>
      </w:pPr>
      <w:r w:rsidRPr="0064792E">
        <w:rPr>
          <w:b/>
          <w:bCs/>
        </w:rPr>
        <w:t>Note:</w:t>
      </w:r>
      <w:r w:rsidRPr="005A3AFE">
        <w:t xml:space="preserve"> A blank cell indicates there is no data for that cell and n/a indicates a suppressed value (n&lt;25).</w:t>
      </w:r>
    </w:p>
    <w:sectPr w:rsidR="00431F49" w:rsidRPr="00767A99" w:rsidSect="00A11753">
      <w:headerReference w:type="even" r:id="rId88"/>
      <w:headerReference w:type="default" r:id="rId89"/>
      <w:footerReference w:type="even" r:id="rId90"/>
      <w:footerReference w:type="default" r:id="rId91"/>
      <w:headerReference w:type="first" r:id="rId92"/>
      <w:pgSz w:w="16840" w:h="11900" w:orient="landscape"/>
      <w:pgMar w:top="709" w:right="284" w:bottom="709" w:left="28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90164" w14:textId="77777777" w:rsidR="00344170" w:rsidRDefault="00344170" w:rsidP="00BE7643">
      <w:r>
        <w:separator/>
      </w:r>
    </w:p>
  </w:endnote>
  <w:endnote w:type="continuationSeparator" w:id="0">
    <w:p w14:paraId="0FC6DF5D" w14:textId="77777777" w:rsidR="00344170" w:rsidRDefault="00344170" w:rsidP="00BE7643">
      <w:r>
        <w:continuationSeparator/>
      </w:r>
    </w:p>
  </w:endnote>
  <w:endnote w:type="continuationNotice" w:id="1">
    <w:p w14:paraId="7CE99F17" w14:textId="77777777" w:rsidR="00344170" w:rsidRDefault="00344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DengXian">
    <w:panose1 w:val="02010600030101010101"/>
    <w:charset w:val="86"/>
    <w:family w:val="auto"/>
    <w:pitch w:val="variable"/>
    <w:sig w:usb0="A00002BF" w:usb1="38CF7CFA" w:usb2="00000016" w:usb3="00000000" w:csb0="0004000F" w:csb1="00000000"/>
  </w:font>
  <w:font w:name="MinionPro-Regular">
    <w:altName w:val="Calibri"/>
    <w:panose1 w:val="00000000000000000000"/>
    <w:charset w:val="4D"/>
    <w:family w:val="auto"/>
    <w:notTrueType/>
    <w:pitch w:val="default"/>
    <w:sig w:usb0="00000003" w:usb1="00000000" w:usb2="00000000" w:usb3="00000000" w:csb0="00000001" w:csb1="00000000"/>
  </w:font>
  <w:font w:name="DINOT-Light">
    <w:altName w:val="Calibri"/>
    <w:charset w:val="00"/>
    <w:family w:val="auto"/>
    <w:pitch w:val="variable"/>
    <w:sig w:usb0="800000AF" w:usb1="4000207B" w:usb2="00000000" w:usb3="00000000" w:csb0="00000001" w:csb1="00000000"/>
  </w:font>
  <w:font w:name="DINOT-Medium">
    <w:altName w:val="Calibri"/>
    <w:charset w:val="00"/>
    <w:family w:val="auto"/>
    <w:pitch w:val="variable"/>
    <w:sig w:usb0="800000AF" w:usb1="4000207B"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Gotham-Light">
    <w:altName w:val="Calibri"/>
    <w:charset w:val="00"/>
    <w:family w:val="auto"/>
    <w:pitch w:val="variable"/>
    <w:sig w:usb0="A100007F" w:usb1="4000005B" w:usb2="00000000" w:usb3="00000000" w:csb0="0000009B" w:csb1="00000000"/>
  </w:font>
  <w:font w:name="Gotham-Book">
    <w:altName w:val="Calibri"/>
    <w:charset w:val="00"/>
    <w:family w:val="auto"/>
    <w:pitch w:val="variable"/>
    <w:sig w:usb0="A100007F" w:usb1="4000005B" w:usb2="00000000" w:usb3="00000000" w:csb0="0000009B" w:csb1="00000000"/>
  </w:font>
  <w:font w:name="CaeciliaLTStd-Heavy">
    <w:altName w:val="Calibri"/>
    <w:charset w:val="00"/>
    <w:family w:val="auto"/>
    <w:pitch w:val="variable"/>
    <w:sig w:usb0="800000AF" w:usb1="5000204A" w:usb2="00000000" w:usb3="00000000" w:csb0="00000001" w:csb1="00000000"/>
  </w:font>
  <w:font w:name="Gotham-Medium">
    <w:altName w:val="Calibri"/>
    <w:charset w:val="00"/>
    <w:family w:val="auto"/>
    <w:pitch w:val="variable"/>
    <w:sig w:usb0="A100007F" w:usb1="4000005B" w:usb2="00000000" w:usb3="00000000" w:csb0="0000009B" w:csb1="00000000"/>
  </w:font>
  <w:font w:name="VIC-Regular">
    <w:altName w:val="Calibri"/>
    <w:charset w:val="00"/>
    <w:family w:val="auto"/>
    <w:pitch w:val="variable"/>
    <w:sig w:usb0="00000007" w:usb1="00000000" w:usb2="00000000" w:usb3="00000000" w:csb0="00000093" w:csb1="00000000"/>
  </w:font>
  <w:font w:name="Arial-Black">
    <w:altName w:val="Arial Black"/>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tletico-Medium">
    <w:altName w:val="Calibri"/>
    <w:panose1 w:val="00000000000000000000"/>
    <w:charset w:val="4D"/>
    <w:family w:val="auto"/>
    <w:notTrueType/>
    <w:pitch w:val="default"/>
    <w:sig w:usb0="00000003" w:usb1="00000000" w:usb2="00000000" w:usb3="00000000" w:csb0="00000001" w:csb1="00000000"/>
  </w:font>
  <w:font w:name="Arial Bold">
    <w:altName w:val="Arial"/>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ublic Sans ExtraLight">
    <w:altName w:val="Calibri"/>
    <w:charset w:val="4D"/>
    <w:family w:val="auto"/>
    <w:pitch w:val="variable"/>
    <w:sig w:usb0="A00000FF" w:usb1="4000205B" w:usb2="00000000" w:usb3="00000000" w:csb0="00000193" w:csb1="00000000"/>
  </w:font>
  <w:font w:name="Quicksand SemiBold">
    <w:altName w:val="Calibri"/>
    <w:charset w:val="4D"/>
    <w:family w:val="auto"/>
    <w:pitch w:val="variable"/>
    <w:sig w:usb0="A00000FF" w:usb1="4000205B" w:usb2="00000000" w:usb3="00000000" w:csb0="00000193"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F9EB" w14:textId="4C4DA11F" w:rsidR="00A01394" w:rsidRPr="00DF532B" w:rsidRDefault="00A01394" w:rsidP="00DF532B">
    <w:pPr>
      <w:pStyle w:val="Footer"/>
      <w:spacing w:after="120"/>
      <w:ind w:right="850"/>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568C" w14:textId="77777777" w:rsidR="000A70C2" w:rsidRPr="00F91A59" w:rsidRDefault="000A70C2" w:rsidP="005C4845">
    <w:pPr>
      <w:pStyle w:val="Footer"/>
      <w:tabs>
        <w:tab w:val="right" w:pos="9639"/>
      </w:tabs>
      <w:spacing w:before="60"/>
      <w:rPr>
        <w:rFonts w:cs="Arial"/>
        <w:sz w:val="18"/>
      </w:rPr>
    </w:pPr>
    <w:r w:rsidRPr="00F91A59">
      <w:rPr>
        <w:rFonts w:cs="Arial"/>
        <w:noProof/>
        <w:sz w:val="18"/>
      </w:rPr>
      <w:drawing>
        <wp:anchor distT="0" distB="0" distL="114300" distR="114300" simplePos="0" relativeHeight="251655168" behindDoc="0" locked="0" layoutInCell="1" allowOverlap="1" wp14:anchorId="30D037E6" wp14:editId="3FF76AEA">
          <wp:simplePos x="0" y="0"/>
          <wp:positionH relativeFrom="leftMargin">
            <wp:posOffset>106045</wp:posOffset>
          </wp:positionH>
          <wp:positionV relativeFrom="paragraph">
            <wp:posOffset>51140</wp:posOffset>
          </wp:positionV>
          <wp:extent cx="237958" cy="193341"/>
          <wp:effectExtent l="0" t="0" r="0" b="0"/>
          <wp:wrapNone/>
          <wp:docPr id="122709181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2784E84A" w14:textId="77777777" w:rsidR="000A70C2" w:rsidRPr="00912E1F" w:rsidRDefault="000A70C2" w:rsidP="00E46702">
    <w:pPr>
      <w:pStyle w:val="Footer"/>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CACE" w14:textId="77777777" w:rsidR="0008643D" w:rsidRPr="00F91A59" w:rsidRDefault="0008643D" w:rsidP="005C4845">
    <w:pPr>
      <w:pStyle w:val="Footer"/>
      <w:tabs>
        <w:tab w:val="right" w:pos="9639"/>
      </w:tabs>
      <w:spacing w:before="60"/>
      <w:rPr>
        <w:rFonts w:cs="Arial"/>
        <w:sz w:val="18"/>
      </w:rPr>
    </w:pPr>
    <w:r w:rsidRPr="00F91A59">
      <w:rPr>
        <w:rFonts w:cs="Arial"/>
        <w:noProof/>
        <w:sz w:val="18"/>
      </w:rPr>
      <w:drawing>
        <wp:anchor distT="0" distB="0" distL="114300" distR="114300" simplePos="0" relativeHeight="251670528" behindDoc="0" locked="0" layoutInCell="1" allowOverlap="1" wp14:anchorId="72A39605" wp14:editId="76BCCCD1">
          <wp:simplePos x="0" y="0"/>
          <wp:positionH relativeFrom="leftMargin">
            <wp:posOffset>106045</wp:posOffset>
          </wp:positionH>
          <wp:positionV relativeFrom="paragraph">
            <wp:posOffset>51140</wp:posOffset>
          </wp:positionV>
          <wp:extent cx="237958" cy="193341"/>
          <wp:effectExtent l="0" t="0" r="0" b="0"/>
          <wp:wrapNone/>
          <wp:docPr id="116137346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72AD04F1" w14:textId="77777777" w:rsidR="0008643D" w:rsidRPr="00912E1F" w:rsidRDefault="0008643D" w:rsidP="0008643D">
    <w:pPr>
      <w:pStyle w:val="Footer"/>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BE4F" w14:textId="77777777" w:rsidR="0008643D" w:rsidRPr="00F91A59" w:rsidRDefault="0008643D" w:rsidP="0008643D">
    <w:pPr>
      <w:pStyle w:val="Footer"/>
      <w:tabs>
        <w:tab w:val="right" w:pos="9639"/>
      </w:tabs>
      <w:spacing w:before="120"/>
      <w:ind w:left="567"/>
      <w:rPr>
        <w:rFonts w:cs="Arial"/>
        <w:sz w:val="18"/>
      </w:rPr>
    </w:pPr>
    <w:r w:rsidRPr="00F91A59">
      <w:rPr>
        <w:rFonts w:cs="Arial"/>
        <w:noProof/>
        <w:sz w:val="18"/>
      </w:rPr>
      <w:drawing>
        <wp:anchor distT="0" distB="0" distL="114300" distR="114300" simplePos="0" relativeHeight="251669504" behindDoc="0" locked="0" layoutInCell="1" allowOverlap="1" wp14:anchorId="5256F9E2" wp14:editId="41A4B391">
          <wp:simplePos x="0" y="0"/>
          <wp:positionH relativeFrom="margin">
            <wp:align>left</wp:align>
          </wp:positionH>
          <wp:positionV relativeFrom="paragraph">
            <wp:posOffset>114935</wp:posOffset>
          </wp:positionV>
          <wp:extent cx="237958" cy="193341"/>
          <wp:effectExtent l="0" t="0" r="0" b="0"/>
          <wp:wrapNone/>
          <wp:docPr id="80347364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58C68130" w14:textId="77777777" w:rsidR="0008643D" w:rsidRPr="00912E1F" w:rsidRDefault="0008643D" w:rsidP="0008643D">
    <w:pPr>
      <w:pStyle w:val="Footer"/>
      <w:ind w:left="567"/>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EF5F" w14:textId="77777777" w:rsidR="0008643D" w:rsidRPr="00F91A59" w:rsidRDefault="0008643D" w:rsidP="005C4845">
    <w:pPr>
      <w:pStyle w:val="Footer"/>
      <w:tabs>
        <w:tab w:val="right" w:pos="9639"/>
      </w:tabs>
      <w:spacing w:before="60"/>
      <w:rPr>
        <w:rFonts w:cs="Arial"/>
        <w:sz w:val="18"/>
      </w:rPr>
    </w:pPr>
    <w:r w:rsidRPr="00F91A59">
      <w:rPr>
        <w:rFonts w:cs="Arial"/>
        <w:noProof/>
        <w:sz w:val="18"/>
      </w:rPr>
      <w:drawing>
        <wp:anchor distT="0" distB="0" distL="114300" distR="114300" simplePos="0" relativeHeight="251668480" behindDoc="0" locked="0" layoutInCell="1" allowOverlap="1" wp14:anchorId="76CFCBFE" wp14:editId="7C7CE3E1">
          <wp:simplePos x="0" y="0"/>
          <wp:positionH relativeFrom="leftMargin">
            <wp:posOffset>106045</wp:posOffset>
          </wp:positionH>
          <wp:positionV relativeFrom="paragraph">
            <wp:posOffset>93670</wp:posOffset>
          </wp:positionV>
          <wp:extent cx="237958" cy="193341"/>
          <wp:effectExtent l="0" t="0" r="0" b="0"/>
          <wp:wrapNone/>
          <wp:docPr id="12344311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6853ED9F" w14:textId="77777777" w:rsidR="0008643D" w:rsidRPr="00912E1F" w:rsidRDefault="0008643D" w:rsidP="00912E1F">
    <w:pPr>
      <w:pStyle w:val="Footer"/>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2BDC" w14:textId="77777777" w:rsidR="00CC193D" w:rsidRPr="00F91A59" w:rsidRDefault="00CC193D" w:rsidP="0008643D">
    <w:pPr>
      <w:pStyle w:val="Footer"/>
      <w:tabs>
        <w:tab w:val="right" w:pos="9639"/>
      </w:tabs>
      <w:spacing w:before="120"/>
      <w:ind w:left="567"/>
      <w:rPr>
        <w:rFonts w:cs="Arial"/>
        <w:sz w:val="18"/>
      </w:rPr>
    </w:pPr>
    <w:r w:rsidRPr="00F91A59">
      <w:rPr>
        <w:rFonts w:cs="Arial"/>
        <w:noProof/>
        <w:sz w:val="18"/>
      </w:rPr>
      <w:drawing>
        <wp:anchor distT="0" distB="0" distL="114300" distR="114300" simplePos="0" relativeHeight="251653120" behindDoc="0" locked="0" layoutInCell="1" allowOverlap="1" wp14:anchorId="28DB1284" wp14:editId="7342CAFD">
          <wp:simplePos x="0" y="0"/>
          <wp:positionH relativeFrom="margin">
            <wp:align>left</wp:align>
          </wp:positionH>
          <wp:positionV relativeFrom="paragraph">
            <wp:posOffset>93345</wp:posOffset>
          </wp:positionV>
          <wp:extent cx="237958" cy="193341"/>
          <wp:effectExtent l="0" t="0" r="0" b="0"/>
          <wp:wrapNone/>
          <wp:docPr id="92181682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42895051" w14:textId="77777777" w:rsidR="00CC193D" w:rsidRPr="00912E1F" w:rsidRDefault="00CC193D" w:rsidP="004415B1">
    <w:pPr>
      <w:pStyle w:val="Footer"/>
      <w:ind w:left="567"/>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8B9E" w14:textId="77777777" w:rsidR="0013580C" w:rsidRPr="00F91A59" w:rsidRDefault="0013580C" w:rsidP="0013580C">
    <w:pPr>
      <w:pStyle w:val="Footer"/>
      <w:tabs>
        <w:tab w:val="right" w:pos="9639"/>
      </w:tabs>
      <w:spacing w:before="120"/>
      <w:ind w:left="709" w:right="709"/>
      <w:rPr>
        <w:rFonts w:cs="Arial"/>
        <w:sz w:val="18"/>
      </w:rPr>
    </w:pPr>
    <w:r w:rsidRPr="00F91A59">
      <w:rPr>
        <w:rFonts w:cs="Arial"/>
        <w:noProof/>
        <w:sz w:val="18"/>
      </w:rPr>
      <w:drawing>
        <wp:anchor distT="0" distB="0" distL="114300" distR="114300" simplePos="0" relativeHeight="251672576" behindDoc="0" locked="0" layoutInCell="1" allowOverlap="1" wp14:anchorId="7BAF7BFF" wp14:editId="58A571F1">
          <wp:simplePos x="0" y="0"/>
          <wp:positionH relativeFrom="leftMargin">
            <wp:posOffset>113030</wp:posOffset>
          </wp:positionH>
          <wp:positionV relativeFrom="paragraph">
            <wp:posOffset>146685</wp:posOffset>
          </wp:positionV>
          <wp:extent cx="237490" cy="193040"/>
          <wp:effectExtent l="0" t="0" r="0" b="0"/>
          <wp:wrapSquare wrapText="bothSides"/>
          <wp:docPr id="660720589"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490" cy="193040"/>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66EC9133" w14:textId="36A2BF65" w:rsidR="00562BBB" w:rsidRPr="0013580C" w:rsidRDefault="0013580C" w:rsidP="0013580C">
    <w:pPr>
      <w:pStyle w:val="Footer"/>
      <w:ind w:left="709" w:right="709"/>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Pr>
        <w:rFonts w:cs="Arial"/>
        <w:sz w:val="18"/>
      </w:rPr>
      <w:t>22</w:t>
    </w:r>
    <w:r w:rsidRPr="00912E1F">
      <w:rPr>
        <w:rFonts w:cs="Arial"/>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8365" w14:textId="77777777" w:rsidR="0013580C" w:rsidRPr="00F91A59" w:rsidRDefault="0013580C" w:rsidP="0008643D">
    <w:pPr>
      <w:pStyle w:val="Footer"/>
      <w:tabs>
        <w:tab w:val="right" w:pos="9639"/>
      </w:tabs>
      <w:spacing w:before="120"/>
      <w:rPr>
        <w:rFonts w:cs="Arial"/>
        <w:sz w:val="18"/>
      </w:rPr>
    </w:pPr>
    <w:r w:rsidRPr="00F91A59">
      <w:rPr>
        <w:rFonts w:cs="Arial"/>
        <w:noProof/>
        <w:sz w:val="18"/>
      </w:rPr>
      <w:drawing>
        <wp:anchor distT="0" distB="0" distL="114300" distR="114300" simplePos="0" relativeHeight="251671552" behindDoc="0" locked="0" layoutInCell="1" allowOverlap="1" wp14:anchorId="5F2D00CE" wp14:editId="5C84BD18">
          <wp:simplePos x="0" y="0"/>
          <wp:positionH relativeFrom="leftMargin">
            <wp:align>right</wp:align>
          </wp:positionH>
          <wp:positionV relativeFrom="paragraph">
            <wp:posOffset>127664</wp:posOffset>
          </wp:positionV>
          <wp:extent cx="237490" cy="193040"/>
          <wp:effectExtent l="0" t="0" r="0" b="0"/>
          <wp:wrapSquare wrapText="bothSides"/>
          <wp:docPr id="54781739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490" cy="193040"/>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5C05A237" w14:textId="77777777" w:rsidR="0013580C" w:rsidRPr="00912E1F" w:rsidRDefault="0013580C" w:rsidP="0008643D">
    <w:pPr>
      <w:pStyle w:val="Footer"/>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9141" w14:textId="5CE67807" w:rsidR="0008643D" w:rsidRPr="00F91A59" w:rsidRDefault="0008643D" w:rsidP="0008643D">
    <w:pPr>
      <w:pStyle w:val="Footer"/>
      <w:tabs>
        <w:tab w:val="right" w:pos="9639"/>
      </w:tabs>
      <w:spacing w:before="60"/>
      <w:rPr>
        <w:rFonts w:cs="Arial"/>
        <w:sz w:val="18"/>
      </w:rPr>
    </w:pPr>
    <w:r w:rsidRPr="00F91A59">
      <w:rPr>
        <w:rFonts w:cs="Arial"/>
        <w:noProof/>
        <w:sz w:val="18"/>
      </w:rPr>
      <w:drawing>
        <wp:anchor distT="0" distB="0" distL="114300" distR="114300" simplePos="0" relativeHeight="251667456" behindDoc="0" locked="0" layoutInCell="1" allowOverlap="1" wp14:anchorId="692C70A9" wp14:editId="40F32E2D">
          <wp:simplePos x="0" y="0"/>
          <wp:positionH relativeFrom="leftMargin">
            <wp:align>right</wp:align>
          </wp:positionH>
          <wp:positionV relativeFrom="paragraph">
            <wp:posOffset>57150</wp:posOffset>
          </wp:positionV>
          <wp:extent cx="237490" cy="193040"/>
          <wp:effectExtent l="0" t="0" r="0" b="0"/>
          <wp:wrapSquare wrapText="bothSides"/>
          <wp:docPr id="120962235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490" cy="193040"/>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159751DE" w14:textId="2D2E1B9F" w:rsidR="0008643D" w:rsidRPr="00A01394" w:rsidRDefault="0008643D" w:rsidP="0008643D">
    <w:pPr>
      <w:pStyle w:val="Footer"/>
      <w:tabs>
        <w:tab w:val="clear" w:pos="4513"/>
        <w:tab w:val="clear" w:pos="9026"/>
        <w:tab w:val="right" w:pos="9639"/>
      </w:tabs>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r>
      <w:rPr>
        <w:sz w:val="18"/>
      </w:rPr>
      <w:t>28</w:t>
    </w:r>
    <w:r w:rsidRPr="00F91A59">
      <w:rPr>
        <w:rFonts w:cs="Arial"/>
        <w:noProof/>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3567" w14:textId="21B01119" w:rsidR="0008643D" w:rsidRPr="00F91A59" w:rsidRDefault="0008643D" w:rsidP="0008643D">
    <w:pPr>
      <w:pStyle w:val="Footer"/>
      <w:tabs>
        <w:tab w:val="right" w:pos="9639"/>
      </w:tabs>
      <w:spacing w:before="120"/>
      <w:rPr>
        <w:rFonts w:cs="Arial"/>
        <w:sz w:val="18"/>
      </w:rPr>
    </w:pPr>
    <w:r w:rsidRPr="00F91A59">
      <w:rPr>
        <w:rFonts w:cs="Arial"/>
        <w:noProof/>
        <w:sz w:val="18"/>
      </w:rPr>
      <w:drawing>
        <wp:anchor distT="0" distB="0" distL="114300" distR="114300" simplePos="0" relativeHeight="251666432" behindDoc="0" locked="0" layoutInCell="1" allowOverlap="1" wp14:anchorId="7A8CBE33" wp14:editId="02D876EC">
          <wp:simplePos x="0" y="0"/>
          <wp:positionH relativeFrom="leftMargin">
            <wp:posOffset>106399</wp:posOffset>
          </wp:positionH>
          <wp:positionV relativeFrom="paragraph">
            <wp:posOffset>84455</wp:posOffset>
          </wp:positionV>
          <wp:extent cx="237958" cy="193341"/>
          <wp:effectExtent l="0" t="0" r="0" b="0"/>
          <wp:wrapNone/>
          <wp:docPr id="1962365675"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72809964" w14:textId="77777777" w:rsidR="0008643D" w:rsidRPr="00912E1F" w:rsidRDefault="0008643D" w:rsidP="0008643D">
    <w:pPr>
      <w:pStyle w:val="Footer"/>
    </w:pPr>
    <w:r>
      <w:rPr>
        <w:rFonts w:cs="Arial"/>
        <w:sz w:val="18"/>
      </w:rPr>
      <w:t>National Report</w:t>
    </w:r>
    <w:r>
      <w:rPr>
        <w:rFonts w:cs="Arial"/>
        <w:sz w:val="18"/>
      </w:rPr>
      <w:ptab w:relativeTo="margin" w:alignment="right" w:leader="none"/>
    </w:r>
    <w:r w:rsidRPr="00912E1F">
      <w:rPr>
        <w:rFonts w:cs="Arial"/>
        <w:sz w:val="18"/>
      </w:rPr>
      <w:fldChar w:fldCharType="begin"/>
    </w:r>
    <w:r w:rsidRPr="00912E1F">
      <w:rPr>
        <w:rFonts w:cs="Arial"/>
        <w:sz w:val="18"/>
      </w:rPr>
      <w:instrText>PAGE   \* MERGEFORMAT</w:instrText>
    </w:r>
    <w:r w:rsidRPr="00912E1F">
      <w:rPr>
        <w:rFonts w:cs="Arial"/>
        <w:sz w:val="18"/>
      </w:rPr>
      <w:fldChar w:fldCharType="separate"/>
    </w:r>
    <w:r w:rsidRPr="00912E1F">
      <w:rPr>
        <w:rFonts w:cs="Arial"/>
        <w:sz w:val="18"/>
        <w:lang w:val="en-GB"/>
      </w:rPr>
      <w:t>1</w:t>
    </w:r>
    <w:r w:rsidRPr="00912E1F">
      <w:rPr>
        <w:rFonts w:cs="Arial"/>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E5D5" w14:textId="77777777" w:rsidR="00910822" w:rsidRDefault="00910822">
    <w:pPr>
      <w:pStyle w:val="Footer"/>
      <w:jc w:val="right"/>
    </w:pPr>
  </w:p>
  <w:p w14:paraId="0646F0C1" w14:textId="77777777" w:rsidR="00910822" w:rsidRDefault="0091082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3930" w14:textId="77777777" w:rsidR="008A3B29" w:rsidRPr="00F91A59" w:rsidRDefault="008A3B29" w:rsidP="0008643D">
    <w:pPr>
      <w:pStyle w:val="Footer"/>
      <w:tabs>
        <w:tab w:val="right" w:pos="9639"/>
      </w:tabs>
      <w:spacing w:before="60"/>
      <w:ind w:left="567"/>
      <w:rPr>
        <w:rFonts w:cs="Arial"/>
        <w:sz w:val="18"/>
      </w:rPr>
    </w:pPr>
    <w:r w:rsidRPr="00F91A59">
      <w:rPr>
        <w:rFonts w:cs="Arial"/>
        <w:noProof/>
        <w:sz w:val="18"/>
      </w:rPr>
      <w:drawing>
        <wp:anchor distT="0" distB="0" distL="114300" distR="114300" simplePos="0" relativeHeight="251650048" behindDoc="0" locked="0" layoutInCell="1" allowOverlap="1" wp14:anchorId="60A83DA1" wp14:editId="3E928827">
          <wp:simplePos x="0" y="0"/>
          <wp:positionH relativeFrom="margin">
            <wp:align>left</wp:align>
          </wp:positionH>
          <wp:positionV relativeFrom="paragraph">
            <wp:posOffset>52380</wp:posOffset>
          </wp:positionV>
          <wp:extent cx="237958" cy="193341"/>
          <wp:effectExtent l="0" t="0" r="0" b="0"/>
          <wp:wrapNone/>
          <wp:docPr id="9830338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7C5B9677" w14:textId="47DD44F1" w:rsidR="008A3B29" w:rsidRPr="00A01394" w:rsidRDefault="008A3B29" w:rsidP="0008643D">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AAAC9" w14:textId="77777777" w:rsidR="00C43B9E" w:rsidRPr="00F91A59" w:rsidRDefault="00C43B9E" w:rsidP="00A01394">
    <w:pPr>
      <w:pStyle w:val="Footer"/>
      <w:tabs>
        <w:tab w:val="right" w:pos="9639"/>
      </w:tabs>
      <w:rPr>
        <w:rFonts w:cs="Arial"/>
        <w:sz w:val="18"/>
      </w:rPr>
    </w:pPr>
    <w:r w:rsidRPr="00F91A59">
      <w:rPr>
        <w:rFonts w:cs="Arial"/>
        <w:noProof/>
        <w:sz w:val="18"/>
      </w:rPr>
      <w:drawing>
        <wp:anchor distT="0" distB="0" distL="114300" distR="114300" simplePos="0" relativeHeight="251664384" behindDoc="0" locked="0" layoutInCell="1" allowOverlap="1" wp14:anchorId="682D892C" wp14:editId="35F4412A">
          <wp:simplePos x="0" y="0"/>
          <wp:positionH relativeFrom="column">
            <wp:posOffset>-385074</wp:posOffset>
          </wp:positionH>
          <wp:positionV relativeFrom="paragraph">
            <wp:posOffset>31408</wp:posOffset>
          </wp:positionV>
          <wp:extent cx="237958" cy="193341"/>
          <wp:effectExtent l="0" t="0" r="3810" b="0"/>
          <wp:wrapNone/>
          <wp:docPr id="720532345"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7AA6B2FD" w14:textId="77777777" w:rsidR="00C43B9E" w:rsidRPr="00A01394" w:rsidRDefault="00C43B9E" w:rsidP="00A01394">
    <w:pPr>
      <w:pStyle w:val="Footer"/>
      <w:tabs>
        <w:tab w:val="clear" w:pos="4513"/>
        <w:tab w:val="clear" w:pos="9026"/>
        <w:tab w:val="right" w:pos="9639"/>
      </w:tabs>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F6BA" w14:textId="7A6E2ADF" w:rsidR="000E45F6" w:rsidRPr="00F91A59" w:rsidRDefault="00C43B9E" w:rsidP="0011422F">
    <w:pPr>
      <w:pStyle w:val="Footer"/>
      <w:tabs>
        <w:tab w:val="right" w:pos="9639"/>
      </w:tabs>
      <w:spacing w:before="60"/>
      <w:ind w:left="567"/>
      <w:rPr>
        <w:rFonts w:cs="Arial"/>
        <w:sz w:val="18"/>
      </w:rPr>
    </w:pPr>
    <w:r w:rsidRPr="00F91A59">
      <w:rPr>
        <w:rFonts w:cs="Arial"/>
        <w:noProof/>
        <w:sz w:val="18"/>
      </w:rPr>
      <w:drawing>
        <wp:anchor distT="0" distB="0" distL="114300" distR="114300" simplePos="0" relativeHeight="251665408" behindDoc="0" locked="0" layoutInCell="1" allowOverlap="1" wp14:anchorId="02EDF7AB" wp14:editId="55F2BBE4">
          <wp:simplePos x="0" y="0"/>
          <wp:positionH relativeFrom="margin">
            <wp:align>left</wp:align>
          </wp:positionH>
          <wp:positionV relativeFrom="paragraph">
            <wp:posOffset>86995</wp:posOffset>
          </wp:positionV>
          <wp:extent cx="237958" cy="193341"/>
          <wp:effectExtent l="0" t="0" r="0" b="0"/>
          <wp:wrapNone/>
          <wp:docPr id="198376622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000E45F6" w:rsidRPr="00244416">
      <w:rPr>
        <w:rFonts w:cs="Arial"/>
        <w:sz w:val="18"/>
      </w:rPr>
      <w:t>202</w:t>
    </w:r>
    <w:r w:rsidR="000E45F6">
      <w:rPr>
        <w:rFonts w:cs="Arial"/>
        <w:sz w:val="18"/>
      </w:rPr>
      <w:t>6</w:t>
    </w:r>
    <w:r w:rsidR="000E45F6" w:rsidRPr="00244416">
      <w:rPr>
        <w:rFonts w:cs="Arial"/>
        <w:sz w:val="18"/>
      </w:rPr>
      <w:t xml:space="preserve"> Graduate Outcomes Survey - Longitudinal (GOS-L)</w:t>
    </w:r>
  </w:p>
  <w:p w14:paraId="057A02CF" w14:textId="1B538F90" w:rsidR="000E45F6" w:rsidRPr="00A01394" w:rsidRDefault="000E45F6" w:rsidP="0011422F">
    <w:pPr>
      <w:pStyle w:val="Footer"/>
      <w:tabs>
        <w:tab w:val="clear" w:pos="4513"/>
        <w:tab w:val="clear" w:pos="9026"/>
        <w:tab w:val="right" w:pos="9639"/>
      </w:tabs>
      <w:ind w:left="567"/>
      <w:rPr>
        <w:rFonts w:cs="Arial"/>
        <w:sz w:val="18"/>
      </w:rPr>
    </w:pPr>
    <w:r>
      <w:rPr>
        <w:rFonts w:cs="Arial"/>
        <w:sz w:val="18"/>
      </w:rPr>
      <w:t>National Report</w:t>
    </w:r>
    <w:r w:rsidR="0011422F">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3D6C" w14:textId="77777777" w:rsidR="00C43B9E" w:rsidRPr="00F91A59" w:rsidRDefault="00C43B9E" w:rsidP="00C43B9E">
    <w:pPr>
      <w:pStyle w:val="Footer"/>
      <w:tabs>
        <w:tab w:val="right" w:pos="9639"/>
      </w:tabs>
      <w:spacing w:before="60"/>
      <w:ind w:left="567"/>
      <w:rPr>
        <w:rFonts w:cs="Arial"/>
        <w:sz w:val="18"/>
      </w:rPr>
    </w:pPr>
    <w:r w:rsidRPr="00F91A59">
      <w:rPr>
        <w:rFonts w:cs="Arial"/>
        <w:noProof/>
        <w:sz w:val="18"/>
      </w:rPr>
      <w:drawing>
        <wp:anchor distT="0" distB="0" distL="114300" distR="114300" simplePos="0" relativeHeight="251663360" behindDoc="0" locked="0" layoutInCell="1" allowOverlap="1" wp14:anchorId="29A3AF68" wp14:editId="0F33A4FA">
          <wp:simplePos x="0" y="0"/>
          <wp:positionH relativeFrom="margin">
            <wp:align>left</wp:align>
          </wp:positionH>
          <wp:positionV relativeFrom="paragraph">
            <wp:posOffset>52380</wp:posOffset>
          </wp:positionV>
          <wp:extent cx="237958" cy="193341"/>
          <wp:effectExtent l="0" t="0" r="0" b="0"/>
          <wp:wrapNone/>
          <wp:docPr id="2702919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61A247A7" w14:textId="77777777" w:rsidR="00C43B9E" w:rsidRPr="00A01394" w:rsidRDefault="00C43B9E" w:rsidP="00C43B9E">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0046" w14:textId="5B32FA3A" w:rsidR="00B83377" w:rsidRPr="00F91A59" w:rsidRDefault="00B83377" w:rsidP="00FA1E70">
    <w:pPr>
      <w:pStyle w:val="Footer"/>
      <w:tabs>
        <w:tab w:val="right" w:pos="9639"/>
      </w:tabs>
      <w:spacing w:before="120"/>
      <w:rPr>
        <w:rFonts w:cs="Arial"/>
        <w:sz w:val="18"/>
      </w:rPr>
    </w:pPr>
    <w:r w:rsidRPr="00F91A59">
      <w:rPr>
        <w:rFonts w:cs="Arial"/>
        <w:noProof/>
        <w:sz w:val="18"/>
      </w:rPr>
      <w:drawing>
        <wp:anchor distT="0" distB="0" distL="114300" distR="114300" simplePos="0" relativeHeight="251645952" behindDoc="0" locked="0" layoutInCell="1" allowOverlap="1" wp14:anchorId="76232977" wp14:editId="59EA7A43">
          <wp:simplePos x="0" y="0"/>
          <wp:positionH relativeFrom="column">
            <wp:posOffset>-307172</wp:posOffset>
          </wp:positionH>
          <wp:positionV relativeFrom="paragraph">
            <wp:posOffset>82874</wp:posOffset>
          </wp:positionV>
          <wp:extent cx="237958" cy="193341"/>
          <wp:effectExtent l="0" t="0" r="3810" b="0"/>
          <wp:wrapNone/>
          <wp:docPr id="21062298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sidR="00B921B4">
      <w:rPr>
        <w:rFonts w:cs="Arial"/>
        <w:sz w:val="18"/>
      </w:rPr>
      <w:t>6</w:t>
    </w:r>
    <w:r w:rsidRPr="00244416">
      <w:rPr>
        <w:rFonts w:cs="Arial"/>
        <w:sz w:val="18"/>
      </w:rPr>
      <w:t xml:space="preserve"> Graduate Outcomes Survey - Longitudinal (GOS-L)</w:t>
    </w:r>
  </w:p>
  <w:p w14:paraId="6657517F" w14:textId="18813CD1" w:rsidR="00B83377" w:rsidRPr="00A01394" w:rsidRDefault="00B83377" w:rsidP="00A01394">
    <w:pPr>
      <w:pStyle w:val="Footer"/>
      <w:tabs>
        <w:tab w:val="clear" w:pos="4513"/>
        <w:tab w:val="clear" w:pos="9026"/>
        <w:tab w:val="right" w:pos="9639"/>
      </w:tabs>
      <w:rPr>
        <w:rFonts w:cs="Arial"/>
        <w:sz w:val="18"/>
      </w:rPr>
    </w:pPr>
    <w:r>
      <w:rPr>
        <w:rFonts w:cs="Arial"/>
        <w:sz w:val="18"/>
      </w:rPr>
      <w:t>National Report</w:t>
    </w:r>
    <w:r w:rsidRPr="00F91A59">
      <w:rPr>
        <w:rFonts w:cs="Arial"/>
        <w:sz w:val="18"/>
      </w:rPr>
      <w:tab/>
    </w:r>
    <w:r w:rsidR="002D7262">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EE30" w14:textId="77777777" w:rsidR="00B83377" w:rsidRDefault="00B83377">
    <w:pPr>
      <w:pStyle w:val="Footer"/>
      <w:jc w:val="right"/>
    </w:pPr>
  </w:p>
  <w:p w14:paraId="614797C1" w14:textId="77777777" w:rsidR="00B83377" w:rsidRDefault="00B833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D65D" w14:textId="77777777" w:rsidR="00C43B9E" w:rsidRPr="00F91A59" w:rsidRDefault="00C43B9E" w:rsidP="00C43B9E">
    <w:pPr>
      <w:pStyle w:val="Footer"/>
      <w:tabs>
        <w:tab w:val="right" w:pos="9639"/>
      </w:tabs>
      <w:spacing w:before="120"/>
      <w:ind w:left="567"/>
      <w:rPr>
        <w:rFonts w:cs="Arial"/>
        <w:sz w:val="18"/>
      </w:rPr>
    </w:pPr>
    <w:r w:rsidRPr="00F91A59">
      <w:rPr>
        <w:rFonts w:cs="Arial"/>
        <w:noProof/>
        <w:sz w:val="18"/>
      </w:rPr>
      <w:drawing>
        <wp:anchor distT="0" distB="0" distL="114300" distR="114300" simplePos="0" relativeHeight="251662336" behindDoc="0" locked="0" layoutInCell="1" allowOverlap="1" wp14:anchorId="52AF13E5" wp14:editId="0AC42A83">
          <wp:simplePos x="0" y="0"/>
          <wp:positionH relativeFrom="margin">
            <wp:align>left</wp:align>
          </wp:positionH>
          <wp:positionV relativeFrom="paragraph">
            <wp:posOffset>82550</wp:posOffset>
          </wp:positionV>
          <wp:extent cx="237958" cy="193341"/>
          <wp:effectExtent l="0" t="0" r="0" b="0"/>
          <wp:wrapNone/>
          <wp:docPr id="35389260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73CE76C3" w14:textId="77777777" w:rsidR="00C43B9E" w:rsidRPr="00A01394" w:rsidRDefault="00C43B9E" w:rsidP="00C43B9E">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639E" w14:textId="61951551" w:rsidR="00C43B9E" w:rsidRPr="00F91A59" w:rsidRDefault="00C43B9E" w:rsidP="00C43B9E">
    <w:pPr>
      <w:pStyle w:val="Footer"/>
      <w:tabs>
        <w:tab w:val="right" w:pos="9639"/>
      </w:tabs>
      <w:spacing w:before="120"/>
      <w:ind w:left="567"/>
      <w:rPr>
        <w:rFonts w:cs="Arial"/>
        <w:sz w:val="18"/>
      </w:rPr>
    </w:pPr>
    <w:r w:rsidRPr="00F91A59">
      <w:rPr>
        <w:rFonts w:cs="Arial"/>
        <w:noProof/>
        <w:sz w:val="18"/>
      </w:rPr>
      <w:drawing>
        <wp:anchor distT="0" distB="0" distL="114300" distR="114300" simplePos="0" relativeHeight="251661312" behindDoc="0" locked="0" layoutInCell="1" allowOverlap="1" wp14:anchorId="07BC63C8" wp14:editId="374990DB">
          <wp:simplePos x="0" y="0"/>
          <wp:positionH relativeFrom="margin">
            <wp:align>left</wp:align>
          </wp:positionH>
          <wp:positionV relativeFrom="paragraph">
            <wp:posOffset>82550</wp:posOffset>
          </wp:positionV>
          <wp:extent cx="237958" cy="193341"/>
          <wp:effectExtent l="0" t="0" r="0" b="0"/>
          <wp:wrapNone/>
          <wp:docPr id="5011307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1F868C2D" w14:textId="57A149B2" w:rsidR="00C43B9E" w:rsidRPr="00A01394" w:rsidRDefault="00C43B9E" w:rsidP="00C43B9E">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B359" w14:textId="77777777" w:rsidR="00C43B9E" w:rsidRPr="00F91A59" w:rsidRDefault="00C43B9E" w:rsidP="00FA1E70">
    <w:pPr>
      <w:pStyle w:val="Footer"/>
      <w:tabs>
        <w:tab w:val="right" w:pos="9639"/>
      </w:tabs>
      <w:spacing w:before="120"/>
      <w:rPr>
        <w:rFonts w:cs="Arial"/>
        <w:sz w:val="18"/>
      </w:rPr>
    </w:pPr>
    <w:r w:rsidRPr="00F91A59">
      <w:rPr>
        <w:rFonts w:cs="Arial"/>
        <w:noProof/>
        <w:sz w:val="18"/>
      </w:rPr>
      <w:drawing>
        <wp:anchor distT="0" distB="0" distL="114300" distR="114300" simplePos="0" relativeHeight="251660288" behindDoc="0" locked="0" layoutInCell="1" allowOverlap="1" wp14:anchorId="0D631B25" wp14:editId="2E152153">
          <wp:simplePos x="0" y="0"/>
          <wp:positionH relativeFrom="column">
            <wp:posOffset>-307172</wp:posOffset>
          </wp:positionH>
          <wp:positionV relativeFrom="paragraph">
            <wp:posOffset>82874</wp:posOffset>
          </wp:positionV>
          <wp:extent cx="237958" cy="193341"/>
          <wp:effectExtent l="0" t="0" r="3810" b="0"/>
          <wp:wrapNone/>
          <wp:docPr id="93309751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4AE34F39" w14:textId="77777777" w:rsidR="00C43B9E" w:rsidRPr="00A01394" w:rsidRDefault="00C43B9E" w:rsidP="00A01394">
    <w:pPr>
      <w:pStyle w:val="Footer"/>
      <w:tabs>
        <w:tab w:val="clear" w:pos="4513"/>
        <w:tab w:val="clear" w:pos="9026"/>
        <w:tab w:val="right" w:pos="9639"/>
      </w:tabs>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14E4" w14:textId="77777777" w:rsidR="00C43B9E" w:rsidRPr="00F91A59" w:rsidRDefault="00C43B9E" w:rsidP="00C43B9E">
    <w:pPr>
      <w:pStyle w:val="Footer"/>
      <w:tabs>
        <w:tab w:val="right" w:pos="9639"/>
      </w:tabs>
      <w:spacing w:before="120"/>
      <w:ind w:left="567"/>
      <w:rPr>
        <w:rFonts w:cs="Arial"/>
        <w:sz w:val="18"/>
      </w:rPr>
    </w:pPr>
    <w:r w:rsidRPr="00F91A59">
      <w:rPr>
        <w:rFonts w:cs="Arial"/>
        <w:noProof/>
        <w:sz w:val="18"/>
      </w:rPr>
      <w:drawing>
        <wp:anchor distT="0" distB="0" distL="114300" distR="114300" simplePos="0" relativeHeight="251659264" behindDoc="0" locked="0" layoutInCell="1" allowOverlap="1" wp14:anchorId="3D52F96B" wp14:editId="6E7CFD61">
          <wp:simplePos x="0" y="0"/>
          <wp:positionH relativeFrom="margin">
            <wp:align>left</wp:align>
          </wp:positionH>
          <wp:positionV relativeFrom="paragraph">
            <wp:posOffset>82550</wp:posOffset>
          </wp:positionV>
          <wp:extent cx="237958" cy="193341"/>
          <wp:effectExtent l="0" t="0" r="0" b="0"/>
          <wp:wrapNone/>
          <wp:docPr id="166696063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514774A7" w14:textId="77777777" w:rsidR="00C43B9E" w:rsidRPr="00A01394" w:rsidRDefault="00C43B9E" w:rsidP="00C43B9E">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2571" w14:textId="77777777" w:rsidR="00C43B9E" w:rsidRPr="00F91A59" w:rsidRDefault="00C43B9E" w:rsidP="00FA1E70">
    <w:pPr>
      <w:pStyle w:val="Footer"/>
      <w:tabs>
        <w:tab w:val="right" w:pos="9639"/>
      </w:tabs>
      <w:spacing w:before="120"/>
      <w:rPr>
        <w:rFonts w:cs="Arial"/>
        <w:sz w:val="18"/>
      </w:rPr>
    </w:pPr>
    <w:r w:rsidRPr="00F91A59">
      <w:rPr>
        <w:rFonts w:cs="Arial"/>
        <w:noProof/>
        <w:sz w:val="18"/>
      </w:rPr>
      <w:drawing>
        <wp:anchor distT="0" distB="0" distL="114300" distR="114300" simplePos="0" relativeHeight="251658240" behindDoc="0" locked="0" layoutInCell="1" allowOverlap="1" wp14:anchorId="6E3AA40C" wp14:editId="5AB459AB">
          <wp:simplePos x="0" y="0"/>
          <wp:positionH relativeFrom="column">
            <wp:posOffset>-307172</wp:posOffset>
          </wp:positionH>
          <wp:positionV relativeFrom="paragraph">
            <wp:posOffset>82874</wp:posOffset>
          </wp:positionV>
          <wp:extent cx="237958" cy="193341"/>
          <wp:effectExtent l="0" t="0" r="3810" b="0"/>
          <wp:wrapNone/>
          <wp:docPr id="42079082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6D4E41AE" w14:textId="77777777" w:rsidR="00C43B9E" w:rsidRPr="00A01394" w:rsidRDefault="00C43B9E" w:rsidP="00A01394">
    <w:pPr>
      <w:pStyle w:val="Footer"/>
      <w:tabs>
        <w:tab w:val="clear" w:pos="4513"/>
        <w:tab w:val="clear" w:pos="9026"/>
        <w:tab w:val="right" w:pos="9639"/>
      </w:tabs>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1A5E" w14:textId="77777777" w:rsidR="00C43B9E" w:rsidRPr="00F91A59" w:rsidRDefault="00C43B9E" w:rsidP="00C43B9E">
    <w:pPr>
      <w:pStyle w:val="Footer"/>
      <w:tabs>
        <w:tab w:val="right" w:pos="9639"/>
      </w:tabs>
      <w:spacing w:before="120"/>
      <w:ind w:left="567"/>
      <w:rPr>
        <w:rFonts w:cs="Arial"/>
        <w:sz w:val="18"/>
      </w:rPr>
    </w:pPr>
    <w:r w:rsidRPr="00F91A59">
      <w:rPr>
        <w:rFonts w:cs="Arial"/>
        <w:noProof/>
        <w:sz w:val="18"/>
      </w:rPr>
      <w:drawing>
        <wp:anchor distT="0" distB="0" distL="114300" distR="114300" simplePos="0" relativeHeight="251657216" behindDoc="0" locked="0" layoutInCell="1" allowOverlap="1" wp14:anchorId="3D50993B" wp14:editId="72A14EC5">
          <wp:simplePos x="0" y="0"/>
          <wp:positionH relativeFrom="margin">
            <wp:align>left</wp:align>
          </wp:positionH>
          <wp:positionV relativeFrom="paragraph">
            <wp:posOffset>82550</wp:posOffset>
          </wp:positionV>
          <wp:extent cx="237958" cy="193341"/>
          <wp:effectExtent l="0" t="0" r="0" b="0"/>
          <wp:wrapNone/>
          <wp:docPr id="172919597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01FF619E" w14:textId="77777777" w:rsidR="00C43B9E" w:rsidRPr="00A01394" w:rsidRDefault="00C43B9E" w:rsidP="00C43B9E">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F228" w14:textId="77777777" w:rsidR="00C43B9E" w:rsidRPr="00F91A59" w:rsidRDefault="00C43B9E" w:rsidP="00FA1E70">
    <w:pPr>
      <w:pStyle w:val="Footer"/>
      <w:tabs>
        <w:tab w:val="right" w:pos="9639"/>
      </w:tabs>
      <w:spacing w:before="120"/>
      <w:rPr>
        <w:rFonts w:cs="Arial"/>
        <w:sz w:val="18"/>
      </w:rPr>
    </w:pPr>
    <w:r w:rsidRPr="00F91A59">
      <w:rPr>
        <w:rFonts w:cs="Arial"/>
        <w:noProof/>
        <w:sz w:val="18"/>
      </w:rPr>
      <w:drawing>
        <wp:anchor distT="0" distB="0" distL="114300" distR="114300" simplePos="0" relativeHeight="251656192" behindDoc="0" locked="0" layoutInCell="1" allowOverlap="1" wp14:anchorId="6F4FE3A9" wp14:editId="66DDB025">
          <wp:simplePos x="0" y="0"/>
          <wp:positionH relativeFrom="column">
            <wp:posOffset>-307172</wp:posOffset>
          </wp:positionH>
          <wp:positionV relativeFrom="paragraph">
            <wp:posOffset>82874</wp:posOffset>
          </wp:positionV>
          <wp:extent cx="237958" cy="193341"/>
          <wp:effectExtent l="0" t="0" r="3810" b="0"/>
          <wp:wrapNone/>
          <wp:docPr id="1367551328"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0B1CEA29" w14:textId="77777777" w:rsidR="00C43B9E" w:rsidRPr="00A01394" w:rsidRDefault="00C43B9E" w:rsidP="00A01394">
    <w:pPr>
      <w:pStyle w:val="Footer"/>
      <w:tabs>
        <w:tab w:val="clear" w:pos="4513"/>
        <w:tab w:val="clear" w:pos="9026"/>
        <w:tab w:val="right" w:pos="9639"/>
      </w:tabs>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3024" w14:textId="62DA6928" w:rsidR="00F23487" w:rsidRPr="00F91A59" w:rsidRDefault="00C43B9E" w:rsidP="00C43B9E">
    <w:pPr>
      <w:pStyle w:val="Footer"/>
      <w:tabs>
        <w:tab w:val="right" w:pos="9639"/>
      </w:tabs>
      <w:spacing w:before="60"/>
      <w:ind w:left="567"/>
      <w:rPr>
        <w:rFonts w:cs="Arial"/>
        <w:sz w:val="18"/>
      </w:rPr>
    </w:pPr>
    <w:r w:rsidRPr="00F91A59">
      <w:rPr>
        <w:rFonts w:cs="Arial"/>
        <w:noProof/>
        <w:sz w:val="18"/>
      </w:rPr>
      <w:drawing>
        <wp:anchor distT="0" distB="0" distL="114300" distR="114300" simplePos="0" relativeHeight="251651072" behindDoc="0" locked="0" layoutInCell="1" allowOverlap="1" wp14:anchorId="1550AE2A" wp14:editId="11582B42">
          <wp:simplePos x="0" y="0"/>
          <wp:positionH relativeFrom="margin">
            <wp:align>left</wp:align>
          </wp:positionH>
          <wp:positionV relativeFrom="paragraph">
            <wp:posOffset>91392</wp:posOffset>
          </wp:positionV>
          <wp:extent cx="237958" cy="193341"/>
          <wp:effectExtent l="0" t="0" r="0" b="0"/>
          <wp:wrapNone/>
          <wp:docPr id="615947405"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00F23487" w:rsidRPr="00244416">
      <w:rPr>
        <w:rFonts w:cs="Arial"/>
        <w:sz w:val="18"/>
      </w:rPr>
      <w:t>202</w:t>
    </w:r>
    <w:r w:rsidR="00F23487">
      <w:rPr>
        <w:rFonts w:cs="Arial"/>
        <w:sz w:val="18"/>
      </w:rPr>
      <w:t>6</w:t>
    </w:r>
    <w:r w:rsidR="00F23487" w:rsidRPr="00244416">
      <w:rPr>
        <w:rFonts w:cs="Arial"/>
        <w:sz w:val="18"/>
      </w:rPr>
      <w:t xml:space="preserve"> Graduate Outcomes Survey - Longitudinal (GOS-L)</w:t>
    </w:r>
  </w:p>
  <w:p w14:paraId="60BEDDD2" w14:textId="3C6AA8CC" w:rsidR="00F23487" w:rsidRPr="00A01394" w:rsidRDefault="00F23487" w:rsidP="00C43B9E">
    <w:pPr>
      <w:pStyle w:val="Footer"/>
      <w:tabs>
        <w:tab w:val="clear" w:pos="4513"/>
        <w:tab w:val="clear" w:pos="9026"/>
        <w:tab w:val="right" w:pos="9639"/>
      </w:tabs>
      <w:ind w:left="567"/>
      <w:rPr>
        <w:rFonts w:cs="Arial"/>
        <w:sz w:val="18"/>
      </w:rPr>
    </w:pPr>
    <w:r>
      <w:rPr>
        <w:rFonts w:cs="Arial"/>
        <w:sz w:val="18"/>
      </w:rPr>
      <w:t>National Report</w:t>
    </w:r>
    <w:r w:rsidRPr="00F91A59">
      <w:rPr>
        <w:rFonts w:cs="Arial"/>
        <w:sz w:val="18"/>
      </w:rPr>
      <w:tab/>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E213" w14:textId="77777777" w:rsidR="00F23487" w:rsidRPr="00F91A59" w:rsidRDefault="00F23487" w:rsidP="00E57178">
    <w:pPr>
      <w:pStyle w:val="Footer"/>
      <w:tabs>
        <w:tab w:val="right" w:pos="9639"/>
      </w:tabs>
      <w:spacing w:before="60"/>
      <w:rPr>
        <w:rFonts w:cs="Arial"/>
        <w:sz w:val="18"/>
      </w:rPr>
    </w:pPr>
    <w:r w:rsidRPr="00F91A59">
      <w:rPr>
        <w:rFonts w:cs="Arial"/>
        <w:noProof/>
        <w:sz w:val="18"/>
      </w:rPr>
      <w:drawing>
        <wp:anchor distT="0" distB="0" distL="114300" distR="114300" simplePos="0" relativeHeight="251652096" behindDoc="0" locked="0" layoutInCell="1" allowOverlap="1" wp14:anchorId="71D81E0B" wp14:editId="0B058ADA">
          <wp:simplePos x="0" y="0"/>
          <wp:positionH relativeFrom="column">
            <wp:posOffset>-385074</wp:posOffset>
          </wp:positionH>
          <wp:positionV relativeFrom="paragraph">
            <wp:posOffset>31408</wp:posOffset>
          </wp:positionV>
          <wp:extent cx="237958" cy="193341"/>
          <wp:effectExtent l="0" t="0" r="3810" b="0"/>
          <wp:wrapNone/>
          <wp:docPr id="109007343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958" cy="193341"/>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2BE7ACAC" w14:textId="69DD4E38" w:rsidR="00F23487" w:rsidRPr="00A01394" w:rsidRDefault="00F23487" w:rsidP="00A01394">
    <w:pPr>
      <w:pStyle w:val="Footer"/>
      <w:tabs>
        <w:tab w:val="clear" w:pos="4513"/>
        <w:tab w:val="clear" w:pos="9026"/>
        <w:tab w:val="right" w:pos="9639"/>
      </w:tabs>
      <w:rPr>
        <w:rFonts w:cs="Arial"/>
        <w:sz w:val="18"/>
      </w:rPr>
    </w:pPr>
    <w:r>
      <w:rPr>
        <w:rFonts w:cs="Arial"/>
        <w:sz w:val="18"/>
      </w:rPr>
      <w:t>National Report</w:t>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proofErr w:type="spellStart"/>
    <w:r>
      <w:rPr>
        <w:rFonts w:cs="Arial"/>
        <w:sz w:val="18"/>
      </w:rPr>
      <w:t>i</w:t>
    </w:r>
    <w:proofErr w:type="spellEnd"/>
    <w:r w:rsidRPr="00F91A59">
      <w:rPr>
        <w:rFonts w:cs="Arial"/>
        <w:noProof/>
        <w:sz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C86E" w14:textId="77777777" w:rsidR="004F5DBB" w:rsidRPr="004F5DBB" w:rsidRDefault="004F5DBB" w:rsidP="004F5DB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838B" w14:textId="13D69C72" w:rsidR="00F23487" w:rsidRPr="00F91A59" w:rsidRDefault="00F23487" w:rsidP="002A2D85">
    <w:pPr>
      <w:pStyle w:val="Footer"/>
      <w:tabs>
        <w:tab w:val="right" w:pos="9639"/>
      </w:tabs>
      <w:spacing w:before="40"/>
      <w:ind w:left="567"/>
      <w:rPr>
        <w:rFonts w:cs="Arial"/>
        <w:sz w:val="18"/>
      </w:rPr>
    </w:pPr>
    <w:r w:rsidRPr="00F91A59">
      <w:rPr>
        <w:rFonts w:cs="Arial"/>
        <w:noProof/>
        <w:sz w:val="18"/>
      </w:rPr>
      <w:drawing>
        <wp:anchor distT="0" distB="0" distL="114300" distR="114300" simplePos="0" relativeHeight="251670539" behindDoc="0" locked="0" layoutInCell="1" allowOverlap="1" wp14:anchorId="2E359644" wp14:editId="4D546562">
          <wp:simplePos x="0" y="0"/>
          <wp:positionH relativeFrom="margin">
            <wp:align>left</wp:align>
          </wp:positionH>
          <wp:positionV relativeFrom="paragraph">
            <wp:posOffset>39370</wp:posOffset>
          </wp:positionV>
          <wp:extent cx="237490" cy="193040"/>
          <wp:effectExtent l="0" t="0" r="0" b="0"/>
          <wp:wrapNone/>
          <wp:docPr id="1446990846"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0852"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7490" cy="193040"/>
                  </a:xfrm>
                  <a:prstGeom prst="rect">
                    <a:avLst/>
                  </a:prstGeom>
                </pic:spPr>
              </pic:pic>
            </a:graphicData>
          </a:graphic>
          <wp14:sizeRelH relativeFrom="page">
            <wp14:pctWidth>0</wp14:pctWidth>
          </wp14:sizeRelH>
          <wp14:sizeRelV relativeFrom="page">
            <wp14:pctHeight>0</wp14:pctHeight>
          </wp14:sizeRelV>
        </wp:anchor>
      </w:drawing>
    </w:r>
    <w:r w:rsidRPr="00244416">
      <w:rPr>
        <w:rFonts w:cs="Arial"/>
        <w:sz w:val="18"/>
      </w:rPr>
      <w:t>202</w:t>
    </w:r>
    <w:r>
      <w:rPr>
        <w:rFonts w:cs="Arial"/>
        <w:sz w:val="18"/>
      </w:rPr>
      <w:t>6</w:t>
    </w:r>
    <w:r w:rsidRPr="00244416">
      <w:rPr>
        <w:rFonts w:cs="Arial"/>
        <w:sz w:val="18"/>
      </w:rPr>
      <w:t xml:space="preserve"> Graduate Outcomes Survey - Longitudinal (GOS-L)</w:t>
    </w:r>
  </w:p>
  <w:p w14:paraId="1C169AA2" w14:textId="15D7D36C" w:rsidR="00021179" w:rsidRPr="00F23487" w:rsidRDefault="00F23487" w:rsidP="00081ECD">
    <w:pPr>
      <w:pStyle w:val="Footer"/>
      <w:tabs>
        <w:tab w:val="clear" w:pos="4513"/>
        <w:tab w:val="clear" w:pos="9026"/>
        <w:tab w:val="right" w:pos="9639"/>
      </w:tabs>
      <w:ind w:left="567"/>
      <w:rPr>
        <w:rFonts w:cs="Arial"/>
        <w:sz w:val="18"/>
      </w:rPr>
    </w:pPr>
    <w:r>
      <w:rPr>
        <w:rFonts w:cs="Arial"/>
        <w:sz w:val="18"/>
      </w:rPr>
      <w:t>National Report</w:t>
    </w:r>
    <w:r>
      <w:rPr>
        <w:rFonts w:cs="Arial"/>
        <w:sz w:val="18"/>
      </w:rPr>
      <w:ptab w:relativeTo="margin" w:alignment="right" w:leader="none"/>
    </w:r>
    <w:r w:rsidRPr="00F91A59">
      <w:rPr>
        <w:rFonts w:cs="Arial"/>
        <w:sz w:val="18"/>
      </w:rPr>
      <w:fldChar w:fldCharType="begin"/>
    </w:r>
    <w:r w:rsidRPr="00F91A59">
      <w:rPr>
        <w:rFonts w:cs="Arial"/>
        <w:sz w:val="18"/>
      </w:rPr>
      <w:instrText xml:space="preserve"> PAGE   \* MERGEFORMAT </w:instrText>
    </w:r>
    <w:r w:rsidRPr="00F91A59">
      <w:rPr>
        <w:rFonts w:cs="Arial"/>
        <w:sz w:val="18"/>
      </w:rPr>
      <w:fldChar w:fldCharType="separate"/>
    </w:r>
    <w:r>
      <w:rPr>
        <w:rFonts w:cs="Arial"/>
        <w:sz w:val="18"/>
      </w:rPr>
      <w:t>52</w:t>
    </w:r>
    <w:r w:rsidRPr="00F91A59">
      <w:rPr>
        <w:rFonts w:cs="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655B" w14:textId="77777777" w:rsidR="00344170" w:rsidRDefault="00344170" w:rsidP="00BE7643">
      <w:r>
        <w:separator/>
      </w:r>
    </w:p>
  </w:footnote>
  <w:footnote w:type="continuationSeparator" w:id="0">
    <w:p w14:paraId="31C9DA27" w14:textId="77777777" w:rsidR="00344170" w:rsidRDefault="00344170" w:rsidP="00BE7643">
      <w:r>
        <w:continuationSeparator/>
      </w:r>
    </w:p>
  </w:footnote>
  <w:footnote w:type="continuationNotice" w:id="1">
    <w:p w14:paraId="79E5DB94" w14:textId="77777777" w:rsidR="00344170" w:rsidRDefault="00344170"/>
  </w:footnote>
  <w:footnote w:id="2">
    <w:p w14:paraId="28BE9F6B" w14:textId="59C03E30" w:rsidR="006B3125" w:rsidRPr="0036340F" w:rsidRDefault="006B3125" w:rsidP="00F275DF">
      <w:pPr>
        <w:pStyle w:val="FootnoteText"/>
        <w:rPr>
          <w:lang w:val="en-AU"/>
        </w:rPr>
      </w:pPr>
      <w:r>
        <w:rPr>
          <w:rStyle w:val="FootnoteReference"/>
        </w:rPr>
        <w:footnoteRef/>
      </w:r>
      <w:r>
        <w:t xml:space="preserve"> </w:t>
      </w:r>
      <w:r w:rsidR="007F6B22">
        <w:t>Me</w:t>
      </w:r>
      <w:r w:rsidRPr="00BE01B1">
        <w:t>dian salaries are reported for international graduates working in Australia only</w:t>
      </w:r>
      <w:r w:rsidR="00004CF1">
        <w:t>.</w:t>
      </w:r>
    </w:p>
  </w:footnote>
  <w:footnote w:id="3">
    <w:p w14:paraId="4EA2650E" w14:textId="7A556339" w:rsidR="00E04C90" w:rsidRPr="008F6C1D" w:rsidRDefault="00E04C90" w:rsidP="00F275DF">
      <w:pPr>
        <w:pStyle w:val="Footnotesingledigits"/>
        <w:rPr>
          <w:highlight w:val="cyan"/>
          <w:lang w:val="en-AU"/>
        </w:rPr>
      </w:pPr>
      <w:r w:rsidRPr="00B13FDD">
        <w:rPr>
          <w:rStyle w:val="FootnoteReference"/>
        </w:rPr>
        <w:footnoteRef/>
      </w:r>
      <w:r w:rsidRPr="00B13FDD">
        <w:t xml:space="preserve"> </w:t>
      </w:r>
      <w:r w:rsidR="005C4845">
        <w:t>Th</w:t>
      </w:r>
      <w:r w:rsidRPr="00B13FDD">
        <w:t xml:space="preserve">e labour force participation rate is defined as the proportion of graduates who were </w:t>
      </w:r>
      <w:r w:rsidRPr="001A5F10">
        <w:rPr>
          <w:i/>
          <w:iCs/>
        </w:rPr>
        <w:t>available for employment.</w:t>
      </w:r>
    </w:p>
  </w:footnote>
  <w:footnote w:id="4">
    <w:p w14:paraId="4BBFD358" w14:textId="2A4EFCEA" w:rsidR="00E04C90" w:rsidRPr="00DE3DCD" w:rsidRDefault="00E04C90" w:rsidP="00F275DF">
      <w:pPr>
        <w:pStyle w:val="Footnotesingledigits"/>
        <w:rPr>
          <w:lang w:val="en-AU"/>
        </w:rPr>
      </w:pPr>
      <w:r w:rsidRPr="00CF1C60">
        <w:rPr>
          <w:rStyle w:val="FootnoteReference"/>
        </w:rPr>
        <w:footnoteRef/>
      </w:r>
      <w:r w:rsidRPr="00CF1C60">
        <w:t xml:space="preserve"> </w:t>
      </w:r>
      <w:r w:rsidR="005C4845">
        <w:t>Pr</w:t>
      </w:r>
      <w:r w:rsidRPr="00CF1C60">
        <w:t xml:space="preserve">ior to 2025, graduates were considered ‘available for employment’ if they were currently employed, waiting to start work or looking for work in the reference period. Changes made to the survey instrument in 2025 allow for identification of graduates </w:t>
      </w:r>
      <w:r w:rsidRPr="00CF1C60">
        <w:rPr>
          <w:i/>
          <w:iCs/>
        </w:rPr>
        <w:t>actively</w:t>
      </w:r>
      <w:r w:rsidRPr="00CF1C60">
        <w:t xml:space="preserve"> and </w:t>
      </w:r>
      <w:r w:rsidRPr="00CF1C60">
        <w:rPr>
          <w:i/>
          <w:iCs/>
        </w:rPr>
        <w:t>passively</w:t>
      </w:r>
      <w:r w:rsidRPr="00CF1C60">
        <w:t xml:space="preserve"> looking for work. ‘</w:t>
      </w:r>
      <w:r w:rsidRPr="00CF1C60">
        <w:rPr>
          <w:lang w:val="en-AU"/>
        </w:rPr>
        <w:t xml:space="preserve">Passively looking’ includes searching newspapers, the internet, or notice boards, but not taking any specific action to obtain work from these sources. As a result, those not employed but only looking for work passively are no longer considered to be in the labour force, consistent with the Australian Bureau of Statistics (ABS) Labour Statistics: Concepts, Sources and Methods. </w:t>
      </w:r>
      <w:r w:rsidRPr="003E1227">
        <w:t xml:space="preserve">See </w:t>
      </w:r>
      <w:r w:rsidRPr="003E1227">
        <w:rPr>
          <w:b/>
          <w:bCs/>
        </w:rPr>
        <w:t>Appendix 1</w:t>
      </w:r>
      <w:r w:rsidRPr="003E1227">
        <w:t xml:space="preserve"> </w:t>
      </w:r>
      <w:r>
        <w:t xml:space="preserve">in the 2025 GOS-L National Report </w:t>
      </w:r>
      <w:r w:rsidRPr="003E1227">
        <w:t>for further inform</w:t>
      </w:r>
      <w:r>
        <w:t>ation.</w:t>
      </w:r>
    </w:p>
  </w:footnote>
  <w:footnote w:id="5">
    <w:p w14:paraId="60E456D9" w14:textId="47A844F6" w:rsidR="00BC7B68" w:rsidRPr="00093C2F" w:rsidRDefault="00BC7B68" w:rsidP="00F275DF">
      <w:pPr>
        <w:pStyle w:val="Footnotesingledigits"/>
        <w:rPr>
          <w:lang w:val="en-AU"/>
        </w:rPr>
      </w:pPr>
      <w:r w:rsidRPr="00093C2F">
        <w:rPr>
          <w:rStyle w:val="FootnoteReference"/>
        </w:rPr>
        <w:footnoteRef/>
      </w:r>
      <w:r w:rsidRPr="00093C2F">
        <w:t xml:space="preserve"> </w:t>
      </w:r>
      <w:hyperlink r:id="rId1" w:history="1">
        <w:r w:rsidR="005C4845">
          <w:rPr>
            <w:rStyle w:val="Hyperlink"/>
          </w:rPr>
          <w:t>La</w:t>
        </w:r>
        <w:r w:rsidRPr="00093C2F">
          <w:rPr>
            <w:rStyle w:val="Hyperlink"/>
          </w:rPr>
          <w:t>bour Force, Australia, March 2026 | Australian Bureau of Statistics</w:t>
        </w:r>
      </w:hyperlink>
      <w:r w:rsidR="00F275DF">
        <w:t>.</w:t>
      </w:r>
    </w:p>
  </w:footnote>
  <w:footnote w:id="6">
    <w:p w14:paraId="5A07D0A8" w14:textId="385361C7" w:rsidR="00FE3F59" w:rsidRPr="00B72FAC" w:rsidRDefault="00FE3F59" w:rsidP="00F275DF">
      <w:pPr>
        <w:pStyle w:val="Footnotesingledigits"/>
      </w:pPr>
      <w:r w:rsidRPr="00B72FAC">
        <w:rPr>
          <w:rStyle w:val="FootnoteReference"/>
        </w:rPr>
        <w:footnoteRef/>
      </w:r>
      <w:r w:rsidRPr="00B72FAC">
        <w:t xml:space="preserve"> </w:t>
      </w:r>
      <w:r w:rsidR="00E57178">
        <w:t>Gr</w:t>
      </w:r>
      <w:r w:rsidRPr="00B72FAC">
        <w:t>aduate indicated that they were not self-employed</w:t>
      </w:r>
      <w:r w:rsidR="00434DCB" w:rsidRPr="0036340F">
        <w:t>.</w:t>
      </w:r>
    </w:p>
  </w:footnote>
  <w:footnote w:id="7">
    <w:p w14:paraId="1C3C0EE0" w14:textId="00BFBBAA" w:rsidR="00FE3F59" w:rsidRPr="005D002F" w:rsidRDefault="00FE3F59" w:rsidP="00F275DF">
      <w:pPr>
        <w:pStyle w:val="Footnotesingledigits"/>
      </w:pPr>
      <w:r w:rsidRPr="00B72FAC">
        <w:rPr>
          <w:rStyle w:val="FootnoteReference"/>
        </w:rPr>
        <w:footnoteRef/>
      </w:r>
      <w:r w:rsidRPr="00B72FAC">
        <w:t xml:space="preserve"> </w:t>
      </w:r>
      <w:r w:rsidR="00E57178">
        <w:t>Fi</w:t>
      </w:r>
      <w:r w:rsidRPr="00B72FAC">
        <w:t>rst full-time job is only asked of those who have been with their current employer for less than 12 months</w:t>
      </w:r>
      <w:r w:rsidR="00434DCB" w:rsidRPr="0036340F">
        <w:t>.</w:t>
      </w:r>
    </w:p>
  </w:footnote>
  <w:footnote w:id="8">
    <w:p w14:paraId="15E93B70" w14:textId="412829B0" w:rsidR="003B5104" w:rsidRPr="001E591E" w:rsidRDefault="003B5104" w:rsidP="00F275DF">
      <w:pPr>
        <w:pStyle w:val="Footnotesingledigits"/>
        <w:rPr>
          <w:lang w:val="en-AU"/>
        </w:rPr>
      </w:pPr>
      <w:r>
        <w:rPr>
          <w:rStyle w:val="FootnoteReference"/>
        </w:rPr>
        <w:footnoteRef/>
      </w:r>
      <w:r>
        <w:t xml:space="preserve"> </w:t>
      </w:r>
      <w:r w:rsidR="00E57178">
        <w:t>Gr</w:t>
      </w:r>
      <w:r w:rsidRPr="003572F3">
        <w:t>aduates</w:t>
      </w:r>
      <w:r>
        <w:t xml:space="preserve"> are employed part-time</w:t>
      </w:r>
      <w:r w:rsidRPr="003572F3">
        <w:t xml:space="preserve"> </w:t>
      </w:r>
      <w:r>
        <w:t>if they are</w:t>
      </w:r>
      <w:r w:rsidRPr="003572F3">
        <w:t xml:space="preserve"> usually or actually in paid employment for at least one hour but less than 35 hours in the week before the survey.</w:t>
      </w:r>
    </w:p>
  </w:footnote>
  <w:footnote w:id="9">
    <w:p w14:paraId="50262D8B" w14:textId="2E974219" w:rsidR="00450AF5" w:rsidRPr="001A5F10" w:rsidRDefault="00450AF5" w:rsidP="0053057F">
      <w:pPr>
        <w:pStyle w:val="Footnotesingledigits"/>
        <w:spacing w:before="60"/>
        <w:rPr>
          <w:lang w:val="en-AU"/>
        </w:rPr>
      </w:pPr>
      <w:r>
        <w:rPr>
          <w:rStyle w:val="FootnoteReference"/>
        </w:rPr>
        <w:footnoteRef/>
      </w:r>
      <w:r>
        <w:t xml:space="preserve"> </w:t>
      </w:r>
      <w:hyperlink r:id="rId2" w:history="1">
        <w:r w:rsidR="00E57178">
          <w:rPr>
            <w:rStyle w:val="Hyperlink"/>
          </w:rPr>
          <w:t>Wa</w:t>
        </w:r>
        <w:r>
          <w:rPr>
            <w:rStyle w:val="Hyperlink"/>
          </w:rPr>
          <w:t>ge Price Index, Australia, March 2026 | Australian Bureau of Statistics</w:t>
        </w:r>
      </w:hyperlink>
      <w:r w:rsidR="00095613">
        <w:t>.</w:t>
      </w:r>
    </w:p>
  </w:footnote>
  <w:footnote w:id="10">
    <w:p w14:paraId="63AE14F8" w14:textId="503B8F2F" w:rsidR="00450AF5" w:rsidRPr="00AB4EA3" w:rsidRDefault="00450AF5" w:rsidP="0053057F">
      <w:pPr>
        <w:pStyle w:val="Footnotesingledigits"/>
        <w:spacing w:before="60"/>
        <w:rPr>
          <w:lang w:val="en-AU"/>
        </w:rPr>
      </w:pPr>
      <w:r>
        <w:rPr>
          <w:rStyle w:val="FootnoteReference"/>
        </w:rPr>
        <w:footnoteRef/>
      </w:r>
      <w:r>
        <w:t xml:space="preserve"> </w:t>
      </w:r>
      <w:hyperlink r:id="rId3" w:history="1">
        <w:r w:rsidR="00E57178">
          <w:rPr>
            <w:rStyle w:val="Hyperlink"/>
          </w:rPr>
          <w:t>Av</w:t>
        </w:r>
        <w:r>
          <w:rPr>
            <w:rStyle w:val="Hyperlink"/>
          </w:rPr>
          <w:t>erage Weekly Earnings, Australia, November 2025 | Australian Bureau of Statistics</w:t>
        </w:r>
      </w:hyperlink>
      <w:r>
        <w:t xml:space="preserve">. </w:t>
      </w:r>
      <w:bookmarkStart w:id="48" w:name="_Hlk206668491"/>
      <w:r>
        <w:t>Average Weekly Ordinary Time Earnings (AWOTE)</w:t>
      </w:r>
      <w:r w:rsidRPr="00013975">
        <w:t xml:space="preserve"> is a broader measure of labour earnings than the </w:t>
      </w:r>
      <w:r>
        <w:t>Wage Price Index (</w:t>
      </w:r>
      <w:r w:rsidRPr="00013975">
        <w:t>WPI</w:t>
      </w:r>
      <w:r>
        <w:t>), as it</w:t>
      </w:r>
      <w:r w:rsidRPr="00013975">
        <w:t xml:space="preserve"> </w:t>
      </w:r>
      <w:r>
        <w:t xml:space="preserve">reflects </w:t>
      </w:r>
      <w:r w:rsidRPr="00013975">
        <w:t>the impact of workers moving to jobs with different levels of pay</w:t>
      </w:r>
      <w:bookmarkEnd w:id="48"/>
      <w:r>
        <w:t>.</w:t>
      </w:r>
    </w:p>
  </w:footnote>
  <w:footnote w:id="11">
    <w:p w14:paraId="5ACA2A66" w14:textId="54DA6B47" w:rsidR="00C71CF2" w:rsidRPr="001B285B" w:rsidRDefault="00C71CF2" w:rsidP="00F275DF">
      <w:pPr>
        <w:pStyle w:val="FootnoteText"/>
        <w:rPr>
          <w:lang w:val="en-AU"/>
        </w:rPr>
      </w:pPr>
      <w:r w:rsidRPr="001B285B">
        <w:rPr>
          <w:rStyle w:val="FootnoteReference"/>
        </w:rPr>
        <w:footnoteRef/>
      </w:r>
      <w:r w:rsidRPr="001B285B">
        <w:t xml:space="preserve"> </w:t>
      </w:r>
      <w:r w:rsidR="00E57178">
        <w:t>Ba</w:t>
      </w:r>
      <w:r w:rsidRPr="001B285B">
        <w:t>sed on the Australian and New Zealand Standard Classification of Occupations (ANZSCO). The ANZSCO was jointly developed by the ABS, Stats NZ and the then Australian Government Department of Education, Employment and Workplace Relations.</w:t>
      </w:r>
    </w:p>
  </w:footnote>
  <w:footnote w:id="12">
    <w:p w14:paraId="68414495" w14:textId="334A1EE0" w:rsidR="00D82C43" w:rsidRPr="005A0EDE" w:rsidRDefault="00D82C43" w:rsidP="00F275DF">
      <w:pPr>
        <w:pStyle w:val="FootnoteText"/>
      </w:pPr>
      <w:r>
        <w:rPr>
          <w:rStyle w:val="FootnoteReference"/>
        </w:rPr>
        <w:footnoteRef/>
      </w:r>
      <w:r>
        <w:t xml:space="preserve"> </w:t>
      </w:r>
      <w:r w:rsidR="00E57178">
        <w:t>Ov</w:t>
      </w:r>
      <w:r>
        <w:t xml:space="preserve">erqualification is measured using the Scale of Perceived Overqualification (SPOQ), which assesses the extent to which graduates perceive their skills and education are not fully utilised in their current job. See the </w:t>
      </w:r>
      <w:hyperlink r:id="rId4" w:history="1">
        <w:r>
          <w:rPr>
            <w:rStyle w:val="Hyperlink"/>
          </w:rPr>
          <w:t>GOS-L questionnaire</w:t>
        </w:r>
      </w:hyperlink>
      <w:r w:rsidRPr="000436AB">
        <w:t xml:space="preserve"> </w:t>
      </w:r>
      <w:r>
        <w:t>on the QILT website for the 8 items included in the SPOQ.</w:t>
      </w:r>
    </w:p>
  </w:footnote>
  <w:footnote w:id="13">
    <w:p w14:paraId="6F2C2732" w14:textId="5FFD0B8C" w:rsidR="00CB22A0" w:rsidRPr="00E57178" w:rsidRDefault="00CB22A0" w:rsidP="00F275DF">
      <w:pPr>
        <w:pStyle w:val="FootnoteText"/>
      </w:pPr>
      <w:r w:rsidRPr="000E45F6">
        <w:rPr>
          <w:rStyle w:val="FootnoteReference"/>
        </w:rPr>
        <w:footnoteRef/>
      </w:r>
      <w:r w:rsidRPr="000E45F6">
        <w:t xml:space="preserve"> </w:t>
      </w:r>
      <w:r w:rsidR="00E57178">
        <w:t>Th</w:t>
      </w:r>
      <w:r w:rsidRPr="000E45F6">
        <w:t xml:space="preserve">is section uses the Broad Field of Education (BFOE) categories from the ABS Australian Standard Classification of Education (ASCED) to examine graduates’ original and destination courses. See </w:t>
      </w:r>
      <w:hyperlink r:id="rId5" w:history="1">
        <w:r w:rsidRPr="000E45F6">
          <w:rPr>
            <w:rStyle w:val="Hyperlink"/>
          </w:rPr>
          <w:t>ABS Broad and Narrow Fields</w:t>
        </w:r>
      </w:hyperlink>
      <w:r w:rsidRPr="000E45F6">
        <w:t>.</w:t>
      </w:r>
    </w:p>
  </w:footnote>
  <w:footnote w:id="14">
    <w:p w14:paraId="0BE88FBF" w14:textId="338B0AC5" w:rsidR="00CB22A0" w:rsidRPr="0036340F" w:rsidRDefault="00CB22A0" w:rsidP="00F275DF">
      <w:pPr>
        <w:pStyle w:val="FootnoteText"/>
        <w:rPr>
          <w:lang w:val="en-AU"/>
        </w:rPr>
      </w:pPr>
      <w:r w:rsidRPr="000E45F6">
        <w:rPr>
          <w:rStyle w:val="FootnoteReference"/>
        </w:rPr>
        <w:footnoteRef/>
      </w:r>
      <w:r w:rsidRPr="000E45F6">
        <w:t xml:space="preserve"> </w:t>
      </w:r>
      <w:r w:rsidR="00E57178">
        <w:t>Fo</w:t>
      </w:r>
      <w:r w:rsidRPr="000E45F6">
        <w:t>r a concordance of study areas to BFOE see</w:t>
      </w:r>
      <w:r w:rsidRPr="000E45F6">
        <w:rPr>
          <w:rFonts w:eastAsiaTheme="minorHAnsi" w:cstheme="minorBidi"/>
          <w:lang w:val="en-AU"/>
        </w:rPr>
        <w:t xml:space="preserve"> </w:t>
      </w:r>
      <w:hyperlink r:id="rId6" w:history="1">
        <w:r w:rsidRPr="000E45F6">
          <w:rPr>
            <w:rStyle w:val="Hyperlink"/>
            <w:lang w:val="en-AU"/>
          </w:rPr>
          <w:t>Study areas</w:t>
        </w:r>
      </w:hyperlink>
      <w:r w:rsidRPr="000E45F6">
        <w:t xml:space="preserve"> on the QILT website.</w:t>
      </w:r>
    </w:p>
  </w:footnote>
  <w:footnote w:id="15">
    <w:p w14:paraId="2A03CE23" w14:textId="536D9A26" w:rsidR="00910822" w:rsidRPr="00373D3A" w:rsidRDefault="00910822" w:rsidP="00F275DF">
      <w:pPr>
        <w:pStyle w:val="FootnoteText"/>
        <w:rPr>
          <w:lang w:val="en-AU"/>
        </w:rPr>
      </w:pPr>
      <w:r w:rsidRPr="00373D3A">
        <w:rPr>
          <w:rStyle w:val="FootnoteReference"/>
        </w:rPr>
        <w:footnoteRef/>
      </w:r>
      <w:r w:rsidRPr="00373D3A">
        <w:t xml:space="preserve"> </w:t>
      </w:r>
      <w:bookmarkStart w:id="140" w:name="_Hlk147828398"/>
      <w:bookmarkStart w:id="141" w:name="_Hlk172306243"/>
      <w:r w:rsidR="00373D3A" w:rsidRPr="00373D3A">
        <w:rPr>
          <w:rStyle w:val="FigureNoteChar"/>
        </w:rPr>
        <w:t>Re</w:t>
      </w:r>
      <w:r w:rsidRPr="00373D3A">
        <w:rPr>
          <w:rStyle w:val="FigureNoteChar"/>
        </w:rPr>
        <w:t xml:space="preserve">fer to the STMT_PGC_ALL_1Y_SG and STMT_PGR_ALL_1Y_SG worksheets in the </w:t>
      </w:r>
      <w:r w:rsidR="005F62C3" w:rsidRPr="00373D3A">
        <w:rPr>
          <w:rStyle w:val="FigureNoteChar"/>
        </w:rPr>
        <w:t>202</w:t>
      </w:r>
      <w:r w:rsidR="00C751D7" w:rsidRPr="00373D3A">
        <w:rPr>
          <w:rStyle w:val="FigureNoteChar"/>
        </w:rPr>
        <w:t>6</w:t>
      </w:r>
      <w:r w:rsidRPr="00373D3A">
        <w:rPr>
          <w:rStyle w:val="FigureNoteChar"/>
        </w:rPr>
        <w:t xml:space="preserve"> GOS-L National Tables available on the QILT website</w:t>
      </w:r>
      <w:bookmarkEnd w:id="140"/>
      <w:r w:rsidRPr="00373D3A">
        <w:rPr>
          <w:rStyle w:val="FigureNoteChar"/>
        </w:rPr>
        <w:t>.</w:t>
      </w:r>
      <w:bookmarkEnd w:id="141"/>
    </w:p>
  </w:footnote>
  <w:footnote w:id="16">
    <w:p w14:paraId="075A91C4" w14:textId="5C55F2DE" w:rsidR="00D155D2" w:rsidRDefault="00D155D2" w:rsidP="00F275DF">
      <w:pPr>
        <w:pStyle w:val="FootnoteText"/>
      </w:pPr>
      <w:r w:rsidRPr="000A70C2">
        <w:rPr>
          <w:rStyle w:val="FootnoteReference"/>
        </w:rPr>
        <w:footnoteRef/>
      </w:r>
      <w:r w:rsidRPr="000A70C2">
        <w:t xml:space="preserve"> </w:t>
      </w:r>
      <w:r w:rsidR="00E57178">
        <w:t>Re</w:t>
      </w:r>
      <w:r w:rsidRPr="008413F9">
        <w:t>fers to graduates who arrived in Australia less than 10 years prior to the year in which the data was collected</w:t>
      </w:r>
      <w:r>
        <w:t xml:space="preserve"> </w:t>
      </w:r>
      <w:r w:rsidRPr="008413F9">
        <w:t xml:space="preserve">and </w:t>
      </w:r>
      <w:r>
        <w:t xml:space="preserve">who </w:t>
      </w:r>
      <w:r w:rsidRPr="008413F9">
        <w:t>come from a home where a language other than English is spoken. This information is reported by institutions through the Tertiary Collection of Student Information (TCSI) system.</w:t>
      </w:r>
    </w:p>
  </w:footnote>
  <w:footnote w:id="17">
    <w:p w14:paraId="6A7163D6" w14:textId="3421563F" w:rsidR="00095967" w:rsidRPr="00095967" w:rsidRDefault="00095967" w:rsidP="00F275DF">
      <w:pPr>
        <w:pStyle w:val="FootnoteText"/>
        <w:rPr>
          <w:lang w:val="en-AU"/>
        </w:rPr>
      </w:pPr>
      <w:r w:rsidRPr="004E5A65">
        <w:rPr>
          <w:rStyle w:val="FootnoteReference"/>
        </w:rPr>
        <w:footnoteRef/>
      </w:r>
      <w:r w:rsidRPr="004E5A65">
        <w:t xml:space="preserve"> </w:t>
      </w:r>
      <w:r w:rsidR="00E57178">
        <w:t>Sh</w:t>
      </w:r>
      <w:r>
        <w:t>ort- and medium-term postgraduate full-time employment outcomes are presented in the STMT_PGC_ALL_1Y_AREA and STMT_PGR_ALL_1Y_AREA worksheets in the 2026 GOS-L National Tables available on the QILT website.</w:t>
      </w:r>
    </w:p>
  </w:footnote>
  <w:footnote w:id="18">
    <w:p w14:paraId="27BDA5D8" w14:textId="57842827" w:rsidR="00884DE7" w:rsidRPr="00135B04" w:rsidRDefault="00884DE7" w:rsidP="00F275DF">
      <w:pPr>
        <w:pStyle w:val="FootnoteText"/>
        <w:rPr>
          <w:lang w:val="en-AU"/>
        </w:rPr>
      </w:pPr>
      <w:r w:rsidRPr="00B45AF5">
        <w:rPr>
          <w:rStyle w:val="FootnoteReference"/>
        </w:rPr>
        <w:footnoteRef/>
      </w:r>
      <w:r w:rsidRPr="00B45AF5">
        <w:t xml:space="preserve"> </w:t>
      </w:r>
      <w:r w:rsidR="00E57178">
        <w:t>Th</w:t>
      </w:r>
      <w:r>
        <w:t>e gender pay gap is calculated as 100 x (Male median salary – Female median salary)/Male median salary, consistent with the methodology used by the Workplace Gender Equality Agency (WGEA).</w:t>
      </w:r>
    </w:p>
  </w:footnote>
  <w:footnote w:id="19">
    <w:p w14:paraId="7FF5717A" w14:textId="2363BF76" w:rsidR="00910822" w:rsidRPr="00A71B1C" w:rsidRDefault="00910822" w:rsidP="00F275DF">
      <w:pPr>
        <w:pStyle w:val="FootnoteText"/>
        <w:rPr>
          <w:lang w:val="en-AU"/>
        </w:rPr>
      </w:pPr>
      <w:r>
        <w:rPr>
          <w:rStyle w:val="FootnoteReference"/>
        </w:rPr>
        <w:footnoteRef/>
      </w:r>
      <w:r>
        <w:t xml:space="preserve"> </w:t>
      </w:r>
      <w:r w:rsidR="00E57178">
        <w:t>Th</w:t>
      </w:r>
      <w:r w:rsidRPr="00D62B4D">
        <w:t>e GOS</w:t>
      </w:r>
      <w:r>
        <w:t>-L</w:t>
      </w:r>
      <w:r w:rsidRPr="00D62B4D">
        <w:t xml:space="preserve"> has included non-university higher education institutions (NUHEIs) since its inception in 201</w:t>
      </w:r>
      <w:r>
        <w:t>9</w:t>
      </w:r>
      <w:r w:rsidRPr="00D62B4D">
        <w:t xml:space="preserve">. The number of NUHEIs </w:t>
      </w:r>
      <w:r>
        <w:t>included</w:t>
      </w:r>
      <w:r w:rsidRPr="00D62B4D">
        <w:t xml:space="preserve"> in the GOS</w:t>
      </w:r>
      <w:r>
        <w:t>-L</w:t>
      </w:r>
      <w:r w:rsidRPr="00D62B4D">
        <w:t xml:space="preserve"> has been increasing and in 202</w:t>
      </w:r>
      <w:r w:rsidR="00B921B4">
        <w:t>6</w:t>
      </w:r>
      <w:r w:rsidR="00247CC4">
        <w:t>,</w:t>
      </w:r>
      <w:r w:rsidRPr="00D62B4D">
        <w:t xml:space="preserve"> NUHEIs account</w:t>
      </w:r>
      <w:r>
        <w:t>ed</w:t>
      </w:r>
      <w:r w:rsidRPr="00D62B4D">
        <w:t xml:space="preserve"> for 8</w:t>
      </w:r>
      <w:r w:rsidR="00B921B4">
        <w:t>2</w:t>
      </w:r>
      <w:r w:rsidRPr="00D62B4D">
        <w:t xml:space="preserve"> of the 1</w:t>
      </w:r>
      <w:r>
        <w:t>2</w:t>
      </w:r>
      <w:r w:rsidR="00B921B4">
        <w:t>5</w:t>
      </w:r>
      <w:r w:rsidRPr="00D62B4D">
        <w:t xml:space="preserve"> institutions </w:t>
      </w:r>
      <w:r>
        <w:t xml:space="preserve">represented </w:t>
      </w:r>
      <w:r w:rsidRPr="00D62B4D">
        <w:t>in the GOS</w:t>
      </w:r>
      <w:r>
        <w:t>-L</w:t>
      </w:r>
      <w:r w:rsidRPr="00D62B4D">
        <w:t>. These institutions include TAFE institutions and several specialist international, creative arts and theological colleges.</w:t>
      </w:r>
    </w:p>
  </w:footnote>
  <w:footnote w:id="20">
    <w:p w14:paraId="47BF9FE2" w14:textId="17ACD5CE" w:rsidR="00A771E5" w:rsidRPr="00A771E5" w:rsidRDefault="00910822" w:rsidP="00F275DF">
      <w:pPr>
        <w:pStyle w:val="FootnoteText"/>
        <w:rPr>
          <w:rFonts w:eastAsia="Calibri"/>
          <w:sz w:val="16"/>
          <w:szCs w:val="22"/>
          <w:lang w:val="en-GB"/>
        </w:rPr>
      </w:pPr>
      <w:r>
        <w:rPr>
          <w:rStyle w:val="FootnoteReference"/>
        </w:rPr>
        <w:footnoteRef/>
      </w:r>
      <w:r>
        <w:t xml:space="preserve"> </w:t>
      </w:r>
      <w:bookmarkStart w:id="187" w:name="_Hlk149647742"/>
      <w:r w:rsidR="00373D3A">
        <w:rPr>
          <w:rStyle w:val="FigureNoteChar"/>
        </w:rPr>
        <w:t>Th</w:t>
      </w:r>
      <w:r w:rsidRPr="00106751">
        <w:rPr>
          <w:rStyle w:val="FigureNoteChar"/>
        </w:rPr>
        <w:t>e calculation of confidence intervals is detailed in</w:t>
      </w:r>
      <w:r w:rsidR="00500825">
        <w:rPr>
          <w:rStyle w:val="FigureNoteChar"/>
        </w:rPr>
        <w:t xml:space="preserve"> </w:t>
      </w:r>
      <w:hyperlink r:id="rId7" w:history="1">
        <w:r w:rsidR="00500825" w:rsidRPr="00500825">
          <w:rPr>
            <w:rStyle w:val="Hyperlink"/>
            <w:rFonts w:eastAsia="Calibri"/>
            <w:sz w:val="16"/>
            <w:szCs w:val="22"/>
            <w:lang w:val="en-GB"/>
          </w:rPr>
          <w:t>Construction of confidence intervals in QILT surveys</w:t>
        </w:r>
      </w:hyperlink>
      <w:r w:rsidRPr="00106751">
        <w:rPr>
          <w:rStyle w:val="FigureNoteChar"/>
        </w:rPr>
        <w:t xml:space="preserve">. </w:t>
      </w:r>
      <w:r>
        <w:rPr>
          <w:rStyle w:val="FigureNoteChar"/>
        </w:rPr>
        <w:t>Confidence intervals may be wider where</w:t>
      </w:r>
      <w:r w:rsidRPr="00106751">
        <w:rPr>
          <w:rStyle w:val="FigureNoteChar"/>
        </w:rPr>
        <w:t xml:space="preserve"> the </w:t>
      </w:r>
      <w:r>
        <w:rPr>
          <w:rStyle w:val="FigureNoteChar"/>
        </w:rPr>
        <w:t xml:space="preserve">number </w:t>
      </w:r>
      <w:r w:rsidRPr="00106751">
        <w:rPr>
          <w:rStyle w:val="FigureNoteChar"/>
        </w:rPr>
        <w:t xml:space="preserve">of survey responses for </w:t>
      </w:r>
      <w:r>
        <w:rPr>
          <w:rStyle w:val="FigureNoteChar"/>
        </w:rPr>
        <w:t xml:space="preserve">a given </w:t>
      </w:r>
      <w:r w:rsidRPr="00106751">
        <w:rPr>
          <w:rStyle w:val="FigureNoteChar"/>
        </w:rPr>
        <w:t xml:space="preserve">institution </w:t>
      </w:r>
      <w:r>
        <w:rPr>
          <w:rStyle w:val="FigureNoteChar"/>
        </w:rPr>
        <w:t xml:space="preserve">is </w:t>
      </w:r>
      <w:r w:rsidRPr="00106751">
        <w:rPr>
          <w:rStyle w:val="FigureNoteChar"/>
        </w:rPr>
        <w:t>relatively small</w:t>
      </w:r>
      <w:r>
        <w:rPr>
          <w:rStyle w:val="FigureNoteChar"/>
        </w:rPr>
        <w:t>.</w:t>
      </w:r>
      <w:r w:rsidRPr="00106751">
        <w:rPr>
          <w:rStyle w:val="FigureNoteChar"/>
        </w:rPr>
        <w:t xml:space="preserve"> </w:t>
      </w:r>
      <w:r>
        <w:rPr>
          <w:rStyle w:val="FigureNoteChar"/>
        </w:rPr>
        <w:t xml:space="preserve">Where </w:t>
      </w:r>
      <w:r w:rsidRPr="00106751">
        <w:rPr>
          <w:rStyle w:val="FigureNoteChar"/>
        </w:rPr>
        <w:t xml:space="preserve">confidence intervals </w:t>
      </w:r>
      <w:r>
        <w:rPr>
          <w:rStyle w:val="FigureNoteChar"/>
        </w:rPr>
        <w:t xml:space="preserve">for institution estimates do not </w:t>
      </w:r>
      <w:r w:rsidRPr="00106751">
        <w:rPr>
          <w:rStyle w:val="FigureNoteChar"/>
        </w:rPr>
        <w:t xml:space="preserve">overlap, </w:t>
      </w:r>
      <w:r>
        <w:rPr>
          <w:rStyle w:val="FigureNoteChar"/>
        </w:rPr>
        <w:t xml:space="preserve">this </w:t>
      </w:r>
      <w:r w:rsidRPr="00106751">
        <w:rPr>
          <w:rStyle w:val="FigureNoteChar"/>
        </w:rPr>
        <w:t xml:space="preserve">broadly </w:t>
      </w:r>
      <w:r>
        <w:rPr>
          <w:rStyle w:val="FigureNoteChar"/>
        </w:rPr>
        <w:t xml:space="preserve">implies </w:t>
      </w:r>
      <w:r w:rsidRPr="00106751">
        <w:rPr>
          <w:rStyle w:val="FigureNoteChar"/>
        </w:rPr>
        <w:t xml:space="preserve">the difference in labour market outcomes </w:t>
      </w:r>
      <w:r>
        <w:rPr>
          <w:rStyle w:val="FigureNoteChar"/>
        </w:rPr>
        <w:t xml:space="preserve">is </w:t>
      </w:r>
      <w:r w:rsidRPr="00106751">
        <w:rPr>
          <w:rStyle w:val="FigureNoteChar"/>
        </w:rPr>
        <w:t xml:space="preserve">statistically significant. </w:t>
      </w:r>
      <w:bookmarkEnd w:id="187"/>
      <w:r>
        <w:rPr>
          <w:rStyle w:val="FigureNoteChar"/>
        </w:rPr>
        <w:t xml:space="preserve">Where confidence intervals overlap </w:t>
      </w:r>
      <w:r w:rsidRPr="009D6EA1">
        <w:rPr>
          <w:rStyle w:val="FigureNoteChar"/>
        </w:rPr>
        <w:t xml:space="preserve">it cannot be inferred that </w:t>
      </w:r>
      <w:r>
        <w:rPr>
          <w:rStyle w:val="FigureNoteChar"/>
        </w:rPr>
        <w:t xml:space="preserve">the difference either </w:t>
      </w:r>
      <w:r w:rsidRPr="009D6EA1">
        <w:rPr>
          <w:rStyle w:val="FigureNoteChar"/>
        </w:rPr>
        <w:t>is</w:t>
      </w:r>
      <w:r>
        <w:rPr>
          <w:rStyle w:val="FigureNoteChar"/>
        </w:rPr>
        <w:t>,</w:t>
      </w:r>
      <w:r w:rsidRPr="009D6EA1">
        <w:rPr>
          <w:rStyle w:val="FigureNoteChar"/>
        </w:rPr>
        <w:t xml:space="preserve"> or is not</w:t>
      </w:r>
      <w:r>
        <w:rPr>
          <w:rStyle w:val="FigureNoteChar"/>
        </w:rPr>
        <w:t>,</w:t>
      </w:r>
      <w:r w:rsidRPr="009D6EA1">
        <w:rPr>
          <w:rStyle w:val="FigureNoteChar"/>
        </w:rPr>
        <w:t xml:space="preserve"> </w:t>
      </w:r>
      <w:r>
        <w:rPr>
          <w:rStyle w:val="FigureNoteChar"/>
        </w:rPr>
        <w:t xml:space="preserve">statistically </w:t>
      </w:r>
      <w:r w:rsidRPr="009D6EA1">
        <w:rPr>
          <w:rStyle w:val="FigureNoteChar"/>
        </w:rPr>
        <w:t>significant</w:t>
      </w:r>
      <w:r>
        <w:rPr>
          <w:rStyle w:val="FigureNoteChar"/>
        </w:rPr>
        <w:t>.</w:t>
      </w:r>
    </w:p>
  </w:footnote>
  <w:footnote w:id="21">
    <w:p w14:paraId="6B890706" w14:textId="45393C42" w:rsidR="00320D73" w:rsidRPr="0036340F" w:rsidRDefault="00320D73" w:rsidP="00F275DF">
      <w:pPr>
        <w:pStyle w:val="FootnoteText"/>
        <w:rPr>
          <w:lang w:val="en-AU"/>
        </w:rPr>
      </w:pPr>
      <w:r>
        <w:rPr>
          <w:rStyle w:val="FootnoteReference"/>
        </w:rPr>
        <w:footnoteRef/>
      </w:r>
      <w:r>
        <w:t xml:space="preserve"> </w:t>
      </w:r>
      <w:r w:rsidR="00373D3A">
        <w:t>De</w:t>
      </w:r>
      <w:r w:rsidRPr="00320D73">
        <w:t>tailed short-term employm</w:t>
      </w:r>
      <w:r w:rsidRPr="00A71949">
        <w:t xml:space="preserve">ent outcomes for international graduates of Australian higher education providers are published annually in the Graduate Outcomes Survey International Report </w:t>
      </w:r>
      <w:r w:rsidR="00355894" w:rsidRPr="00A71949">
        <w:t xml:space="preserve">(See </w:t>
      </w:r>
      <w:hyperlink r:id="rId8" w:history="1">
        <w:r w:rsidR="00355894" w:rsidRPr="0036340F">
          <w:rPr>
            <w:rStyle w:val="Hyperlink"/>
          </w:rPr>
          <w:t>Graduate Outcomes Survey</w:t>
        </w:r>
      </w:hyperlink>
      <w:r w:rsidR="00355894" w:rsidRPr="0036340F">
        <w:t>)</w:t>
      </w:r>
      <w:r w:rsidR="00E57178">
        <w:t>.</w:t>
      </w:r>
    </w:p>
  </w:footnote>
  <w:footnote w:id="22">
    <w:p w14:paraId="0F05316B" w14:textId="7AD29744" w:rsidR="0051348E" w:rsidRPr="004353F9" w:rsidRDefault="0051348E" w:rsidP="00F275DF">
      <w:pPr>
        <w:pStyle w:val="FootnoteText"/>
        <w:rPr>
          <w:lang w:val="en-AU"/>
        </w:rPr>
      </w:pPr>
      <w:r>
        <w:rPr>
          <w:rStyle w:val="FootnoteReference"/>
        </w:rPr>
        <w:footnoteRef/>
      </w:r>
      <w:r>
        <w:t xml:space="preserve"> </w:t>
      </w:r>
      <w:r w:rsidR="00373D3A">
        <w:t>Re</w:t>
      </w:r>
      <w:r w:rsidRPr="0051348E">
        <w:t xml:space="preserve">stricting salary </w:t>
      </w:r>
      <w:r>
        <w:t>data</w:t>
      </w:r>
      <w:r w:rsidRPr="0051348E">
        <w:t xml:space="preserve"> to graduates working in Australia provides</w:t>
      </w:r>
      <w:r>
        <w:t xml:space="preserve"> a</w:t>
      </w:r>
      <w:r w:rsidRPr="0051348E">
        <w:t xml:space="preserve"> consistent basis for comparing domestic and international graduate salaries</w:t>
      </w:r>
      <w:r w:rsidR="0045303D">
        <w:t xml:space="preserve">. This approach </w:t>
      </w:r>
      <w:r>
        <w:t>avoids the influence of exchange rates and differences in purchasing power across countries.</w:t>
      </w:r>
    </w:p>
  </w:footnote>
  <w:footnote w:id="23">
    <w:p w14:paraId="49D1070A" w14:textId="1BDD7A82" w:rsidR="00F36D62" w:rsidRPr="00754C51" w:rsidRDefault="00F36D62" w:rsidP="00F275DF">
      <w:pPr>
        <w:pStyle w:val="FootnoteText"/>
        <w:rPr>
          <w:lang w:val="en-AU"/>
        </w:rPr>
      </w:pPr>
      <w:r>
        <w:rPr>
          <w:rStyle w:val="FootnoteReference"/>
        </w:rPr>
        <w:footnoteRef/>
      </w:r>
      <w:r>
        <w:t xml:space="preserve"> </w:t>
      </w:r>
      <w:r w:rsidR="00373D3A">
        <w:t>Th</w:t>
      </w:r>
      <w:r>
        <w:t>is report discusses the characteristics of graduates who responded to</w:t>
      </w:r>
      <w:r w:rsidR="00000494">
        <w:t xml:space="preserve"> both</w:t>
      </w:r>
      <w:r w:rsidR="00304D17">
        <w:t xml:space="preserve"> the 202</w:t>
      </w:r>
      <w:r w:rsidR="00B921B4">
        <w:t>3</w:t>
      </w:r>
      <w:r w:rsidR="00304D17">
        <w:t xml:space="preserve"> GOS and 202</w:t>
      </w:r>
      <w:r w:rsidR="00B921B4">
        <w:t>6</w:t>
      </w:r>
      <w:r w:rsidR="00304D17">
        <w:t xml:space="preserve"> GOS-L</w:t>
      </w:r>
      <w:r>
        <w:t>. Demographic and course characteristics of the responding population closely matched the total population of graduates eligible to take part in the 202</w:t>
      </w:r>
      <w:r w:rsidR="0010359C">
        <w:t>6</w:t>
      </w:r>
      <w:r>
        <w:t xml:space="preserve"> GOS</w:t>
      </w:r>
      <w:r w:rsidR="002C20D3">
        <w:t>-L</w:t>
      </w:r>
      <w:r>
        <w:t>. Detailed analysis of graduates’ propensity to respond to the 202</w:t>
      </w:r>
      <w:r w:rsidR="00B921B4">
        <w:t>6</w:t>
      </w:r>
      <w:r>
        <w:t xml:space="preserve"> GOS</w:t>
      </w:r>
      <w:r w:rsidR="00CD75A2">
        <w:t>-L</w:t>
      </w:r>
      <w:r>
        <w:t xml:space="preserve"> are discussed in </w:t>
      </w:r>
      <w:r w:rsidR="00CD75A2">
        <w:t>the 202</w:t>
      </w:r>
      <w:r w:rsidR="00B921B4">
        <w:t>6</w:t>
      </w:r>
      <w:r w:rsidR="00CD75A2">
        <w:t xml:space="preserve"> GOS-L </w:t>
      </w:r>
      <w:r w:rsidR="00777F58">
        <w:t>Methodological</w:t>
      </w:r>
      <w:r w:rsidR="00CD75A2">
        <w:t xml:space="preserve"> Report</w:t>
      </w:r>
      <w:r w:rsidR="00777F58">
        <w:t xml:space="preserve"> available to download from the QILT website: </w:t>
      </w:r>
      <w:hyperlink r:id="rId9" w:history="1">
        <w:r w:rsidR="00B000A7" w:rsidRPr="00B000A7">
          <w:rPr>
            <w:rStyle w:val="Hyperlink"/>
            <w:lang w:val="en-AU"/>
          </w:rPr>
          <w:t>Graduate Outcomes Survey - Longitudinal</w:t>
        </w:r>
      </w:hyperlink>
      <w:r w:rsidR="00373D3A">
        <w:t>.</w:t>
      </w:r>
    </w:p>
  </w:footnote>
  <w:footnote w:id="24">
    <w:p w14:paraId="43312EA1" w14:textId="095DCB9F" w:rsidR="002B2406" w:rsidRPr="00AC0938" w:rsidRDefault="002B2406" w:rsidP="00F275DF">
      <w:pPr>
        <w:pStyle w:val="FootnoteText"/>
      </w:pPr>
      <w:r>
        <w:rPr>
          <w:rStyle w:val="FootnoteReference"/>
        </w:rPr>
        <w:footnoteRef/>
      </w:r>
      <w:r>
        <w:t xml:space="preserve"> </w:t>
      </w:r>
      <w:r w:rsidRPr="00781554">
        <w:rPr>
          <w:vertAlign w:val="superscript"/>
        </w:rPr>
        <w:t>‘</w:t>
      </w:r>
      <w:r w:rsidR="0077276A">
        <w:t>S</w:t>
      </w:r>
      <w:r w:rsidRPr="00400F64">
        <w:t>ource country</w:t>
      </w:r>
      <w:r>
        <w:t>’</w:t>
      </w:r>
      <w:r w:rsidRPr="00400F64">
        <w:t xml:space="preserve"> is derived from</w:t>
      </w:r>
      <w:r w:rsidR="00DB5FEA">
        <w:t xml:space="preserve"> </w:t>
      </w:r>
      <w:hyperlink r:id="rId10" w:history="1">
        <w:r w:rsidR="00DB5FEA" w:rsidRPr="00DB5FEA">
          <w:rPr>
            <w:rStyle w:val="Hyperlink"/>
          </w:rPr>
          <w:t>TCSI E658 Residential Address Country Code</w:t>
        </w:r>
      </w:hyperlink>
      <w:r w:rsidR="00DB5FEA">
        <w:t xml:space="preserve"> and represents the respondent’s residential country at enrolment</w:t>
      </w:r>
      <w:r w:rsidR="00AA01A4">
        <w:t>.</w:t>
      </w:r>
      <w:r w:rsidR="00120F34">
        <w:t xml:space="preserve"> </w:t>
      </w:r>
      <w:r w:rsidR="0044587A">
        <w:t xml:space="preserve">Country of birth was </w:t>
      </w:r>
      <w:r w:rsidR="008A4EE3">
        <w:t>used</w:t>
      </w:r>
      <w:r w:rsidR="00CC296F">
        <w:t xml:space="preserve"> </w:t>
      </w:r>
      <w:r w:rsidR="0023319D">
        <w:t>in</w:t>
      </w:r>
      <w:r w:rsidR="008A4EE3">
        <w:t xml:space="preserve"> </w:t>
      </w:r>
      <w:r w:rsidR="00720843">
        <w:t xml:space="preserve">reporting </w:t>
      </w:r>
      <w:r w:rsidR="006B0222">
        <w:t>Graduate</w:t>
      </w:r>
      <w:r w:rsidR="00720843">
        <w:t xml:space="preserve"> Outcomes Survey (GOS) results until 2023</w:t>
      </w:r>
      <w:r w:rsidR="00A47DE4">
        <w:t>.</w:t>
      </w:r>
    </w:p>
  </w:footnote>
  <w:footnote w:id="25">
    <w:p w14:paraId="5571943F" w14:textId="11DCAF68" w:rsidR="00313996" w:rsidRPr="004353F9" w:rsidRDefault="00313996" w:rsidP="00F275DF">
      <w:pPr>
        <w:pStyle w:val="FootnoteText"/>
      </w:pPr>
      <w:r>
        <w:rPr>
          <w:rStyle w:val="FootnoteReference"/>
        </w:rPr>
        <w:footnoteRef/>
      </w:r>
      <w:r>
        <w:t xml:space="preserve"> </w:t>
      </w:r>
      <w:r w:rsidR="00373D3A">
        <w:t>Sh</w:t>
      </w:r>
      <w:r w:rsidR="00766C74">
        <w:t>ort-term s</w:t>
      </w:r>
      <w:r>
        <w:t>alary data were unavailable for</w:t>
      </w:r>
      <w:r w:rsidR="00766C74">
        <w:t xml:space="preserve"> graduates from</w:t>
      </w:r>
      <w:r>
        <w:t xml:space="preserve"> Indonesia due to insufficient survey responses (n&lt;25)</w:t>
      </w:r>
      <w:r w:rsidR="00CE4B1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8A52" w14:textId="4BF922AA" w:rsidR="00910822" w:rsidRDefault="0047134D">
    <w:pPr>
      <w:pStyle w:val="Header"/>
    </w:pPr>
    <w:r>
      <w:rPr>
        <w:noProof/>
      </w:rPr>
      <mc:AlternateContent>
        <mc:Choice Requires="wps">
          <w:drawing>
            <wp:anchor distT="0" distB="0" distL="114300" distR="114300" simplePos="0" relativeHeight="251646976" behindDoc="1" locked="0" layoutInCell="0" allowOverlap="1" wp14:anchorId="7FDB657F" wp14:editId="268B6046">
              <wp:simplePos x="0" y="0"/>
              <wp:positionH relativeFrom="margin">
                <wp:align>center</wp:align>
              </wp:positionH>
              <wp:positionV relativeFrom="margin">
                <wp:align>center</wp:align>
              </wp:positionV>
              <wp:extent cx="6689090" cy="2675255"/>
              <wp:effectExtent l="0" t="1809750" r="0" b="1468120"/>
              <wp:wrapNone/>
              <wp:docPr id="17358132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9090" cy="2675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A54ADD" w14:textId="77777777" w:rsidR="0047134D" w:rsidRDefault="0047134D" w:rsidP="0047134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DB657F" id="_x0000_t202" coordsize="21600,21600" o:spt="202" path="m,l,21600r21600,l21600,xe">
              <v:stroke joinstyle="miter"/>
              <v:path gradientshapeok="t" o:connecttype="rect"/>
            </v:shapetype>
            <v:shape id="Text Box 1" o:spid="_x0000_s1026" type="#_x0000_t202" style="position:absolute;margin-left:0;margin-top:0;width:526.7pt;height:210.65pt;rotation:-45;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" o:allowincell="f" filled="f" stroked="f">
              <v:stroke joinstyle="round"/>
              <o:lock v:ext="edit" shapetype="t"/>
              <v:textbox style="mso-fit-shape-to-text:t">
                <w:txbxContent>
                  <w:p w14:paraId="3FA54ADD" w14:textId="77777777" w:rsidR="0047134D" w:rsidRDefault="0047134D" w:rsidP="0047134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BF22" w14:textId="101C853A" w:rsidR="00910822" w:rsidRDefault="0047134D">
    <w:pPr>
      <w:pStyle w:val="Header"/>
    </w:pPr>
    <w:r>
      <w:rPr>
        <w:noProof/>
      </w:rPr>
      <mc:AlternateContent>
        <mc:Choice Requires="wps">
          <w:drawing>
            <wp:anchor distT="0" distB="0" distL="114300" distR="114300" simplePos="0" relativeHeight="251648000" behindDoc="1" locked="0" layoutInCell="0" allowOverlap="1" wp14:anchorId="17724342" wp14:editId="1D20D873">
              <wp:simplePos x="0" y="0"/>
              <wp:positionH relativeFrom="margin">
                <wp:align>center</wp:align>
              </wp:positionH>
              <wp:positionV relativeFrom="margin">
                <wp:align>center</wp:align>
              </wp:positionV>
              <wp:extent cx="6689090" cy="2675255"/>
              <wp:effectExtent l="0" t="1809750" r="0" b="1468120"/>
              <wp:wrapNone/>
              <wp:docPr id="1645575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9090" cy="2675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A01383" w14:textId="77777777" w:rsidR="0047134D" w:rsidRDefault="0047134D" w:rsidP="0047134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724342" id="_x0000_t202" coordsize="21600,21600" o:spt="202" path="m,l,21600r21600,l21600,xe">
              <v:stroke joinstyle="miter"/>
              <v:path gradientshapeok="t" o:connecttype="rect"/>
            </v:shapetype>
            <v:shape id="Text Box 2" o:spid="_x0000_s1027" type="#_x0000_t202" style="position:absolute;margin-left:0;margin-top:0;width:526.7pt;height:210.65pt;rotation:-45;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" o:allowincell="f" filled="f" stroked="f">
              <v:stroke joinstyle="round"/>
              <o:lock v:ext="edit" shapetype="t"/>
              <v:textbox style="mso-fit-shape-to-text:t">
                <w:txbxContent>
                  <w:p w14:paraId="0FA01383" w14:textId="77777777" w:rsidR="0047134D" w:rsidRDefault="0047134D" w:rsidP="0047134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37AC" w14:textId="7AD16905" w:rsidR="00910822" w:rsidRDefault="0047134D">
    <w:pPr>
      <w:pStyle w:val="Header"/>
    </w:pPr>
    <w:r>
      <w:rPr>
        <w:noProof/>
      </w:rPr>
      <mc:AlternateContent>
        <mc:Choice Requires="wps">
          <w:drawing>
            <wp:anchor distT="0" distB="0" distL="114300" distR="114300" simplePos="0" relativeHeight="251649024" behindDoc="1" locked="0" layoutInCell="0" allowOverlap="1" wp14:anchorId="191AA393" wp14:editId="776BBA27">
              <wp:simplePos x="0" y="0"/>
              <wp:positionH relativeFrom="margin">
                <wp:align>center</wp:align>
              </wp:positionH>
              <wp:positionV relativeFrom="margin">
                <wp:align>center</wp:align>
              </wp:positionV>
              <wp:extent cx="6689090" cy="2675255"/>
              <wp:effectExtent l="0" t="1809750" r="0" b="1468120"/>
              <wp:wrapNone/>
              <wp:docPr id="8575211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9090" cy="2675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AF2B61" w14:textId="77777777" w:rsidR="0047134D" w:rsidRDefault="0047134D" w:rsidP="0047134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1AA393" id="_x0000_t202" coordsize="21600,21600" o:spt="202" path="m,l,21600r21600,l21600,xe">
              <v:stroke joinstyle="miter"/>
              <v:path gradientshapeok="t" o:connecttype="rect"/>
            </v:shapetype>
            <v:shape id="Text Box 3" o:spid="_x0000_s1028" type="#_x0000_t202" style="position:absolute;margin-left:0;margin-top:0;width:526.7pt;height:210.65pt;rotation:-45;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" o:allowincell="f" filled="f" stroked="f">
              <v:stroke joinstyle="round"/>
              <o:lock v:ext="edit" shapetype="t"/>
              <v:textbox style="mso-fit-shape-to-text:t">
                <w:txbxContent>
                  <w:p w14:paraId="13AF2B61" w14:textId="77777777" w:rsidR="0047134D" w:rsidRDefault="0047134D" w:rsidP="0047134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B0EC" w14:textId="4B7C18CD" w:rsidR="00B83377" w:rsidRDefault="00B83377">
    <w:pPr>
      <w:pStyle w:val="Header"/>
    </w:pPr>
    <w:r>
      <w:rPr>
        <w:noProof/>
      </w:rPr>
      <mc:AlternateContent>
        <mc:Choice Requires="wps">
          <w:drawing>
            <wp:anchor distT="0" distB="0" distL="114300" distR="114300" simplePos="0" relativeHeight="251643904" behindDoc="1" locked="0" layoutInCell="0" allowOverlap="1" wp14:anchorId="11355F7B" wp14:editId="7D79FA16">
              <wp:simplePos x="0" y="0"/>
              <wp:positionH relativeFrom="margin">
                <wp:align>center</wp:align>
              </wp:positionH>
              <wp:positionV relativeFrom="margin">
                <wp:align>center</wp:align>
              </wp:positionV>
              <wp:extent cx="6689090" cy="2675255"/>
              <wp:effectExtent l="0" t="1809750" r="0" b="1468120"/>
              <wp:wrapNone/>
              <wp:docPr id="7308063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9090" cy="2675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AB3AF7" w14:textId="77777777" w:rsidR="00B83377" w:rsidRDefault="00B83377" w:rsidP="00B833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1355F7B" id="_x0000_t202" coordsize="21600,21600" o:spt="202" path="m,l,21600r21600,l21600,xe">
              <v:stroke joinstyle="miter"/>
              <v:path gradientshapeok="t" o:connecttype="rect"/>
            </v:shapetype>
            <v:shape id="Text Box 4" o:spid="_x0000_s1029" type="#_x0000_t202" style="position:absolute;margin-left:0;margin-top:0;width:526.7pt;height:210.65pt;rotation:-45;z-index:-2516725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" o:allowincell="f" filled="f" stroked="f">
              <v:stroke joinstyle="round"/>
              <o:lock v:ext="edit" shapetype="t"/>
              <v:textbox style="mso-fit-shape-to-text:t">
                <w:txbxContent>
                  <w:p w14:paraId="7AAB3AF7" w14:textId="77777777" w:rsidR="00B83377" w:rsidRDefault="00B83377" w:rsidP="00B833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AD3D" w14:textId="53C8489D" w:rsidR="00B83377" w:rsidRDefault="00B83377">
    <w:pPr>
      <w:pStyle w:val="Header"/>
    </w:pPr>
    <w:r>
      <w:rPr>
        <w:noProof/>
      </w:rPr>
      <mc:AlternateContent>
        <mc:Choice Requires="wps">
          <w:drawing>
            <wp:anchor distT="0" distB="0" distL="114300" distR="114300" simplePos="0" relativeHeight="251642880" behindDoc="1" locked="0" layoutInCell="0" allowOverlap="1" wp14:anchorId="5D876FE6" wp14:editId="75518781">
              <wp:simplePos x="0" y="0"/>
              <wp:positionH relativeFrom="margin">
                <wp:align>center</wp:align>
              </wp:positionH>
              <wp:positionV relativeFrom="margin">
                <wp:align>center</wp:align>
              </wp:positionV>
              <wp:extent cx="6689090" cy="2675255"/>
              <wp:effectExtent l="0" t="1809750" r="0" b="1468120"/>
              <wp:wrapNone/>
              <wp:docPr id="2994114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9090" cy="2675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9D8A53" w14:textId="77777777" w:rsidR="00B83377" w:rsidRDefault="00B83377" w:rsidP="00B833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D876FE6" id="_x0000_t202" coordsize="21600,21600" o:spt="202" path="m,l,21600r21600,l21600,xe">
              <v:stroke joinstyle="miter"/>
              <v:path gradientshapeok="t" o:connecttype="rect"/>
            </v:shapetype>
            <v:shape id="Text Box 5" o:spid="_x0000_s1030" type="#_x0000_t202" style="position:absolute;margin-left:0;margin-top:0;width:526.7pt;height:210.65pt;rotation:-45;z-index:-2516736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" o:allowincell="f" filled="f" stroked="f">
              <v:stroke joinstyle="round"/>
              <o:lock v:ext="edit" shapetype="t"/>
              <v:textbox style="mso-fit-shape-to-text:t">
                <w:txbxContent>
                  <w:p w14:paraId="1C9D8A53" w14:textId="77777777" w:rsidR="00B83377" w:rsidRDefault="00B83377" w:rsidP="00B833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2BF5" w14:textId="4BA07A78" w:rsidR="00B83377" w:rsidRDefault="00B83377">
    <w:pPr>
      <w:pStyle w:val="Header"/>
    </w:pPr>
    <w:r>
      <w:rPr>
        <w:noProof/>
      </w:rPr>
      <mc:AlternateContent>
        <mc:Choice Requires="wps">
          <w:drawing>
            <wp:anchor distT="0" distB="0" distL="114300" distR="114300" simplePos="0" relativeHeight="251644928" behindDoc="1" locked="0" layoutInCell="0" allowOverlap="1" wp14:anchorId="567E89B1" wp14:editId="780AA673">
              <wp:simplePos x="0" y="0"/>
              <wp:positionH relativeFrom="margin">
                <wp:align>center</wp:align>
              </wp:positionH>
              <wp:positionV relativeFrom="margin">
                <wp:align>center</wp:align>
              </wp:positionV>
              <wp:extent cx="6689090" cy="2675255"/>
              <wp:effectExtent l="0" t="1809750" r="0" b="1468120"/>
              <wp:wrapNone/>
              <wp:docPr id="9446686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9090" cy="2675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B4CF60" w14:textId="77777777" w:rsidR="00B83377" w:rsidRDefault="00B83377" w:rsidP="00B833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7E89B1" id="_x0000_t202" coordsize="21600,21600" o:spt="202" path="m,l,21600r21600,l21600,xe">
              <v:stroke joinstyle="miter"/>
              <v:path gradientshapeok="t" o:connecttype="rect"/>
            </v:shapetype>
            <v:shape id="Text Box 6" o:spid="_x0000_s1031" type="#_x0000_t202" style="position:absolute;margin-left:0;margin-top:0;width:526.7pt;height:210.65pt;rotation:-45;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" o:allowincell="f" filled="f" stroked="f">
              <v:stroke joinstyle="round"/>
              <o:lock v:ext="edit" shapetype="t"/>
              <v:textbox style="mso-fit-shape-to-text:t">
                <w:txbxContent>
                  <w:p w14:paraId="31B4CF60" w14:textId="77777777" w:rsidR="00B83377" w:rsidRDefault="00B83377" w:rsidP="00B83377">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9D01" w14:textId="77777777" w:rsidR="00D77332" w:rsidRDefault="00D773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F29FB" w14:textId="77777777" w:rsidR="00D77332" w:rsidRDefault="00D7733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3F8B" w14:textId="77777777" w:rsidR="00D77332" w:rsidRDefault="00D77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5EA"/>
    <w:multiLevelType w:val="hybridMultilevel"/>
    <w:tmpl w:val="30E87C2A"/>
    <w:lvl w:ilvl="0" w:tplc="5B6C9FD4">
      <w:start w:val="1"/>
      <w:numFmt w:val="bullet"/>
      <w:lvlText w:val=""/>
      <w:lvlJc w:val="left"/>
      <w:pPr>
        <w:ind w:left="777" w:hanging="360"/>
      </w:pPr>
      <w:rPr>
        <w:rFonts w:ascii="Wingdings" w:hAnsi="Wingdings" w:hint="default"/>
        <w:b/>
        <w:i w:val="0"/>
        <w:color w:val="4F4F00"/>
        <w:sz w:val="2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 w15:restartNumberingAfterBreak="0">
    <w:nsid w:val="06966B31"/>
    <w:multiLevelType w:val="hybridMultilevel"/>
    <w:tmpl w:val="EE0828E8"/>
    <w:lvl w:ilvl="0" w:tplc="0C09000F">
      <w:start w:val="1"/>
      <w:numFmt w:val="decimal"/>
      <w:lvlText w:val="%1."/>
      <w:lvlJc w:val="left"/>
      <w:pPr>
        <w:ind w:left="4755" w:hanging="360"/>
      </w:pPr>
    </w:lvl>
    <w:lvl w:ilvl="1" w:tplc="0C090019" w:tentative="1">
      <w:start w:val="1"/>
      <w:numFmt w:val="lowerLetter"/>
      <w:lvlText w:val="%2."/>
      <w:lvlJc w:val="left"/>
      <w:pPr>
        <w:ind w:left="5475" w:hanging="360"/>
      </w:pPr>
    </w:lvl>
    <w:lvl w:ilvl="2" w:tplc="0C09001B" w:tentative="1">
      <w:start w:val="1"/>
      <w:numFmt w:val="lowerRoman"/>
      <w:lvlText w:val="%3."/>
      <w:lvlJc w:val="right"/>
      <w:pPr>
        <w:ind w:left="6195" w:hanging="180"/>
      </w:pPr>
    </w:lvl>
    <w:lvl w:ilvl="3" w:tplc="0C09000F" w:tentative="1">
      <w:start w:val="1"/>
      <w:numFmt w:val="decimal"/>
      <w:lvlText w:val="%4."/>
      <w:lvlJc w:val="left"/>
      <w:pPr>
        <w:ind w:left="6915" w:hanging="360"/>
      </w:pPr>
    </w:lvl>
    <w:lvl w:ilvl="4" w:tplc="0C090019" w:tentative="1">
      <w:start w:val="1"/>
      <w:numFmt w:val="lowerLetter"/>
      <w:lvlText w:val="%5."/>
      <w:lvlJc w:val="left"/>
      <w:pPr>
        <w:ind w:left="7635" w:hanging="360"/>
      </w:pPr>
    </w:lvl>
    <w:lvl w:ilvl="5" w:tplc="0C09001B" w:tentative="1">
      <w:start w:val="1"/>
      <w:numFmt w:val="lowerRoman"/>
      <w:lvlText w:val="%6."/>
      <w:lvlJc w:val="right"/>
      <w:pPr>
        <w:ind w:left="8355" w:hanging="180"/>
      </w:pPr>
    </w:lvl>
    <w:lvl w:ilvl="6" w:tplc="0C09000F" w:tentative="1">
      <w:start w:val="1"/>
      <w:numFmt w:val="decimal"/>
      <w:lvlText w:val="%7."/>
      <w:lvlJc w:val="left"/>
      <w:pPr>
        <w:ind w:left="9075" w:hanging="360"/>
      </w:pPr>
    </w:lvl>
    <w:lvl w:ilvl="7" w:tplc="0C090019" w:tentative="1">
      <w:start w:val="1"/>
      <w:numFmt w:val="lowerLetter"/>
      <w:lvlText w:val="%8."/>
      <w:lvlJc w:val="left"/>
      <w:pPr>
        <w:ind w:left="9795" w:hanging="360"/>
      </w:pPr>
    </w:lvl>
    <w:lvl w:ilvl="8" w:tplc="0C09001B" w:tentative="1">
      <w:start w:val="1"/>
      <w:numFmt w:val="lowerRoman"/>
      <w:lvlText w:val="%9."/>
      <w:lvlJc w:val="right"/>
      <w:pPr>
        <w:ind w:left="10515" w:hanging="180"/>
      </w:pPr>
    </w:lvl>
  </w:abstractNum>
  <w:abstractNum w:abstractNumId="2" w15:restartNumberingAfterBreak="0">
    <w:nsid w:val="08F83753"/>
    <w:multiLevelType w:val="multilevel"/>
    <w:tmpl w:val="1F7E83DC"/>
    <w:lvl w:ilvl="0">
      <w:start w:val="1"/>
      <w:numFmt w:val="lowerRoman"/>
      <w:pStyle w:val="ListBullet3"/>
      <w:lvlText w:val="%1."/>
      <w:lvlJc w:val="right"/>
      <w:pPr>
        <w:ind w:left="2126" w:hanging="425"/>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1743095"/>
    <w:multiLevelType w:val="multilevel"/>
    <w:tmpl w:val="BCDA7D62"/>
    <w:lvl w:ilvl="0">
      <w:start w:val="1"/>
      <w:numFmt w:val="decimal"/>
      <w:pStyle w:val="ListBullet"/>
      <w:lvlText w:val="%1."/>
      <w:lvlJc w:val="left"/>
      <w:pPr>
        <w:ind w:left="1134" w:hanging="425"/>
      </w:pPr>
      <w:rPr>
        <w:rFonts w:ascii="Arial" w:eastAsia="Calibri" w:hAnsi="Arial" w:cs="Arial" w:hint="default"/>
      </w:rPr>
    </w:lvl>
    <w:lvl w:ilvl="1">
      <w:start w:val="1"/>
      <w:numFmt w:val="lowerLetter"/>
      <w:lvlText w:val="%2."/>
      <w:lvlJc w:val="left"/>
      <w:pPr>
        <w:ind w:left="1865" w:hanging="360"/>
      </w:pPr>
      <w:rPr>
        <w:rFonts w:hint="default"/>
      </w:rPr>
    </w:lvl>
    <w:lvl w:ilvl="2">
      <w:start w:val="1"/>
      <w:numFmt w:val="lowerRoman"/>
      <w:lvlText w:val="%3."/>
      <w:lvlJc w:val="right"/>
      <w:pPr>
        <w:ind w:left="2585" w:hanging="180"/>
      </w:pPr>
      <w:rPr>
        <w:rFonts w:hint="default"/>
      </w:rPr>
    </w:lvl>
    <w:lvl w:ilvl="3">
      <w:start w:val="1"/>
      <w:numFmt w:val="decimal"/>
      <w:lvlText w:val="%4."/>
      <w:lvlJc w:val="left"/>
      <w:pPr>
        <w:ind w:left="3305" w:hanging="360"/>
      </w:pPr>
      <w:rPr>
        <w:rFonts w:hint="default"/>
      </w:rPr>
    </w:lvl>
    <w:lvl w:ilvl="4">
      <w:start w:val="1"/>
      <w:numFmt w:val="lowerLetter"/>
      <w:lvlText w:val="%5."/>
      <w:lvlJc w:val="left"/>
      <w:pPr>
        <w:ind w:left="4025" w:hanging="360"/>
      </w:pPr>
      <w:rPr>
        <w:rFonts w:hint="default"/>
      </w:rPr>
    </w:lvl>
    <w:lvl w:ilvl="5">
      <w:start w:val="1"/>
      <w:numFmt w:val="lowerRoman"/>
      <w:lvlText w:val="%6."/>
      <w:lvlJc w:val="right"/>
      <w:pPr>
        <w:ind w:left="4745" w:hanging="180"/>
      </w:pPr>
      <w:rPr>
        <w:rFonts w:hint="default"/>
      </w:rPr>
    </w:lvl>
    <w:lvl w:ilvl="6">
      <w:start w:val="1"/>
      <w:numFmt w:val="decimal"/>
      <w:lvlText w:val="%7."/>
      <w:lvlJc w:val="left"/>
      <w:pPr>
        <w:ind w:left="5465" w:hanging="360"/>
      </w:pPr>
      <w:rPr>
        <w:rFonts w:hint="default"/>
      </w:rPr>
    </w:lvl>
    <w:lvl w:ilvl="7">
      <w:start w:val="1"/>
      <w:numFmt w:val="lowerLetter"/>
      <w:lvlText w:val="%8."/>
      <w:lvlJc w:val="left"/>
      <w:pPr>
        <w:ind w:left="6185" w:hanging="360"/>
      </w:pPr>
      <w:rPr>
        <w:rFonts w:hint="default"/>
      </w:rPr>
    </w:lvl>
    <w:lvl w:ilvl="8">
      <w:start w:val="1"/>
      <w:numFmt w:val="lowerRoman"/>
      <w:lvlText w:val="%9."/>
      <w:lvlJc w:val="right"/>
      <w:pPr>
        <w:ind w:left="6905" w:hanging="180"/>
      </w:pPr>
      <w:rPr>
        <w:rFonts w:hint="default"/>
      </w:rPr>
    </w:lvl>
  </w:abstractNum>
  <w:abstractNum w:abstractNumId="4" w15:restartNumberingAfterBreak="0">
    <w:nsid w:val="1E950498"/>
    <w:multiLevelType w:val="hybridMultilevel"/>
    <w:tmpl w:val="DB1EBB96"/>
    <w:lvl w:ilvl="0" w:tplc="EF5090D2">
      <w:start w:val="1"/>
      <w:numFmt w:val="lowerLetter"/>
      <w:pStyle w:val="TableAPPXbulletALPHA"/>
      <w:lvlText w:val="%1)"/>
      <w:lvlJc w:val="left"/>
      <w:pPr>
        <w:ind w:left="720" w:hanging="493"/>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2F2C6F"/>
    <w:multiLevelType w:val="hybridMultilevel"/>
    <w:tmpl w:val="D58C08E8"/>
    <w:lvl w:ilvl="0" w:tplc="F594ED34">
      <w:start w:val="1"/>
      <w:numFmt w:val="decimal"/>
      <w:lvlText w:val="%1."/>
      <w:lvlJc w:val="left"/>
      <w:pPr>
        <w:ind w:left="1020" w:hanging="360"/>
      </w:pPr>
    </w:lvl>
    <w:lvl w:ilvl="1" w:tplc="A230813C">
      <w:start w:val="1"/>
      <w:numFmt w:val="decimal"/>
      <w:lvlText w:val="%2."/>
      <w:lvlJc w:val="left"/>
      <w:pPr>
        <w:ind w:left="1020" w:hanging="360"/>
      </w:pPr>
    </w:lvl>
    <w:lvl w:ilvl="2" w:tplc="7C986192">
      <w:start w:val="1"/>
      <w:numFmt w:val="decimal"/>
      <w:lvlText w:val="%3."/>
      <w:lvlJc w:val="left"/>
      <w:pPr>
        <w:ind w:left="1020" w:hanging="360"/>
      </w:pPr>
    </w:lvl>
    <w:lvl w:ilvl="3" w:tplc="73609EA8">
      <w:start w:val="1"/>
      <w:numFmt w:val="decimal"/>
      <w:lvlText w:val="%4."/>
      <w:lvlJc w:val="left"/>
      <w:pPr>
        <w:ind w:left="1020" w:hanging="360"/>
      </w:pPr>
    </w:lvl>
    <w:lvl w:ilvl="4" w:tplc="19925D76">
      <w:start w:val="1"/>
      <w:numFmt w:val="decimal"/>
      <w:lvlText w:val="%5."/>
      <w:lvlJc w:val="left"/>
      <w:pPr>
        <w:ind w:left="1020" w:hanging="360"/>
      </w:pPr>
    </w:lvl>
    <w:lvl w:ilvl="5" w:tplc="E9D89DDE">
      <w:start w:val="1"/>
      <w:numFmt w:val="decimal"/>
      <w:lvlText w:val="%6."/>
      <w:lvlJc w:val="left"/>
      <w:pPr>
        <w:ind w:left="1020" w:hanging="360"/>
      </w:pPr>
    </w:lvl>
    <w:lvl w:ilvl="6" w:tplc="E012A558">
      <w:start w:val="1"/>
      <w:numFmt w:val="decimal"/>
      <w:lvlText w:val="%7."/>
      <w:lvlJc w:val="left"/>
      <w:pPr>
        <w:ind w:left="1020" w:hanging="360"/>
      </w:pPr>
    </w:lvl>
    <w:lvl w:ilvl="7" w:tplc="9F3C667C">
      <w:start w:val="1"/>
      <w:numFmt w:val="decimal"/>
      <w:lvlText w:val="%8."/>
      <w:lvlJc w:val="left"/>
      <w:pPr>
        <w:ind w:left="1020" w:hanging="360"/>
      </w:pPr>
    </w:lvl>
    <w:lvl w:ilvl="8" w:tplc="2C4CE09A">
      <w:start w:val="1"/>
      <w:numFmt w:val="decimal"/>
      <w:lvlText w:val="%9."/>
      <w:lvlJc w:val="left"/>
      <w:pPr>
        <w:ind w:left="1020" w:hanging="360"/>
      </w:pPr>
    </w:lvl>
  </w:abstractNum>
  <w:abstractNum w:abstractNumId="6" w15:restartNumberingAfterBreak="0">
    <w:nsid w:val="22B53A21"/>
    <w:multiLevelType w:val="hybridMultilevel"/>
    <w:tmpl w:val="2FA29F7E"/>
    <w:lvl w:ilvl="0" w:tplc="D9123680">
      <w:start w:val="70"/>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3B48A6"/>
    <w:multiLevelType w:val="multilevel"/>
    <w:tmpl w:val="AFE091C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5B13D3C"/>
    <w:multiLevelType w:val="hybridMultilevel"/>
    <w:tmpl w:val="AFAE3DE0"/>
    <w:lvl w:ilvl="0" w:tplc="5B6C9FD4">
      <w:start w:val="1"/>
      <w:numFmt w:val="bullet"/>
      <w:lvlText w:val=""/>
      <w:lvlJc w:val="left"/>
      <w:pPr>
        <w:ind w:left="4733" w:hanging="360"/>
      </w:pPr>
      <w:rPr>
        <w:rFonts w:ascii="Wingdings" w:hAnsi="Wingdings" w:hint="default"/>
        <w:b/>
        <w:i w:val="0"/>
        <w:color w:val="4F4F00"/>
        <w:sz w:val="20"/>
      </w:rPr>
    </w:lvl>
    <w:lvl w:ilvl="1" w:tplc="0C090003" w:tentative="1">
      <w:start w:val="1"/>
      <w:numFmt w:val="bullet"/>
      <w:lvlText w:val="o"/>
      <w:lvlJc w:val="left"/>
      <w:pPr>
        <w:ind w:left="5453" w:hanging="360"/>
      </w:pPr>
      <w:rPr>
        <w:rFonts w:ascii="Courier New" w:hAnsi="Courier New" w:cs="Courier New" w:hint="default"/>
      </w:rPr>
    </w:lvl>
    <w:lvl w:ilvl="2" w:tplc="0C090005" w:tentative="1">
      <w:start w:val="1"/>
      <w:numFmt w:val="bullet"/>
      <w:lvlText w:val=""/>
      <w:lvlJc w:val="left"/>
      <w:pPr>
        <w:ind w:left="6173" w:hanging="360"/>
      </w:pPr>
      <w:rPr>
        <w:rFonts w:ascii="Wingdings" w:hAnsi="Wingdings" w:hint="default"/>
      </w:rPr>
    </w:lvl>
    <w:lvl w:ilvl="3" w:tplc="0C090001" w:tentative="1">
      <w:start w:val="1"/>
      <w:numFmt w:val="bullet"/>
      <w:lvlText w:val=""/>
      <w:lvlJc w:val="left"/>
      <w:pPr>
        <w:ind w:left="6893" w:hanging="360"/>
      </w:pPr>
      <w:rPr>
        <w:rFonts w:ascii="Symbol" w:hAnsi="Symbol" w:hint="default"/>
      </w:rPr>
    </w:lvl>
    <w:lvl w:ilvl="4" w:tplc="0C090003" w:tentative="1">
      <w:start w:val="1"/>
      <w:numFmt w:val="bullet"/>
      <w:lvlText w:val="o"/>
      <w:lvlJc w:val="left"/>
      <w:pPr>
        <w:ind w:left="7613" w:hanging="360"/>
      </w:pPr>
      <w:rPr>
        <w:rFonts w:ascii="Courier New" w:hAnsi="Courier New" w:cs="Courier New" w:hint="default"/>
      </w:rPr>
    </w:lvl>
    <w:lvl w:ilvl="5" w:tplc="0C090005" w:tentative="1">
      <w:start w:val="1"/>
      <w:numFmt w:val="bullet"/>
      <w:lvlText w:val=""/>
      <w:lvlJc w:val="left"/>
      <w:pPr>
        <w:ind w:left="8333" w:hanging="360"/>
      </w:pPr>
      <w:rPr>
        <w:rFonts w:ascii="Wingdings" w:hAnsi="Wingdings" w:hint="default"/>
      </w:rPr>
    </w:lvl>
    <w:lvl w:ilvl="6" w:tplc="0C090001" w:tentative="1">
      <w:start w:val="1"/>
      <w:numFmt w:val="bullet"/>
      <w:lvlText w:val=""/>
      <w:lvlJc w:val="left"/>
      <w:pPr>
        <w:ind w:left="9053" w:hanging="360"/>
      </w:pPr>
      <w:rPr>
        <w:rFonts w:ascii="Symbol" w:hAnsi="Symbol" w:hint="default"/>
      </w:rPr>
    </w:lvl>
    <w:lvl w:ilvl="7" w:tplc="0C090003" w:tentative="1">
      <w:start w:val="1"/>
      <w:numFmt w:val="bullet"/>
      <w:lvlText w:val="o"/>
      <w:lvlJc w:val="left"/>
      <w:pPr>
        <w:ind w:left="9773" w:hanging="360"/>
      </w:pPr>
      <w:rPr>
        <w:rFonts w:ascii="Courier New" w:hAnsi="Courier New" w:cs="Courier New" w:hint="default"/>
      </w:rPr>
    </w:lvl>
    <w:lvl w:ilvl="8" w:tplc="0C090005" w:tentative="1">
      <w:start w:val="1"/>
      <w:numFmt w:val="bullet"/>
      <w:lvlText w:val=""/>
      <w:lvlJc w:val="left"/>
      <w:pPr>
        <w:ind w:left="10493" w:hanging="360"/>
      </w:pPr>
      <w:rPr>
        <w:rFonts w:ascii="Wingdings" w:hAnsi="Wingdings" w:hint="default"/>
      </w:rPr>
    </w:lvl>
  </w:abstractNum>
  <w:abstractNum w:abstractNumId="9" w15:restartNumberingAfterBreak="0">
    <w:nsid w:val="26AD7362"/>
    <w:multiLevelType w:val="multilevel"/>
    <w:tmpl w:val="30BE3450"/>
    <w:lvl w:ilvl="0">
      <w:start w:val="1"/>
      <w:numFmt w:val="lowerLetter"/>
      <w:pStyle w:val="ListBullet2"/>
      <w:lvlText w:val="%1."/>
      <w:lvlJc w:val="left"/>
      <w:pPr>
        <w:ind w:left="1559" w:hanging="425"/>
      </w:pPr>
      <w:rPr>
        <w:rFonts w:ascii="Arial" w:eastAsia="Arial" w:hAnsi="Arial" w:hint="default"/>
        <w:w w:val="99"/>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CB29AB"/>
    <w:multiLevelType w:val="hybridMultilevel"/>
    <w:tmpl w:val="FE6C0AD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9985D16"/>
    <w:multiLevelType w:val="hybridMultilevel"/>
    <w:tmpl w:val="9C70E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886DA9"/>
    <w:multiLevelType w:val="hybridMultilevel"/>
    <w:tmpl w:val="87D0D37A"/>
    <w:lvl w:ilvl="0" w:tplc="663A463C">
      <w:start w:val="1"/>
      <w:numFmt w:val="bullet"/>
      <w:lvlText w:val=""/>
      <w:lvlJc w:val="left"/>
      <w:pPr>
        <w:ind w:left="720" w:hanging="360"/>
      </w:pPr>
      <w:rPr>
        <w:rFonts w:ascii="Symbol" w:hAnsi="Symbol"/>
      </w:rPr>
    </w:lvl>
    <w:lvl w:ilvl="1" w:tplc="B79EA722">
      <w:start w:val="1"/>
      <w:numFmt w:val="bullet"/>
      <w:lvlText w:val=""/>
      <w:lvlJc w:val="left"/>
      <w:pPr>
        <w:ind w:left="720" w:hanging="360"/>
      </w:pPr>
      <w:rPr>
        <w:rFonts w:ascii="Symbol" w:hAnsi="Symbol"/>
      </w:rPr>
    </w:lvl>
    <w:lvl w:ilvl="2" w:tplc="4CD6165E">
      <w:start w:val="1"/>
      <w:numFmt w:val="bullet"/>
      <w:lvlText w:val=""/>
      <w:lvlJc w:val="left"/>
      <w:pPr>
        <w:ind w:left="720" w:hanging="360"/>
      </w:pPr>
      <w:rPr>
        <w:rFonts w:ascii="Symbol" w:hAnsi="Symbol"/>
      </w:rPr>
    </w:lvl>
    <w:lvl w:ilvl="3" w:tplc="9B0CA0BE">
      <w:start w:val="1"/>
      <w:numFmt w:val="bullet"/>
      <w:lvlText w:val=""/>
      <w:lvlJc w:val="left"/>
      <w:pPr>
        <w:ind w:left="720" w:hanging="360"/>
      </w:pPr>
      <w:rPr>
        <w:rFonts w:ascii="Symbol" w:hAnsi="Symbol"/>
      </w:rPr>
    </w:lvl>
    <w:lvl w:ilvl="4" w:tplc="3F307F94">
      <w:start w:val="1"/>
      <w:numFmt w:val="bullet"/>
      <w:lvlText w:val=""/>
      <w:lvlJc w:val="left"/>
      <w:pPr>
        <w:ind w:left="720" w:hanging="360"/>
      </w:pPr>
      <w:rPr>
        <w:rFonts w:ascii="Symbol" w:hAnsi="Symbol"/>
      </w:rPr>
    </w:lvl>
    <w:lvl w:ilvl="5" w:tplc="EFCCF8D0">
      <w:start w:val="1"/>
      <w:numFmt w:val="bullet"/>
      <w:lvlText w:val=""/>
      <w:lvlJc w:val="left"/>
      <w:pPr>
        <w:ind w:left="720" w:hanging="360"/>
      </w:pPr>
      <w:rPr>
        <w:rFonts w:ascii="Symbol" w:hAnsi="Symbol"/>
      </w:rPr>
    </w:lvl>
    <w:lvl w:ilvl="6" w:tplc="C960F7BC">
      <w:start w:val="1"/>
      <w:numFmt w:val="bullet"/>
      <w:lvlText w:val=""/>
      <w:lvlJc w:val="left"/>
      <w:pPr>
        <w:ind w:left="720" w:hanging="360"/>
      </w:pPr>
      <w:rPr>
        <w:rFonts w:ascii="Symbol" w:hAnsi="Symbol"/>
      </w:rPr>
    </w:lvl>
    <w:lvl w:ilvl="7" w:tplc="7E58769E">
      <w:start w:val="1"/>
      <w:numFmt w:val="bullet"/>
      <w:lvlText w:val=""/>
      <w:lvlJc w:val="left"/>
      <w:pPr>
        <w:ind w:left="720" w:hanging="360"/>
      </w:pPr>
      <w:rPr>
        <w:rFonts w:ascii="Symbol" w:hAnsi="Symbol"/>
      </w:rPr>
    </w:lvl>
    <w:lvl w:ilvl="8" w:tplc="1C74CD68">
      <w:start w:val="1"/>
      <w:numFmt w:val="bullet"/>
      <w:lvlText w:val=""/>
      <w:lvlJc w:val="left"/>
      <w:pPr>
        <w:ind w:left="720" w:hanging="360"/>
      </w:pPr>
      <w:rPr>
        <w:rFonts w:ascii="Symbol" w:hAnsi="Symbol"/>
      </w:rPr>
    </w:lvl>
  </w:abstractNum>
  <w:abstractNum w:abstractNumId="13" w15:restartNumberingAfterBreak="0">
    <w:nsid w:val="2ED60935"/>
    <w:multiLevelType w:val="multilevel"/>
    <w:tmpl w:val="1B2A74AE"/>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C60591"/>
    <w:multiLevelType w:val="hybridMultilevel"/>
    <w:tmpl w:val="8ABAA730"/>
    <w:lvl w:ilvl="0" w:tplc="68B08000">
      <w:start w:val="1"/>
      <w:numFmt w:val="decimal"/>
      <w:lvlText w:val="%1)"/>
      <w:lvlJc w:val="left"/>
      <w:pPr>
        <w:ind w:left="1020" w:hanging="360"/>
      </w:pPr>
    </w:lvl>
    <w:lvl w:ilvl="1" w:tplc="068A2776">
      <w:start w:val="1"/>
      <w:numFmt w:val="decimal"/>
      <w:lvlText w:val="%2)"/>
      <w:lvlJc w:val="left"/>
      <w:pPr>
        <w:ind w:left="1020" w:hanging="360"/>
      </w:pPr>
    </w:lvl>
    <w:lvl w:ilvl="2" w:tplc="4C62C2DE">
      <w:start w:val="1"/>
      <w:numFmt w:val="decimal"/>
      <w:lvlText w:val="%3)"/>
      <w:lvlJc w:val="left"/>
      <w:pPr>
        <w:ind w:left="1020" w:hanging="360"/>
      </w:pPr>
    </w:lvl>
    <w:lvl w:ilvl="3" w:tplc="5D760C5C">
      <w:start w:val="1"/>
      <w:numFmt w:val="decimal"/>
      <w:lvlText w:val="%4)"/>
      <w:lvlJc w:val="left"/>
      <w:pPr>
        <w:ind w:left="1020" w:hanging="360"/>
      </w:pPr>
    </w:lvl>
    <w:lvl w:ilvl="4" w:tplc="6322A2C0">
      <w:start w:val="1"/>
      <w:numFmt w:val="decimal"/>
      <w:lvlText w:val="%5)"/>
      <w:lvlJc w:val="left"/>
      <w:pPr>
        <w:ind w:left="1020" w:hanging="360"/>
      </w:pPr>
    </w:lvl>
    <w:lvl w:ilvl="5" w:tplc="3740F548">
      <w:start w:val="1"/>
      <w:numFmt w:val="decimal"/>
      <w:lvlText w:val="%6)"/>
      <w:lvlJc w:val="left"/>
      <w:pPr>
        <w:ind w:left="1020" w:hanging="360"/>
      </w:pPr>
    </w:lvl>
    <w:lvl w:ilvl="6" w:tplc="60A6447E">
      <w:start w:val="1"/>
      <w:numFmt w:val="decimal"/>
      <w:lvlText w:val="%7)"/>
      <w:lvlJc w:val="left"/>
      <w:pPr>
        <w:ind w:left="1020" w:hanging="360"/>
      </w:pPr>
    </w:lvl>
    <w:lvl w:ilvl="7" w:tplc="0B6ECCAC">
      <w:start w:val="1"/>
      <w:numFmt w:val="decimal"/>
      <w:lvlText w:val="%8)"/>
      <w:lvlJc w:val="left"/>
      <w:pPr>
        <w:ind w:left="1020" w:hanging="360"/>
      </w:pPr>
    </w:lvl>
    <w:lvl w:ilvl="8" w:tplc="7068D974">
      <w:start w:val="1"/>
      <w:numFmt w:val="decimal"/>
      <w:lvlText w:val="%9)"/>
      <w:lvlJc w:val="left"/>
      <w:pPr>
        <w:ind w:left="1020" w:hanging="360"/>
      </w:pPr>
    </w:lvl>
  </w:abstractNum>
  <w:abstractNum w:abstractNumId="15" w15:restartNumberingAfterBreak="0">
    <w:nsid w:val="365E0319"/>
    <w:multiLevelType w:val="hybridMultilevel"/>
    <w:tmpl w:val="8DE4C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0A7940"/>
    <w:multiLevelType w:val="hybridMultilevel"/>
    <w:tmpl w:val="B44E8DA6"/>
    <w:lvl w:ilvl="0" w:tplc="04C6A2D8">
      <w:start w:val="1"/>
      <w:numFmt w:val="bullet"/>
      <w:lvlText w:val=""/>
      <w:lvlJc w:val="left"/>
      <w:pPr>
        <w:ind w:left="835" w:hanging="360"/>
      </w:pPr>
      <w:rPr>
        <w:rFonts w:ascii="Symbol" w:hAnsi="Symbol" w:hint="default"/>
      </w:rPr>
    </w:lvl>
    <w:lvl w:ilvl="1" w:tplc="0C090003" w:tentative="1">
      <w:start w:val="1"/>
      <w:numFmt w:val="bullet"/>
      <w:lvlText w:val="o"/>
      <w:lvlJc w:val="left"/>
      <w:pPr>
        <w:ind w:left="1555" w:hanging="360"/>
      </w:pPr>
      <w:rPr>
        <w:rFonts w:ascii="Courier New" w:hAnsi="Courier New" w:cs="Courier New" w:hint="default"/>
      </w:rPr>
    </w:lvl>
    <w:lvl w:ilvl="2" w:tplc="0C090005" w:tentative="1">
      <w:start w:val="1"/>
      <w:numFmt w:val="bullet"/>
      <w:lvlText w:val=""/>
      <w:lvlJc w:val="left"/>
      <w:pPr>
        <w:ind w:left="2275" w:hanging="360"/>
      </w:pPr>
      <w:rPr>
        <w:rFonts w:ascii="Wingdings" w:hAnsi="Wingdings" w:hint="default"/>
      </w:rPr>
    </w:lvl>
    <w:lvl w:ilvl="3" w:tplc="0C090001" w:tentative="1">
      <w:start w:val="1"/>
      <w:numFmt w:val="bullet"/>
      <w:lvlText w:val=""/>
      <w:lvlJc w:val="left"/>
      <w:pPr>
        <w:ind w:left="2995" w:hanging="360"/>
      </w:pPr>
      <w:rPr>
        <w:rFonts w:ascii="Symbol" w:hAnsi="Symbol" w:hint="default"/>
      </w:rPr>
    </w:lvl>
    <w:lvl w:ilvl="4" w:tplc="0C090003" w:tentative="1">
      <w:start w:val="1"/>
      <w:numFmt w:val="bullet"/>
      <w:lvlText w:val="o"/>
      <w:lvlJc w:val="left"/>
      <w:pPr>
        <w:ind w:left="3715" w:hanging="360"/>
      </w:pPr>
      <w:rPr>
        <w:rFonts w:ascii="Courier New" w:hAnsi="Courier New" w:cs="Courier New" w:hint="default"/>
      </w:rPr>
    </w:lvl>
    <w:lvl w:ilvl="5" w:tplc="0C090005" w:tentative="1">
      <w:start w:val="1"/>
      <w:numFmt w:val="bullet"/>
      <w:lvlText w:val=""/>
      <w:lvlJc w:val="left"/>
      <w:pPr>
        <w:ind w:left="4435" w:hanging="360"/>
      </w:pPr>
      <w:rPr>
        <w:rFonts w:ascii="Wingdings" w:hAnsi="Wingdings" w:hint="default"/>
      </w:rPr>
    </w:lvl>
    <w:lvl w:ilvl="6" w:tplc="0C090001" w:tentative="1">
      <w:start w:val="1"/>
      <w:numFmt w:val="bullet"/>
      <w:lvlText w:val=""/>
      <w:lvlJc w:val="left"/>
      <w:pPr>
        <w:ind w:left="5155" w:hanging="360"/>
      </w:pPr>
      <w:rPr>
        <w:rFonts w:ascii="Symbol" w:hAnsi="Symbol" w:hint="default"/>
      </w:rPr>
    </w:lvl>
    <w:lvl w:ilvl="7" w:tplc="0C090003" w:tentative="1">
      <w:start w:val="1"/>
      <w:numFmt w:val="bullet"/>
      <w:lvlText w:val="o"/>
      <w:lvlJc w:val="left"/>
      <w:pPr>
        <w:ind w:left="5875" w:hanging="360"/>
      </w:pPr>
      <w:rPr>
        <w:rFonts w:ascii="Courier New" w:hAnsi="Courier New" w:cs="Courier New" w:hint="default"/>
      </w:rPr>
    </w:lvl>
    <w:lvl w:ilvl="8" w:tplc="0C090005" w:tentative="1">
      <w:start w:val="1"/>
      <w:numFmt w:val="bullet"/>
      <w:lvlText w:val=""/>
      <w:lvlJc w:val="left"/>
      <w:pPr>
        <w:ind w:left="6595" w:hanging="360"/>
      </w:pPr>
      <w:rPr>
        <w:rFonts w:ascii="Wingdings" w:hAnsi="Wingdings" w:hint="default"/>
      </w:rPr>
    </w:lvl>
  </w:abstractNum>
  <w:abstractNum w:abstractNumId="17" w15:restartNumberingAfterBreak="0">
    <w:nsid w:val="3D67656C"/>
    <w:multiLevelType w:val="multilevel"/>
    <w:tmpl w:val="A63CBD94"/>
    <w:lvl w:ilvl="0">
      <w:start w:val="1"/>
      <w:numFmt w:val="decimal"/>
      <w:pStyle w:val="Appendix1"/>
      <w:lvlText w:val="Appendix %1"/>
      <w:lvlJc w:val="left"/>
      <w:pPr>
        <w:ind w:left="1134" w:hanging="1134"/>
      </w:pPr>
      <w:rPr>
        <w:rFonts w:ascii="Arial" w:hAnsi="Arial" w:hint="default"/>
      </w:rPr>
    </w:lvl>
    <w:lvl w:ilvl="1">
      <w:start w:val="1"/>
      <w:numFmt w:val="decimal"/>
      <w:pStyle w:val="Appendix2"/>
      <w:lvlText w:val="A%1.%2"/>
      <w:lvlJc w:val="left"/>
      <w:pPr>
        <w:ind w:left="1844" w:hanging="1134"/>
      </w:pPr>
      <w:rPr>
        <w:rFonts w:hint="default"/>
      </w:rPr>
    </w:lvl>
    <w:lvl w:ilvl="2">
      <w:start w:val="1"/>
      <w:numFmt w:val="decimal"/>
      <w:pStyle w:val="Appendix3"/>
      <w:lvlText w:val="A1.%2.%3"/>
      <w:lvlJc w:val="left"/>
      <w:pPr>
        <w:ind w:left="1134" w:hanging="1134"/>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D8841FF"/>
    <w:multiLevelType w:val="multilevel"/>
    <w:tmpl w:val="251C30E8"/>
    <w:lvl w:ilvl="0">
      <w:start w:val="1"/>
      <w:numFmt w:val="bullet"/>
      <w:pStyle w:val="Bullets1"/>
      <w:lvlText w:val=""/>
      <w:lvlJc w:val="left"/>
      <w:pPr>
        <w:tabs>
          <w:tab w:val="num" w:pos="425"/>
        </w:tabs>
        <w:ind w:left="851" w:hanging="426"/>
      </w:pPr>
      <w:rPr>
        <w:rFonts w:ascii="Symbol" w:hAnsi="Symbol" w:hint="default"/>
        <w:u w:color="1C365F"/>
      </w:rPr>
    </w:lvl>
    <w:lvl w:ilvl="1">
      <w:start w:val="1"/>
      <w:numFmt w:val="bullet"/>
      <w:pStyle w:val="Bullets2"/>
      <w:lvlText w:val="o"/>
      <w:lvlJc w:val="left"/>
      <w:pPr>
        <w:ind w:left="1418" w:hanging="426"/>
      </w:pPr>
      <w:rPr>
        <w:rFonts w:ascii="Courier New" w:hAnsi="Courier New" w:hint="default"/>
      </w:rPr>
    </w:lvl>
    <w:lvl w:ilvl="2">
      <w:start w:val="1"/>
      <w:numFmt w:val="bullet"/>
      <w:pStyle w:val="Bullets3"/>
      <w:lvlText w:val=""/>
      <w:lvlJc w:val="left"/>
      <w:pPr>
        <w:ind w:left="1985" w:hanging="426"/>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3E952014"/>
    <w:multiLevelType w:val="hybridMultilevel"/>
    <w:tmpl w:val="B1AECE9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F3C3171"/>
    <w:multiLevelType w:val="multilevel"/>
    <w:tmpl w:val="B942BF60"/>
    <w:lvl w:ilvl="0">
      <w:start w:val="1"/>
      <w:numFmt w:val="decimal"/>
      <w:pStyle w:val="AppendixHeading1"/>
      <w:lvlText w:val="Appendix %1"/>
      <w:lvlJc w:val="left"/>
      <w:pPr>
        <w:ind w:left="360" w:hanging="360"/>
      </w:pPr>
      <w:rPr>
        <w:rFonts w:hint="default"/>
      </w:rPr>
    </w:lvl>
    <w:lvl w:ilvl="1">
      <w:start w:val="1"/>
      <w:numFmt w:val="decimal"/>
      <w:pStyle w:val="AppendixHeading2"/>
      <w:lvlText w:val="A%1.%2"/>
      <w:lvlJc w:val="left"/>
      <w:pPr>
        <w:ind w:left="1134" w:hanging="1134"/>
      </w:pPr>
      <w:rPr>
        <w:rFonts w:hint="default"/>
      </w:rPr>
    </w:lvl>
    <w:lvl w:ilvl="2">
      <w:start w:val="1"/>
      <w:numFmt w:val="decimal"/>
      <w:pStyle w:val="Appendixheading3"/>
      <w:lvlText w:val="A%1.%2.%3"/>
      <w:lvlJc w:val="left"/>
      <w:pPr>
        <w:ind w:left="1134" w:hanging="1134"/>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2BA1668"/>
    <w:multiLevelType w:val="hybridMultilevel"/>
    <w:tmpl w:val="A88802DE"/>
    <w:lvl w:ilvl="0" w:tplc="4AF64E0E">
      <w:start w:val="1"/>
      <w:numFmt w:val="decimal"/>
      <w:lvlText w:val="%1."/>
      <w:lvlJc w:val="left"/>
      <w:pPr>
        <w:ind w:left="1020" w:hanging="360"/>
      </w:pPr>
    </w:lvl>
    <w:lvl w:ilvl="1" w:tplc="CACCB084">
      <w:start w:val="1"/>
      <w:numFmt w:val="decimal"/>
      <w:lvlText w:val="%2."/>
      <w:lvlJc w:val="left"/>
      <w:pPr>
        <w:ind w:left="1020" w:hanging="360"/>
      </w:pPr>
    </w:lvl>
    <w:lvl w:ilvl="2" w:tplc="67D853FA">
      <w:start w:val="1"/>
      <w:numFmt w:val="decimal"/>
      <w:lvlText w:val="%3."/>
      <w:lvlJc w:val="left"/>
      <w:pPr>
        <w:ind w:left="1020" w:hanging="360"/>
      </w:pPr>
    </w:lvl>
    <w:lvl w:ilvl="3" w:tplc="11262E62">
      <w:start w:val="1"/>
      <w:numFmt w:val="decimal"/>
      <w:lvlText w:val="%4."/>
      <w:lvlJc w:val="left"/>
      <w:pPr>
        <w:ind w:left="1020" w:hanging="360"/>
      </w:pPr>
    </w:lvl>
    <w:lvl w:ilvl="4" w:tplc="D842F442">
      <w:start w:val="1"/>
      <w:numFmt w:val="decimal"/>
      <w:lvlText w:val="%5."/>
      <w:lvlJc w:val="left"/>
      <w:pPr>
        <w:ind w:left="1020" w:hanging="360"/>
      </w:pPr>
    </w:lvl>
    <w:lvl w:ilvl="5" w:tplc="24D6A622">
      <w:start w:val="1"/>
      <w:numFmt w:val="decimal"/>
      <w:lvlText w:val="%6."/>
      <w:lvlJc w:val="left"/>
      <w:pPr>
        <w:ind w:left="1020" w:hanging="360"/>
      </w:pPr>
    </w:lvl>
    <w:lvl w:ilvl="6" w:tplc="D046A02C">
      <w:start w:val="1"/>
      <w:numFmt w:val="decimal"/>
      <w:lvlText w:val="%7."/>
      <w:lvlJc w:val="left"/>
      <w:pPr>
        <w:ind w:left="1020" w:hanging="360"/>
      </w:pPr>
    </w:lvl>
    <w:lvl w:ilvl="7" w:tplc="315CDF78">
      <w:start w:val="1"/>
      <w:numFmt w:val="decimal"/>
      <w:lvlText w:val="%8."/>
      <w:lvlJc w:val="left"/>
      <w:pPr>
        <w:ind w:left="1020" w:hanging="360"/>
      </w:pPr>
    </w:lvl>
    <w:lvl w:ilvl="8" w:tplc="95D0B3B8">
      <w:start w:val="1"/>
      <w:numFmt w:val="decimal"/>
      <w:lvlText w:val="%9."/>
      <w:lvlJc w:val="left"/>
      <w:pPr>
        <w:ind w:left="1020" w:hanging="360"/>
      </w:pPr>
    </w:lvl>
  </w:abstractNum>
  <w:abstractNum w:abstractNumId="22" w15:restartNumberingAfterBreak="0">
    <w:nsid w:val="43805424"/>
    <w:multiLevelType w:val="hybridMultilevel"/>
    <w:tmpl w:val="494409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3A0DD5"/>
    <w:multiLevelType w:val="multilevel"/>
    <w:tmpl w:val="A266A4D8"/>
    <w:lvl w:ilvl="0">
      <w:start w:val="1"/>
      <w:numFmt w:val="bullet"/>
      <w:pStyle w:val="Bullets-noinden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5F21EB9"/>
    <w:multiLevelType w:val="hybridMultilevel"/>
    <w:tmpl w:val="BB30C8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98D7661"/>
    <w:multiLevelType w:val="hybridMultilevel"/>
    <w:tmpl w:val="7376F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79527D"/>
    <w:multiLevelType w:val="hybridMultilevel"/>
    <w:tmpl w:val="6CE2A868"/>
    <w:lvl w:ilvl="0" w:tplc="0C090001">
      <w:start w:val="3"/>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0213B51"/>
    <w:multiLevelType w:val="hybridMultilevel"/>
    <w:tmpl w:val="AE7687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0D2520"/>
    <w:multiLevelType w:val="hybridMultilevel"/>
    <w:tmpl w:val="0D084974"/>
    <w:lvl w:ilvl="0" w:tplc="7894492E">
      <w:start w:val="1"/>
      <w:numFmt w:val="decimal"/>
      <w:lvlText w:val="%1)"/>
      <w:lvlJc w:val="left"/>
      <w:pPr>
        <w:ind w:left="1020" w:hanging="360"/>
      </w:pPr>
    </w:lvl>
    <w:lvl w:ilvl="1" w:tplc="E3E2F536">
      <w:start w:val="1"/>
      <w:numFmt w:val="decimal"/>
      <w:lvlText w:val="%2)"/>
      <w:lvlJc w:val="left"/>
      <w:pPr>
        <w:ind w:left="1020" w:hanging="360"/>
      </w:pPr>
    </w:lvl>
    <w:lvl w:ilvl="2" w:tplc="9BE2CA84">
      <w:start w:val="1"/>
      <w:numFmt w:val="decimal"/>
      <w:lvlText w:val="%3)"/>
      <w:lvlJc w:val="left"/>
      <w:pPr>
        <w:ind w:left="1020" w:hanging="360"/>
      </w:pPr>
    </w:lvl>
    <w:lvl w:ilvl="3" w:tplc="DD5833F6">
      <w:start w:val="1"/>
      <w:numFmt w:val="decimal"/>
      <w:lvlText w:val="%4)"/>
      <w:lvlJc w:val="left"/>
      <w:pPr>
        <w:ind w:left="1020" w:hanging="360"/>
      </w:pPr>
    </w:lvl>
    <w:lvl w:ilvl="4" w:tplc="E43A09B2">
      <w:start w:val="1"/>
      <w:numFmt w:val="decimal"/>
      <w:lvlText w:val="%5)"/>
      <w:lvlJc w:val="left"/>
      <w:pPr>
        <w:ind w:left="1020" w:hanging="360"/>
      </w:pPr>
    </w:lvl>
    <w:lvl w:ilvl="5" w:tplc="4C2CC55E">
      <w:start w:val="1"/>
      <w:numFmt w:val="decimal"/>
      <w:lvlText w:val="%6)"/>
      <w:lvlJc w:val="left"/>
      <w:pPr>
        <w:ind w:left="1020" w:hanging="360"/>
      </w:pPr>
    </w:lvl>
    <w:lvl w:ilvl="6" w:tplc="23EC7A4C">
      <w:start w:val="1"/>
      <w:numFmt w:val="decimal"/>
      <w:lvlText w:val="%7)"/>
      <w:lvlJc w:val="left"/>
      <w:pPr>
        <w:ind w:left="1020" w:hanging="360"/>
      </w:pPr>
    </w:lvl>
    <w:lvl w:ilvl="7" w:tplc="5A4C7818">
      <w:start w:val="1"/>
      <w:numFmt w:val="decimal"/>
      <w:lvlText w:val="%8)"/>
      <w:lvlJc w:val="left"/>
      <w:pPr>
        <w:ind w:left="1020" w:hanging="360"/>
      </w:pPr>
    </w:lvl>
    <w:lvl w:ilvl="8" w:tplc="BF1874C4">
      <w:start w:val="1"/>
      <w:numFmt w:val="decimal"/>
      <w:lvlText w:val="%9)"/>
      <w:lvlJc w:val="left"/>
      <w:pPr>
        <w:ind w:left="1020" w:hanging="360"/>
      </w:pPr>
    </w:lvl>
  </w:abstractNum>
  <w:abstractNum w:abstractNumId="29" w15:restartNumberingAfterBreak="0">
    <w:nsid w:val="52B24658"/>
    <w:multiLevelType w:val="hybridMultilevel"/>
    <w:tmpl w:val="E8EC3080"/>
    <w:lvl w:ilvl="0" w:tplc="04C6A2D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5E7D7A"/>
    <w:multiLevelType w:val="hybridMultilevel"/>
    <w:tmpl w:val="1DE658BA"/>
    <w:lvl w:ilvl="0" w:tplc="3C4CB24C">
      <w:start w:val="1"/>
      <w:numFmt w:val="bullet"/>
      <w:lvlText w:val=""/>
      <w:lvlJc w:val="left"/>
      <w:pPr>
        <w:ind w:left="720" w:hanging="360"/>
      </w:pPr>
      <w:rPr>
        <w:rFonts w:ascii="Symbol" w:hAnsi="Symbol"/>
      </w:rPr>
    </w:lvl>
    <w:lvl w:ilvl="1" w:tplc="A584271A">
      <w:start w:val="1"/>
      <w:numFmt w:val="bullet"/>
      <w:lvlText w:val=""/>
      <w:lvlJc w:val="left"/>
      <w:pPr>
        <w:ind w:left="720" w:hanging="360"/>
      </w:pPr>
      <w:rPr>
        <w:rFonts w:ascii="Symbol" w:hAnsi="Symbol"/>
      </w:rPr>
    </w:lvl>
    <w:lvl w:ilvl="2" w:tplc="6C44C728">
      <w:start w:val="1"/>
      <w:numFmt w:val="bullet"/>
      <w:lvlText w:val=""/>
      <w:lvlJc w:val="left"/>
      <w:pPr>
        <w:ind w:left="720" w:hanging="360"/>
      </w:pPr>
      <w:rPr>
        <w:rFonts w:ascii="Symbol" w:hAnsi="Symbol"/>
      </w:rPr>
    </w:lvl>
    <w:lvl w:ilvl="3" w:tplc="E47CEEC4">
      <w:start w:val="1"/>
      <w:numFmt w:val="bullet"/>
      <w:lvlText w:val=""/>
      <w:lvlJc w:val="left"/>
      <w:pPr>
        <w:ind w:left="720" w:hanging="360"/>
      </w:pPr>
      <w:rPr>
        <w:rFonts w:ascii="Symbol" w:hAnsi="Symbol"/>
      </w:rPr>
    </w:lvl>
    <w:lvl w:ilvl="4" w:tplc="70D06E98">
      <w:start w:val="1"/>
      <w:numFmt w:val="bullet"/>
      <w:lvlText w:val=""/>
      <w:lvlJc w:val="left"/>
      <w:pPr>
        <w:ind w:left="720" w:hanging="360"/>
      </w:pPr>
      <w:rPr>
        <w:rFonts w:ascii="Symbol" w:hAnsi="Symbol"/>
      </w:rPr>
    </w:lvl>
    <w:lvl w:ilvl="5" w:tplc="26607A28">
      <w:start w:val="1"/>
      <w:numFmt w:val="bullet"/>
      <w:lvlText w:val=""/>
      <w:lvlJc w:val="left"/>
      <w:pPr>
        <w:ind w:left="720" w:hanging="360"/>
      </w:pPr>
      <w:rPr>
        <w:rFonts w:ascii="Symbol" w:hAnsi="Symbol"/>
      </w:rPr>
    </w:lvl>
    <w:lvl w:ilvl="6" w:tplc="CDBE7098">
      <w:start w:val="1"/>
      <w:numFmt w:val="bullet"/>
      <w:lvlText w:val=""/>
      <w:lvlJc w:val="left"/>
      <w:pPr>
        <w:ind w:left="720" w:hanging="360"/>
      </w:pPr>
      <w:rPr>
        <w:rFonts w:ascii="Symbol" w:hAnsi="Symbol"/>
      </w:rPr>
    </w:lvl>
    <w:lvl w:ilvl="7" w:tplc="EE62E710">
      <w:start w:val="1"/>
      <w:numFmt w:val="bullet"/>
      <w:lvlText w:val=""/>
      <w:lvlJc w:val="left"/>
      <w:pPr>
        <w:ind w:left="720" w:hanging="360"/>
      </w:pPr>
      <w:rPr>
        <w:rFonts w:ascii="Symbol" w:hAnsi="Symbol"/>
      </w:rPr>
    </w:lvl>
    <w:lvl w:ilvl="8" w:tplc="D4B0FE76">
      <w:start w:val="1"/>
      <w:numFmt w:val="bullet"/>
      <w:lvlText w:val=""/>
      <w:lvlJc w:val="left"/>
      <w:pPr>
        <w:ind w:left="720" w:hanging="360"/>
      </w:pPr>
      <w:rPr>
        <w:rFonts w:ascii="Symbol" w:hAnsi="Symbol"/>
      </w:rPr>
    </w:lvl>
  </w:abstractNum>
  <w:abstractNum w:abstractNumId="31" w15:restartNumberingAfterBreak="0">
    <w:nsid w:val="53886005"/>
    <w:multiLevelType w:val="hybridMultilevel"/>
    <w:tmpl w:val="CC2C6350"/>
    <w:lvl w:ilvl="0" w:tplc="7AB6291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E75769"/>
    <w:multiLevelType w:val="multilevel"/>
    <w:tmpl w:val="744847D2"/>
    <w:lvl w:ilvl="0">
      <w:start w:val="1"/>
      <w:numFmt w:val="decimal"/>
      <w:pStyle w:val="Heading1"/>
      <w:lvlText w:val="%1."/>
      <w:lvlJc w:val="left"/>
      <w:pPr>
        <w:ind w:left="851" w:hanging="851"/>
      </w:pPr>
      <w:rPr>
        <w:rFonts w:hint="default"/>
        <w:b w:val="0"/>
        <w:bCs w:val="0"/>
      </w:rPr>
    </w:lvl>
    <w:lvl w:ilvl="1">
      <w:start w:val="1"/>
      <w:numFmt w:val="decimal"/>
      <w:pStyle w:val="Heading2"/>
      <w:lvlText w:val="%1.%2"/>
      <w:lvlJc w:val="left"/>
      <w:pPr>
        <w:ind w:left="851" w:hanging="851"/>
      </w:pPr>
      <w:rPr>
        <w:rFonts w:hint="default"/>
        <w:sz w:val="32"/>
        <w:szCs w:val="32"/>
      </w:rPr>
    </w:lvl>
    <w:lvl w:ilvl="2">
      <w:start w:val="1"/>
      <w:numFmt w:val="decimal"/>
      <w:pStyle w:val="Heading3"/>
      <w:lvlText w:val="%1.%2.%3"/>
      <w:lvlJc w:val="left"/>
      <w:pPr>
        <w:ind w:left="851" w:hanging="851"/>
      </w:pPr>
      <w:rPr>
        <w:rFonts w:hint="default"/>
        <w:b w:val="0"/>
        <w:bCs w:val="0"/>
      </w:rPr>
    </w:lvl>
    <w:lvl w:ilvl="3">
      <w:start w:val="1"/>
      <w:numFmt w:val="decimal"/>
      <w:lvlText w:val="%4."/>
      <w:lvlJc w:val="left"/>
      <w:pPr>
        <w:ind w:left="567" w:hanging="283"/>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C626613"/>
    <w:multiLevelType w:val="hybridMultilevel"/>
    <w:tmpl w:val="6DC809C2"/>
    <w:lvl w:ilvl="0" w:tplc="E3A23F14">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DD51A6"/>
    <w:multiLevelType w:val="hybridMultilevel"/>
    <w:tmpl w:val="35A20DB4"/>
    <w:lvl w:ilvl="0" w:tplc="080C1606">
      <w:start w:val="1"/>
      <w:numFmt w:val="bullet"/>
      <w:lvlText w:val=""/>
      <w:lvlJc w:val="left"/>
      <w:pPr>
        <w:ind w:left="720" w:hanging="360"/>
      </w:pPr>
      <w:rPr>
        <w:rFonts w:ascii="Symbol" w:hAnsi="Symbol"/>
      </w:rPr>
    </w:lvl>
    <w:lvl w:ilvl="1" w:tplc="21040138">
      <w:start w:val="1"/>
      <w:numFmt w:val="bullet"/>
      <w:lvlText w:val=""/>
      <w:lvlJc w:val="left"/>
      <w:pPr>
        <w:ind w:left="720" w:hanging="360"/>
      </w:pPr>
      <w:rPr>
        <w:rFonts w:ascii="Symbol" w:hAnsi="Symbol"/>
      </w:rPr>
    </w:lvl>
    <w:lvl w:ilvl="2" w:tplc="00AADD94">
      <w:start w:val="1"/>
      <w:numFmt w:val="bullet"/>
      <w:lvlText w:val=""/>
      <w:lvlJc w:val="left"/>
      <w:pPr>
        <w:ind w:left="720" w:hanging="360"/>
      </w:pPr>
      <w:rPr>
        <w:rFonts w:ascii="Symbol" w:hAnsi="Symbol"/>
      </w:rPr>
    </w:lvl>
    <w:lvl w:ilvl="3" w:tplc="05D8B2CA">
      <w:start w:val="1"/>
      <w:numFmt w:val="bullet"/>
      <w:lvlText w:val=""/>
      <w:lvlJc w:val="left"/>
      <w:pPr>
        <w:ind w:left="720" w:hanging="360"/>
      </w:pPr>
      <w:rPr>
        <w:rFonts w:ascii="Symbol" w:hAnsi="Symbol"/>
      </w:rPr>
    </w:lvl>
    <w:lvl w:ilvl="4" w:tplc="5EF0B986">
      <w:start w:val="1"/>
      <w:numFmt w:val="bullet"/>
      <w:lvlText w:val=""/>
      <w:lvlJc w:val="left"/>
      <w:pPr>
        <w:ind w:left="720" w:hanging="360"/>
      </w:pPr>
      <w:rPr>
        <w:rFonts w:ascii="Symbol" w:hAnsi="Symbol"/>
      </w:rPr>
    </w:lvl>
    <w:lvl w:ilvl="5" w:tplc="BDCA6EC2">
      <w:start w:val="1"/>
      <w:numFmt w:val="bullet"/>
      <w:lvlText w:val=""/>
      <w:lvlJc w:val="left"/>
      <w:pPr>
        <w:ind w:left="720" w:hanging="360"/>
      </w:pPr>
      <w:rPr>
        <w:rFonts w:ascii="Symbol" w:hAnsi="Symbol"/>
      </w:rPr>
    </w:lvl>
    <w:lvl w:ilvl="6" w:tplc="88C685F6">
      <w:start w:val="1"/>
      <w:numFmt w:val="bullet"/>
      <w:lvlText w:val=""/>
      <w:lvlJc w:val="left"/>
      <w:pPr>
        <w:ind w:left="720" w:hanging="360"/>
      </w:pPr>
      <w:rPr>
        <w:rFonts w:ascii="Symbol" w:hAnsi="Symbol"/>
      </w:rPr>
    </w:lvl>
    <w:lvl w:ilvl="7" w:tplc="D68C66C0">
      <w:start w:val="1"/>
      <w:numFmt w:val="bullet"/>
      <w:lvlText w:val=""/>
      <w:lvlJc w:val="left"/>
      <w:pPr>
        <w:ind w:left="720" w:hanging="360"/>
      </w:pPr>
      <w:rPr>
        <w:rFonts w:ascii="Symbol" w:hAnsi="Symbol"/>
      </w:rPr>
    </w:lvl>
    <w:lvl w:ilvl="8" w:tplc="3E5CDB78">
      <w:start w:val="1"/>
      <w:numFmt w:val="bullet"/>
      <w:lvlText w:val=""/>
      <w:lvlJc w:val="left"/>
      <w:pPr>
        <w:ind w:left="720" w:hanging="360"/>
      </w:pPr>
      <w:rPr>
        <w:rFonts w:ascii="Symbol" w:hAnsi="Symbol"/>
      </w:rPr>
    </w:lvl>
  </w:abstractNum>
  <w:abstractNum w:abstractNumId="35" w15:restartNumberingAfterBreak="0">
    <w:nsid w:val="71517FB9"/>
    <w:multiLevelType w:val="hybridMultilevel"/>
    <w:tmpl w:val="4CE097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FB706B"/>
    <w:multiLevelType w:val="hybridMultilevel"/>
    <w:tmpl w:val="0CB6DCE4"/>
    <w:lvl w:ilvl="0" w:tplc="0C090011">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9A036AD"/>
    <w:multiLevelType w:val="multilevel"/>
    <w:tmpl w:val="11A0ABAA"/>
    <w:styleLink w:val="CurrentList1"/>
    <w:lvl w:ilvl="0">
      <w:start w:val="1"/>
      <w:numFmt w:val="decimal"/>
      <w:lvlText w:val="%1."/>
      <w:lvlJc w:val="left"/>
      <w:pPr>
        <w:ind w:left="851" w:hanging="851"/>
      </w:pPr>
      <w:rPr>
        <w:rFonts w:hint="default"/>
        <w:b w:val="0"/>
        <w:bCs w:val="0"/>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b w:val="0"/>
        <w:bCs w:val="0"/>
      </w:rPr>
    </w:lvl>
    <w:lvl w:ilvl="3">
      <w:start w:val="1"/>
      <w:numFmt w:val="decimal"/>
      <w:lvlText w:val="%4."/>
      <w:lvlJc w:val="left"/>
      <w:pPr>
        <w:ind w:left="567" w:hanging="283"/>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E2A5CDC"/>
    <w:multiLevelType w:val="hybridMultilevel"/>
    <w:tmpl w:val="62C0B8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779"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07702151">
    <w:abstractNumId w:val="17"/>
  </w:num>
  <w:num w:numId="2" w16cid:durableId="188304771">
    <w:abstractNumId w:val="23"/>
  </w:num>
  <w:num w:numId="3" w16cid:durableId="1912428527">
    <w:abstractNumId w:val="18"/>
  </w:num>
  <w:num w:numId="4" w16cid:durableId="790561278">
    <w:abstractNumId w:val="32"/>
  </w:num>
  <w:num w:numId="5" w16cid:durableId="197552635">
    <w:abstractNumId w:val="3"/>
  </w:num>
  <w:num w:numId="6" w16cid:durableId="182060316">
    <w:abstractNumId w:val="9"/>
  </w:num>
  <w:num w:numId="7" w16cid:durableId="768621980">
    <w:abstractNumId w:val="2"/>
  </w:num>
  <w:num w:numId="8" w16cid:durableId="198326175">
    <w:abstractNumId w:val="4"/>
  </w:num>
  <w:num w:numId="9" w16cid:durableId="149369336">
    <w:abstractNumId w:val="7"/>
  </w:num>
  <w:num w:numId="10" w16cid:durableId="1585719516">
    <w:abstractNumId w:val="13"/>
  </w:num>
  <w:num w:numId="11" w16cid:durableId="1123228868">
    <w:abstractNumId w:val="37"/>
  </w:num>
  <w:num w:numId="12" w16cid:durableId="581138518">
    <w:abstractNumId w:val="20"/>
  </w:num>
  <w:num w:numId="13" w16cid:durableId="397939282">
    <w:abstractNumId w:val="32"/>
  </w:num>
  <w:num w:numId="14" w16cid:durableId="364908444">
    <w:abstractNumId w:val="32"/>
  </w:num>
  <w:num w:numId="15" w16cid:durableId="1734815839">
    <w:abstractNumId w:val="32"/>
  </w:num>
  <w:num w:numId="16" w16cid:durableId="526911150">
    <w:abstractNumId w:val="32"/>
  </w:num>
  <w:num w:numId="17" w16cid:durableId="705255886">
    <w:abstractNumId w:val="32"/>
  </w:num>
  <w:num w:numId="18" w16cid:durableId="1145927728">
    <w:abstractNumId w:val="32"/>
  </w:num>
  <w:num w:numId="19" w16cid:durableId="204415358">
    <w:abstractNumId w:val="32"/>
  </w:num>
  <w:num w:numId="20" w16cid:durableId="2108769297">
    <w:abstractNumId w:val="32"/>
  </w:num>
  <w:num w:numId="21" w16cid:durableId="263926438">
    <w:abstractNumId w:val="21"/>
  </w:num>
  <w:num w:numId="22" w16cid:durableId="2012021125">
    <w:abstractNumId w:val="5"/>
  </w:num>
  <w:num w:numId="23" w16cid:durableId="1702440801">
    <w:abstractNumId w:val="25"/>
  </w:num>
  <w:num w:numId="24" w16cid:durableId="1977756125">
    <w:abstractNumId w:val="32"/>
  </w:num>
  <w:num w:numId="25" w16cid:durableId="2092236807">
    <w:abstractNumId w:val="28"/>
  </w:num>
  <w:num w:numId="26" w16cid:durableId="1862015701">
    <w:abstractNumId w:val="14"/>
  </w:num>
  <w:num w:numId="27" w16cid:durableId="834879586">
    <w:abstractNumId w:val="15"/>
  </w:num>
  <w:num w:numId="28" w16cid:durableId="1879657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988207">
    <w:abstractNumId w:val="17"/>
  </w:num>
  <w:num w:numId="30" w16cid:durableId="848253247">
    <w:abstractNumId w:val="19"/>
  </w:num>
  <w:num w:numId="31" w16cid:durableId="456677997">
    <w:abstractNumId w:val="1"/>
  </w:num>
  <w:num w:numId="32" w16cid:durableId="1537965623">
    <w:abstractNumId w:val="10"/>
  </w:num>
  <w:num w:numId="33" w16cid:durableId="1432967428">
    <w:abstractNumId w:val="24"/>
  </w:num>
  <w:num w:numId="34" w16cid:durableId="1736976149">
    <w:abstractNumId w:val="17"/>
  </w:num>
  <w:num w:numId="35" w16cid:durableId="1765809278">
    <w:abstractNumId w:val="27"/>
  </w:num>
  <w:num w:numId="36" w16cid:durableId="16932175">
    <w:abstractNumId w:val="17"/>
  </w:num>
  <w:num w:numId="37" w16cid:durableId="1633318513">
    <w:abstractNumId w:val="17"/>
  </w:num>
  <w:num w:numId="38" w16cid:durableId="1278373846">
    <w:abstractNumId w:val="17"/>
  </w:num>
  <w:num w:numId="39" w16cid:durableId="1407342742">
    <w:abstractNumId w:val="16"/>
  </w:num>
  <w:num w:numId="40" w16cid:durableId="131757122">
    <w:abstractNumId w:val="29"/>
  </w:num>
  <w:num w:numId="41" w16cid:durableId="1006714004">
    <w:abstractNumId w:val="22"/>
  </w:num>
  <w:num w:numId="42" w16cid:durableId="1316912799">
    <w:abstractNumId w:val="38"/>
  </w:num>
  <w:num w:numId="43" w16cid:durableId="1935238213">
    <w:abstractNumId w:val="35"/>
  </w:num>
  <w:num w:numId="44" w16cid:durableId="1624965702">
    <w:abstractNumId w:val="33"/>
  </w:num>
  <w:num w:numId="45" w16cid:durableId="36438036">
    <w:abstractNumId w:val="31"/>
  </w:num>
  <w:num w:numId="46" w16cid:durableId="604732436">
    <w:abstractNumId w:val="34"/>
  </w:num>
  <w:num w:numId="47" w16cid:durableId="1217622760">
    <w:abstractNumId w:val="12"/>
  </w:num>
  <w:num w:numId="48" w16cid:durableId="542597904">
    <w:abstractNumId w:val="26"/>
  </w:num>
  <w:num w:numId="49" w16cid:durableId="1661807999">
    <w:abstractNumId w:val="11"/>
  </w:num>
  <w:num w:numId="50" w16cid:durableId="20666409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83087146">
    <w:abstractNumId w:val="6"/>
  </w:num>
  <w:num w:numId="52" w16cid:durableId="1210340314">
    <w:abstractNumId w:val="30"/>
  </w:num>
  <w:num w:numId="53" w16cid:durableId="1071462777">
    <w:abstractNumId w:val="36"/>
  </w:num>
  <w:num w:numId="54" w16cid:durableId="281694670">
    <w:abstractNumId w:val="0"/>
  </w:num>
  <w:num w:numId="55" w16cid:durableId="364252327">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16"/>
    <w:rsid w:val="000000C9"/>
    <w:rsid w:val="00000117"/>
    <w:rsid w:val="00000240"/>
    <w:rsid w:val="00000346"/>
    <w:rsid w:val="000003CF"/>
    <w:rsid w:val="00000494"/>
    <w:rsid w:val="00000786"/>
    <w:rsid w:val="00000795"/>
    <w:rsid w:val="00000AF2"/>
    <w:rsid w:val="00000CFB"/>
    <w:rsid w:val="00000E37"/>
    <w:rsid w:val="00001059"/>
    <w:rsid w:val="000010AF"/>
    <w:rsid w:val="000012B9"/>
    <w:rsid w:val="00001351"/>
    <w:rsid w:val="0000140C"/>
    <w:rsid w:val="00001533"/>
    <w:rsid w:val="000017BB"/>
    <w:rsid w:val="00001931"/>
    <w:rsid w:val="00001AC8"/>
    <w:rsid w:val="00002191"/>
    <w:rsid w:val="00002A9D"/>
    <w:rsid w:val="00002EE7"/>
    <w:rsid w:val="00002FC0"/>
    <w:rsid w:val="000030FB"/>
    <w:rsid w:val="00003145"/>
    <w:rsid w:val="000031DF"/>
    <w:rsid w:val="00003421"/>
    <w:rsid w:val="0000357E"/>
    <w:rsid w:val="000035AD"/>
    <w:rsid w:val="00003EFF"/>
    <w:rsid w:val="00004B49"/>
    <w:rsid w:val="00004CF1"/>
    <w:rsid w:val="00004DDE"/>
    <w:rsid w:val="000052F0"/>
    <w:rsid w:val="000055A2"/>
    <w:rsid w:val="0000592C"/>
    <w:rsid w:val="00005D99"/>
    <w:rsid w:val="000062B7"/>
    <w:rsid w:val="0000636D"/>
    <w:rsid w:val="00006567"/>
    <w:rsid w:val="00006733"/>
    <w:rsid w:val="000069C9"/>
    <w:rsid w:val="00006DA2"/>
    <w:rsid w:val="00007335"/>
    <w:rsid w:val="000073D0"/>
    <w:rsid w:val="0000755D"/>
    <w:rsid w:val="000076D0"/>
    <w:rsid w:val="00007781"/>
    <w:rsid w:val="0000794D"/>
    <w:rsid w:val="00007ABC"/>
    <w:rsid w:val="00007D19"/>
    <w:rsid w:val="00007EE8"/>
    <w:rsid w:val="000100DC"/>
    <w:rsid w:val="00010D13"/>
    <w:rsid w:val="0001115E"/>
    <w:rsid w:val="000116BE"/>
    <w:rsid w:val="00011D42"/>
    <w:rsid w:val="00012114"/>
    <w:rsid w:val="000122BB"/>
    <w:rsid w:val="00012C74"/>
    <w:rsid w:val="00012E26"/>
    <w:rsid w:val="00012FD5"/>
    <w:rsid w:val="000132A2"/>
    <w:rsid w:val="00013816"/>
    <w:rsid w:val="0001381A"/>
    <w:rsid w:val="00013925"/>
    <w:rsid w:val="00013975"/>
    <w:rsid w:val="00013E04"/>
    <w:rsid w:val="00014111"/>
    <w:rsid w:val="00014B79"/>
    <w:rsid w:val="000150F4"/>
    <w:rsid w:val="000157FD"/>
    <w:rsid w:val="00015835"/>
    <w:rsid w:val="000158D8"/>
    <w:rsid w:val="000158EB"/>
    <w:rsid w:val="00015932"/>
    <w:rsid w:val="0001597E"/>
    <w:rsid w:val="00015B46"/>
    <w:rsid w:val="00015B9A"/>
    <w:rsid w:val="0001603A"/>
    <w:rsid w:val="00016437"/>
    <w:rsid w:val="00016844"/>
    <w:rsid w:val="0001697E"/>
    <w:rsid w:val="00016E5F"/>
    <w:rsid w:val="000171AF"/>
    <w:rsid w:val="000171FE"/>
    <w:rsid w:val="0001741B"/>
    <w:rsid w:val="000179C6"/>
    <w:rsid w:val="00017B69"/>
    <w:rsid w:val="00017E5C"/>
    <w:rsid w:val="00017FC2"/>
    <w:rsid w:val="00020079"/>
    <w:rsid w:val="00020509"/>
    <w:rsid w:val="00020540"/>
    <w:rsid w:val="000206C1"/>
    <w:rsid w:val="0002089E"/>
    <w:rsid w:val="00020D98"/>
    <w:rsid w:val="00020E06"/>
    <w:rsid w:val="00020EE2"/>
    <w:rsid w:val="00020F2E"/>
    <w:rsid w:val="00021022"/>
    <w:rsid w:val="00021092"/>
    <w:rsid w:val="00021179"/>
    <w:rsid w:val="000211B9"/>
    <w:rsid w:val="00021379"/>
    <w:rsid w:val="000213D2"/>
    <w:rsid w:val="000217EE"/>
    <w:rsid w:val="00021959"/>
    <w:rsid w:val="00021E5F"/>
    <w:rsid w:val="00022392"/>
    <w:rsid w:val="0002245A"/>
    <w:rsid w:val="0002263A"/>
    <w:rsid w:val="00022898"/>
    <w:rsid w:val="00022B70"/>
    <w:rsid w:val="00022C6D"/>
    <w:rsid w:val="0002303E"/>
    <w:rsid w:val="00023160"/>
    <w:rsid w:val="00023322"/>
    <w:rsid w:val="000237CC"/>
    <w:rsid w:val="00023BB6"/>
    <w:rsid w:val="00023C18"/>
    <w:rsid w:val="00023C44"/>
    <w:rsid w:val="00023FD6"/>
    <w:rsid w:val="00024041"/>
    <w:rsid w:val="000240AF"/>
    <w:rsid w:val="0002455A"/>
    <w:rsid w:val="00024747"/>
    <w:rsid w:val="00024CA7"/>
    <w:rsid w:val="00024CCF"/>
    <w:rsid w:val="00025025"/>
    <w:rsid w:val="00025175"/>
    <w:rsid w:val="000252D5"/>
    <w:rsid w:val="00025760"/>
    <w:rsid w:val="000259B4"/>
    <w:rsid w:val="00025C00"/>
    <w:rsid w:val="00025C44"/>
    <w:rsid w:val="00025D11"/>
    <w:rsid w:val="00025D17"/>
    <w:rsid w:val="0002604F"/>
    <w:rsid w:val="0002620C"/>
    <w:rsid w:val="000262ED"/>
    <w:rsid w:val="00026512"/>
    <w:rsid w:val="00026787"/>
    <w:rsid w:val="00026908"/>
    <w:rsid w:val="00026946"/>
    <w:rsid w:val="00026C6C"/>
    <w:rsid w:val="000272D5"/>
    <w:rsid w:val="000274CB"/>
    <w:rsid w:val="0002776A"/>
    <w:rsid w:val="00030095"/>
    <w:rsid w:val="000300F1"/>
    <w:rsid w:val="00030815"/>
    <w:rsid w:val="0003087B"/>
    <w:rsid w:val="00030AA1"/>
    <w:rsid w:val="00030C07"/>
    <w:rsid w:val="00030CC1"/>
    <w:rsid w:val="000316BB"/>
    <w:rsid w:val="00031774"/>
    <w:rsid w:val="00031832"/>
    <w:rsid w:val="00031877"/>
    <w:rsid w:val="000319B3"/>
    <w:rsid w:val="00031C8C"/>
    <w:rsid w:val="00031D6B"/>
    <w:rsid w:val="00031F86"/>
    <w:rsid w:val="00032015"/>
    <w:rsid w:val="000321AB"/>
    <w:rsid w:val="0003226A"/>
    <w:rsid w:val="000325B0"/>
    <w:rsid w:val="0003294F"/>
    <w:rsid w:val="00032C35"/>
    <w:rsid w:val="00032D11"/>
    <w:rsid w:val="00032DDE"/>
    <w:rsid w:val="00032FCC"/>
    <w:rsid w:val="00032FEA"/>
    <w:rsid w:val="000330D3"/>
    <w:rsid w:val="000330F5"/>
    <w:rsid w:val="000339AD"/>
    <w:rsid w:val="0003410A"/>
    <w:rsid w:val="00034326"/>
    <w:rsid w:val="00034623"/>
    <w:rsid w:val="00034A97"/>
    <w:rsid w:val="00035191"/>
    <w:rsid w:val="000352B4"/>
    <w:rsid w:val="00035702"/>
    <w:rsid w:val="000359C3"/>
    <w:rsid w:val="00035FBB"/>
    <w:rsid w:val="000363DF"/>
    <w:rsid w:val="00036550"/>
    <w:rsid w:val="000366F3"/>
    <w:rsid w:val="000367E9"/>
    <w:rsid w:val="00036E22"/>
    <w:rsid w:val="0003731A"/>
    <w:rsid w:val="00037696"/>
    <w:rsid w:val="000376D8"/>
    <w:rsid w:val="000379B1"/>
    <w:rsid w:val="00037FEC"/>
    <w:rsid w:val="00040981"/>
    <w:rsid w:val="000412D5"/>
    <w:rsid w:val="000419FA"/>
    <w:rsid w:val="00041B57"/>
    <w:rsid w:val="00041B9A"/>
    <w:rsid w:val="00041C7A"/>
    <w:rsid w:val="00041E94"/>
    <w:rsid w:val="00042493"/>
    <w:rsid w:val="00042533"/>
    <w:rsid w:val="00042DD8"/>
    <w:rsid w:val="00042F53"/>
    <w:rsid w:val="00042F55"/>
    <w:rsid w:val="00043253"/>
    <w:rsid w:val="000433C1"/>
    <w:rsid w:val="00043488"/>
    <w:rsid w:val="000436AB"/>
    <w:rsid w:val="00043716"/>
    <w:rsid w:val="0004389D"/>
    <w:rsid w:val="00043CBF"/>
    <w:rsid w:val="00043CF3"/>
    <w:rsid w:val="00043E63"/>
    <w:rsid w:val="00044175"/>
    <w:rsid w:val="000446F4"/>
    <w:rsid w:val="000449AB"/>
    <w:rsid w:val="00044B70"/>
    <w:rsid w:val="00044C3D"/>
    <w:rsid w:val="00044F13"/>
    <w:rsid w:val="00045046"/>
    <w:rsid w:val="000451DA"/>
    <w:rsid w:val="0004577B"/>
    <w:rsid w:val="0004580D"/>
    <w:rsid w:val="000458B7"/>
    <w:rsid w:val="00045B85"/>
    <w:rsid w:val="00045CC8"/>
    <w:rsid w:val="000463B1"/>
    <w:rsid w:val="00046A7E"/>
    <w:rsid w:val="00046AA9"/>
    <w:rsid w:val="00046F24"/>
    <w:rsid w:val="00047086"/>
    <w:rsid w:val="000471CA"/>
    <w:rsid w:val="0004727D"/>
    <w:rsid w:val="0004749E"/>
    <w:rsid w:val="000474D5"/>
    <w:rsid w:val="00047AF8"/>
    <w:rsid w:val="00047C13"/>
    <w:rsid w:val="00047CBC"/>
    <w:rsid w:val="0005043C"/>
    <w:rsid w:val="00050505"/>
    <w:rsid w:val="00050AAA"/>
    <w:rsid w:val="00050F2E"/>
    <w:rsid w:val="00050F8F"/>
    <w:rsid w:val="00051476"/>
    <w:rsid w:val="0005168F"/>
    <w:rsid w:val="0005173D"/>
    <w:rsid w:val="0005196E"/>
    <w:rsid w:val="00051A7D"/>
    <w:rsid w:val="00051BB9"/>
    <w:rsid w:val="00051ED7"/>
    <w:rsid w:val="000524FF"/>
    <w:rsid w:val="0005263A"/>
    <w:rsid w:val="000528C0"/>
    <w:rsid w:val="00052B06"/>
    <w:rsid w:val="00052BE7"/>
    <w:rsid w:val="00052E02"/>
    <w:rsid w:val="00052E90"/>
    <w:rsid w:val="0005339B"/>
    <w:rsid w:val="000533A1"/>
    <w:rsid w:val="000533DB"/>
    <w:rsid w:val="00053E39"/>
    <w:rsid w:val="000540B3"/>
    <w:rsid w:val="00054880"/>
    <w:rsid w:val="00054982"/>
    <w:rsid w:val="00054A30"/>
    <w:rsid w:val="00054DF9"/>
    <w:rsid w:val="00054F12"/>
    <w:rsid w:val="00055265"/>
    <w:rsid w:val="000552CF"/>
    <w:rsid w:val="00055562"/>
    <w:rsid w:val="000555B3"/>
    <w:rsid w:val="00055600"/>
    <w:rsid w:val="00055987"/>
    <w:rsid w:val="00056389"/>
    <w:rsid w:val="0005651A"/>
    <w:rsid w:val="0005651B"/>
    <w:rsid w:val="00056CBA"/>
    <w:rsid w:val="000570AF"/>
    <w:rsid w:val="000570EE"/>
    <w:rsid w:val="00057377"/>
    <w:rsid w:val="00057446"/>
    <w:rsid w:val="0005780F"/>
    <w:rsid w:val="00057BF3"/>
    <w:rsid w:val="00057D8A"/>
    <w:rsid w:val="000607BC"/>
    <w:rsid w:val="000608B7"/>
    <w:rsid w:val="00060B3D"/>
    <w:rsid w:val="00060E43"/>
    <w:rsid w:val="00060F59"/>
    <w:rsid w:val="00061268"/>
    <w:rsid w:val="00061A2D"/>
    <w:rsid w:val="00061A66"/>
    <w:rsid w:val="00061EC8"/>
    <w:rsid w:val="000625D0"/>
    <w:rsid w:val="0006286E"/>
    <w:rsid w:val="000628B3"/>
    <w:rsid w:val="00062914"/>
    <w:rsid w:val="00062987"/>
    <w:rsid w:val="00063150"/>
    <w:rsid w:val="000634BD"/>
    <w:rsid w:val="00063774"/>
    <w:rsid w:val="0006387D"/>
    <w:rsid w:val="00063C97"/>
    <w:rsid w:val="00063D7A"/>
    <w:rsid w:val="00063E53"/>
    <w:rsid w:val="00064919"/>
    <w:rsid w:val="000649E3"/>
    <w:rsid w:val="00064AA4"/>
    <w:rsid w:val="00064B0B"/>
    <w:rsid w:val="000654E0"/>
    <w:rsid w:val="000656C1"/>
    <w:rsid w:val="00065D00"/>
    <w:rsid w:val="00065EAE"/>
    <w:rsid w:val="000660AD"/>
    <w:rsid w:val="0006637B"/>
    <w:rsid w:val="00066C5E"/>
    <w:rsid w:val="00066CCE"/>
    <w:rsid w:val="00066D3C"/>
    <w:rsid w:val="000672A8"/>
    <w:rsid w:val="000676F6"/>
    <w:rsid w:val="00067CD9"/>
    <w:rsid w:val="00067EA8"/>
    <w:rsid w:val="00067FBF"/>
    <w:rsid w:val="000701FC"/>
    <w:rsid w:val="00070892"/>
    <w:rsid w:val="00070928"/>
    <w:rsid w:val="00071049"/>
    <w:rsid w:val="00071911"/>
    <w:rsid w:val="00071EB5"/>
    <w:rsid w:val="000721A7"/>
    <w:rsid w:val="000724F9"/>
    <w:rsid w:val="000727BE"/>
    <w:rsid w:val="000727CB"/>
    <w:rsid w:val="00072807"/>
    <w:rsid w:val="00072A45"/>
    <w:rsid w:val="00072B10"/>
    <w:rsid w:val="00072F3C"/>
    <w:rsid w:val="000733C4"/>
    <w:rsid w:val="00073552"/>
    <w:rsid w:val="00073B8D"/>
    <w:rsid w:val="00073DA3"/>
    <w:rsid w:val="00073F36"/>
    <w:rsid w:val="00074107"/>
    <w:rsid w:val="00074CE0"/>
    <w:rsid w:val="00075151"/>
    <w:rsid w:val="00075173"/>
    <w:rsid w:val="00075510"/>
    <w:rsid w:val="0007552F"/>
    <w:rsid w:val="00075C5E"/>
    <w:rsid w:val="00075D09"/>
    <w:rsid w:val="00075D9A"/>
    <w:rsid w:val="00075E2C"/>
    <w:rsid w:val="000761A5"/>
    <w:rsid w:val="000769F4"/>
    <w:rsid w:val="00076DFF"/>
    <w:rsid w:val="00076E2E"/>
    <w:rsid w:val="00076F86"/>
    <w:rsid w:val="00077381"/>
    <w:rsid w:val="000773D8"/>
    <w:rsid w:val="000774C5"/>
    <w:rsid w:val="000776E1"/>
    <w:rsid w:val="000777B6"/>
    <w:rsid w:val="000778BC"/>
    <w:rsid w:val="00077BA8"/>
    <w:rsid w:val="00077E88"/>
    <w:rsid w:val="0008020B"/>
    <w:rsid w:val="00080212"/>
    <w:rsid w:val="0008035B"/>
    <w:rsid w:val="0008059D"/>
    <w:rsid w:val="00080693"/>
    <w:rsid w:val="00080B2A"/>
    <w:rsid w:val="00081859"/>
    <w:rsid w:val="000818B4"/>
    <w:rsid w:val="00081EBD"/>
    <w:rsid w:val="00081ECD"/>
    <w:rsid w:val="00082CFE"/>
    <w:rsid w:val="00082D03"/>
    <w:rsid w:val="00082D35"/>
    <w:rsid w:val="0008376F"/>
    <w:rsid w:val="00083959"/>
    <w:rsid w:val="00083BBE"/>
    <w:rsid w:val="00083F17"/>
    <w:rsid w:val="00083F69"/>
    <w:rsid w:val="00084930"/>
    <w:rsid w:val="0008496D"/>
    <w:rsid w:val="00084D33"/>
    <w:rsid w:val="00084FEF"/>
    <w:rsid w:val="0008500D"/>
    <w:rsid w:val="000854BD"/>
    <w:rsid w:val="00085538"/>
    <w:rsid w:val="000855F7"/>
    <w:rsid w:val="0008581F"/>
    <w:rsid w:val="000859D5"/>
    <w:rsid w:val="00085A3A"/>
    <w:rsid w:val="00085D59"/>
    <w:rsid w:val="00085D8F"/>
    <w:rsid w:val="00085E2F"/>
    <w:rsid w:val="00085F79"/>
    <w:rsid w:val="000862D2"/>
    <w:rsid w:val="0008643D"/>
    <w:rsid w:val="00086840"/>
    <w:rsid w:val="00086A46"/>
    <w:rsid w:val="00086E96"/>
    <w:rsid w:val="000871E3"/>
    <w:rsid w:val="0008780C"/>
    <w:rsid w:val="00087AB9"/>
    <w:rsid w:val="00087C06"/>
    <w:rsid w:val="00087C87"/>
    <w:rsid w:val="00087CC7"/>
    <w:rsid w:val="00087D18"/>
    <w:rsid w:val="00087E56"/>
    <w:rsid w:val="00090584"/>
    <w:rsid w:val="00090772"/>
    <w:rsid w:val="00090E70"/>
    <w:rsid w:val="00091170"/>
    <w:rsid w:val="00091677"/>
    <w:rsid w:val="000917D0"/>
    <w:rsid w:val="00091833"/>
    <w:rsid w:val="0009194E"/>
    <w:rsid w:val="00091989"/>
    <w:rsid w:val="00091A03"/>
    <w:rsid w:val="00091AC7"/>
    <w:rsid w:val="00091F38"/>
    <w:rsid w:val="00092059"/>
    <w:rsid w:val="00092680"/>
    <w:rsid w:val="00092916"/>
    <w:rsid w:val="00092967"/>
    <w:rsid w:val="00092C20"/>
    <w:rsid w:val="00092CD5"/>
    <w:rsid w:val="000932AE"/>
    <w:rsid w:val="00093773"/>
    <w:rsid w:val="000937D2"/>
    <w:rsid w:val="00093996"/>
    <w:rsid w:val="00093BE2"/>
    <w:rsid w:val="00093C2F"/>
    <w:rsid w:val="00093EBD"/>
    <w:rsid w:val="000944F4"/>
    <w:rsid w:val="00094C78"/>
    <w:rsid w:val="00094D91"/>
    <w:rsid w:val="00095613"/>
    <w:rsid w:val="00095708"/>
    <w:rsid w:val="000957D1"/>
    <w:rsid w:val="00095967"/>
    <w:rsid w:val="00095D9A"/>
    <w:rsid w:val="00095E29"/>
    <w:rsid w:val="00096048"/>
    <w:rsid w:val="00096330"/>
    <w:rsid w:val="0009697D"/>
    <w:rsid w:val="00096A63"/>
    <w:rsid w:val="00096BA6"/>
    <w:rsid w:val="00096D25"/>
    <w:rsid w:val="00097324"/>
    <w:rsid w:val="000977A8"/>
    <w:rsid w:val="00097C67"/>
    <w:rsid w:val="00097FD8"/>
    <w:rsid w:val="000A04D5"/>
    <w:rsid w:val="000A08C3"/>
    <w:rsid w:val="000A09F8"/>
    <w:rsid w:val="000A0C32"/>
    <w:rsid w:val="000A0CB4"/>
    <w:rsid w:val="000A1787"/>
    <w:rsid w:val="000A19EB"/>
    <w:rsid w:val="000A1CA0"/>
    <w:rsid w:val="000A1D69"/>
    <w:rsid w:val="000A1F53"/>
    <w:rsid w:val="000A201C"/>
    <w:rsid w:val="000A2260"/>
    <w:rsid w:val="000A2DB4"/>
    <w:rsid w:val="000A2E6A"/>
    <w:rsid w:val="000A318B"/>
    <w:rsid w:val="000A318C"/>
    <w:rsid w:val="000A378C"/>
    <w:rsid w:val="000A4042"/>
    <w:rsid w:val="000A43B2"/>
    <w:rsid w:val="000A4810"/>
    <w:rsid w:val="000A4A64"/>
    <w:rsid w:val="000A4A90"/>
    <w:rsid w:val="000A543E"/>
    <w:rsid w:val="000A57E2"/>
    <w:rsid w:val="000A590C"/>
    <w:rsid w:val="000A5C0A"/>
    <w:rsid w:val="000A5E57"/>
    <w:rsid w:val="000A601B"/>
    <w:rsid w:val="000A62C3"/>
    <w:rsid w:val="000A6896"/>
    <w:rsid w:val="000A68B2"/>
    <w:rsid w:val="000A69C9"/>
    <w:rsid w:val="000A70C2"/>
    <w:rsid w:val="000A717F"/>
    <w:rsid w:val="000A7225"/>
    <w:rsid w:val="000A7BA5"/>
    <w:rsid w:val="000A7D79"/>
    <w:rsid w:val="000A7EA4"/>
    <w:rsid w:val="000B0374"/>
    <w:rsid w:val="000B05C1"/>
    <w:rsid w:val="000B0D0E"/>
    <w:rsid w:val="000B10D4"/>
    <w:rsid w:val="000B1131"/>
    <w:rsid w:val="000B18F6"/>
    <w:rsid w:val="000B1945"/>
    <w:rsid w:val="000B1B26"/>
    <w:rsid w:val="000B1DFB"/>
    <w:rsid w:val="000B240F"/>
    <w:rsid w:val="000B2CFA"/>
    <w:rsid w:val="000B2FD2"/>
    <w:rsid w:val="000B2FE7"/>
    <w:rsid w:val="000B31A0"/>
    <w:rsid w:val="000B35F8"/>
    <w:rsid w:val="000B3FC4"/>
    <w:rsid w:val="000B437F"/>
    <w:rsid w:val="000B4390"/>
    <w:rsid w:val="000B460A"/>
    <w:rsid w:val="000B46DD"/>
    <w:rsid w:val="000B4B66"/>
    <w:rsid w:val="000B4D46"/>
    <w:rsid w:val="000B4D74"/>
    <w:rsid w:val="000B4D9D"/>
    <w:rsid w:val="000B4DDC"/>
    <w:rsid w:val="000B5318"/>
    <w:rsid w:val="000B59C0"/>
    <w:rsid w:val="000B5A71"/>
    <w:rsid w:val="000B5E20"/>
    <w:rsid w:val="000B6E70"/>
    <w:rsid w:val="000B76C2"/>
    <w:rsid w:val="000B78EC"/>
    <w:rsid w:val="000B7C78"/>
    <w:rsid w:val="000C0310"/>
    <w:rsid w:val="000C0426"/>
    <w:rsid w:val="000C048B"/>
    <w:rsid w:val="000C05AA"/>
    <w:rsid w:val="000C0B0F"/>
    <w:rsid w:val="000C0F06"/>
    <w:rsid w:val="000C11BF"/>
    <w:rsid w:val="000C1212"/>
    <w:rsid w:val="000C1522"/>
    <w:rsid w:val="000C16F0"/>
    <w:rsid w:val="000C1727"/>
    <w:rsid w:val="000C1733"/>
    <w:rsid w:val="000C181F"/>
    <w:rsid w:val="000C1D57"/>
    <w:rsid w:val="000C209E"/>
    <w:rsid w:val="000C216C"/>
    <w:rsid w:val="000C24A2"/>
    <w:rsid w:val="000C27E0"/>
    <w:rsid w:val="000C289E"/>
    <w:rsid w:val="000C2DD6"/>
    <w:rsid w:val="000C3560"/>
    <w:rsid w:val="000C3812"/>
    <w:rsid w:val="000C399E"/>
    <w:rsid w:val="000C3E77"/>
    <w:rsid w:val="000C3E95"/>
    <w:rsid w:val="000C3F48"/>
    <w:rsid w:val="000C3F68"/>
    <w:rsid w:val="000C3FBA"/>
    <w:rsid w:val="000C4343"/>
    <w:rsid w:val="000C45A5"/>
    <w:rsid w:val="000C485A"/>
    <w:rsid w:val="000C4A40"/>
    <w:rsid w:val="000C518D"/>
    <w:rsid w:val="000C5900"/>
    <w:rsid w:val="000C5A1B"/>
    <w:rsid w:val="000C5DAC"/>
    <w:rsid w:val="000C5F6A"/>
    <w:rsid w:val="000C606A"/>
    <w:rsid w:val="000C60F8"/>
    <w:rsid w:val="000C6A24"/>
    <w:rsid w:val="000C6AD8"/>
    <w:rsid w:val="000C6CA7"/>
    <w:rsid w:val="000C6FC7"/>
    <w:rsid w:val="000C7738"/>
    <w:rsid w:val="000C78B3"/>
    <w:rsid w:val="000C7C1D"/>
    <w:rsid w:val="000D0102"/>
    <w:rsid w:val="000D066D"/>
    <w:rsid w:val="000D06AF"/>
    <w:rsid w:val="000D0740"/>
    <w:rsid w:val="000D07BB"/>
    <w:rsid w:val="000D07F8"/>
    <w:rsid w:val="000D0A25"/>
    <w:rsid w:val="000D0D34"/>
    <w:rsid w:val="000D0EFA"/>
    <w:rsid w:val="000D10E0"/>
    <w:rsid w:val="000D148C"/>
    <w:rsid w:val="000D1619"/>
    <w:rsid w:val="000D166E"/>
    <w:rsid w:val="000D1A32"/>
    <w:rsid w:val="000D1C92"/>
    <w:rsid w:val="000D1E38"/>
    <w:rsid w:val="000D2089"/>
    <w:rsid w:val="000D2D2A"/>
    <w:rsid w:val="000D3131"/>
    <w:rsid w:val="000D3169"/>
    <w:rsid w:val="000D3222"/>
    <w:rsid w:val="000D3617"/>
    <w:rsid w:val="000D3E8D"/>
    <w:rsid w:val="000D3E90"/>
    <w:rsid w:val="000D3F18"/>
    <w:rsid w:val="000D3FC3"/>
    <w:rsid w:val="000D4037"/>
    <w:rsid w:val="000D4490"/>
    <w:rsid w:val="000D4686"/>
    <w:rsid w:val="000D49D7"/>
    <w:rsid w:val="000D4AC7"/>
    <w:rsid w:val="000D501B"/>
    <w:rsid w:val="000D5077"/>
    <w:rsid w:val="000D523B"/>
    <w:rsid w:val="000D5841"/>
    <w:rsid w:val="000D5E56"/>
    <w:rsid w:val="000D6172"/>
    <w:rsid w:val="000D63CB"/>
    <w:rsid w:val="000D65A5"/>
    <w:rsid w:val="000D66A4"/>
    <w:rsid w:val="000D7057"/>
    <w:rsid w:val="000D71F3"/>
    <w:rsid w:val="000D722B"/>
    <w:rsid w:val="000D7742"/>
    <w:rsid w:val="000D78B5"/>
    <w:rsid w:val="000D7BE1"/>
    <w:rsid w:val="000D7E4F"/>
    <w:rsid w:val="000E02FE"/>
    <w:rsid w:val="000E0DE9"/>
    <w:rsid w:val="000E1098"/>
    <w:rsid w:val="000E188A"/>
    <w:rsid w:val="000E1BCF"/>
    <w:rsid w:val="000E1BF4"/>
    <w:rsid w:val="000E2061"/>
    <w:rsid w:val="000E2111"/>
    <w:rsid w:val="000E23E9"/>
    <w:rsid w:val="000E242E"/>
    <w:rsid w:val="000E24C1"/>
    <w:rsid w:val="000E24D6"/>
    <w:rsid w:val="000E2FF8"/>
    <w:rsid w:val="000E3306"/>
    <w:rsid w:val="000E338E"/>
    <w:rsid w:val="000E3420"/>
    <w:rsid w:val="000E3BDD"/>
    <w:rsid w:val="000E43CA"/>
    <w:rsid w:val="000E4435"/>
    <w:rsid w:val="000E44F6"/>
    <w:rsid w:val="000E450E"/>
    <w:rsid w:val="000E45F6"/>
    <w:rsid w:val="000E4610"/>
    <w:rsid w:val="000E493A"/>
    <w:rsid w:val="000E4BEA"/>
    <w:rsid w:val="000E5634"/>
    <w:rsid w:val="000E57A6"/>
    <w:rsid w:val="000E5988"/>
    <w:rsid w:val="000E5A17"/>
    <w:rsid w:val="000E5C59"/>
    <w:rsid w:val="000E63F6"/>
    <w:rsid w:val="000E682A"/>
    <w:rsid w:val="000E69A0"/>
    <w:rsid w:val="000E69A2"/>
    <w:rsid w:val="000E6B28"/>
    <w:rsid w:val="000E6EC1"/>
    <w:rsid w:val="000E76C5"/>
    <w:rsid w:val="000E77CB"/>
    <w:rsid w:val="000F057C"/>
    <w:rsid w:val="000F0667"/>
    <w:rsid w:val="000F08E3"/>
    <w:rsid w:val="000F0999"/>
    <w:rsid w:val="000F0BC5"/>
    <w:rsid w:val="000F0C1A"/>
    <w:rsid w:val="000F0DF3"/>
    <w:rsid w:val="000F13AB"/>
    <w:rsid w:val="000F152C"/>
    <w:rsid w:val="000F1585"/>
    <w:rsid w:val="000F1684"/>
    <w:rsid w:val="000F18EB"/>
    <w:rsid w:val="000F1ABA"/>
    <w:rsid w:val="000F1F3B"/>
    <w:rsid w:val="000F21BD"/>
    <w:rsid w:val="000F2A18"/>
    <w:rsid w:val="000F2C1D"/>
    <w:rsid w:val="000F30E2"/>
    <w:rsid w:val="000F34F8"/>
    <w:rsid w:val="000F351B"/>
    <w:rsid w:val="000F35C2"/>
    <w:rsid w:val="000F385C"/>
    <w:rsid w:val="000F38D6"/>
    <w:rsid w:val="000F3DB4"/>
    <w:rsid w:val="000F3FE5"/>
    <w:rsid w:val="000F43E7"/>
    <w:rsid w:val="000F43E8"/>
    <w:rsid w:val="000F45FA"/>
    <w:rsid w:val="000F481A"/>
    <w:rsid w:val="000F4BE9"/>
    <w:rsid w:val="000F5244"/>
    <w:rsid w:val="000F530B"/>
    <w:rsid w:val="000F556A"/>
    <w:rsid w:val="000F5BF7"/>
    <w:rsid w:val="000F5DFA"/>
    <w:rsid w:val="000F5E6A"/>
    <w:rsid w:val="000F63A2"/>
    <w:rsid w:val="000F696C"/>
    <w:rsid w:val="000F699A"/>
    <w:rsid w:val="000F6DB2"/>
    <w:rsid w:val="000F7313"/>
    <w:rsid w:val="000F76BC"/>
    <w:rsid w:val="000F779E"/>
    <w:rsid w:val="000F7862"/>
    <w:rsid w:val="000F7BB8"/>
    <w:rsid w:val="000F7CCA"/>
    <w:rsid w:val="000F7D36"/>
    <w:rsid w:val="000F7D93"/>
    <w:rsid w:val="000F7DFE"/>
    <w:rsid w:val="000F7EEE"/>
    <w:rsid w:val="00100270"/>
    <w:rsid w:val="001004FA"/>
    <w:rsid w:val="00100641"/>
    <w:rsid w:val="0010068F"/>
    <w:rsid w:val="001006BD"/>
    <w:rsid w:val="001007F9"/>
    <w:rsid w:val="00100B29"/>
    <w:rsid w:val="00100E41"/>
    <w:rsid w:val="00101B17"/>
    <w:rsid w:val="00101E29"/>
    <w:rsid w:val="00101F9E"/>
    <w:rsid w:val="00102312"/>
    <w:rsid w:val="00102A22"/>
    <w:rsid w:val="00102C51"/>
    <w:rsid w:val="00102C70"/>
    <w:rsid w:val="00103172"/>
    <w:rsid w:val="00103335"/>
    <w:rsid w:val="0010343E"/>
    <w:rsid w:val="0010359C"/>
    <w:rsid w:val="001038AD"/>
    <w:rsid w:val="00103BF0"/>
    <w:rsid w:val="00103FBB"/>
    <w:rsid w:val="001040AA"/>
    <w:rsid w:val="0010421F"/>
    <w:rsid w:val="00104475"/>
    <w:rsid w:val="00104624"/>
    <w:rsid w:val="00104925"/>
    <w:rsid w:val="00104E59"/>
    <w:rsid w:val="001056C6"/>
    <w:rsid w:val="00105759"/>
    <w:rsid w:val="00105A00"/>
    <w:rsid w:val="00105B03"/>
    <w:rsid w:val="00105D00"/>
    <w:rsid w:val="001061BC"/>
    <w:rsid w:val="001061E4"/>
    <w:rsid w:val="001062A0"/>
    <w:rsid w:val="00106394"/>
    <w:rsid w:val="00106B14"/>
    <w:rsid w:val="0010732B"/>
    <w:rsid w:val="0010744F"/>
    <w:rsid w:val="001075D3"/>
    <w:rsid w:val="00107778"/>
    <w:rsid w:val="0010794C"/>
    <w:rsid w:val="00107B77"/>
    <w:rsid w:val="00107D31"/>
    <w:rsid w:val="00107D61"/>
    <w:rsid w:val="00107F26"/>
    <w:rsid w:val="00107FC1"/>
    <w:rsid w:val="00110087"/>
    <w:rsid w:val="00110230"/>
    <w:rsid w:val="001103F8"/>
    <w:rsid w:val="00110525"/>
    <w:rsid w:val="0011068E"/>
    <w:rsid w:val="001107B8"/>
    <w:rsid w:val="00110DB4"/>
    <w:rsid w:val="00110FB8"/>
    <w:rsid w:val="00110FBE"/>
    <w:rsid w:val="00110FE5"/>
    <w:rsid w:val="001110D5"/>
    <w:rsid w:val="00111176"/>
    <w:rsid w:val="00111425"/>
    <w:rsid w:val="00111EE5"/>
    <w:rsid w:val="00111F66"/>
    <w:rsid w:val="00112036"/>
    <w:rsid w:val="00112064"/>
    <w:rsid w:val="00112112"/>
    <w:rsid w:val="0011213D"/>
    <w:rsid w:val="001124AF"/>
    <w:rsid w:val="00112C20"/>
    <w:rsid w:val="00112CBC"/>
    <w:rsid w:val="00112EDB"/>
    <w:rsid w:val="0011303B"/>
    <w:rsid w:val="001130B4"/>
    <w:rsid w:val="00113213"/>
    <w:rsid w:val="00113853"/>
    <w:rsid w:val="00113DA3"/>
    <w:rsid w:val="00113E5A"/>
    <w:rsid w:val="00113FB7"/>
    <w:rsid w:val="00113FE1"/>
    <w:rsid w:val="00114083"/>
    <w:rsid w:val="0011422F"/>
    <w:rsid w:val="00114C1D"/>
    <w:rsid w:val="00114ECE"/>
    <w:rsid w:val="001151CF"/>
    <w:rsid w:val="001154ED"/>
    <w:rsid w:val="001155AC"/>
    <w:rsid w:val="001156EA"/>
    <w:rsid w:val="00115DDE"/>
    <w:rsid w:val="00115EE6"/>
    <w:rsid w:val="001161F9"/>
    <w:rsid w:val="001163D4"/>
    <w:rsid w:val="0011689E"/>
    <w:rsid w:val="00116F0B"/>
    <w:rsid w:val="00117114"/>
    <w:rsid w:val="0011713E"/>
    <w:rsid w:val="001172E1"/>
    <w:rsid w:val="00117726"/>
    <w:rsid w:val="00117EDA"/>
    <w:rsid w:val="0012001D"/>
    <w:rsid w:val="0012055D"/>
    <w:rsid w:val="00120B3C"/>
    <w:rsid w:val="00120EFF"/>
    <w:rsid w:val="00120F34"/>
    <w:rsid w:val="00121196"/>
    <w:rsid w:val="0012122D"/>
    <w:rsid w:val="00121614"/>
    <w:rsid w:val="001216C1"/>
    <w:rsid w:val="0012176A"/>
    <w:rsid w:val="00121959"/>
    <w:rsid w:val="00121BDC"/>
    <w:rsid w:val="00121F0B"/>
    <w:rsid w:val="00121F56"/>
    <w:rsid w:val="00122154"/>
    <w:rsid w:val="001223E2"/>
    <w:rsid w:val="00122801"/>
    <w:rsid w:val="001229F1"/>
    <w:rsid w:val="00122AEC"/>
    <w:rsid w:val="00122B0E"/>
    <w:rsid w:val="00122BDF"/>
    <w:rsid w:val="00122F50"/>
    <w:rsid w:val="001230CD"/>
    <w:rsid w:val="00123301"/>
    <w:rsid w:val="001235B1"/>
    <w:rsid w:val="001236B4"/>
    <w:rsid w:val="001239D7"/>
    <w:rsid w:val="00123D5B"/>
    <w:rsid w:val="001240F4"/>
    <w:rsid w:val="001241B6"/>
    <w:rsid w:val="001246B9"/>
    <w:rsid w:val="00124ADE"/>
    <w:rsid w:val="00124D46"/>
    <w:rsid w:val="00125132"/>
    <w:rsid w:val="0012520B"/>
    <w:rsid w:val="00125424"/>
    <w:rsid w:val="001254D7"/>
    <w:rsid w:val="0012559E"/>
    <w:rsid w:val="0012566A"/>
    <w:rsid w:val="00125881"/>
    <w:rsid w:val="00125912"/>
    <w:rsid w:val="001259BA"/>
    <w:rsid w:val="00125C3B"/>
    <w:rsid w:val="00125C8F"/>
    <w:rsid w:val="00126170"/>
    <w:rsid w:val="0012667F"/>
    <w:rsid w:val="00126931"/>
    <w:rsid w:val="00126BED"/>
    <w:rsid w:val="00126C67"/>
    <w:rsid w:val="00126EE5"/>
    <w:rsid w:val="00126F3C"/>
    <w:rsid w:val="00126FBC"/>
    <w:rsid w:val="00127C7B"/>
    <w:rsid w:val="00127CBF"/>
    <w:rsid w:val="00127D06"/>
    <w:rsid w:val="00127D11"/>
    <w:rsid w:val="00127FCE"/>
    <w:rsid w:val="00130734"/>
    <w:rsid w:val="0013086D"/>
    <w:rsid w:val="00130DAD"/>
    <w:rsid w:val="001314D4"/>
    <w:rsid w:val="001316CA"/>
    <w:rsid w:val="00131980"/>
    <w:rsid w:val="00131B60"/>
    <w:rsid w:val="0013229D"/>
    <w:rsid w:val="001323DD"/>
    <w:rsid w:val="00132457"/>
    <w:rsid w:val="00132D55"/>
    <w:rsid w:val="001335BC"/>
    <w:rsid w:val="001335D4"/>
    <w:rsid w:val="001335F4"/>
    <w:rsid w:val="00133866"/>
    <w:rsid w:val="001338DA"/>
    <w:rsid w:val="00133E2A"/>
    <w:rsid w:val="001343FE"/>
    <w:rsid w:val="001345D5"/>
    <w:rsid w:val="00134CAA"/>
    <w:rsid w:val="00134DC5"/>
    <w:rsid w:val="001351A8"/>
    <w:rsid w:val="00135243"/>
    <w:rsid w:val="00135295"/>
    <w:rsid w:val="0013542B"/>
    <w:rsid w:val="001354E4"/>
    <w:rsid w:val="00135575"/>
    <w:rsid w:val="00135640"/>
    <w:rsid w:val="00135654"/>
    <w:rsid w:val="001356D3"/>
    <w:rsid w:val="0013580C"/>
    <w:rsid w:val="00135833"/>
    <w:rsid w:val="001358BB"/>
    <w:rsid w:val="00135B04"/>
    <w:rsid w:val="00135BD4"/>
    <w:rsid w:val="00136482"/>
    <w:rsid w:val="001364EF"/>
    <w:rsid w:val="00136527"/>
    <w:rsid w:val="0013666B"/>
    <w:rsid w:val="001369CD"/>
    <w:rsid w:val="00136DF0"/>
    <w:rsid w:val="00136FA5"/>
    <w:rsid w:val="00137208"/>
    <w:rsid w:val="001373E1"/>
    <w:rsid w:val="00140319"/>
    <w:rsid w:val="00140780"/>
    <w:rsid w:val="00140C6E"/>
    <w:rsid w:val="00140CC5"/>
    <w:rsid w:val="00140DFA"/>
    <w:rsid w:val="001412D7"/>
    <w:rsid w:val="00141831"/>
    <w:rsid w:val="001418F6"/>
    <w:rsid w:val="00141D10"/>
    <w:rsid w:val="001421B4"/>
    <w:rsid w:val="00142CE9"/>
    <w:rsid w:val="00143130"/>
    <w:rsid w:val="001431B7"/>
    <w:rsid w:val="0014378F"/>
    <w:rsid w:val="00143C17"/>
    <w:rsid w:val="00144136"/>
    <w:rsid w:val="00144268"/>
    <w:rsid w:val="00144345"/>
    <w:rsid w:val="00144693"/>
    <w:rsid w:val="001447F7"/>
    <w:rsid w:val="001449A2"/>
    <w:rsid w:val="00144CDB"/>
    <w:rsid w:val="00144D8F"/>
    <w:rsid w:val="0014530B"/>
    <w:rsid w:val="0014536F"/>
    <w:rsid w:val="001453EA"/>
    <w:rsid w:val="001455C2"/>
    <w:rsid w:val="00145705"/>
    <w:rsid w:val="00145711"/>
    <w:rsid w:val="0014584B"/>
    <w:rsid w:val="00145A05"/>
    <w:rsid w:val="00145A97"/>
    <w:rsid w:val="00145B39"/>
    <w:rsid w:val="00145B7B"/>
    <w:rsid w:val="00146068"/>
    <w:rsid w:val="001462BF"/>
    <w:rsid w:val="00146439"/>
    <w:rsid w:val="0014670B"/>
    <w:rsid w:val="00146779"/>
    <w:rsid w:val="0014682F"/>
    <w:rsid w:val="0014695E"/>
    <w:rsid w:val="00146B56"/>
    <w:rsid w:val="00146FE5"/>
    <w:rsid w:val="0014733F"/>
    <w:rsid w:val="0014751C"/>
    <w:rsid w:val="001477CC"/>
    <w:rsid w:val="00147A47"/>
    <w:rsid w:val="00147B06"/>
    <w:rsid w:val="00147CE8"/>
    <w:rsid w:val="00147DFB"/>
    <w:rsid w:val="00147E52"/>
    <w:rsid w:val="00147EC6"/>
    <w:rsid w:val="00147F96"/>
    <w:rsid w:val="001501C5"/>
    <w:rsid w:val="001503A1"/>
    <w:rsid w:val="00150799"/>
    <w:rsid w:val="00150B3D"/>
    <w:rsid w:val="00150BBF"/>
    <w:rsid w:val="00150CE2"/>
    <w:rsid w:val="00150F7B"/>
    <w:rsid w:val="001512BC"/>
    <w:rsid w:val="001515EF"/>
    <w:rsid w:val="001516FE"/>
    <w:rsid w:val="001518D4"/>
    <w:rsid w:val="00151D86"/>
    <w:rsid w:val="00152238"/>
    <w:rsid w:val="001522F2"/>
    <w:rsid w:val="0015245F"/>
    <w:rsid w:val="0015283F"/>
    <w:rsid w:val="0015293A"/>
    <w:rsid w:val="00152A64"/>
    <w:rsid w:val="00153092"/>
    <w:rsid w:val="0015339C"/>
    <w:rsid w:val="001536F5"/>
    <w:rsid w:val="001539EF"/>
    <w:rsid w:val="00153C55"/>
    <w:rsid w:val="00153DF9"/>
    <w:rsid w:val="00153F92"/>
    <w:rsid w:val="00154442"/>
    <w:rsid w:val="0015452E"/>
    <w:rsid w:val="00154B0A"/>
    <w:rsid w:val="00154BAE"/>
    <w:rsid w:val="00154E0D"/>
    <w:rsid w:val="00154E6A"/>
    <w:rsid w:val="00155126"/>
    <w:rsid w:val="00155320"/>
    <w:rsid w:val="0015578D"/>
    <w:rsid w:val="001558D4"/>
    <w:rsid w:val="00155A4D"/>
    <w:rsid w:val="00155D94"/>
    <w:rsid w:val="0015613D"/>
    <w:rsid w:val="001561E8"/>
    <w:rsid w:val="001565E9"/>
    <w:rsid w:val="00156AF6"/>
    <w:rsid w:val="00156D1C"/>
    <w:rsid w:val="00156D2A"/>
    <w:rsid w:val="00156F52"/>
    <w:rsid w:val="00156FD7"/>
    <w:rsid w:val="001570FD"/>
    <w:rsid w:val="00157623"/>
    <w:rsid w:val="00157AA3"/>
    <w:rsid w:val="0016068A"/>
    <w:rsid w:val="001609C6"/>
    <w:rsid w:val="00160D05"/>
    <w:rsid w:val="00161261"/>
    <w:rsid w:val="0016166B"/>
    <w:rsid w:val="001618B0"/>
    <w:rsid w:val="001618C0"/>
    <w:rsid w:val="0016197A"/>
    <w:rsid w:val="00161AFB"/>
    <w:rsid w:val="001621A2"/>
    <w:rsid w:val="0016279E"/>
    <w:rsid w:val="0016313A"/>
    <w:rsid w:val="00163200"/>
    <w:rsid w:val="001632CA"/>
    <w:rsid w:val="001637B4"/>
    <w:rsid w:val="001638DE"/>
    <w:rsid w:val="00163AB5"/>
    <w:rsid w:val="00163B7B"/>
    <w:rsid w:val="00163C9C"/>
    <w:rsid w:val="00164004"/>
    <w:rsid w:val="00164034"/>
    <w:rsid w:val="00164103"/>
    <w:rsid w:val="00164831"/>
    <w:rsid w:val="00164A59"/>
    <w:rsid w:val="00164B2C"/>
    <w:rsid w:val="00164D59"/>
    <w:rsid w:val="001656A4"/>
    <w:rsid w:val="00165839"/>
    <w:rsid w:val="0016587A"/>
    <w:rsid w:val="001659F4"/>
    <w:rsid w:val="00165AAC"/>
    <w:rsid w:val="00166057"/>
    <w:rsid w:val="00166526"/>
    <w:rsid w:val="00166919"/>
    <w:rsid w:val="00166A26"/>
    <w:rsid w:val="00166AF1"/>
    <w:rsid w:val="00166D65"/>
    <w:rsid w:val="001671E4"/>
    <w:rsid w:val="00167902"/>
    <w:rsid w:val="00167B2D"/>
    <w:rsid w:val="00167D96"/>
    <w:rsid w:val="00170076"/>
    <w:rsid w:val="001701AB"/>
    <w:rsid w:val="00170509"/>
    <w:rsid w:val="00170E72"/>
    <w:rsid w:val="0017110A"/>
    <w:rsid w:val="00171706"/>
    <w:rsid w:val="00171748"/>
    <w:rsid w:val="00171DC4"/>
    <w:rsid w:val="0017201D"/>
    <w:rsid w:val="0017234F"/>
    <w:rsid w:val="00172C4B"/>
    <w:rsid w:val="00172DC3"/>
    <w:rsid w:val="00173464"/>
    <w:rsid w:val="00173A7F"/>
    <w:rsid w:val="00173BA4"/>
    <w:rsid w:val="00173CD3"/>
    <w:rsid w:val="00173ECC"/>
    <w:rsid w:val="00174010"/>
    <w:rsid w:val="00174512"/>
    <w:rsid w:val="00174590"/>
    <w:rsid w:val="001746A2"/>
    <w:rsid w:val="0017496D"/>
    <w:rsid w:val="00174A0D"/>
    <w:rsid w:val="00175040"/>
    <w:rsid w:val="00175134"/>
    <w:rsid w:val="0017525C"/>
    <w:rsid w:val="001753A1"/>
    <w:rsid w:val="00176108"/>
    <w:rsid w:val="001761BF"/>
    <w:rsid w:val="001763C3"/>
    <w:rsid w:val="00176855"/>
    <w:rsid w:val="001768CC"/>
    <w:rsid w:val="001768FD"/>
    <w:rsid w:val="00176DCF"/>
    <w:rsid w:val="00177377"/>
    <w:rsid w:val="001773B1"/>
    <w:rsid w:val="00177436"/>
    <w:rsid w:val="001776C2"/>
    <w:rsid w:val="0017774E"/>
    <w:rsid w:val="00177993"/>
    <w:rsid w:val="00177A30"/>
    <w:rsid w:val="00177A87"/>
    <w:rsid w:val="001800A8"/>
    <w:rsid w:val="00180177"/>
    <w:rsid w:val="0018048C"/>
    <w:rsid w:val="001805B8"/>
    <w:rsid w:val="001805F3"/>
    <w:rsid w:val="001806FA"/>
    <w:rsid w:val="001807B6"/>
    <w:rsid w:val="001808B2"/>
    <w:rsid w:val="001808EA"/>
    <w:rsid w:val="00180973"/>
    <w:rsid w:val="00180A6E"/>
    <w:rsid w:val="00180B10"/>
    <w:rsid w:val="00180E6B"/>
    <w:rsid w:val="00180F12"/>
    <w:rsid w:val="001810E9"/>
    <w:rsid w:val="001816EB"/>
    <w:rsid w:val="0018172B"/>
    <w:rsid w:val="00181821"/>
    <w:rsid w:val="00181941"/>
    <w:rsid w:val="00181A02"/>
    <w:rsid w:val="00181F32"/>
    <w:rsid w:val="001820B5"/>
    <w:rsid w:val="0018224A"/>
    <w:rsid w:val="0018227E"/>
    <w:rsid w:val="00182317"/>
    <w:rsid w:val="001824E9"/>
    <w:rsid w:val="00182610"/>
    <w:rsid w:val="00182719"/>
    <w:rsid w:val="00182957"/>
    <w:rsid w:val="00182C93"/>
    <w:rsid w:val="00182EB5"/>
    <w:rsid w:val="00182F63"/>
    <w:rsid w:val="00183075"/>
    <w:rsid w:val="001831AA"/>
    <w:rsid w:val="001831CF"/>
    <w:rsid w:val="00183321"/>
    <w:rsid w:val="00183453"/>
    <w:rsid w:val="00183A79"/>
    <w:rsid w:val="00183A7C"/>
    <w:rsid w:val="00183B26"/>
    <w:rsid w:val="00183DEF"/>
    <w:rsid w:val="00183EE6"/>
    <w:rsid w:val="00183FC9"/>
    <w:rsid w:val="00183FED"/>
    <w:rsid w:val="0018401E"/>
    <w:rsid w:val="00184295"/>
    <w:rsid w:val="00184616"/>
    <w:rsid w:val="00184634"/>
    <w:rsid w:val="00184647"/>
    <w:rsid w:val="001846BC"/>
    <w:rsid w:val="0018519A"/>
    <w:rsid w:val="001854F3"/>
    <w:rsid w:val="00185762"/>
    <w:rsid w:val="00185BB1"/>
    <w:rsid w:val="00185E43"/>
    <w:rsid w:val="00185F19"/>
    <w:rsid w:val="001860B0"/>
    <w:rsid w:val="001872A0"/>
    <w:rsid w:val="00187371"/>
    <w:rsid w:val="001873A5"/>
    <w:rsid w:val="0018784E"/>
    <w:rsid w:val="00187A5A"/>
    <w:rsid w:val="00187ABB"/>
    <w:rsid w:val="00187E2E"/>
    <w:rsid w:val="001900F1"/>
    <w:rsid w:val="001906E1"/>
    <w:rsid w:val="001909CC"/>
    <w:rsid w:val="00190BA3"/>
    <w:rsid w:val="00190C2A"/>
    <w:rsid w:val="001910D8"/>
    <w:rsid w:val="001913F6"/>
    <w:rsid w:val="00191B0D"/>
    <w:rsid w:val="00191EB1"/>
    <w:rsid w:val="00192153"/>
    <w:rsid w:val="001921FB"/>
    <w:rsid w:val="001923BA"/>
    <w:rsid w:val="001924FE"/>
    <w:rsid w:val="00192B41"/>
    <w:rsid w:val="00192E20"/>
    <w:rsid w:val="0019345B"/>
    <w:rsid w:val="00193722"/>
    <w:rsid w:val="0019389D"/>
    <w:rsid w:val="00193A9F"/>
    <w:rsid w:val="00193BF3"/>
    <w:rsid w:val="001940B1"/>
    <w:rsid w:val="00194179"/>
    <w:rsid w:val="0019417A"/>
    <w:rsid w:val="00194E7B"/>
    <w:rsid w:val="001954E9"/>
    <w:rsid w:val="00195C73"/>
    <w:rsid w:val="00195FF3"/>
    <w:rsid w:val="00196029"/>
    <w:rsid w:val="0019620A"/>
    <w:rsid w:val="001962B1"/>
    <w:rsid w:val="00196382"/>
    <w:rsid w:val="001963E4"/>
    <w:rsid w:val="00196602"/>
    <w:rsid w:val="00196639"/>
    <w:rsid w:val="001967E4"/>
    <w:rsid w:val="00196B87"/>
    <w:rsid w:val="001971B4"/>
    <w:rsid w:val="001975A7"/>
    <w:rsid w:val="001976F1"/>
    <w:rsid w:val="001977D0"/>
    <w:rsid w:val="0019795A"/>
    <w:rsid w:val="0019797B"/>
    <w:rsid w:val="001979E5"/>
    <w:rsid w:val="00197C71"/>
    <w:rsid w:val="00197FD7"/>
    <w:rsid w:val="001A026B"/>
    <w:rsid w:val="001A0905"/>
    <w:rsid w:val="001A0CE7"/>
    <w:rsid w:val="001A0E25"/>
    <w:rsid w:val="001A10BB"/>
    <w:rsid w:val="001A115C"/>
    <w:rsid w:val="001A1204"/>
    <w:rsid w:val="001A126D"/>
    <w:rsid w:val="001A1450"/>
    <w:rsid w:val="001A14B3"/>
    <w:rsid w:val="001A1596"/>
    <w:rsid w:val="001A18D0"/>
    <w:rsid w:val="001A1D0B"/>
    <w:rsid w:val="001A1E89"/>
    <w:rsid w:val="001A2886"/>
    <w:rsid w:val="001A29CF"/>
    <w:rsid w:val="001A2AB9"/>
    <w:rsid w:val="001A2AF6"/>
    <w:rsid w:val="001A2E54"/>
    <w:rsid w:val="001A2F81"/>
    <w:rsid w:val="001A370C"/>
    <w:rsid w:val="001A3BC7"/>
    <w:rsid w:val="001A3E64"/>
    <w:rsid w:val="001A41F7"/>
    <w:rsid w:val="001A4EED"/>
    <w:rsid w:val="001A52B8"/>
    <w:rsid w:val="001A53B9"/>
    <w:rsid w:val="001A55C8"/>
    <w:rsid w:val="001A56D7"/>
    <w:rsid w:val="001A58E6"/>
    <w:rsid w:val="001A5B57"/>
    <w:rsid w:val="001A5F10"/>
    <w:rsid w:val="001A5F7C"/>
    <w:rsid w:val="001A648B"/>
    <w:rsid w:val="001A6857"/>
    <w:rsid w:val="001A7187"/>
    <w:rsid w:val="001A751B"/>
    <w:rsid w:val="001A7BA5"/>
    <w:rsid w:val="001A7D88"/>
    <w:rsid w:val="001B018A"/>
    <w:rsid w:val="001B0287"/>
    <w:rsid w:val="001B0419"/>
    <w:rsid w:val="001B0426"/>
    <w:rsid w:val="001B05DA"/>
    <w:rsid w:val="001B07FF"/>
    <w:rsid w:val="001B0BEF"/>
    <w:rsid w:val="001B0E80"/>
    <w:rsid w:val="001B1254"/>
    <w:rsid w:val="001B139B"/>
    <w:rsid w:val="001B1681"/>
    <w:rsid w:val="001B17F6"/>
    <w:rsid w:val="001B2139"/>
    <w:rsid w:val="001B243A"/>
    <w:rsid w:val="001B285B"/>
    <w:rsid w:val="001B2EAC"/>
    <w:rsid w:val="001B3785"/>
    <w:rsid w:val="001B39AD"/>
    <w:rsid w:val="001B4052"/>
    <w:rsid w:val="001B42F6"/>
    <w:rsid w:val="001B451A"/>
    <w:rsid w:val="001B4B6A"/>
    <w:rsid w:val="001B4E9D"/>
    <w:rsid w:val="001B4FA2"/>
    <w:rsid w:val="001B5145"/>
    <w:rsid w:val="001B51D4"/>
    <w:rsid w:val="001B52D5"/>
    <w:rsid w:val="001B53F2"/>
    <w:rsid w:val="001B586D"/>
    <w:rsid w:val="001B5BB0"/>
    <w:rsid w:val="001B5BC7"/>
    <w:rsid w:val="001B6086"/>
    <w:rsid w:val="001B6479"/>
    <w:rsid w:val="001B65B2"/>
    <w:rsid w:val="001B664C"/>
    <w:rsid w:val="001B6BE0"/>
    <w:rsid w:val="001B6EF8"/>
    <w:rsid w:val="001B70D3"/>
    <w:rsid w:val="001B7637"/>
    <w:rsid w:val="001B78BA"/>
    <w:rsid w:val="001B7FE3"/>
    <w:rsid w:val="001C0180"/>
    <w:rsid w:val="001C0326"/>
    <w:rsid w:val="001C0693"/>
    <w:rsid w:val="001C132B"/>
    <w:rsid w:val="001C1418"/>
    <w:rsid w:val="001C14FC"/>
    <w:rsid w:val="001C156E"/>
    <w:rsid w:val="001C172C"/>
    <w:rsid w:val="001C193A"/>
    <w:rsid w:val="001C1C22"/>
    <w:rsid w:val="001C1D28"/>
    <w:rsid w:val="001C227C"/>
    <w:rsid w:val="001C24AF"/>
    <w:rsid w:val="001C2529"/>
    <w:rsid w:val="001C2AB7"/>
    <w:rsid w:val="001C2C74"/>
    <w:rsid w:val="001C38DF"/>
    <w:rsid w:val="001C390D"/>
    <w:rsid w:val="001C3952"/>
    <w:rsid w:val="001C3980"/>
    <w:rsid w:val="001C4079"/>
    <w:rsid w:val="001C4129"/>
    <w:rsid w:val="001C422B"/>
    <w:rsid w:val="001C448E"/>
    <w:rsid w:val="001C4685"/>
    <w:rsid w:val="001C481C"/>
    <w:rsid w:val="001C4936"/>
    <w:rsid w:val="001C4B13"/>
    <w:rsid w:val="001C4C91"/>
    <w:rsid w:val="001C4C9F"/>
    <w:rsid w:val="001C52CB"/>
    <w:rsid w:val="001C5750"/>
    <w:rsid w:val="001C586C"/>
    <w:rsid w:val="001C5AC9"/>
    <w:rsid w:val="001C649F"/>
    <w:rsid w:val="001C684F"/>
    <w:rsid w:val="001C6C0D"/>
    <w:rsid w:val="001C7B92"/>
    <w:rsid w:val="001D0B4D"/>
    <w:rsid w:val="001D1165"/>
    <w:rsid w:val="001D1266"/>
    <w:rsid w:val="001D138D"/>
    <w:rsid w:val="001D164F"/>
    <w:rsid w:val="001D178F"/>
    <w:rsid w:val="001D19FA"/>
    <w:rsid w:val="001D1A95"/>
    <w:rsid w:val="001D1C43"/>
    <w:rsid w:val="001D1D21"/>
    <w:rsid w:val="001D204F"/>
    <w:rsid w:val="001D24F7"/>
    <w:rsid w:val="001D2590"/>
    <w:rsid w:val="001D2AC9"/>
    <w:rsid w:val="001D2B0D"/>
    <w:rsid w:val="001D2D28"/>
    <w:rsid w:val="001D2D48"/>
    <w:rsid w:val="001D2DD0"/>
    <w:rsid w:val="001D2FD1"/>
    <w:rsid w:val="001D3062"/>
    <w:rsid w:val="001D310E"/>
    <w:rsid w:val="001D3469"/>
    <w:rsid w:val="001D3AE6"/>
    <w:rsid w:val="001D41B9"/>
    <w:rsid w:val="001D471C"/>
    <w:rsid w:val="001D471E"/>
    <w:rsid w:val="001D4B05"/>
    <w:rsid w:val="001D5149"/>
    <w:rsid w:val="001D5196"/>
    <w:rsid w:val="001D530D"/>
    <w:rsid w:val="001D5913"/>
    <w:rsid w:val="001D593D"/>
    <w:rsid w:val="001D5F68"/>
    <w:rsid w:val="001D5F9C"/>
    <w:rsid w:val="001D61B7"/>
    <w:rsid w:val="001D635C"/>
    <w:rsid w:val="001D6504"/>
    <w:rsid w:val="001D75AA"/>
    <w:rsid w:val="001D770D"/>
    <w:rsid w:val="001D77C2"/>
    <w:rsid w:val="001D781D"/>
    <w:rsid w:val="001D7A2A"/>
    <w:rsid w:val="001D7E1C"/>
    <w:rsid w:val="001D7FF7"/>
    <w:rsid w:val="001E0082"/>
    <w:rsid w:val="001E0569"/>
    <w:rsid w:val="001E0A79"/>
    <w:rsid w:val="001E0BE9"/>
    <w:rsid w:val="001E0EEA"/>
    <w:rsid w:val="001E1171"/>
    <w:rsid w:val="001E1190"/>
    <w:rsid w:val="001E136A"/>
    <w:rsid w:val="001E15CB"/>
    <w:rsid w:val="001E1B97"/>
    <w:rsid w:val="001E1D8C"/>
    <w:rsid w:val="001E2327"/>
    <w:rsid w:val="001E2546"/>
    <w:rsid w:val="001E2873"/>
    <w:rsid w:val="001E287F"/>
    <w:rsid w:val="001E2DF6"/>
    <w:rsid w:val="001E3449"/>
    <w:rsid w:val="001E3E20"/>
    <w:rsid w:val="001E3F6C"/>
    <w:rsid w:val="001E4164"/>
    <w:rsid w:val="001E42D2"/>
    <w:rsid w:val="001E44F8"/>
    <w:rsid w:val="001E4C11"/>
    <w:rsid w:val="001E4D3F"/>
    <w:rsid w:val="001E5151"/>
    <w:rsid w:val="001E51CE"/>
    <w:rsid w:val="001E52EC"/>
    <w:rsid w:val="001E57DE"/>
    <w:rsid w:val="001E5EF8"/>
    <w:rsid w:val="001E6018"/>
    <w:rsid w:val="001E642E"/>
    <w:rsid w:val="001E647B"/>
    <w:rsid w:val="001E7168"/>
    <w:rsid w:val="001E7451"/>
    <w:rsid w:val="001E7D03"/>
    <w:rsid w:val="001E7E2D"/>
    <w:rsid w:val="001E7F9A"/>
    <w:rsid w:val="001E7FE8"/>
    <w:rsid w:val="001F0670"/>
    <w:rsid w:val="001F0683"/>
    <w:rsid w:val="001F0FBF"/>
    <w:rsid w:val="001F1308"/>
    <w:rsid w:val="001F1814"/>
    <w:rsid w:val="001F1C98"/>
    <w:rsid w:val="001F1D11"/>
    <w:rsid w:val="001F2784"/>
    <w:rsid w:val="001F27F7"/>
    <w:rsid w:val="001F2B77"/>
    <w:rsid w:val="001F2F5D"/>
    <w:rsid w:val="001F3883"/>
    <w:rsid w:val="001F3B68"/>
    <w:rsid w:val="001F3D38"/>
    <w:rsid w:val="001F3E0F"/>
    <w:rsid w:val="001F4170"/>
    <w:rsid w:val="001F4279"/>
    <w:rsid w:val="001F46DC"/>
    <w:rsid w:val="001F4D9C"/>
    <w:rsid w:val="001F4EEA"/>
    <w:rsid w:val="001F502D"/>
    <w:rsid w:val="001F50BF"/>
    <w:rsid w:val="001F56DC"/>
    <w:rsid w:val="001F608B"/>
    <w:rsid w:val="001F6137"/>
    <w:rsid w:val="001F63FF"/>
    <w:rsid w:val="001F6861"/>
    <w:rsid w:val="001F6BD5"/>
    <w:rsid w:val="001F6E51"/>
    <w:rsid w:val="001F6EC7"/>
    <w:rsid w:val="001F7341"/>
    <w:rsid w:val="001F78B3"/>
    <w:rsid w:val="001F7CBE"/>
    <w:rsid w:val="002002BF"/>
    <w:rsid w:val="00200BCC"/>
    <w:rsid w:val="00200CA2"/>
    <w:rsid w:val="002018C7"/>
    <w:rsid w:val="00201B0B"/>
    <w:rsid w:val="00201DFC"/>
    <w:rsid w:val="0020207F"/>
    <w:rsid w:val="002029C1"/>
    <w:rsid w:val="00202B78"/>
    <w:rsid w:val="00202BD7"/>
    <w:rsid w:val="0020351F"/>
    <w:rsid w:val="002037FA"/>
    <w:rsid w:val="00203E15"/>
    <w:rsid w:val="002042A8"/>
    <w:rsid w:val="0020451E"/>
    <w:rsid w:val="0020470D"/>
    <w:rsid w:val="00204E64"/>
    <w:rsid w:val="00205197"/>
    <w:rsid w:val="00205213"/>
    <w:rsid w:val="0020531D"/>
    <w:rsid w:val="00205563"/>
    <w:rsid w:val="002056DC"/>
    <w:rsid w:val="002058A0"/>
    <w:rsid w:val="00205CA4"/>
    <w:rsid w:val="00206141"/>
    <w:rsid w:val="0020634A"/>
    <w:rsid w:val="00206A21"/>
    <w:rsid w:val="00206CC8"/>
    <w:rsid w:val="00206F5F"/>
    <w:rsid w:val="0020705B"/>
    <w:rsid w:val="002071E7"/>
    <w:rsid w:val="002071FA"/>
    <w:rsid w:val="002073EA"/>
    <w:rsid w:val="0020776C"/>
    <w:rsid w:val="00207807"/>
    <w:rsid w:val="00207B09"/>
    <w:rsid w:val="00207C2B"/>
    <w:rsid w:val="00210397"/>
    <w:rsid w:val="00210987"/>
    <w:rsid w:val="00210CAC"/>
    <w:rsid w:val="00210D9A"/>
    <w:rsid w:val="00210E7B"/>
    <w:rsid w:val="00210FA5"/>
    <w:rsid w:val="00211023"/>
    <w:rsid w:val="00211431"/>
    <w:rsid w:val="00211504"/>
    <w:rsid w:val="0021153C"/>
    <w:rsid w:val="00212386"/>
    <w:rsid w:val="00212442"/>
    <w:rsid w:val="002124BD"/>
    <w:rsid w:val="002138CD"/>
    <w:rsid w:val="002139EC"/>
    <w:rsid w:val="00213A78"/>
    <w:rsid w:val="00213B50"/>
    <w:rsid w:val="00213CD2"/>
    <w:rsid w:val="0021417B"/>
    <w:rsid w:val="0021480E"/>
    <w:rsid w:val="00214B75"/>
    <w:rsid w:val="00214F93"/>
    <w:rsid w:val="0021558B"/>
    <w:rsid w:val="00215E71"/>
    <w:rsid w:val="00215F61"/>
    <w:rsid w:val="002163AF"/>
    <w:rsid w:val="00216998"/>
    <w:rsid w:val="00216C16"/>
    <w:rsid w:val="00216D89"/>
    <w:rsid w:val="00217507"/>
    <w:rsid w:val="0021774A"/>
    <w:rsid w:val="0022040B"/>
    <w:rsid w:val="00220A02"/>
    <w:rsid w:val="00220C77"/>
    <w:rsid w:val="00220D09"/>
    <w:rsid w:val="00220D90"/>
    <w:rsid w:val="00220EA5"/>
    <w:rsid w:val="00221026"/>
    <w:rsid w:val="0022137F"/>
    <w:rsid w:val="0022157E"/>
    <w:rsid w:val="00221C73"/>
    <w:rsid w:val="00221CDE"/>
    <w:rsid w:val="00221EA9"/>
    <w:rsid w:val="002228EE"/>
    <w:rsid w:val="002229F5"/>
    <w:rsid w:val="002231BB"/>
    <w:rsid w:val="0022336E"/>
    <w:rsid w:val="0022349E"/>
    <w:rsid w:val="0022361C"/>
    <w:rsid w:val="00223EC1"/>
    <w:rsid w:val="00224162"/>
    <w:rsid w:val="0022426B"/>
    <w:rsid w:val="0022429B"/>
    <w:rsid w:val="0022433D"/>
    <w:rsid w:val="002246F1"/>
    <w:rsid w:val="0022470F"/>
    <w:rsid w:val="0022481F"/>
    <w:rsid w:val="00224888"/>
    <w:rsid w:val="00224903"/>
    <w:rsid w:val="00224BA1"/>
    <w:rsid w:val="00224BF4"/>
    <w:rsid w:val="00224C3A"/>
    <w:rsid w:val="00224D70"/>
    <w:rsid w:val="0022505F"/>
    <w:rsid w:val="002254F7"/>
    <w:rsid w:val="0022554E"/>
    <w:rsid w:val="00225601"/>
    <w:rsid w:val="0022560F"/>
    <w:rsid w:val="0022585D"/>
    <w:rsid w:val="00225911"/>
    <w:rsid w:val="00225CB9"/>
    <w:rsid w:val="00225DC9"/>
    <w:rsid w:val="002260B4"/>
    <w:rsid w:val="00226255"/>
    <w:rsid w:val="00226445"/>
    <w:rsid w:val="00226560"/>
    <w:rsid w:val="00226757"/>
    <w:rsid w:val="0022677A"/>
    <w:rsid w:val="00226890"/>
    <w:rsid w:val="00226E8B"/>
    <w:rsid w:val="00226FE8"/>
    <w:rsid w:val="002270AE"/>
    <w:rsid w:val="002275F3"/>
    <w:rsid w:val="00227952"/>
    <w:rsid w:val="00227964"/>
    <w:rsid w:val="00227D13"/>
    <w:rsid w:val="00227EAA"/>
    <w:rsid w:val="0023041C"/>
    <w:rsid w:val="002305BF"/>
    <w:rsid w:val="00230758"/>
    <w:rsid w:val="00230862"/>
    <w:rsid w:val="00230B0F"/>
    <w:rsid w:val="00230C45"/>
    <w:rsid w:val="00231419"/>
    <w:rsid w:val="0023268A"/>
    <w:rsid w:val="00232E2C"/>
    <w:rsid w:val="00232F83"/>
    <w:rsid w:val="0023319D"/>
    <w:rsid w:val="0023324F"/>
    <w:rsid w:val="002340D3"/>
    <w:rsid w:val="0023434B"/>
    <w:rsid w:val="002344E3"/>
    <w:rsid w:val="00234543"/>
    <w:rsid w:val="0023466A"/>
    <w:rsid w:val="00234685"/>
    <w:rsid w:val="002349A3"/>
    <w:rsid w:val="00234EC8"/>
    <w:rsid w:val="00234F9B"/>
    <w:rsid w:val="002351AB"/>
    <w:rsid w:val="00235A9B"/>
    <w:rsid w:val="00235BF1"/>
    <w:rsid w:val="00235CC2"/>
    <w:rsid w:val="00235D7E"/>
    <w:rsid w:val="00235F76"/>
    <w:rsid w:val="00236769"/>
    <w:rsid w:val="00236803"/>
    <w:rsid w:val="002369CF"/>
    <w:rsid w:val="00236B66"/>
    <w:rsid w:val="002370BB"/>
    <w:rsid w:val="00237220"/>
    <w:rsid w:val="00237A58"/>
    <w:rsid w:val="002401A7"/>
    <w:rsid w:val="0024038C"/>
    <w:rsid w:val="0024053E"/>
    <w:rsid w:val="00240D03"/>
    <w:rsid w:val="002411D2"/>
    <w:rsid w:val="00241254"/>
    <w:rsid w:val="00241583"/>
    <w:rsid w:val="00241689"/>
    <w:rsid w:val="002418C1"/>
    <w:rsid w:val="002419B5"/>
    <w:rsid w:val="002419EC"/>
    <w:rsid w:val="00241B68"/>
    <w:rsid w:val="00241B99"/>
    <w:rsid w:val="00241BC0"/>
    <w:rsid w:val="002423B0"/>
    <w:rsid w:val="002431F7"/>
    <w:rsid w:val="00243238"/>
    <w:rsid w:val="0024373A"/>
    <w:rsid w:val="00243880"/>
    <w:rsid w:val="00243AF8"/>
    <w:rsid w:val="00243D85"/>
    <w:rsid w:val="00243F40"/>
    <w:rsid w:val="00244119"/>
    <w:rsid w:val="0024421A"/>
    <w:rsid w:val="002442CB"/>
    <w:rsid w:val="00244366"/>
    <w:rsid w:val="00244416"/>
    <w:rsid w:val="00244688"/>
    <w:rsid w:val="0024479C"/>
    <w:rsid w:val="0024486F"/>
    <w:rsid w:val="00244AAB"/>
    <w:rsid w:val="00244AB2"/>
    <w:rsid w:val="002450F6"/>
    <w:rsid w:val="0024597D"/>
    <w:rsid w:val="00245D96"/>
    <w:rsid w:val="002462A9"/>
    <w:rsid w:val="0024643F"/>
    <w:rsid w:val="002465E7"/>
    <w:rsid w:val="00246D33"/>
    <w:rsid w:val="00246E69"/>
    <w:rsid w:val="00246F8A"/>
    <w:rsid w:val="0024701F"/>
    <w:rsid w:val="002478C2"/>
    <w:rsid w:val="00247AF7"/>
    <w:rsid w:val="00247CC4"/>
    <w:rsid w:val="00247DC4"/>
    <w:rsid w:val="00247EFB"/>
    <w:rsid w:val="002503FF"/>
    <w:rsid w:val="00250907"/>
    <w:rsid w:val="00250A28"/>
    <w:rsid w:val="00250FF4"/>
    <w:rsid w:val="002512D0"/>
    <w:rsid w:val="002516AC"/>
    <w:rsid w:val="00251ADE"/>
    <w:rsid w:val="00252061"/>
    <w:rsid w:val="002520B7"/>
    <w:rsid w:val="0025216B"/>
    <w:rsid w:val="00252778"/>
    <w:rsid w:val="00252832"/>
    <w:rsid w:val="00252A4E"/>
    <w:rsid w:val="00252EA8"/>
    <w:rsid w:val="00252FC5"/>
    <w:rsid w:val="002532D7"/>
    <w:rsid w:val="00253844"/>
    <w:rsid w:val="00253D92"/>
    <w:rsid w:val="00253ED7"/>
    <w:rsid w:val="00254A47"/>
    <w:rsid w:val="00254A77"/>
    <w:rsid w:val="00254AF5"/>
    <w:rsid w:val="00254FD0"/>
    <w:rsid w:val="002550CA"/>
    <w:rsid w:val="002556C1"/>
    <w:rsid w:val="00255709"/>
    <w:rsid w:val="002558EA"/>
    <w:rsid w:val="00255E16"/>
    <w:rsid w:val="00255EEA"/>
    <w:rsid w:val="00256071"/>
    <w:rsid w:val="00256299"/>
    <w:rsid w:val="0025639A"/>
    <w:rsid w:val="002565EC"/>
    <w:rsid w:val="00256613"/>
    <w:rsid w:val="002567C8"/>
    <w:rsid w:val="0025681C"/>
    <w:rsid w:val="002568B5"/>
    <w:rsid w:val="00256A9D"/>
    <w:rsid w:val="00256DD2"/>
    <w:rsid w:val="002573E3"/>
    <w:rsid w:val="0025745C"/>
    <w:rsid w:val="00257484"/>
    <w:rsid w:val="0025752F"/>
    <w:rsid w:val="002577F7"/>
    <w:rsid w:val="00257AF8"/>
    <w:rsid w:val="002601A3"/>
    <w:rsid w:val="002606A4"/>
    <w:rsid w:val="00260777"/>
    <w:rsid w:val="00260E26"/>
    <w:rsid w:val="00260FDB"/>
    <w:rsid w:val="0026124A"/>
    <w:rsid w:val="00261269"/>
    <w:rsid w:val="0026180A"/>
    <w:rsid w:val="0026193E"/>
    <w:rsid w:val="00261985"/>
    <w:rsid w:val="00261AB8"/>
    <w:rsid w:val="00261CA6"/>
    <w:rsid w:val="00261D28"/>
    <w:rsid w:val="00262106"/>
    <w:rsid w:val="002621BE"/>
    <w:rsid w:val="00262364"/>
    <w:rsid w:val="00262964"/>
    <w:rsid w:val="00262A00"/>
    <w:rsid w:val="00262ABD"/>
    <w:rsid w:val="00262D09"/>
    <w:rsid w:val="00262E51"/>
    <w:rsid w:val="002630C2"/>
    <w:rsid w:val="002634DA"/>
    <w:rsid w:val="00264019"/>
    <w:rsid w:val="00264104"/>
    <w:rsid w:val="002642A6"/>
    <w:rsid w:val="002642FF"/>
    <w:rsid w:val="00264355"/>
    <w:rsid w:val="002647F3"/>
    <w:rsid w:val="00265365"/>
    <w:rsid w:val="00265624"/>
    <w:rsid w:val="002656EF"/>
    <w:rsid w:val="00265C6D"/>
    <w:rsid w:val="00265E5E"/>
    <w:rsid w:val="00265E9D"/>
    <w:rsid w:val="00265FBB"/>
    <w:rsid w:val="002664B2"/>
    <w:rsid w:val="00266859"/>
    <w:rsid w:val="00266873"/>
    <w:rsid w:val="00266E39"/>
    <w:rsid w:val="00267048"/>
    <w:rsid w:val="0026710E"/>
    <w:rsid w:val="00267177"/>
    <w:rsid w:val="00267364"/>
    <w:rsid w:val="0026739A"/>
    <w:rsid w:val="002674D2"/>
    <w:rsid w:val="00267CF8"/>
    <w:rsid w:val="002700C0"/>
    <w:rsid w:val="002701E1"/>
    <w:rsid w:val="0027044E"/>
    <w:rsid w:val="00270480"/>
    <w:rsid w:val="00270866"/>
    <w:rsid w:val="002710C7"/>
    <w:rsid w:val="0027144A"/>
    <w:rsid w:val="00271AC4"/>
    <w:rsid w:val="00271FBA"/>
    <w:rsid w:val="00272169"/>
    <w:rsid w:val="002723C5"/>
    <w:rsid w:val="00272659"/>
    <w:rsid w:val="0027283B"/>
    <w:rsid w:val="00272901"/>
    <w:rsid w:val="00272B07"/>
    <w:rsid w:val="00272B67"/>
    <w:rsid w:val="00272F5C"/>
    <w:rsid w:val="002731A4"/>
    <w:rsid w:val="00273646"/>
    <w:rsid w:val="0027371C"/>
    <w:rsid w:val="00273D32"/>
    <w:rsid w:val="002740E2"/>
    <w:rsid w:val="00274142"/>
    <w:rsid w:val="00274340"/>
    <w:rsid w:val="002745E7"/>
    <w:rsid w:val="002747A2"/>
    <w:rsid w:val="002747E2"/>
    <w:rsid w:val="00274B6D"/>
    <w:rsid w:val="00274C33"/>
    <w:rsid w:val="002750E9"/>
    <w:rsid w:val="0027542F"/>
    <w:rsid w:val="00275A31"/>
    <w:rsid w:val="00275AE2"/>
    <w:rsid w:val="00275B53"/>
    <w:rsid w:val="00275D8E"/>
    <w:rsid w:val="00275FA3"/>
    <w:rsid w:val="00276091"/>
    <w:rsid w:val="00276112"/>
    <w:rsid w:val="00276525"/>
    <w:rsid w:val="0027691E"/>
    <w:rsid w:val="00276A76"/>
    <w:rsid w:val="00276B19"/>
    <w:rsid w:val="00276B48"/>
    <w:rsid w:val="00276CCD"/>
    <w:rsid w:val="00276D93"/>
    <w:rsid w:val="00276E2B"/>
    <w:rsid w:val="00276E73"/>
    <w:rsid w:val="00277262"/>
    <w:rsid w:val="00277852"/>
    <w:rsid w:val="00277AAB"/>
    <w:rsid w:val="00277C50"/>
    <w:rsid w:val="00277FF6"/>
    <w:rsid w:val="002803F8"/>
    <w:rsid w:val="00280464"/>
    <w:rsid w:val="00280B33"/>
    <w:rsid w:val="00280B87"/>
    <w:rsid w:val="00280EB2"/>
    <w:rsid w:val="002810CD"/>
    <w:rsid w:val="0028117C"/>
    <w:rsid w:val="0028124E"/>
    <w:rsid w:val="0028124F"/>
    <w:rsid w:val="00281259"/>
    <w:rsid w:val="00281261"/>
    <w:rsid w:val="002814F7"/>
    <w:rsid w:val="00281556"/>
    <w:rsid w:val="0028169A"/>
    <w:rsid w:val="00281766"/>
    <w:rsid w:val="00281D82"/>
    <w:rsid w:val="00281E2F"/>
    <w:rsid w:val="0028211D"/>
    <w:rsid w:val="002821CA"/>
    <w:rsid w:val="00282275"/>
    <w:rsid w:val="002826E7"/>
    <w:rsid w:val="002827A9"/>
    <w:rsid w:val="00282A21"/>
    <w:rsid w:val="00282A8D"/>
    <w:rsid w:val="00282E6D"/>
    <w:rsid w:val="00282F4B"/>
    <w:rsid w:val="00283055"/>
    <w:rsid w:val="00283190"/>
    <w:rsid w:val="0028338E"/>
    <w:rsid w:val="00283B9A"/>
    <w:rsid w:val="00283FC4"/>
    <w:rsid w:val="00284492"/>
    <w:rsid w:val="002847D0"/>
    <w:rsid w:val="00284976"/>
    <w:rsid w:val="00284C17"/>
    <w:rsid w:val="00284C66"/>
    <w:rsid w:val="00284D23"/>
    <w:rsid w:val="00284E80"/>
    <w:rsid w:val="00284FA1"/>
    <w:rsid w:val="002851A9"/>
    <w:rsid w:val="002852AA"/>
    <w:rsid w:val="002852D8"/>
    <w:rsid w:val="00285314"/>
    <w:rsid w:val="002853A3"/>
    <w:rsid w:val="002853C1"/>
    <w:rsid w:val="00285718"/>
    <w:rsid w:val="002857D1"/>
    <w:rsid w:val="002857D7"/>
    <w:rsid w:val="00285C66"/>
    <w:rsid w:val="00285D15"/>
    <w:rsid w:val="00285D35"/>
    <w:rsid w:val="0028608B"/>
    <w:rsid w:val="002863CD"/>
    <w:rsid w:val="002865CC"/>
    <w:rsid w:val="00286646"/>
    <w:rsid w:val="002867D0"/>
    <w:rsid w:val="00286939"/>
    <w:rsid w:val="00286E99"/>
    <w:rsid w:val="00287778"/>
    <w:rsid w:val="00287A06"/>
    <w:rsid w:val="00287C7B"/>
    <w:rsid w:val="00287F75"/>
    <w:rsid w:val="002902E5"/>
    <w:rsid w:val="00290527"/>
    <w:rsid w:val="0029057C"/>
    <w:rsid w:val="00290AAF"/>
    <w:rsid w:val="00290AB6"/>
    <w:rsid w:val="00290AFA"/>
    <w:rsid w:val="00290E91"/>
    <w:rsid w:val="00290F95"/>
    <w:rsid w:val="002912C8"/>
    <w:rsid w:val="0029194A"/>
    <w:rsid w:val="00291983"/>
    <w:rsid w:val="002919A3"/>
    <w:rsid w:val="00291B94"/>
    <w:rsid w:val="00291F38"/>
    <w:rsid w:val="00292395"/>
    <w:rsid w:val="0029290F"/>
    <w:rsid w:val="00292A68"/>
    <w:rsid w:val="00292B54"/>
    <w:rsid w:val="00292EEA"/>
    <w:rsid w:val="00293043"/>
    <w:rsid w:val="00293112"/>
    <w:rsid w:val="002931B1"/>
    <w:rsid w:val="00293432"/>
    <w:rsid w:val="0029344A"/>
    <w:rsid w:val="0029356A"/>
    <w:rsid w:val="00293940"/>
    <w:rsid w:val="00293A1A"/>
    <w:rsid w:val="00293B7E"/>
    <w:rsid w:val="00293DFA"/>
    <w:rsid w:val="00294039"/>
    <w:rsid w:val="002940EC"/>
    <w:rsid w:val="002943A0"/>
    <w:rsid w:val="00294475"/>
    <w:rsid w:val="0029453F"/>
    <w:rsid w:val="002949F8"/>
    <w:rsid w:val="00294A88"/>
    <w:rsid w:val="00294F63"/>
    <w:rsid w:val="0029522B"/>
    <w:rsid w:val="00295610"/>
    <w:rsid w:val="00295A2B"/>
    <w:rsid w:val="00295A5B"/>
    <w:rsid w:val="00295DAC"/>
    <w:rsid w:val="00295EBC"/>
    <w:rsid w:val="00296168"/>
    <w:rsid w:val="0029647B"/>
    <w:rsid w:val="00296558"/>
    <w:rsid w:val="0029662C"/>
    <w:rsid w:val="00296DA0"/>
    <w:rsid w:val="00296DF1"/>
    <w:rsid w:val="00296E15"/>
    <w:rsid w:val="00296FB0"/>
    <w:rsid w:val="00297246"/>
    <w:rsid w:val="0029754B"/>
    <w:rsid w:val="00297ABC"/>
    <w:rsid w:val="00297AC4"/>
    <w:rsid w:val="00297BDC"/>
    <w:rsid w:val="00297F9E"/>
    <w:rsid w:val="002A0049"/>
    <w:rsid w:val="002A01CE"/>
    <w:rsid w:val="002A0401"/>
    <w:rsid w:val="002A08CE"/>
    <w:rsid w:val="002A0B05"/>
    <w:rsid w:val="002A0C08"/>
    <w:rsid w:val="002A1259"/>
    <w:rsid w:val="002A1577"/>
    <w:rsid w:val="002A16C6"/>
    <w:rsid w:val="002A1830"/>
    <w:rsid w:val="002A1D3D"/>
    <w:rsid w:val="002A2647"/>
    <w:rsid w:val="002A2760"/>
    <w:rsid w:val="002A2D33"/>
    <w:rsid w:val="002A2D85"/>
    <w:rsid w:val="002A3257"/>
    <w:rsid w:val="002A38BC"/>
    <w:rsid w:val="002A38C1"/>
    <w:rsid w:val="002A3A3F"/>
    <w:rsid w:val="002A3CC9"/>
    <w:rsid w:val="002A3CFD"/>
    <w:rsid w:val="002A4075"/>
    <w:rsid w:val="002A43DE"/>
    <w:rsid w:val="002A45DF"/>
    <w:rsid w:val="002A46A2"/>
    <w:rsid w:val="002A4729"/>
    <w:rsid w:val="002A4789"/>
    <w:rsid w:val="002A47AD"/>
    <w:rsid w:val="002A480F"/>
    <w:rsid w:val="002A4930"/>
    <w:rsid w:val="002A4F0B"/>
    <w:rsid w:val="002A4F2D"/>
    <w:rsid w:val="002A5077"/>
    <w:rsid w:val="002A5700"/>
    <w:rsid w:val="002A578C"/>
    <w:rsid w:val="002A59DB"/>
    <w:rsid w:val="002A5C4B"/>
    <w:rsid w:val="002A5E06"/>
    <w:rsid w:val="002A5EBE"/>
    <w:rsid w:val="002A61D6"/>
    <w:rsid w:val="002A621E"/>
    <w:rsid w:val="002A633E"/>
    <w:rsid w:val="002A6711"/>
    <w:rsid w:val="002A6CAF"/>
    <w:rsid w:val="002A6D81"/>
    <w:rsid w:val="002A6DFD"/>
    <w:rsid w:val="002A7224"/>
    <w:rsid w:val="002A75B1"/>
    <w:rsid w:val="002A75B4"/>
    <w:rsid w:val="002A75D4"/>
    <w:rsid w:val="002A75D7"/>
    <w:rsid w:val="002A77B9"/>
    <w:rsid w:val="002A77D5"/>
    <w:rsid w:val="002A783F"/>
    <w:rsid w:val="002A7AE1"/>
    <w:rsid w:val="002B02FA"/>
    <w:rsid w:val="002B0787"/>
    <w:rsid w:val="002B0B75"/>
    <w:rsid w:val="002B0E39"/>
    <w:rsid w:val="002B1059"/>
    <w:rsid w:val="002B109F"/>
    <w:rsid w:val="002B110E"/>
    <w:rsid w:val="002B18E4"/>
    <w:rsid w:val="002B1EB7"/>
    <w:rsid w:val="002B2000"/>
    <w:rsid w:val="002B214F"/>
    <w:rsid w:val="002B21E8"/>
    <w:rsid w:val="002B2406"/>
    <w:rsid w:val="002B252E"/>
    <w:rsid w:val="002B25E2"/>
    <w:rsid w:val="002B28A0"/>
    <w:rsid w:val="002B2A73"/>
    <w:rsid w:val="002B32AA"/>
    <w:rsid w:val="002B33DE"/>
    <w:rsid w:val="002B371C"/>
    <w:rsid w:val="002B38BE"/>
    <w:rsid w:val="002B38EF"/>
    <w:rsid w:val="002B3978"/>
    <w:rsid w:val="002B3B03"/>
    <w:rsid w:val="002B3BF0"/>
    <w:rsid w:val="002B42CE"/>
    <w:rsid w:val="002B4548"/>
    <w:rsid w:val="002B481F"/>
    <w:rsid w:val="002B498B"/>
    <w:rsid w:val="002B4EA6"/>
    <w:rsid w:val="002B52A5"/>
    <w:rsid w:val="002B53B9"/>
    <w:rsid w:val="002B54C5"/>
    <w:rsid w:val="002B5A5D"/>
    <w:rsid w:val="002B5C7E"/>
    <w:rsid w:val="002B5C8D"/>
    <w:rsid w:val="002B622F"/>
    <w:rsid w:val="002B6770"/>
    <w:rsid w:val="002B704E"/>
    <w:rsid w:val="002B730E"/>
    <w:rsid w:val="002C0158"/>
    <w:rsid w:val="002C01B4"/>
    <w:rsid w:val="002C095A"/>
    <w:rsid w:val="002C0D90"/>
    <w:rsid w:val="002C104F"/>
    <w:rsid w:val="002C1164"/>
    <w:rsid w:val="002C1477"/>
    <w:rsid w:val="002C1688"/>
    <w:rsid w:val="002C1723"/>
    <w:rsid w:val="002C1854"/>
    <w:rsid w:val="002C1B4A"/>
    <w:rsid w:val="002C1E6D"/>
    <w:rsid w:val="002C1F50"/>
    <w:rsid w:val="002C20D3"/>
    <w:rsid w:val="002C21C0"/>
    <w:rsid w:val="002C245C"/>
    <w:rsid w:val="002C270A"/>
    <w:rsid w:val="002C293F"/>
    <w:rsid w:val="002C2AAA"/>
    <w:rsid w:val="002C3388"/>
    <w:rsid w:val="002C3608"/>
    <w:rsid w:val="002C361E"/>
    <w:rsid w:val="002C3697"/>
    <w:rsid w:val="002C36EF"/>
    <w:rsid w:val="002C4421"/>
    <w:rsid w:val="002C4433"/>
    <w:rsid w:val="002C4499"/>
    <w:rsid w:val="002C46F0"/>
    <w:rsid w:val="002C48A0"/>
    <w:rsid w:val="002C48A4"/>
    <w:rsid w:val="002C48DD"/>
    <w:rsid w:val="002C499A"/>
    <w:rsid w:val="002C4C22"/>
    <w:rsid w:val="002C4CD4"/>
    <w:rsid w:val="002C52C8"/>
    <w:rsid w:val="002C54F2"/>
    <w:rsid w:val="002C56C8"/>
    <w:rsid w:val="002C5980"/>
    <w:rsid w:val="002C5A45"/>
    <w:rsid w:val="002C5D4E"/>
    <w:rsid w:val="002C5DA8"/>
    <w:rsid w:val="002C5F3F"/>
    <w:rsid w:val="002C6189"/>
    <w:rsid w:val="002C630B"/>
    <w:rsid w:val="002C64CE"/>
    <w:rsid w:val="002C6835"/>
    <w:rsid w:val="002C68F4"/>
    <w:rsid w:val="002C6EE5"/>
    <w:rsid w:val="002C6F88"/>
    <w:rsid w:val="002C712F"/>
    <w:rsid w:val="002C750A"/>
    <w:rsid w:val="002C76BB"/>
    <w:rsid w:val="002C7784"/>
    <w:rsid w:val="002C7A01"/>
    <w:rsid w:val="002D0089"/>
    <w:rsid w:val="002D034C"/>
    <w:rsid w:val="002D0472"/>
    <w:rsid w:val="002D097D"/>
    <w:rsid w:val="002D0C6F"/>
    <w:rsid w:val="002D0D97"/>
    <w:rsid w:val="002D106E"/>
    <w:rsid w:val="002D141B"/>
    <w:rsid w:val="002D14E9"/>
    <w:rsid w:val="002D1BE5"/>
    <w:rsid w:val="002D1FC0"/>
    <w:rsid w:val="002D2333"/>
    <w:rsid w:val="002D2857"/>
    <w:rsid w:val="002D2B29"/>
    <w:rsid w:val="002D2D46"/>
    <w:rsid w:val="002D2DB0"/>
    <w:rsid w:val="002D31FF"/>
    <w:rsid w:val="002D3292"/>
    <w:rsid w:val="002D3293"/>
    <w:rsid w:val="002D332A"/>
    <w:rsid w:val="002D3648"/>
    <w:rsid w:val="002D365D"/>
    <w:rsid w:val="002D3766"/>
    <w:rsid w:val="002D3A1B"/>
    <w:rsid w:val="002D3A58"/>
    <w:rsid w:val="002D3B83"/>
    <w:rsid w:val="002D3C05"/>
    <w:rsid w:val="002D4063"/>
    <w:rsid w:val="002D42BF"/>
    <w:rsid w:val="002D4479"/>
    <w:rsid w:val="002D4506"/>
    <w:rsid w:val="002D495D"/>
    <w:rsid w:val="002D4D63"/>
    <w:rsid w:val="002D4DCB"/>
    <w:rsid w:val="002D4EE8"/>
    <w:rsid w:val="002D5060"/>
    <w:rsid w:val="002D5288"/>
    <w:rsid w:val="002D52B3"/>
    <w:rsid w:val="002D53F5"/>
    <w:rsid w:val="002D55D7"/>
    <w:rsid w:val="002D59D4"/>
    <w:rsid w:val="002D5B86"/>
    <w:rsid w:val="002D61AF"/>
    <w:rsid w:val="002D621B"/>
    <w:rsid w:val="002D64E7"/>
    <w:rsid w:val="002D69DB"/>
    <w:rsid w:val="002D6A47"/>
    <w:rsid w:val="002D6CD5"/>
    <w:rsid w:val="002D7262"/>
    <w:rsid w:val="002D75AA"/>
    <w:rsid w:val="002D7677"/>
    <w:rsid w:val="002D7E00"/>
    <w:rsid w:val="002D7E32"/>
    <w:rsid w:val="002D7E35"/>
    <w:rsid w:val="002D7F1D"/>
    <w:rsid w:val="002D7F77"/>
    <w:rsid w:val="002E0359"/>
    <w:rsid w:val="002E05B8"/>
    <w:rsid w:val="002E072F"/>
    <w:rsid w:val="002E0904"/>
    <w:rsid w:val="002E094B"/>
    <w:rsid w:val="002E096E"/>
    <w:rsid w:val="002E0AB5"/>
    <w:rsid w:val="002E0B37"/>
    <w:rsid w:val="002E0F79"/>
    <w:rsid w:val="002E1071"/>
    <w:rsid w:val="002E11D4"/>
    <w:rsid w:val="002E17C7"/>
    <w:rsid w:val="002E1CE6"/>
    <w:rsid w:val="002E1D35"/>
    <w:rsid w:val="002E1EAF"/>
    <w:rsid w:val="002E23CE"/>
    <w:rsid w:val="002E282C"/>
    <w:rsid w:val="002E2E15"/>
    <w:rsid w:val="002E326D"/>
    <w:rsid w:val="002E32FB"/>
    <w:rsid w:val="002E336E"/>
    <w:rsid w:val="002E3FCD"/>
    <w:rsid w:val="002E414C"/>
    <w:rsid w:val="002E44D4"/>
    <w:rsid w:val="002E47EC"/>
    <w:rsid w:val="002E4B5F"/>
    <w:rsid w:val="002E4D84"/>
    <w:rsid w:val="002E4D9F"/>
    <w:rsid w:val="002E4FBB"/>
    <w:rsid w:val="002E5086"/>
    <w:rsid w:val="002E572B"/>
    <w:rsid w:val="002E59F4"/>
    <w:rsid w:val="002E5B5E"/>
    <w:rsid w:val="002E603B"/>
    <w:rsid w:val="002E6CAE"/>
    <w:rsid w:val="002E6FA7"/>
    <w:rsid w:val="002E75BA"/>
    <w:rsid w:val="002E7E6C"/>
    <w:rsid w:val="002E7E72"/>
    <w:rsid w:val="002F09B3"/>
    <w:rsid w:val="002F0A59"/>
    <w:rsid w:val="002F0F87"/>
    <w:rsid w:val="002F107C"/>
    <w:rsid w:val="002F15D8"/>
    <w:rsid w:val="002F1846"/>
    <w:rsid w:val="002F1B4B"/>
    <w:rsid w:val="002F1D83"/>
    <w:rsid w:val="002F1F64"/>
    <w:rsid w:val="002F265D"/>
    <w:rsid w:val="002F2B59"/>
    <w:rsid w:val="002F2ED8"/>
    <w:rsid w:val="002F2F4E"/>
    <w:rsid w:val="002F2F86"/>
    <w:rsid w:val="002F361D"/>
    <w:rsid w:val="002F3967"/>
    <w:rsid w:val="002F3BAC"/>
    <w:rsid w:val="002F3BDC"/>
    <w:rsid w:val="002F3F8F"/>
    <w:rsid w:val="002F3FEA"/>
    <w:rsid w:val="002F4AEF"/>
    <w:rsid w:val="002F4FA7"/>
    <w:rsid w:val="002F55EF"/>
    <w:rsid w:val="002F5602"/>
    <w:rsid w:val="002F5686"/>
    <w:rsid w:val="002F5919"/>
    <w:rsid w:val="002F5B7C"/>
    <w:rsid w:val="002F5BCA"/>
    <w:rsid w:val="002F6100"/>
    <w:rsid w:val="002F6206"/>
    <w:rsid w:val="002F664F"/>
    <w:rsid w:val="002F6F95"/>
    <w:rsid w:val="002F7081"/>
    <w:rsid w:val="002F71F5"/>
    <w:rsid w:val="002F7420"/>
    <w:rsid w:val="002F788A"/>
    <w:rsid w:val="00300097"/>
    <w:rsid w:val="00300B2A"/>
    <w:rsid w:val="00300C8B"/>
    <w:rsid w:val="00300CCE"/>
    <w:rsid w:val="00300E08"/>
    <w:rsid w:val="003012A4"/>
    <w:rsid w:val="0030173E"/>
    <w:rsid w:val="00301B1D"/>
    <w:rsid w:val="003020EB"/>
    <w:rsid w:val="003021FF"/>
    <w:rsid w:val="003022B9"/>
    <w:rsid w:val="0030281B"/>
    <w:rsid w:val="00302DDF"/>
    <w:rsid w:val="0030304D"/>
    <w:rsid w:val="0030348E"/>
    <w:rsid w:val="00303547"/>
    <w:rsid w:val="00303611"/>
    <w:rsid w:val="003037BD"/>
    <w:rsid w:val="00303AA6"/>
    <w:rsid w:val="00303C9A"/>
    <w:rsid w:val="00303D2E"/>
    <w:rsid w:val="003040B2"/>
    <w:rsid w:val="00304371"/>
    <w:rsid w:val="003046FB"/>
    <w:rsid w:val="00304CD2"/>
    <w:rsid w:val="00304D17"/>
    <w:rsid w:val="00304F52"/>
    <w:rsid w:val="003052CC"/>
    <w:rsid w:val="00305487"/>
    <w:rsid w:val="003054AD"/>
    <w:rsid w:val="0030586E"/>
    <w:rsid w:val="00305951"/>
    <w:rsid w:val="00305A1B"/>
    <w:rsid w:val="00305A23"/>
    <w:rsid w:val="00305C6A"/>
    <w:rsid w:val="00305E0A"/>
    <w:rsid w:val="00306444"/>
    <w:rsid w:val="0030686D"/>
    <w:rsid w:val="00306AFB"/>
    <w:rsid w:val="00306C76"/>
    <w:rsid w:val="00306DFC"/>
    <w:rsid w:val="00307048"/>
    <w:rsid w:val="003070A1"/>
    <w:rsid w:val="003070BE"/>
    <w:rsid w:val="0030711D"/>
    <w:rsid w:val="003074A9"/>
    <w:rsid w:val="00307711"/>
    <w:rsid w:val="003078E9"/>
    <w:rsid w:val="00307A5A"/>
    <w:rsid w:val="00307A89"/>
    <w:rsid w:val="00307CD0"/>
    <w:rsid w:val="00307EF1"/>
    <w:rsid w:val="003100BD"/>
    <w:rsid w:val="003102ED"/>
    <w:rsid w:val="003107C1"/>
    <w:rsid w:val="003107E0"/>
    <w:rsid w:val="00310BAA"/>
    <w:rsid w:val="00310F4C"/>
    <w:rsid w:val="00311261"/>
    <w:rsid w:val="00311336"/>
    <w:rsid w:val="003113F7"/>
    <w:rsid w:val="0031181D"/>
    <w:rsid w:val="00312116"/>
    <w:rsid w:val="00312692"/>
    <w:rsid w:val="0031275F"/>
    <w:rsid w:val="00312B21"/>
    <w:rsid w:val="00312E98"/>
    <w:rsid w:val="003134C3"/>
    <w:rsid w:val="00313506"/>
    <w:rsid w:val="00313995"/>
    <w:rsid w:val="00313996"/>
    <w:rsid w:val="003139AF"/>
    <w:rsid w:val="003140E6"/>
    <w:rsid w:val="0031456D"/>
    <w:rsid w:val="003146A9"/>
    <w:rsid w:val="00314B54"/>
    <w:rsid w:val="00314DA2"/>
    <w:rsid w:val="0031522D"/>
    <w:rsid w:val="0031548D"/>
    <w:rsid w:val="0031549D"/>
    <w:rsid w:val="003157B2"/>
    <w:rsid w:val="0031633D"/>
    <w:rsid w:val="003168F2"/>
    <w:rsid w:val="00316EFD"/>
    <w:rsid w:val="00316FA1"/>
    <w:rsid w:val="00317084"/>
    <w:rsid w:val="00317300"/>
    <w:rsid w:val="00317304"/>
    <w:rsid w:val="003175F1"/>
    <w:rsid w:val="00317D94"/>
    <w:rsid w:val="00317FA1"/>
    <w:rsid w:val="003200F4"/>
    <w:rsid w:val="003201FF"/>
    <w:rsid w:val="00320B8A"/>
    <w:rsid w:val="00320D73"/>
    <w:rsid w:val="00321B09"/>
    <w:rsid w:val="00321E55"/>
    <w:rsid w:val="0032206F"/>
    <w:rsid w:val="003223D1"/>
    <w:rsid w:val="00322521"/>
    <w:rsid w:val="00322825"/>
    <w:rsid w:val="00322875"/>
    <w:rsid w:val="00322951"/>
    <w:rsid w:val="003229DF"/>
    <w:rsid w:val="00322A76"/>
    <w:rsid w:val="00322F36"/>
    <w:rsid w:val="00323099"/>
    <w:rsid w:val="003231B8"/>
    <w:rsid w:val="003231D3"/>
    <w:rsid w:val="00323325"/>
    <w:rsid w:val="003235AC"/>
    <w:rsid w:val="003236A7"/>
    <w:rsid w:val="0032396D"/>
    <w:rsid w:val="00323ADC"/>
    <w:rsid w:val="00323B3C"/>
    <w:rsid w:val="00323D25"/>
    <w:rsid w:val="003240F7"/>
    <w:rsid w:val="003242FF"/>
    <w:rsid w:val="00324894"/>
    <w:rsid w:val="00324AAE"/>
    <w:rsid w:val="003253FC"/>
    <w:rsid w:val="00325952"/>
    <w:rsid w:val="00325D61"/>
    <w:rsid w:val="0032674D"/>
    <w:rsid w:val="00327065"/>
    <w:rsid w:val="00327346"/>
    <w:rsid w:val="003273A3"/>
    <w:rsid w:val="00327884"/>
    <w:rsid w:val="00327969"/>
    <w:rsid w:val="003279EB"/>
    <w:rsid w:val="00330510"/>
    <w:rsid w:val="0033099B"/>
    <w:rsid w:val="00330E8E"/>
    <w:rsid w:val="00331298"/>
    <w:rsid w:val="0033132E"/>
    <w:rsid w:val="00331845"/>
    <w:rsid w:val="003319FF"/>
    <w:rsid w:val="00331AD3"/>
    <w:rsid w:val="00331ADF"/>
    <w:rsid w:val="00331BEF"/>
    <w:rsid w:val="00331C2F"/>
    <w:rsid w:val="00331E56"/>
    <w:rsid w:val="003320BD"/>
    <w:rsid w:val="003323B3"/>
    <w:rsid w:val="00332D6C"/>
    <w:rsid w:val="003331FA"/>
    <w:rsid w:val="0033338D"/>
    <w:rsid w:val="00333450"/>
    <w:rsid w:val="0033351F"/>
    <w:rsid w:val="00333B18"/>
    <w:rsid w:val="00333F26"/>
    <w:rsid w:val="00334851"/>
    <w:rsid w:val="00334B16"/>
    <w:rsid w:val="00334D03"/>
    <w:rsid w:val="00334D94"/>
    <w:rsid w:val="00335010"/>
    <w:rsid w:val="003356C7"/>
    <w:rsid w:val="003357C7"/>
    <w:rsid w:val="00335C83"/>
    <w:rsid w:val="00335EEF"/>
    <w:rsid w:val="003360BB"/>
    <w:rsid w:val="0033622B"/>
    <w:rsid w:val="0033635F"/>
    <w:rsid w:val="0033637F"/>
    <w:rsid w:val="00336493"/>
    <w:rsid w:val="00336748"/>
    <w:rsid w:val="003367C7"/>
    <w:rsid w:val="0033699A"/>
    <w:rsid w:val="00336B53"/>
    <w:rsid w:val="00336CC4"/>
    <w:rsid w:val="003370D3"/>
    <w:rsid w:val="003376D8"/>
    <w:rsid w:val="00337959"/>
    <w:rsid w:val="003379E7"/>
    <w:rsid w:val="00337AB3"/>
    <w:rsid w:val="00337C1E"/>
    <w:rsid w:val="00337C6F"/>
    <w:rsid w:val="00337D01"/>
    <w:rsid w:val="00337DA1"/>
    <w:rsid w:val="00337F17"/>
    <w:rsid w:val="003400FE"/>
    <w:rsid w:val="00340449"/>
    <w:rsid w:val="003407B0"/>
    <w:rsid w:val="003407C5"/>
    <w:rsid w:val="00340C45"/>
    <w:rsid w:val="00340D34"/>
    <w:rsid w:val="00340F87"/>
    <w:rsid w:val="0034102A"/>
    <w:rsid w:val="00341794"/>
    <w:rsid w:val="00341BB0"/>
    <w:rsid w:val="00341CAC"/>
    <w:rsid w:val="00341CF3"/>
    <w:rsid w:val="00341D6D"/>
    <w:rsid w:val="00341E25"/>
    <w:rsid w:val="0034213B"/>
    <w:rsid w:val="003424BA"/>
    <w:rsid w:val="0034262E"/>
    <w:rsid w:val="00342B0F"/>
    <w:rsid w:val="00342F95"/>
    <w:rsid w:val="0034319A"/>
    <w:rsid w:val="00343380"/>
    <w:rsid w:val="003438EE"/>
    <w:rsid w:val="0034393B"/>
    <w:rsid w:val="00343984"/>
    <w:rsid w:val="00343B51"/>
    <w:rsid w:val="0034405E"/>
    <w:rsid w:val="00344170"/>
    <w:rsid w:val="003441FA"/>
    <w:rsid w:val="00344604"/>
    <w:rsid w:val="003447FF"/>
    <w:rsid w:val="0034484D"/>
    <w:rsid w:val="00344C10"/>
    <w:rsid w:val="00344C5B"/>
    <w:rsid w:val="00344C5C"/>
    <w:rsid w:val="00344CBF"/>
    <w:rsid w:val="00344D77"/>
    <w:rsid w:val="00345233"/>
    <w:rsid w:val="0034524C"/>
    <w:rsid w:val="0034542D"/>
    <w:rsid w:val="003455FE"/>
    <w:rsid w:val="003456F7"/>
    <w:rsid w:val="003458DC"/>
    <w:rsid w:val="003459A3"/>
    <w:rsid w:val="00345A82"/>
    <w:rsid w:val="00345F25"/>
    <w:rsid w:val="003461C3"/>
    <w:rsid w:val="00346724"/>
    <w:rsid w:val="00346738"/>
    <w:rsid w:val="00346B7D"/>
    <w:rsid w:val="00346BB9"/>
    <w:rsid w:val="00346E98"/>
    <w:rsid w:val="00346F51"/>
    <w:rsid w:val="003471AF"/>
    <w:rsid w:val="00347719"/>
    <w:rsid w:val="0034780E"/>
    <w:rsid w:val="003478E0"/>
    <w:rsid w:val="00350549"/>
    <w:rsid w:val="0035060A"/>
    <w:rsid w:val="003506CD"/>
    <w:rsid w:val="0035093C"/>
    <w:rsid w:val="00350DBB"/>
    <w:rsid w:val="00351195"/>
    <w:rsid w:val="003515BD"/>
    <w:rsid w:val="003524C9"/>
    <w:rsid w:val="00352801"/>
    <w:rsid w:val="003529FC"/>
    <w:rsid w:val="00352C61"/>
    <w:rsid w:val="00352C77"/>
    <w:rsid w:val="00352F7E"/>
    <w:rsid w:val="003530C6"/>
    <w:rsid w:val="0035333C"/>
    <w:rsid w:val="003534D4"/>
    <w:rsid w:val="00353803"/>
    <w:rsid w:val="00353A6A"/>
    <w:rsid w:val="00353C9B"/>
    <w:rsid w:val="00353CEE"/>
    <w:rsid w:val="0035458F"/>
    <w:rsid w:val="00354770"/>
    <w:rsid w:val="00354C00"/>
    <w:rsid w:val="00354E5C"/>
    <w:rsid w:val="00354F90"/>
    <w:rsid w:val="003554A6"/>
    <w:rsid w:val="003554AF"/>
    <w:rsid w:val="00355894"/>
    <w:rsid w:val="00355A7D"/>
    <w:rsid w:val="003561EF"/>
    <w:rsid w:val="00356228"/>
    <w:rsid w:val="00356611"/>
    <w:rsid w:val="003566FE"/>
    <w:rsid w:val="003567BD"/>
    <w:rsid w:val="00356BA5"/>
    <w:rsid w:val="00356C10"/>
    <w:rsid w:val="00357291"/>
    <w:rsid w:val="0035752E"/>
    <w:rsid w:val="0035764F"/>
    <w:rsid w:val="0035771C"/>
    <w:rsid w:val="00357ADA"/>
    <w:rsid w:val="00357E19"/>
    <w:rsid w:val="00357EA6"/>
    <w:rsid w:val="00357FF0"/>
    <w:rsid w:val="0036026B"/>
    <w:rsid w:val="00360718"/>
    <w:rsid w:val="00361095"/>
    <w:rsid w:val="0036185E"/>
    <w:rsid w:val="00361948"/>
    <w:rsid w:val="00361C4F"/>
    <w:rsid w:val="00361EB4"/>
    <w:rsid w:val="00361F9C"/>
    <w:rsid w:val="00362316"/>
    <w:rsid w:val="003625DE"/>
    <w:rsid w:val="00362628"/>
    <w:rsid w:val="003627B1"/>
    <w:rsid w:val="003629D4"/>
    <w:rsid w:val="00362C05"/>
    <w:rsid w:val="00362C07"/>
    <w:rsid w:val="00362E92"/>
    <w:rsid w:val="00362E93"/>
    <w:rsid w:val="0036340F"/>
    <w:rsid w:val="00363589"/>
    <w:rsid w:val="00363CC0"/>
    <w:rsid w:val="003640BB"/>
    <w:rsid w:val="0036414C"/>
    <w:rsid w:val="00364232"/>
    <w:rsid w:val="00364450"/>
    <w:rsid w:val="0036472A"/>
    <w:rsid w:val="003649F4"/>
    <w:rsid w:val="00364E04"/>
    <w:rsid w:val="00364FB2"/>
    <w:rsid w:val="00364FC0"/>
    <w:rsid w:val="00365121"/>
    <w:rsid w:val="0036517F"/>
    <w:rsid w:val="003651BC"/>
    <w:rsid w:val="00365203"/>
    <w:rsid w:val="0036528E"/>
    <w:rsid w:val="003653A3"/>
    <w:rsid w:val="003653D4"/>
    <w:rsid w:val="003654FE"/>
    <w:rsid w:val="00365579"/>
    <w:rsid w:val="00365863"/>
    <w:rsid w:val="00365BF2"/>
    <w:rsid w:val="00365C59"/>
    <w:rsid w:val="003661D1"/>
    <w:rsid w:val="0036641D"/>
    <w:rsid w:val="00366490"/>
    <w:rsid w:val="00366574"/>
    <w:rsid w:val="00366A3C"/>
    <w:rsid w:val="00366BB8"/>
    <w:rsid w:val="00366F4A"/>
    <w:rsid w:val="00367813"/>
    <w:rsid w:val="00367E20"/>
    <w:rsid w:val="00367F21"/>
    <w:rsid w:val="00370563"/>
    <w:rsid w:val="003708A5"/>
    <w:rsid w:val="00370A0E"/>
    <w:rsid w:val="00371147"/>
    <w:rsid w:val="0037167D"/>
    <w:rsid w:val="003716F7"/>
    <w:rsid w:val="003718B0"/>
    <w:rsid w:val="003719A8"/>
    <w:rsid w:val="00371B5C"/>
    <w:rsid w:val="00371FC2"/>
    <w:rsid w:val="00372217"/>
    <w:rsid w:val="0037256F"/>
    <w:rsid w:val="003729D5"/>
    <w:rsid w:val="00372C10"/>
    <w:rsid w:val="00372CDA"/>
    <w:rsid w:val="00372DA2"/>
    <w:rsid w:val="00373200"/>
    <w:rsid w:val="00373347"/>
    <w:rsid w:val="003736A3"/>
    <w:rsid w:val="0037373A"/>
    <w:rsid w:val="00373D1F"/>
    <w:rsid w:val="00373D3A"/>
    <w:rsid w:val="00374165"/>
    <w:rsid w:val="003745B1"/>
    <w:rsid w:val="0037477B"/>
    <w:rsid w:val="00374B95"/>
    <w:rsid w:val="00374E33"/>
    <w:rsid w:val="003755C5"/>
    <w:rsid w:val="003755EA"/>
    <w:rsid w:val="00375692"/>
    <w:rsid w:val="00375855"/>
    <w:rsid w:val="00375C89"/>
    <w:rsid w:val="00375EB4"/>
    <w:rsid w:val="00375F52"/>
    <w:rsid w:val="00376279"/>
    <w:rsid w:val="003762AA"/>
    <w:rsid w:val="003764A0"/>
    <w:rsid w:val="003764D3"/>
    <w:rsid w:val="003773FB"/>
    <w:rsid w:val="003775D5"/>
    <w:rsid w:val="00377B08"/>
    <w:rsid w:val="00377C86"/>
    <w:rsid w:val="00377DD4"/>
    <w:rsid w:val="003806D5"/>
    <w:rsid w:val="003808FA"/>
    <w:rsid w:val="00380D67"/>
    <w:rsid w:val="00381258"/>
    <w:rsid w:val="003812F5"/>
    <w:rsid w:val="003813D8"/>
    <w:rsid w:val="00381A25"/>
    <w:rsid w:val="00381A8C"/>
    <w:rsid w:val="00381A91"/>
    <w:rsid w:val="00381C99"/>
    <w:rsid w:val="00381FE9"/>
    <w:rsid w:val="003822AE"/>
    <w:rsid w:val="003824E2"/>
    <w:rsid w:val="00382711"/>
    <w:rsid w:val="00382766"/>
    <w:rsid w:val="00382A2B"/>
    <w:rsid w:val="00382B28"/>
    <w:rsid w:val="00382B37"/>
    <w:rsid w:val="0038349C"/>
    <w:rsid w:val="003834D2"/>
    <w:rsid w:val="0038373B"/>
    <w:rsid w:val="0038395A"/>
    <w:rsid w:val="00383ACE"/>
    <w:rsid w:val="00384EB9"/>
    <w:rsid w:val="00384EE7"/>
    <w:rsid w:val="00384EF0"/>
    <w:rsid w:val="00384F20"/>
    <w:rsid w:val="00385B36"/>
    <w:rsid w:val="00386108"/>
    <w:rsid w:val="00386195"/>
    <w:rsid w:val="00386264"/>
    <w:rsid w:val="00386352"/>
    <w:rsid w:val="00386C06"/>
    <w:rsid w:val="00386DE8"/>
    <w:rsid w:val="00386F89"/>
    <w:rsid w:val="0038703F"/>
    <w:rsid w:val="00387093"/>
    <w:rsid w:val="00387181"/>
    <w:rsid w:val="0038783C"/>
    <w:rsid w:val="00387ABD"/>
    <w:rsid w:val="00387E86"/>
    <w:rsid w:val="00390819"/>
    <w:rsid w:val="0039081D"/>
    <w:rsid w:val="00390E46"/>
    <w:rsid w:val="003911AC"/>
    <w:rsid w:val="00391285"/>
    <w:rsid w:val="003912B9"/>
    <w:rsid w:val="00391413"/>
    <w:rsid w:val="003917FC"/>
    <w:rsid w:val="00391946"/>
    <w:rsid w:val="00391D58"/>
    <w:rsid w:val="00391E94"/>
    <w:rsid w:val="00391EAD"/>
    <w:rsid w:val="0039206E"/>
    <w:rsid w:val="00392622"/>
    <w:rsid w:val="00392D42"/>
    <w:rsid w:val="0039313F"/>
    <w:rsid w:val="0039315B"/>
    <w:rsid w:val="0039337A"/>
    <w:rsid w:val="00393741"/>
    <w:rsid w:val="00393D3C"/>
    <w:rsid w:val="00393FA7"/>
    <w:rsid w:val="00394017"/>
    <w:rsid w:val="0039457C"/>
    <w:rsid w:val="003946CF"/>
    <w:rsid w:val="0039496B"/>
    <w:rsid w:val="003949B5"/>
    <w:rsid w:val="00394C55"/>
    <w:rsid w:val="00394E58"/>
    <w:rsid w:val="00395015"/>
    <w:rsid w:val="00395718"/>
    <w:rsid w:val="00395A0B"/>
    <w:rsid w:val="00395E82"/>
    <w:rsid w:val="00395EED"/>
    <w:rsid w:val="00395F10"/>
    <w:rsid w:val="00395F9C"/>
    <w:rsid w:val="0039618B"/>
    <w:rsid w:val="00396235"/>
    <w:rsid w:val="0039731E"/>
    <w:rsid w:val="00397325"/>
    <w:rsid w:val="003974DE"/>
    <w:rsid w:val="0039767E"/>
    <w:rsid w:val="003978EC"/>
    <w:rsid w:val="00397C2C"/>
    <w:rsid w:val="00397DF6"/>
    <w:rsid w:val="003A02D7"/>
    <w:rsid w:val="003A038F"/>
    <w:rsid w:val="003A052D"/>
    <w:rsid w:val="003A0C15"/>
    <w:rsid w:val="003A0D4C"/>
    <w:rsid w:val="003A0FFD"/>
    <w:rsid w:val="003A12CC"/>
    <w:rsid w:val="003A143C"/>
    <w:rsid w:val="003A1B0A"/>
    <w:rsid w:val="003A1C4F"/>
    <w:rsid w:val="003A1C5B"/>
    <w:rsid w:val="003A1CD9"/>
    <w:rsid w:val="003A1DD6"/>
    <w:rsid w:val="003A1E65"/>
    <w:rsid w:val="003A1F6E"/>
    <w:rsid w:val="003A2480"/>
    <w:rsid w:val="003A2731"/>
    <w:rsid w:val="003A29E1"/>
    <w:rsid w:val="003A2A15"/>
    <w:rsid w:val="003A2F00"/>
    <w:rsid w:val="003A3394"/>
    <w:rsid w:val="003A343A"/>
    <w:rsid w:val="003A3592"/>
    <w:rsid w:val="003A3606"/>
    <w:rsid w:val="003A367C"/>
    <w:rsid w:val="003A376D"/>
    <w:rsid w:val="003A3BFF"/>
    <w:rsid w:val="003A4145"/>
    <w:rsid w:val="003A4218"/>
    <w:rsid w:val="003A4757"/>
    <w:rsid w:val="003A53E4"/>
    <w:rsid w:val="003A5620"/>
    <w:rsid w:val="003A5DE7"/>
    <w:rsid w:val="003A6391"/>
    <w:rsid w:val="003A67D7"/>
    <w:rsid w:val="003A6A9B"/>
    <w:rsid w:val="003A6EFF"/>
    <w:rsid w:val="003A6F12"/>
    <w:rsid w:val="003A6F51"/>
    <w:rsid w:val="003A6FD6"/>
    <w:rsid w:val="003A7009"/>
    <w:rsid w:val="003A710B"/>
    <w:rsid w:val="003A71B6"/>
    <w:rsid w:val="003A746E"/>
    <w:rsid w:val="003A74DB"/>
    <w:rsid w:val="003A77A6"/>
    <w:rsid w:val="003A794E"/>
    <w:rsid w:val="003A795B"/>
    <w:rsid w:val="003A7C69"/>
    <w:rsid w:val="003A7CE1"/>
    <w:rsid w:val="003B0198"/>
    <w:rsid w:val="003B02F9"/>
    <w:rsid w:val="003B06CD"/>
    <w:rsid w:val="003B0929"/>
    <w:rsid w:val="003B09D6"/>
    <w:rsid w:val="003B0CCE"/>
    <w:rsid w:val="003B1185"/>
    <w:rsid w:val="003B1755"/>
    <w:rsid w:val="003B1925"/>
    <w:rsid w:val="003B196A"/>
    <w:rsid w:val="003B1F70"/>
    <w:rsid w:val="003B2114"/>
    <w:rsid w:val="003B2419"/>
    <w:rsid w:val="003B2619"/>
    <w:rsid w:val="003B278B"/>
    <w:rsid w:val="003B2A57"/>
    <w:rsid w:val="003B2ADF"/>
    <w:rsid w:val="003B2BAE"/>
    <w:rsid w:val="003B3903"/>
    <w:rsid w:val="003B3D36"/>
    <w:rsid w:val="003B3F82"/>
    <w:rsid w:val="003B3FD2"/>
    <w:rsid w:val="003B40A4"/>
    <w:rsid w:val="003B42D3"/>
    <w:rsid w:val="003B4682"/>
    <w:rsid w:val="003B4891"/>
    <w:rsid w:val="003B4E5E"/>
    <w:rsid w:val="003B5104"/>
    <w:rsid w:val="003B539C"/>
    <w:rsid w:val="003B53B5"/>
    <w:rsid w:val="003B542D"/>
    <w:rsid w:val="003B59B0"/>
    <w:rsid w:val="003B59FD"/>
    <w:rsid w:val="003B5A9D"/>
    <w:rsid w:val="003B5D8F"/>
    <w:rsid w:val="003B5F1E"/>
    <w:rsid w:val="003B5F56"/>
    <w:rsid w:val="003B5FA6"/>
    <w:rsid w:val="003B6107"/>
    <w:rsid w:val="003B644E"/>
    <w:rsid w:val="003B66BB"/>
    <w:rsid w:val="003B69DA"/>
    <w:rsid w:val="003B6A15"/>
    <w:rsid w:val="003B6BC6"/>
    <w:rsid w:val="003B6E9D"/>
    <w:rsid w:val="003B7008"/>
    <w:rsid w:val="003B7544"/>
    <w:rsid w:val="003B77C8"/>
    <w:rsid w:val="003B7925"/>
    <w:rsid w:val="003B7A21"/>
    <w:rsid w:val="003B7BC9"/>
    <w:rsid w:val="003B7EF9"/>
    <w:rsid w:val="003B7F4E"/>
    <w:rsid w:val="003C0193"/>
    <w:rsid w:val="003C044C"/>
    <w:rsid w:val="003C046D"/>
    <w:rsid w:val="003C06A3"/>
    <w:rsid w:val="003C07B9"/>
    <w:rsid w:val="003C0B4C"/>
    <w:rsid w:val="003C0BE4"/>
    <w:rsid w:val="003C0BFB"/>
    <w:rsid w:val="003C0C79"/>
    <w:rsid w:val="003C0D50"/>
    <w:rsid w:val="003C0E4D"/>
    <w:rsid w:val="003C0EE6"/>
    <w:rsid w:val="003C1076"/>
    <w:rsid w:val="003C1127"/>
    <w:rsid w:val="003C1147"/>
    <w:rsid w:val="003C13D0"/>
    <w:rsid w:val="003C1751"/>
    <w:rsid w:val="003C1779"/>
    <w:rsid w:val="003C1ADC"/>
    <w:rsid w:val="003C1E2A"/>
    <w:rsid w:val="003C2148"/>
    <w:rsid w:val="003C239E"/>
    <w:rsid w:val="003C2422"/>
    <w:rsid w:val="003C24D7"/>
    <w:rsid w:val="003C2545"/>
    <w:rsid w:val="003C2583"/>
    <w:rsid w:val="003C294F"/>
    <w:rsid w:val="003C2AE2"/>
    <w:rsid w:val="003C2E7E"/>
    <w:rsid w:val="003C3169"/>
    <w:rsid w:val="003C3874"/>
    <w:rsid w:val="003C3B78"/>
    <w:rsid w:val="003C3BF9"/>
    <w:rsid w:val="003C3FB2"/>
    <w:rsid w:val="003C4497"/>
    <w:rsid w:val="003C4725"/>
    <w:rsid w:val="003C4C6F"/>
    <w:rsid w:val="003C4E81"/>
    <w:rsid w:val="003C5305"/>
    <w:rsid w:val="003C57C6"/>
    <w:rsid w:val="003C5939"/>
    <w:rsid w:val="003C5B5E"/>
    <w:rsid w:val="003C5D94"/>
    <w:rsid w:val="003C5DC0"/>
    <w:rsid w:val="003C5EBE"/>
    <w:rsid w:val="003C5F2B"/>
    <w:rsid w:val="003C687B"/>
    <w:rsid w:val="003C6937"/>
    <w:rsid w:val="003C7A56"/>
    <w:rsid w:val="003C7AF8"/>
    <w:rsid w:val="003C7C1B"/>
    <w:rsid w:val="003C7EFA"/>
    <w:rsid w:val="003D002C"/>
    <w:rsid w:val="003D05C1"/>
    <w:rsid w:val="003D05F0"/>
    <w:rsid w:val="003D07C9"/>
    <w:rsid w:val="003D0EFC"/>
    <w:rsid w:val="003D1223"/>
    <w:rsid w:val="003D1338"/>
    <w:rsid w:val="003D1365"/>
    <w:rsid w:val="003D183E"/>
    <w:rsid w:val="003D1937"/>
    <w:rsid w:val="003D1A5A"/>
    <w:rsid w:val="003D1C2C"/>
    <w:rsid w:val="003D1D64"/>
    <w:rsid w:val="003D25A8"/>
    <w:rsid w:val="003D29F1"/>
    <w:rsid w:val="003D2D84"/>
    <w:rsid w:val="003D2FF3"/>
    <w:rsid w:val="003D3119"/>
    <w:rsid w:val="003D3460"/>
    <w:rsid w:val="003D381A"/>
    <w:rsid w:val="003D3CB2"/>
    <w:rsid w:val="003D3DCE"/>
    <w:rsid w:val="003D4597"/>
    <w:rsid w:val="003D45E6"/>
    <w:rsid w:val="003D464D"/>
    <w:rsid w:val="003D481A"/>
    <w:rsid w:val="003D4A0B"/>
    <w:rsid w:val="003D4A8D"/>
    <w:rsid w:val="003D4ACE"/>
    <w:rsid w:val="003D4CFA"/>
    <w:rsid w:val="003D4E4C"/>
    <w:rsid w:val="003D4E8B"/>
    <w:rsid w:val="003D5228"/>
    <w:rsid w:val="003D543E"/>
    <w:rsid w:val="003D576F"/>
    <w:rsid w:val="003D58B4"/>
    <w:rsid w:val="003D5ABA"/>
    <w:rsid w:val="003D5CC4"/>
    <w:rsid w:val="003D5D05"/>
    <w:rsid w:val="003D5E1F"/>
    <w:rsid w:val="003D5F3B"/>
    <w:rsid w:val="003D64C7"/>
    <w:rsid w:val="003D668B"/>
    <w:rsid w:val="003D6ACC"/>
    <w:rsid w:val="003D6CAB"/>
    <w:rsid w:val="003D6E27"/>
    <w:rsid w:val="003D6F1E"/>
    <w:rsid w:val="003D7126"/>
    <w:rsid w:val="003D7507"/>
    <w:rsid w:val="003D75C5"/>
    <w:rsid w:val="003D7CB7"/>
    <w:rsid w:val="003D7E19"/>
    <w:rsid w:val="003E0121"/>
    <w:rsid w:val="003E055A"/>
    <w:rsid w:val="003E07E2"/>
    <w:rsid w:val="003E0B44"/>
    <w:rsid w:val="003E0BB3"/>
    <w:rsid w:val="003E0BC2"/>
    <w:rsid w:val="003E0EBF"/>
    <w:rsid w:val="003E1227"/>
    <w:rsid w:val="003E164F"/>
    <w:rsid w:val="003E180D"/>
    <w:rsid w:val="003E1AAA"/>
    <w:rsid w:val="003E1FC4"/>
    <w:rsid w:val="003E21D8"/>
    <w:rsid w:val="003E23C2"/>
    <w:rsid w:val="003E28D1"/>
    <w:rsid w:val="003E2BC1"/>
    <w:rsid w:val="003E2C44"/>
    <w:rsid w:val="003E2D8F"/>
    <w:rsid w:val="003E2F08"/>
    <w:rsid w:val="003E31BA"/>
    <w:rsid w:val="003E3352"/>
    <w:rsid w:val="003E3589"/>
    <w:rsid w:val="003E3824"/>
    <w:rsid w:val="003E390D"/>
    <w:rsid w:val="003E3AB1"/>
    <w:rsid w:val="003E3CE1"/>
    <w:rsid w:val="003E3CEC"/>
    <w:rsid w:val="003E3FF0"/>
    <w:rsid w:val="003E435B"/>
    <w:rsid w:val="003E46B6"/>
    <w:rsid w:val="003E46B8"/>
    <w:rsid w:val="003E4AD8"/>
    <w:rsid w:val="003E4AE5"/>
    <w:rsid w:val="003E51C6"/>
    <w:rsid w:val="003E5225"/>
    <w:rsid w:val="003E52DC"/>
    <w:rsid w:val="003E544A"/>
    <w:rsid w:val="003E55C0"/>
    <w:rsid w:val="003E5E17"/>
    <w:rsid w:val="003E5F0F"/>
    <w:rsid w:val="003E62AE"/>
    <w:rsid w:val="003E6369"/>
    <w:rsid w:val="003E66E8"/>
    <w:rsid w:val="003E6851"/>
    <w:rsid w:val="003E6AB3"/>
    <w:rsid w:val="003E6BB7"/>
    <w:rsid w:val="003E6C04"/>
    <w:rsid w:val="003E736E"/>
    <w:rsid w:val="003E7879"/>
    <w:rsid w:val="003E78FD"/>
    <w:rsid w:val="003E7E4A"/>
    <w:rsid w:val="003F0248"/>
    <w:rsid w:val="003F0606"/>
    <w:rsid w:val="003F08E9"/>
    <w:rsid w:val="003F0E56"/>
    <w:rsid w:val="003F11FD"/>
    <w:rsid w:val="003F132E"/>
    <w:rsid w:val="003F15B6"/>
    <w:rsid w:val="003F194F"/>
    <w:rsid w:val="003F1CCE"/>
    <w:rsid w:val="003F1FCA"/>
    <w:rsid w:val="003F2186"/>
    <w:rsid w:val="003F22CF"/>
    <w:rsid w:val="003F238F"/>
    <w:rsid w:val="003F2654"/>
    <w:rsid w:val="003F27A4"/>
    <w:rsid w:val="003F2863"/>
    <w:rsid w:val="003F2DA4"/>
    <w:rsid w:val="003F2E02"/>
    <w:rsid w:val="003F2ED7"/>
    <w:rsid w:val="003F3190"/>
    <w:rsid w:val="003F32CF"/>
    <w:rsid w:val="003F32E1"/>
    <w:rsid w:val="003F3908"/>
    <w:rsid w:val="003F3B15"/>
    <w:rsid w:val="003F3C16"/>
    <w:rsid w:val="003F3D19"/>
    <w:rsid w:val="003F4301"/>
    <w:rsid w:val="003F46B4"/>
    <w:rsid w:val="003F46E2"/>
    <w:rsid w:val="003F47A4"/>
    <w:rsid w:val="003F495B"/>
    <w:rsid w:val="003F4B66"/>
    <w:rsid w:val="003F4E4D"/>
    <w:rsid w:val="003F4EE5"/>
    <w:rsid w:val="003F51B6"/>
    <w:rsid w:val="003F545A"/>
    <w:rsid w:val="003F54C9"/>
    <w:rsid w:val="003F5669"/>
    <w:rsid w:val="003F5AB6"/>
    <w:rsid w:val="003F5C8A"/>
    <w:rsid w:val="003F5D66"/>
    <w:rsid w:val="003F60EB"/>
    <w:rsid w:val="003F63B9"/>
    <w:rsid w:val="003F644A"/>
    <w:rsid w:val="003F6747"/>
    <w:rsid w:val="003F6AB1"/>
    <w:rsid w:val="003F6CDC"/>
    <w:rsid w:val="003F7395"/>
    <w:rsid w:val="003F7666"/>
    <w:rsid w:val="003F7A4E"/>
    <w:rsid w:val="003F7CA9"/>
    <w:rsid w:val="003F7D61"/>
    <w:rsid w:val="003F7E9B"/>
    <w:rsid w:val="0040009A"/>
    <w:rsid w:val="004000D8"/>
    <w:rsid w:val="0040050B"/>
    <w:rsid w:val="004006B5"/>
    <w:rsid w:val="00400B65"/>
    <w:rsid w:val="004012A6"/>
    <w:rsid w:val="00402155"/>
    <w:rsid w:val="004021D1"/>
    <w:rsid w:val="00402860"/>
    <w:rsid w:val="00402972"/>
    <w:rsid w:val="00402B27"/>
    <w:rsid w:val="00402CAA"/>
    <w:rsid w:val="00402E66"/>
    <w:rsid w:val="00402F83"/>
    <w:rsid w:val="0040374F"/>
    <w:rsid w:val="00403910"/>
    <w:rsid w:val="00403ADE"/>
    <w:rsid w:val="00403D90"/>
    <w:rsid w:val="00403F7B"/>
    <w:rsid w:val="00403FBA"/>
    <w:rsid w:val="0040427F"/>
    <w:rsid w:val="004043E6"/>
    <w:rsid w:val="004047AF"/>
    <w:rsid w:val="004047F6"/>
    <w:rsid w:val="0040487C"/>
    <w:rsid w:val="004049BF"/>
    <w:rsid w:val="00404B3A"/>
    <w:rsid w:val="00405004"/>
    <w:rsid w:val="00405300"/>
    <w:rsid w:val="00405360"/>
    <w:rsid w:val="00405487"/>
    <w:rsid w:val="004055AB"/>
    <w:rsid w:val="00405767"/>
    <w:rsid w:val="004057C1"/>
    <w:rsid w:val="00405B49"/>
    <w:rsid w:val="00405BC4"/>
    <w:rsid w:val="00405D9F"/>
    <w:rsid w:val="00405F78"/>
    <w:rsid w:val="004060D4"/>
    <w:rsid w:val="00406563"/>
    <w:rsid w:val="00406681"/>
    <w:rsid w:val="0040674B"/>
    <w:rsid w:val="004067EE"/>
    <w:rsid w:val="00406EDB"/>
    <w:rsid w:val="004070A9"/>
    <w:rsid w:val="00407BC9"/>
    <w:rsid w:val="00407F5F"/>
    <w:rsid w:val="0041006C"/>
    <w:rsid w:val="00410195"/>
    <w:rsid w:val="004101C2"/>
    <w:rsid w:val="0041020B"/>
    <w:rsid w:val="00410483"/>
    <w:rsid w:val="004105C9"/>
    <w:rsid w:val="00410652"/>
    <w:rsid w:val="00410A0C"/>
    <w:rsid w:val="00410B4D"/>
    <w:rsid w:val="0041108F"/>
    <w:rsid w:val="0041133B"/>
    <w:rsid w:val="00411374"/>
    <w:rsid w:val="0041142C"/>
    <w:rsid w:val="00411584"/>
    <w:rsid w:val="004116BC"/>
    <w:rsid w:val="00411BBF"/>
    <w:rsid w:val="00411E25"/>
    <w:rsid w:val="0041209D"/>
    <w:rsid w:val="004120AB"/>
    <w:rsid w:val="00412324"/>
    <w:rsid w:val="00413038"/>
    <w:rsid w:val="00413243"/>
    <w:rsid w:val="004132FB"/>
    <w:rsid w:val="00413A38"/>
    <w:rsid w:val="00413CD5"/>
    <w:rsid w:val="00413E18"/>
    <w:rsid w:val="0041422E"/>
    <w:rsid w:val="004143E6"/>
    <w:rsid w:val="00414451"/>
    <w:rsid w:val="00414495"/>
    <w:rsid w:val="004144DB"/>
    <w:rsid w:val="004146F7"/>
    <w:rsid w:val="004147EC"/>
    <w:rsid w:val="00414B52"/>
    <w:rsid w:val="00414FE3"/>
    <w:rsid w:val="0041505F"/>
    <w:rsid w:val="004150B3"/>
    <w:rsid w:val="004155BE"/>
    <w:rsid w:val="00415708"/>
    <w:rsid w:val="00415F87"/>
    <w:rsid w:val="00416595"/>
    <w:rsid w:val="004166A7"/>
    <w:rsid w:val="004169D2"/>
    <w:rsid w:val="00416C73"/>
    <w:rsid w:val="00416D17"/>
    <w:rsid w:val="00416FD1"/>
    <w:rsid w:val="00417005"/>
    <w:rsid w:val="0041701C"/>
    <w:rsid w:val="00417295"/>
    <w:rsid w:val="00417468"/>
    <w:rsid w:val="004174AC"/>
    <w:rsid w:val="004179E1"/>
    <w:rsid w:val="00417A89"/>
    <w:rsid w:val="00417B1C"/>
    <w:rsid w:val="00417D50"/>
    <w:rsid w:val="00420347"/>
    <w:rsid w:val="00420C2B"/>
    <w:rsid w:val="00420D93"/>
    <w:rsid w:val="004217FB"/>
    <w:rsid w:val="00421AB4"/>
    <w:rsid w:val="004220C2"/>
    <w:rsid w:val="004221BF"/>
    <w:rsid w:val="00422582"/>
    <w:rsid w:val="00422C54"/>
    <w:rsid w:val="00422DAB"/>
    <w:rsid w:val="00422E38"/>
    <w:rsid w:val="0042312C"/>
    <w:rsid w:val="0042313E"/>
    <w:rsid w:val="004234B6"/>
    <w:rsid w:val="004236E6"/>
    <w:rsid w:val="00423A7C"/>
    <w:rsid w:val="00424013"/>
    <w:rsid w:val="004243F6"/>
    <w:rsid w:val="00424488"/>
    <w:rsid w:val="0042453B"/>
    <w:rsid w:val="004245EB"/>
    <w:rsid w:val="00424C78"/>
    <w:rsid w:val="00425212"/>
    <w:rsid w:val="004254B1"/>
    <w:rsid w:val="004255E8"/>
    <w:rsid w:val="0042586D"/>
    <w:rsid w:val="004260FE"/>
    <w:rsid w:val="004262C3"/>
    <w:rsid w:val="004268EE"/>
    <w:rsid w:val="00426C71"/>
    <w:rsid w:val="00427755"/>
    <w:rsid w:val="00427A57"/>
    <w:rsid w:val="00427DED"/>
    <w:rsid w:val="00427F9B"/>
    <w:rsid w:val="0043001A"/>
    <w:rsid w:val="00430120"/>
    <w:rsid w:val="00430D3E"/>
    <w:rsid w:val="00430EF3"/>
    <w:rsid w:val="00430F1E"/>
    <w:rsid w:val="00431095"/>
    <w:rsid w:val="004313E8"/>
    <w:rsid w:val="00431669"/>
    <w:rsid w:val="004317DD"/>
    <w:rsid w:val="004318E6"/>
    <w:rsid w:val="00431A71"/>
    <w:rsid w:val="00431B24"/>
    <w:rsid w:val="00431BA8"/>
    <w:rsid w:val="00431BE6"/>
    <w:rsid w:val="00431CB1"/>
    <w:rsid w:val="00431DB0"/>
    <w:rsid w:val="00431F49"/>
    <w:rsid w:val="00431F75"/>
    <w:rsid w:val="00432925"/>
    <w:rsid w:val="00432A1A"/>
    <w:rsid w:val="00432A4A"/>
    <w:rsid w:val="00432B34"/>
    <w:rsid w:val="00432C4E"/>
    <w:rsid w:val="0043341A"/>
    <w:rsid w:val="004336C8"/>
    <w:rsid w:val="00433A7A"/>
    <w:rsid w:val="00433F86"/>
    <w:rsid w:val="004340B9"/>
    <w:rsid w:val="0043453E"/>
    <w:rsid w:val="004346BD"/>
    <w:rsid w:val="00434728"/>
    <w:rsid w:val="00434DCB"/>
    <w:rsid w:val="0043500C"/>
    <w:rsid w:val="0043517D"/>
    <w:rsid w:val="004351DB"/>
    <w:rsid w:val="004353F9"/>
    <w:rsid w:val="004359B3"/>
    <w:rsid w:val="00435B8E"/>
    <w:rsid w:val="00436036"/>
    <w:rsid w:val="00436309"/>
    <w:rsid w:val="0043688C"/>
    <w:rsid w:val="00436936"/>
    <w:rsid w:val="00436961"/>
    <w:rsid w:val="00436D45"/>
    <w:rsid w:val="00436D75"/>
    <w:rsid w:val="00436FCE"/>
    <w:rsid w:val="0043708B"/>
    <w:rsid w:val="0043718A"/>
    <w:rsid w:val="004378D6"/>
    <w:rsid w:val="00437BB2"/>
    <w:rsid w:val="00437E8A"/>
    <w:rsid w:val="00437F8E"/>
    <w:rsid w:val="00440795"/>
    <w:rsid w:val="00440C63"/>
    <w:rsid w:val="0044113D"/>
    <w:rsid w:val="004411E9"/>
    <w:rsid w:val="004415B1"/>
    <w:rsid w:val="00441722"/>
    <w:rsid w:val="00441792"/>
    <w:rsid w:val="004418F5"/>
    <w:rsid w:val="00441B19"/>
    <w:rsid w:val="00441C74"/>
    <w:rsid w:val="004420A0"/>
    <w:rsid w:val="0044228D"/>
    <w:rsid w:val="004422C9"/>
    <w:rsid w:val="00442481"/>
    <w:rsid w:val="0044257F"/>
    <w:rsid w:val="00442583"/>
    <w:rsid w:val="004425CB"/>
    <w:rsid w:val="00442860"/>
    <w:rsid w:val="00442B2D"/>
    <w:rsid w:val="00442C4E"/>
    <w:rsid w:val="00442D4C"/>
    <w:rsid w:val="00443171"/>
    <w:rsid w:val="0044347A"/>
    <w:rsid w:val="004434F4"/>
    <w:rsid w:val="00443738"/>
    <w:rsid w:val="004442D8"/>
    <w:rsid w:val="00444740"/>
    <w:rsid w:val="00444755"/>
    <w:rsid w:val="004449CE"/>
    <w:rsid w:val="00444DC6"/>
    <w:rsid w:val="00445506"/>
    <w:rsid w:val="0044587A"/>
    <w:rsid w:val="00445954"/>
    <w:rsid w:val="00446732"/>
    <w:rsid w:val="00446800"/>
    <w:rsid w:val="00446AC4"/>
    <w:rsid w:val="0044715B"/>
    <w:rsid w:val="00447309"/>
    <w:rsid w:val="004475CA"/>
    <w:rsid w:val="00447EF7"/>
    <w:rsid w:val="004500B8"/>
    <w:rsid w:val="00450269"/>
    <w:rsid w:val="004502DB"/>
    <w:rsid w:val="0045048E"/>
    <w:rsid w:val="004505D6"/>
    <w:rsid w:val="0045074E"/>
    <w:rsid w:val="00450760"/>
    <w:rsid w:val="00450AF5"/>
    <w:rsid w:val="00450EA1"/>
    <w:rsid w:val="00450EBD"/>
    <w:rsid w:val="0045114B"/>
    <w:rsid w:val="004513D3"/>
    <w:rsid w:val="0045193E"/>
    <w:rsid w:val="00451A6D"/>
    <w:rsid w:val="00451ED7"/>
    <w:rsid w:val="004521CA"/>
    <w:rsid w:val="00452453"/>
    <w:rsid w:val="004525F1"/>
    <w:rsid w:val="00452790"/>
    <w:rsid w:val="004527D1"/>
    <w:rsid w:val="00452CE9"/>
    <w:rsid w:val="00452D9D"/>
    <w:rsid w:val="00452E82"/>
    <w:rsid w:val="0045303D"/>
    <w:rsid w:val="00453044"/>
    <w:rsid w:val="004538F8"/>
    <w:rsid w:val="00453C25"/>
    <w:rsid w:val="0045410B"/>
    <w:rsid w:val="0045431B"/>
    <w:rsid w:val="0045457D"/>
    <w:rsid w:val="00454593"/>
    <w:rsid w:val="00454F11"/>
    <w:rsid w:val="00455183"/>
    <w:rsid w:val="004556D1"/>
    <w:rsid w:val="0045571F"/>
    <w:rsid w:val="0045575B"/>
    <w:rsid w:val="00455B35"/>
    <w:rsid w:val="00455F4B"/>
    <w:rsid w:val="004564D7"/>
    <w:rsid w:val="00456AE2"/>
    <w:rsid w:val="00456B59"/>
    <w:rsid w:val="00457100"/>
    <w:rsid w:val="00457445"/>
    <w:rsid w:val="00457829"/>
    <w:rsid w:val="004578C1"/>
    <w:rsid w:val="00457AAB"/>
    <w:rsid w:val="00457BE6"/>
    <w:rsid w:val="00457C5F"/>
    <w:rsid w:val="00460523"/>
    <w:rsid w:val="00460642"/>
    <w:rsid w:val="004609D2"/>
    <w:rsid w:val="004609EB"/>
    <w:rsid w:val="00460FA0"/>
    <w:rsid w:val="00461194"/>
    <w:rsid w:val="0046156E"/>
    <w:rsid w:val="00461794"/>
    <w:rsid w:val="0046182E"/>
    <w:rsid w:val="00462183"/>
    <w:rsid w:val="004628FB"/>
    <w:rsid w:val="00462B9A"/>
    <w:rsid w:val="00462D64"/>
    <w:rsid w:val="004635F6"/>
    <w:rsid w:val="0046373F"/>
    <w:rsid w:val="00463C54"/>
    <w:rsid w:val="00463CFF"/>
    <w:rsid w:val="00463E0E"/>
    <w:rsid w:val="00464309"/>
    <w:rsid w:val="00464486"/>
    <w:rsid w:val="00464816"/>
    <w:rsid w:val="0046483A"/>
    <w:rsid w:val="00464DCE"/>
    <w:rsid w:val="004651A0"/>
    <w:rsid w:val="0046531A"/>
    <w:rsid w:val="00465366"/>
    <w:rsid w:val="004657A9"/>
    <w:rsid w:val="00465C10"/>
    <w:rsid w:val="00465E1B"/>
    <w:rsid w:val="00466792"/>
    <w:rsid w:val="00467010"/>
    <w:rsid w:val="00467334"/>
    <w:rsid w:val="004674AF"/>
    <w:rsid w:val="004675E1"/>
    <w:rsid w:val="00467875"/>
    <w:rsid w:val="00467A74"/>
    <w:rsid w:val="00467C56"/>
    <w:rsid w:val="00467F2E"/>
    <w:rsid w:val="00470507"/>
    <w:rsid w:val="00470BA9"/>
    <w:rsid w:val="00470D0A"/>
    <w:rsid w:val="0047134D"/>
    <w:rsid w:val="00471748"/>
    <w:rsid w:val="004719E6"/>
    <w:rsid w:val="00471C6B"/>
    <w:rsid w:val="00471D07"/>
    <w:rsid w:val="004723A2"/>
    <w:rsid w:val="004726CB"/>
    <w:rsid w:val="00472C6C"/>
    <w:rsid w:val="00472DD2"/>
    <w:rsid w:val="00473315"/>
    <w:rsid w:val="004734D5"/>
    <w:rsid w:val="00473903"/>
    <w:rsid w:val="00473D59"/>
    <w:rsid w:val="00473E0A"/>
    <w:rsid w:val="00473EE0"/>
    <w:rsid w:val="00473F7E"/>
    <w:rsid w:val="004741B7"/>
    <w:rsid w:val="004742F6"/>
    <w:rsid w:val="004742FA"/>
    <w:rsid w:val="0047474B"/>
    <w:rsid w:val="00474993"/>
    <w:rsid w:val="00475366"/>
    <w:rsid w:val="00475616"/>
    <w:rsid w:val="0047561C"/>
    <w:rsid w:val="0047579F"/>
    <w:rsid w:val="00475856"/>
    <w:rsid w:val="00475ABB"/>
    <w:rsid w:val="00475EA3"/>
    <w:rsid w:val="004765EB"/>
    <w:rsid w:val="00476DE4"/>
    <w:rsid w:val="0047725A"/>
    <w:rsid w:val="004772FB"/>
    <w:rsid w:val="0047755A"/>
    <w:rsid w:val="004779D6"/>
    <w:rsid w:val="00477F83"/>
    <w:rsid w:val="0048005E"/>
    <w:rsid w:val="0048014A"/>
    <w:rsid w:val="004801F1"/>
    <w:rsid w:val="00480213"/>
    <w:rsid w:val="0048027C"/>
    <w:rsid w:val="0048067A"/>
    <w:rsid w:val="00480C6D"/>
    <w:rsid w:val="0048128A"/>
    <w:rsid w:val="004812D9"/>
    <w:rsid w:val="0048144D"/>
    <w:rsid w:val="00481874"/>
    <w:rsid w:val="004819B5"/>
    <w:rsid w:val="00481D92"/>
    <w:rsid w:val="00481E46"/>
    <w:rsid w:val="00481F5B"/>
    <w:rsid w:val="004820B7"/>
    <w:rsid w:val="00482970"/>
    <w:rsid w:val="00482CC8"/>
    <w:rsid w:val="00482D86"/>
    <w:rsid w:val="004833A7"/>
    <w:rsid w:val="00483420"/>
    <w:rsid w:val="00483872"/>
    <w:rsid w:val="004839D3"/>
    <w:rsid w:val="0048417D"/>
    <w:rsid w:val="00484317"/>
    <w:rsid w:val="0048439C"/>
    <w:rsid w:val="004848D6"/>
    <w:rsid w:val="00484B60"/>
    <w:rsid w:val="00484DEF"/>
    <w:rsid w:val="00484DF7"/>
    <w:rsid w:val="00484F2F"/>
    <w:rsid w:val="0048562D"/>
    <w:rsid w:val="004857E9"/>
    <w:rsid w:val="00485D79"/>
    <w:rsid w:val="00485DA7"/>
    <w:rsid w:val="004860D1"/>
    <w:rsid w:val="00486139"/>
    <w:rsid w:val="00486D6A"/>
    <w:rsid w:val="00486DBB"/>
    <w:rsid w:val="00486ECD"/>
    <w:rsid w:val="00486EE7"/>
    <w:rsid w:val="00486F8F"/>
    <w:rsid w:val="00486FB4"/>
    <w:rsid w:val="00487067"/>
    <w:rsid w:val="004871F1"/>
    <w:rsid w:val="0048751F"/>
    <w:rsid w:val="00487685"/>
    <w:rsid w:val="00487ABB"/>
    <w:rsid w:val="00487DD2"/>
    <w:rsid w:val="00487E4B"/>
    <w:rsid w:val="004902E1"/>
    <w:rsid w:val="00490640"/>
    <w:rsid w:val="004908FA"/>
    <w:rsid w:val="00490B36"/>
    <w:rsid w:val="00490D02"/>
    <w:rsid w:val="00491292"/>
    <w:rsid w:val="0049139D"/>
    <w:rsid w:val="0049180C"/>
    <w:rsid w:val="004918B8"/>
    <w:rsid w:val="00491C44"/>
    <w:rsid w:val="00491EEA"/>
    <w:rsid w:val="0049251D"/>
    <w:rsid w:val="004925A6"/>
    <w:rsid w:val="0049288E"/>
    <w:rsid w:val="00492AE8"/>
    <w:rsid w:val="0049313D"/>
    <w:rsid w:val="00493664"/>
    <w:rsid w:val="00493883"/>
    <w:rsid w:val="00493959"/>
    <w:rsid w:val="00493967"/>
    <w:rsid w:val="00493B12"/>
    <w:rsid w:val="00493C9E"/>
    <w:rsid w:val="00493E65"/>
    <w:rsid w:val="00493FE1"/>
    <w:rsid w:val="004941EB"/>
    <w:rsid w:val="004948FB"/>
    <w:rsid w:val="00494EB6"/>
    <w:rsid w:val="004955AD"/>
    <w:rsid w:val="0049563F"/>
    <w:rsid w:val="0049578D"/>
    <w:rsid w:val="0049599C"/>
    <w:rsid w:val="004959EB"/>
    <w:rsid w:val="00495B01"/>
    <w:rsid w:val="00495EC3"/>
    <w:rsid w:val="004960BE"/>
    <w:rsid w:val="0049623E"/>
    <w:rsid w:val="004963F9"/>
    <w:rsid w:val="004964C3"/>
    <w:rsid w:val="00496771"/>
    <w:rsid w:val="00496AFC"/>
    <w:rsid w:val="00496FA6"/>
    <w:rsid w:val="004979B5"/>
    <w:rsid w:val="004A00E3"/>
    <w:rsid w:val="004A052B"/>
    <w:rsid w:val="004A091D"/>
    <w:rsid w:val="004A0A58"/>
    <w:rsid w:val="004A100D"/>
    <w:rsid w:val="004A1497"/>
    <w:rsid w:val="004A17FC"/>
    <w:rsid w:val="004A18C5"/>
    <w:rsid w:val="004A1C76"/>
    <w:rsid w:val="004A1D40"/>
    <w:rsid w:val="004A1DE7"/>
    <w:rsid w:val="004A1E6E"/>
    <w:rsid w:val="004A23CC"/>
    <w:rsid w:val="004A2436"/>
    <w:rsid w:val="004A2535"/>
    <w:rsid w:val="004A2588"/>
    <w:rsid w:val="004A275A"/>
    <w:rsid w:val="004A2763"/>
    <w:rsid w:val="004A2EBD"/>
    <w:rsid w:val="004A2FC5"/>
    <w:rsid w:val="004A2FEC"/>
    <w:rsid w:val="004A313B"/>
    <w:rsid w:val="004A37DB"/>
    <w:rsid w:val="004A381A"/>
    <w:rsid w:val="004A3C1E"/>
    <w:rsid w:val="004A43F6"/>
    <w:rsid w:val="004A4511"/>
    <w:rsid w:val="004A4AD1"/>
    <w:rsid w:val="004A4B01"/>
    <w:rsid w:val="004A4C91"/>
    <w:rsid w:val="004A4E56"/>
    <w:rsid w:val="004A4FE4"/>
    <w:rsid w:val="004A5920"/>
    <w:rsid w:val="004A59CE"/>
    <w:rsid w:val="004A5DB6"/>
    <w:rsid w:val="004A5ED5"/>
    <w:rsid w:val="004A6028"/>
    <w:rsid w:val="004A6885"/>
    <w:rsid w:val="004A6F21"/>
    <w:rsid w:val="004A706B"/>
    <w:rsid w:val="004A71E8"/>
    <w:rsid w:val="004A7233"/>
    <w:rsid w:val="004A752C"/>
    <w:rsid w:val="004A7A28"/>
    <w:rsid w:val="004A7C74"/>
    <w:rsid w:val="004B00C9"/>
    <w:rsid w:val="004B0500"/>
    <w:rsid w:val="004B05B1"/>
    <w:rsid w:val="004B076A"/>
    <w:rsid w:val="004B0833"/>
    <w:rsid w:val="004B08A0"/>
    <w:rsid w:val="004B0E69"/>
    <w:rsid w:val="004B101C"/>
    <w:rsid w:val="004B1033"/>
    <w:rsid w:val="004B1257"/>
    <w:rsid w:val="004B14C9"/>
    <w:rsid w:val="004B158E"/>
    <w:rsid w:val="004B15B9"/>
    <w:rsid w:val="004B1F40"/>
    <w:rsid w:val="004B2060"/>
    <w:rsid w:val="004B2255"/>
    <w:rsid w:val="004B22D5"/>
    <w:rsid w:val="004B261B"/>
    <w:rsid w:val="004B2B59"/>
    <w:rsid w:val="004B2DB2"/>
    <w:rsid w:val="004B2F79"/>
    <w:rsid w:val="004B372C"/>
    <w:rsid w:val="004B3B9E"/>
    <w:rsid w:val="004B3D40"/>
    <w:rsid w:val="004B4462"/>
    <w:rsid w:val="004B452B"/>
    <w:rsid w:val="004B4646"/>
    <w:rsid w:val="004B4841"/>
    <w:rsid w:val="004B48EA"/>
    <w:rsid w:val="004B491E"/>
    <w:rsid w:val="004B5347"/>
    <w:rsid w:val="004B5396"/>
    <w:rsid w:val="004B543F"/>
    <w:rsid w:val="004B55E2"/>
    <w:rsid w:val="004B585D"/>
    <w:rsid w:val="004B58C7"/>
    <w:rsid w:val="004B5CE3"/>
    <w:rsid w:val="004B610D"/>
    <w:rsid w:val="004B62E4"/>
    <w:rsid w:val="004B62FC"/>
    <w:rsid w:val="004B6893"/>
    <w:rsid w:val="004B6B37"/>
    <w:rsid w:val="004B6C75"/>
    <w:rsid w:val="004B7290"/>
    <w:rsid w:val="004B7327"/>
    <w:rsid w:val="004B74CF"/>
    <w:rsid w:val="004B7609"/>
    <w:rsid w:val="004B7E46"/>
    <w:rsid w:val="004C0BE2"/>
    <w:rsid w:val="004C0D89"/>
    <w:rsid w:val="004C0E47"/>
    <w:rsid w:val="004C0ECE"/>
    <w:rsid w:val="004C1052"/>
    <w:rsid w:val="004C140A"/>
    <w:rsid w:val="004C14E6"/>
    <w:rsid w:val="004C162D"/>
    <w:rsid w:val="004C164F"/>
    <w:rsid w:val="004C1A30"/>
    <w:rsid w:val="004C2061"/>
    <w:rsid w:val="004C2442"/>
    <w:rsid w:val="004C262D"/>
    <w:rsid w:val="004C2896"/>
    <w:rsid w:val="004C289E"/>
    <w:rsid w:val="004C2BA9"/>
    <w:rsid w:val="004C2E69"/>
    <w:rsid w:val="004C300B"/>
    <w:rsid w:val="004C3654"/>
    <w:rsid w:val="004C37EB"/>
    <w:rsid w:val="004C3871"/>
    <w:rsid w:val="004C3983"/>
    <w:rsid w:val="004C39EF"/>
    <w:rsid w:val="004C3A06"/>
    <w:rsid w:val="004C3DE4"/>
    <w:rsid w:val="004C3E2F"/>
    <w:rsid w:val="004C3F33"/>
    <w:rsid w:val="004C40A8"/>
    <w:rsid w:val="004C42AD"/>
    <w:rsid w:val="004C4B47"/>
    <w:rsid w:val="004C4F33"/>
    <w:rsid w:val="004C54F7"/>
    <w:rsid w:val="004C554C"/>
    <w:rsid w:val="004C56A0"/>
    <w:rsid w:val="004C5788"/>
    <w:rsid w:val="004C5AF4"/>
    <w:rsid w:val="004C65C2"/>
    <w:rsid w:val="004C663A"/>
    <w:rsid w:val="004C669F"/>
    <w:rsid w:val="004C66B6"/>
    <w:rsid w:val="004C6786"/>
    <w:rsid w:val="004C67EA"/>
    <w:rsid w:val="004C685E"/>
    <w:rsid w:val="004C69DD"/>
    <w:rsid w:val="004C6B60"/>
    <w:rsid w:val="004C6DA3"/>
    <w:rsid w:val="004C6DBC"/>
    <w:rsid w:val="004C6F71"/>
    <w:rsid w:val="004C7645"/>
    <w:rsid w:val="004C7895"/>
    <w:rsid w:val="004C7A96"/>
    <w:rsid w:val="004C7CC5"/>
    <w:rsid w:val="004C7CFC"/>
    <w:rsid w:val="004D03D4"/>
    <w:rsid w:val="004D03FD"/>
    <w:rsid w:val="004D040A"/>
    <w:rsid w:val="004D051F"/>
    <w:rsid w:val="004D067B"/>
    <w:rsid w:val="004D0B00"/>
    <w:rsid w:val="004D0CCA"/>
    <w:rsid w:val="004D0E73"/>
    <w:rsid w:val="004D0EE6"/>
    <w:rsid w:val="004D10AF"/>
    <w:rsid w:val="004D155E"/>
    <w:rsid w:val="004D157C"/>
    <w:rsid w:val="004D161D"/>
    <w:rsid w:val="004D1C87"/>
    <w:rsid w:val="004D2004"/>
    <w:rsid w:val="004D2540"/>
    <w:rsid w:val="004D25D8"/>
    <w:rsid w:val="004D266E"/>
    <w:rsid w:val="004D26B5"/>
    <w:rsid w:val="004D2746"/>
    <w:rsid w:val="004D2951"/>
    <w:rsid w:val="004D2C24"/>
    <w:rsid w:val="004D2C29"/>
    <w:rsid w:val="004D30DF"/>
    <w:rsid w:val="004D3348"/>
    <w:rsid w:val="004D359D"/>
    <w:rsid w:val="004D36B0"/>
    <w:rsid w:val="004D371B"/>
    <w:rsid w:val="004D3F45"/>
    <w:rsid w:val="004D3FCB"/>
    <w:rsid w:val="004D3FE9"/>
    <w:rsid w:val="004D4654"/>
    <w:rsid w:val="004D47B3"/>
    <w:rsid w:val="004D4904"/>
    <w:rsid w:val="004D49C0"/>
    <w:rsid w:val="004D49C2"/>
    <w:rsid w:val="004D4AEC"/>
    <w:rsid w:val="004D4BD1"/>
    <w:rsid w:val="004D4F4F"/>
    <w:rsid w:val="004D4F76"/>
    <w:rsid w:val="004D5012"/>
    <w:rsid w:val="004D537D"/>
    <w:rsid w:val="004D5806"/>
    <w:rsid w:val="004D5841"/>
    <w:rsid w:val="004D5AAA"/>
    <w:rsid w:val="004D5CC0"/>
    <w:rsid w:val="004D5D5A"/>
    <w:rsid w:val="004D64E4"/>
    <w:rsid w:val="004D657D"/>
    <w:rsid w:val="004D66ED"/>
    <w:rsid w:val="004D673B"/>
    <w:rsid w:val="004D6B1B"/>
    <w:rsid w:val="004D6C1B"/>
    <w:rsid w:val="004D6F7E"/>
    <w:rsid w:val="004D712E"/>
    <w:rsid w:val="004D7244"/>
    <w:rsid w:val="004D74B8"/>
    <w:rsid w:val="004D7581"/>
    <w:rsid w:val="004D7818"/>
    <w:rsid w:val="004D7933"/>
    <w:rsid w:val="004D7A38"/>
    <w:rsid w:val="004D7B10"/>
    <w:rsid w:val="004D7BE0"/>
    <w:rsid w:val="004E010F"/>
    <w:rsid w:val="004E01A4"/>
    <w:rsid w:val="004E0D2F"/>
    <w:rsid w:val="004E1037"/>
    <w:rsid w:val="004E1178"/>
    <w:rsid w:val="004E1354"/>
    <w:rsid w:val="004E14B2"/>
    <w:rsid w:val="004E1644"/>
    <w:rsid w:val="004E1778"/>
    <w:rsid w:val="004E18E2"/>
    <w:rsid w:val="004E1AAD"/>
    <w:rsid w:val="004E1E70"/>
    <w:rsid w:val="004E1FE8"/>
    <w:rsid w:val="004E26C0"/>
    <w:rsid w:val="004E28D2"/>
    <w:rsid w:val="004E2AA7"/>
    <w:rsid w:val="004E2B9A"/>
    <w:rsid w:val="004E2D84"/>
    <w:rsid w:val="004E2F91"/>
    <w:rsid w:val="004E34D4"/>
    <w:rsid w:val="004E373B"/>
    <w:rsid w:val="004E378D"/>
    <w:rsid w:val="004E395F"/>
    <w:rsid w:val="004E3C4E"/>
    <w:rsid w:val="004E3E31"/>
    <w:rsid w:val="004E42C0"/>
    <w:rsid w:val="004E4FDA"/>
    <w:rsid w:val="004E5978"/>
    <w:rsid w:val="004E5A65"/>
    <w:rsid w:val="004E5B7A"/>
    <w:rsid w:val="004E5CF1"/>
    <w:rsid w:val="004E625A"/>
    <w:rsid w:val="004E679E"/>
    <w:rsid w:val="004E6AE1"/>
    <w:rsid w:val="004E6DE4"/>
    <w:rsid w:val="004E6E7A"/>
    <w:rsid w:val="004E72E3"/>
    <w:rsid w:val="004E7465"/>
    <w:rsid w:val="004E7DDA"/>
    <w:rsid w:val="004F01F7"/>
    <w:rsid w:val="004F0287"/>
    <w:rsid w:val="004F07C8"/>
    <w:rsid w:val="004F084C"/>
    <w:rsid w:val="004F09F4"/>
    <w:rsid w:val="004F0D65"/>
    <w:rsid w:val="004F0D6E"/>
    <w:rsid w:val="004F1254"/>
    <w:rsid w:val="004F1614"/>
    <w:rsid w:val="004F165B"/>
    <w:rsid w:val="004F16C2"/>
    <w:rsid w:val="004F1840"/>
    <w:rsid w:val="004F1FA2"/>
    <w:rsid w:val="004F208B"/>
    <w:rsid w:val="004F2856"/>
    <w:rsid w:val="004F2857"/>
    <w:rsid w:val="004F28A0"/>
    <w:rsid w:val="004F2E57"/>
    <w:rsid w:val="004F2F5D"/>
    <w:rsid w:val="004F3021"/>
    <w:rsid w:val="004F34F9"/>
    <w:rsid w:val="004F3678"/>
    <w:rsid w:val="004F3877"/>
    <w:rsid w:val="004F39C0"/>
    <w:rsid w:val="004F3AF8"/>
    <w:rsid w:val="004F3DE9"/>
    <w:rsid w:val="004F459C"/>
    <w:rsid w:val="004F498E"/>
    <w:rsid w:val="004F4C8B"/>
    <w:rsid w:val="004F526A"/>
    <w:rsid w:val="004F52AE"/>
    <w:rsid w:val="004F563E"/>
    <w:rsid w:val="004F5654"/>
    <w:rsid w:val="004F56E2"/>
    <w:rsid w:val="004F576B"/>
    <w:rsid w:val="004F59D9"/>
    <w:rsid w:val="004F5A46"/>
    <w:rsid w:val="004F5A6A"/>
    <w:rsid w:val="004F5A84"/>
    <w:rsid w:val="004F5D44"/>
    <w:rsid w:val="004F5DBB"/>
    <w:rsid w:val="004F5E59"/>
    <w:rsid w:val="004F5F12"/>
    <w:rsid w:val="004F6005"/>
    <w:rsid w:val="004F6645"/>
    <w:rsid w:val="004F6969"/>
    <w:rsid w:val="004F6B24"/>
    <w:rsid w:val="004F6BDA"/>
    <w:rsid w:val="004F6C2E"/>
    <w:rsid w:val="004F76E4"/>
    <w:rsid w:val="004F79E4"/>
    <w:rsid w:val="0050005C"/>
    <w:rsid w:val="00500063"/>
    <w:rsid w:val="0050017C"/>
    <w:rsid w:val="0050045A"/>
    <w:rsid w:val="00500777"/>
    <w:rsid w:val="00500825"/>
    <w:rsid w:val="00500B67"/>
    <w:rsid w:val="00500DD8"/>
    <w:rsid w:val="00500EE6"/>
    <w:rsid w:val="0050109F"/>
    <w:rsid w:val="0050119E"/>
    <w:rsid w:val="00501570"/>
    <w:rsid w:val="00501771"/>
    <w:rsid w:val="00501AF5"/>
    <w:rsid w:val="0050211C"/>
    <w:rsid w:val="005021A1"/>
    <w:rsid w:val="00502223"/>
    <w:rsid w:val="005023BC"/>
    <w:rsid w:val="00502A0B"/>
    <w:rsid w:val="00502B9A"/>
    <w:rsid w:val="00502EA6"/>
    <w:rsid w:val="00502FD8"/>
    <w:rsid w:val="00503025"/>
    <w:rsid w:val="0050316C"/>
    <w:rsid w:val="0050369A"/>
    <w:rsid w:val="00503772"/>
    <w:rsid w:val="00503F72"/>
    <w:rsid w:val="00504469"/>
    <w:rsid w:val="00504755"/>
    <w:rsid w:val="00504836"/>
    <w:rsid w:val="00504A4F"/>
    <w:rsid w:val="00504BC6"/>
    <w:rsid w:val="00504D5D"/>
    <w:rsid w:val="00504E57"/>
    <w:rsid w:val="00505012"/>
    <w:rsid w:val="00505081"/>
    <w:rsid w:val="00505C04"/>
    <w:rsid w:val="00505C0E"/>
    <w:rsid w:val="00505C7F"/>
    <w:rsid w:val="00505DBF"/>
    <w:rsid w:val="005060E4"/>
    <w:rsid w:val="005062AF"/>
    <w:rsid w:val="00506375"/>
    <w:rsid w:val="0050646C"/>
    <w:rsid w:val="0050671B"/>
    <w:rsid w:val="0050681D"/>
    <w:rsid w:val="005068AD"/>
    <w:rsid w:val="00506C2C"/>
    <w:rsid w:val="00506E93"/>
    <w:rsid w:val="005072F1"/>
    <w:rsid w:val="0050733B"/>
    <w:rsid w:val="0050738C"/>
    <w:rsid w:val="0050795E"/>
    <w:rsid w:val="00507BBF"/>
    <w:rsid w:val="00507CEA"/>
    <w:rsid w:val="00507D62"/>
    <w:rsid w:val="00507DA5"/>
    <w:rsid w:val="00507F49"/>
    <w:rsid w:val="00510046"/>
    <w:rsid w:val="00510579"/>
    <w:rsid w:val="00510657"/>
    <w:rsid w:val="00510A58"/>
    <w:rsid w:val="00510CCE"/>
    <w:rsid w:val="0051110B"/>
    <w:rsid w:val="005111D6"/>
    <w:rsid w:val="00511382"/>
    <w:rsid w:val="005116C1"/>
    <w:rsid w:val="00511824"/>
    <w:rsid w:val="0051182D"/>
    <w:rsid w:val="00511860"/>
    <w:rsid w:val="00511C14"/>
    <w:rsid w:val="0051212F"/>
    <w:rsid w:val="0051235D"/>
    <w:rsid w:val="00513337"/>
    <w:rsid w:val="0051348E"/>
    <w:rsid w:val="005136DD"/>
    <w:rsid w:val="00514229"/>
    <w:rsid w:val="005142F7"/>
    <w:rsid w:val="0051436E"/>
    <w:rsid w:val="0051479C"/>
    <w:rsid w:val="00514A99"/>
    <w:rsid w:val="00514D4A"/>
    <w:rsid w:val="00515698"/>
    <w:rsid w:val="0051576A"/>
    <w:rsid w:val="0051587B"/>
    <w:rsid w:val="00516333"/>
    <w:rsid w:val="00516603"/>
    <w:rsid w:val="00516757"/>
    <w:rsid w:val="0051691E"/>
    <w:rsid w:val="00516C8E"/>
    <w:rsid w:val="00516CD1"/>
    <w:rsid w:val="00516EB8"/>
    <w:rsid w:val="00517362"/>
    <w:rsid w:val="005178C4"/>
    <w:rsid w:val="00517927"/>
    <w:rsid w:val="00517ADD"/>
    <w:rsid w:val="00517FB0"/>
    <w:rsid w:val="005203BD"/>
    <w:rsid w:val="005207D6"/>
    <w:rsid w:val="005207EB"/>
    <w:rsid w:val="00520BC3"/>
    <w:rsid w:val="00520C19"/>
    <w:rsid w:val="00520EA5"/>
    <w:rsid w:val="0052153B"/>
    <w:rsid w:val="00521831"/>
    <w:rsid w:val="00521991"/>
    <w:rsid w:val="00521B40"/>
    <w:rsid w:val="00521B67"/>
    <w:rsid w:val="00521DB5"/>
    <w:rsid w:val="0052228B"/>
    <w:rsid w:val="0052233F"/>
    <w:rsid w:val="005223A5"/>
    <w:rsid w:val="00522D3D"/>
    <w:rsid w:val="00522D93"/>
    <w:rsid w:val="00523114"/>
    <w:rsid w:val="0052327D"/>
    <w:rsid w:val="00523288"/>
    <w:rsid w:val="00523539"/>
    <w:rsid w:val="00523A90"/>
    <w:rsid w:val="00523AB1"/>
    <w:rsid w:val="00523E6E"/>
    <w:rsid w:val="00523F11"/>
    <w:rsid w:val="00524163"/>
    <w:rsid w:val="00524284"/>
    <w:rsid w:val="005243E3"/>
    <w:rsid w:val="00524455"/>
    <w:rsid w:val="00524754"/>
    <w:rsid w:val="00524A5F"/>
    <w:rsid w:val="00524E0B"/>
    <w:rsid w:val="005252DC"/>
    <w:rsid w:val="00525567"/>
    <w:rsid w:val="0052557D"/>
    <w:rsid w:val="005258A4"/>
    <w:rsid w:val="00525A3D"/>
    <w:rsid w:val="00525B0B"/>
    <w:rsid w:val="00525B31"/>
    <w:rsid w:val="00525B32"/>
    <w:rsid w:val="00525FB0"/>
    <w:rsid w:val="005263D1"/>
    <w:rsid w:val="00526F8B"/>
    <w:rsid w:val="005270D2"/>
    <w:rsid w:val="00527269"/>
    <w:rsid w:val="005272C2"/>
    <w:rsid w:val="005274FB"/>
    <w:rsid w:val="00527FDB"/>
    <w:rsid w:val="00530035"/>
    <w:rsid w:val="00530208"/>
    <w:rsid w:val="005302A9"/>
    <w:rsid w:val="0053057F"/>
    <w:rsid w:val="00530630"/>
    <w:rsid w:val="0053080A"/>
    <w:rsid w:val="00530A3A"/>
    <w:rsid w:val="00530D6B"/>
    <w:rsid w:val="00530F9F"/>
    <w:rsid w:val="00531089"/>
    <w:rsid w:val="005312E2"/>
    <w:rsid w:val="00531340"/>
    <w:rsid w:val="00531D0F"/>
    <w:rsid w:val="0053208B"/>
    <w:rsid w:val="005320D1"/>
    <w:rsid w:val="005322BE"/>
    <w:rsid w:val="005332D7"/>
    <w:rsid w:val="0053348E"/>
    <w:rsid w:val="00533626"/>
    <w:rsid w:val="00533682"/>
    <w:rsid w:val="005336E5"/>
    <w:rsid w:val="00533949"/>
    <w:rsid w:val="00533F4D"/>
    <w:rsid w:val="005343D9"/>
    <w:rsid w:val="00534659"/>
    <w:rsid w:val="00534744"/>
    <w:rsid w:val="00534A60"/>
    <w:rsid w:val="00534E97"/>
    <w:rsid w:val="005351FC"/>
    <w:rsid w:val="0053540E"/>
    <w:rsid w:val="0053580E"/>
    <w:rsid w:val="00535898"/>
    <w:rsid w:val="00535915"/>
    <w:rsid w:val="00535AA8"/>
    <w:rsid w:val="00536322"/>
    <w:rsid w:val="00536788"/>
    <w:rsid w:val="00536802"/>
    <w:rsid w:val="0053690C"/>
    <w:rsid w:val="00536C5B"/>
    <w:rsid w:val="00537092"/>
    <w:rsid w:val="005371E5"/>
    <w:rsid w:val="005377FA"/>
    <w:rsid w:val="0053787A"/>
    <w:rsid w:val="00537958"/>
    <w:rsid w:val="00537D5F"/>
    <w:rsid w:val="00537FE0"/>
    <w:rsid w:val="00537FEB"/>
    <w:rsid w:val="0054035D"/>
    <w:rsid w:val="0054036A"/>
    <w:rsid w:val="00540401"/>
    <w:rsid w:val="00540792"/>
    <w:rsid w:val="005407E1"/>
    <w:rsid w:val="00540C90"/>
    <w:rsid w:val="00540E25"/>
    <w:rsid w:val="00541099"/>
    <w:rsid w:val="005414AA"/>
    <w:rsid w:val="00541C1C"/>
    <w:rsid w:val="00541DC1"/>
    <w:rsid w:val="0054275E"/>
    <w:rsid w:val="00542A8C"/>
    <w:rsid w:val="00542D28"/>
    <w:rsid w:val="00542F0F"/>
    <w:rsid w:val="00542F9F"/>
    <w:rsid w:val="00543019"/>
    <w:rsid w:val="005430B5"/>
    <w:rsid w:val="005436B2"/>
    <w:rsid w:val="005437E7"/>
    <w:rsid w:val="00543F86"/>
    <w:rsid w:val="00544D16"/>
    <w:rsid w:val="00544F80"/>
    <w:rsid w:val="00545046"/>
    <w:rsid w:val="005450C3"/>
    <w:rsid w:val="0054583C"/>
    <w:rsid w:val="00545862"/>
    <w:rsid w:val="00545C1B"/>
    <w:rsid w:val="00545DA6"/>
    <w:rsid w:val="0054690C"/>
    <w:rsid w:val="00546D6A"/>
    <w:rsid w:val="00546E6D"/>
    <w:rsid w:val="00546EFA"/>
    <w:rsid w:val="00547767"/>
    <w:rsid w:val="005477EC"/>
    <w:rsid w:val="005478C8"/>
    <w:rsid w:val="00547D84"/>
    <w:rsid w:val="00550045"/>
    <w:rsid w:val="005503BA"/>
    <w:rsid w:val="005506D1"/>
    <w:rsid w:val="00550802"/>
    <w:rsid w:val="00550B27"/>
    <w:rsid w:val="00550F66"/>
    <w:rsid w:val="005511D3"/>
    <w:rsid w:val="00551CD9"/>
    <w:rsid w:val="00552408"/>
    <w:rsid w:val="005528DB"/>
    <w:rsid w:val="00552E17"/>
    <w:rsid w:val="00552FC1"/>
    <w:rsid w:val="0055317C"/>
    <w:rsid w:val="00553792"/>
    <w:rsid w:val="00553E1E"/>
    <w:rsid w:val="00553EC7"/>
    <w:rsid w:val="00553FC7"/>
    <w:rsid w:val="005542BB"/>
    <w:rsid w:val="005544C6"/>
    <w:rsid w:val="00554678"/>
    <w:rsid w:val="00554AB8"/>
    <w:rsid w:val="00555089"/>
    <w:rsid w:val="0055537F"/>
    <w:rsid w:val="00555692"/>
    <w:rsid w:val="00555A0E"/>
    <w:rsid w:val="00555B14"/>
    <w:rsid w:val="00555B7B"/>
    <w:rsid w:val="00555C2A"/>
    <w:rsid w:val="00555CA7"/>
    <w:rsid w:val="00555DBE"/>
    <w:rsid w:val="00556A32"/>
    <w:rsid w:val="00556FCF"/>
    <w:rsid w:val="00557031"/>
    <w:rsid w:val="0055729E"/>
    <w:rsid w:val="0055767E"/>
    <w:rsid w:val="00557853"/>
    <w:rsid w:val="0055797F"/>
    <w:rsid w:val="00557AA7"/>
    <w:rsid w:val="00557C6F"/>
    <w:rsid w:val="00557E11"/>
    <w:rsid w:val="00560436"/>
    <w:rsid w:val="00560FBF"/>
    <w:rsid w:val="005612E9"/>
    <w:rsid w:val="005613E8"/>
    <w:rsid w:val="00561BF7"/>
    <w:rsid w:val="00562030"/>
    <w:rsid w:val="005620B1"/>
    <w:rsid w:val="005625A0"/>
    <w:rsid w:val="0056297E"/>
    <w:rsid w:val="00562A93"/>
    <w:rsid w:val="00562BBB"/>
    <w:rsid w:val="00562E32"/>
    <w:rsid w:val="005631B6"/>
    <w:rsid w:val="005631D3"/>
    <w:rsid w:val="005632CD"/>
    <w:rsid w:val="00563738"/>
    <w:rsid w:val="00563976"/>
    <w:rsid w:val="005640C5"/>
    <w:rsid w:val="0056484C"/>
    <w:rsid w:val="00564890"/>
    <w:rsid w:val="00564B1A"/>
    <w:rsid w:val="00564BB5"/>
    <w:rsid w:val="00564C27"/>
    <w:rsid w:val="00564EFF"/>
    <w:rsid w:val="00565046"/>
    <w:rsid w:val="005650DB"/>
    <w:rsid w:val="0056548E"/>
    <w:rsid w:val="00566048"/>
    <w:rsid w:val="00566395"/>
    <w:rsid w:val="00566727"/>
    <w:rsid w:val="00566E7A"/>
    <w:rsid w:val="00567735"/>
    <w:rsid w:val="0056785C"/>
    <w:rsid w:val="00567E89"/>
    <w:rsid w:val="00567F12"/>
    <w:rsid w:val="00570042"/>
    <w:rsid w:val="00570B20"/>
    <w:rsid w:val="00570B68"/>
    <w:rsid w:val="00570E5A"/>
    <w:rsid w:val="005714AA"/>
    <w:rsid w:val="005714B0"/>
    <w:rsid w:val="005714E8"/>
    <w:rsid w:val="005717C1"/>
    <w:rsid w:val="005718CD"/>
    <w:rsid w:val="005719F3"/>
    <w:rsid w:val="00571E6E"/>
    <w:rsid w:val="0057201F"/>
    <w:rsid w:val="005724E7"/>
    <w:rsid w:val="00572824"/>
    <w:rsid w:val="00572B31"/>
    <w:rsid w:val="00572FF1"/>
    <w:rsid w:val="005734E7"/>
    <w:rsid w:val="00573887"/>
    <w:rsid w:val="005738C8"/>
    <w:rsid w:val="0057439E"/>
    <w:rsid w:val="0057471E"/>
    <w:rsid w:val="00574AAE"/>
    <w:rsid w:val="00574D92"/>
    <w:rsid w:val="00575331"/>
    <w:rsid w:val="005756ED"/>
    <w:rsid w:val="005757D3"/>
    <w:rsid w:val="00575CEF"/>
    <w:rsid w:val="00575E91"/>
    <w:rsid w:val="0057660B"/>
    <w:rsid w:val="0057677B"/>
    <w:rsid w:val="0057686D"/>
    <w:rsid w:val="00576C87"/>
    <w:rsid w:val="00576CA6"/>
    <w:rsid w:val="00576D7A"/>
    <w:rsid w:val="00577520"/>
    <w:rsid w:val="0057767F"/>
    <w:rsid w:val="0057774E"/>
    <w:rsid w:val="00577B6B"/>
    <w:rsid w:val="005800A1"/>
    <w:rsid w:val="005801BA"/>
    <w:rsid w:val="00580369"/>
    <w:rsid w:val="0058038A"/>
    <w:rsid w:val="005808EB"/>
    <w:rsid w:val="00580EE1"/>
    <w:rsid w:val="0058107F"/>
    <w:rsid w:val="00581200"/>
    <w:rsid w:val="00581519"/>
    <w:rsid w:val="005817FA"/>
    <w:rsid w:val="00581922"/>
    <w:rsid w:val="00581DB5"/>
    <w:rsid w:val="00581E3A"/>
    <w:rsid w:val="00582300"/>
    <w:rsid w:val="005824DB"/>
    <w:rsid w:val="00582D17"/>
    <w:rsid w:val="00582F32"/>
    <w:rsid w:val="0058303A"/>
    <w:rsid w:val="005830FD"/>
    <w:rsid w:val="005832D8"/>
    <w:rsid w:val="0058341F"/>
    <w:rsid w:val="00583686"/>
    <w:rsid w:val="005836EC"/>
    <w:rsid w:val="0058388A"/>
    <w:rsid w:val="00583A03"/>
    <w:rsid w:val="00583A49"/>
    <w:rsid w:val="00583B83"/>
    <w:rsid w:val="00583E96"/>
    <w:rsid w:val="005842D0"/>
    <w:rsid w:val="005842F0"/>
    <w:rsid w:val="005844DC"/>
    <w:rsid w:val="00584673"/>
    <w:rsid w:val="00584AB5"/>
    <w:rsid w:val="00584E8E"/>
    <w:rsid w:val="0058500A"/>
    <w:rsid w:val="00585105"/>
    <w:rsid w:val="00585A2C"/>
    <w:rsid w:val="00585BCD"/>
    <w:rsid w:val="0058610F"/>
    <w:rsid w:val="00586445"/>
    <w:rsid w:val="0058647A"/>
    <w:rsid w:val="00586FEA"/>
    <w:rsid w:val="0058713A"/>
    <w:rsid w:val="005871A7"/>
    <w:rsid w:val="005873BA"/>
    <w:rsid w:val="005878FA"/>
    <w:rsid w:val="00587D4A"/>
    <w:rsid w:val="00587EED"/>
    <w:rsid w:val="00590115"/>
    <w:rsid w:val="00590423"/>
    <w:rsid w:val="005904CB"/>
    <w:rsid w:val="005906E4"/>
    <w:rsid w:val="00590B6C"/>
    <w:rsid w:val="00590C70"/>
    <w:rsid w:val="00591053"/>
    <w:rsid w:val="005911AC"/>
    <w:rsid w:val="00591306"/>
    <w:rsid w:val="005913F0"/>
    <w:rsid w:val="005917DE"/>
    <w:rsid w:val="005918A0"/>
    <w:rsid w:val="005919CB"/>
    <w:rsid w:val="0059210E"/>
    <w:rsid w:val="00592390"/>
    <w:rsid w:val="0059255A"/>
    <w:rsid w:val="00592A9B"/>
    <w:rsid w:val="00592B12"/>
    <w:rsid w:val="00592C23"/>
    <w:rsid w:val="00592D94"/>
    <w:rsid w:val="00592DDA"/>
    <w:rsid w:val="00592DF5"/>
    <w:rsid w:val="00592E58"/>
    <w:rsid w:val="00592E76"/>
    <w:rsid w:val="00592F59"/>
    <w:rsid w:val="00593541"/>
    <w:rsid w:val="0059387A"/>
    <w:rsid w:val="00593A46"/>
    <w:rsid w:val="00593CB6"/>
    <w:rsid w:val="00593F42"/>
    <w:rsid w:val="00594BB8"/>
    <w:rsid w:val="00594BD3"/>
    <w:rsid w:val="00595329"/>
    <w:rsid w:val="0059534A"/>
    <w:rsid w:val="00595485"/>
    <w:rsid w:val="005954A1"/>
    <w:rsid w:val="005957DB"/>
    <w:rsid w:val="00595981"/>
    <w:rsid w:val="00595E46"/>
    <w:rsid w:val="00595F1E"/>
    <w:rsid w:val="00596129"/>
    <w:rsid w:val="005962B9"/>
    <w:rsid w:val="0059672C"/>
    <w:rsid w:val="00597003"/>
    <w:rsid w:val="0059707E"/>
    <w:rsid w:val="00597244"/>
    <w:rsid w:val="005973CF"/>
    <w:rsid w:val="005978B5"/>
    <w:rsid w:val="005A02EF"/>
    <w:rsid w:val="005A0817"/>
    <w:rsid w:val="005A0989"/>
    <w:rsid w:val="005A0A99"/>
    <w:rsid w:val="005A0E7D"/>
    <w:rsid w:val="005A0EDE"/>
    <w:rsid w:val="005A1074"/>
    <w:rsid w:val="005A11E3"/>
    <w:rsid w:val="005A162F"/>
    <w:rsid w:val="005A23E5"/>
    <w:rsid w:val="005A2501"/>
    <w:rsid w:val="005A250E"/>
    <w:rsid w:val="005A2904"/>
    <w:rsid w:val="005A2C3F"/>
    <w:rsid w:val="005A2E5E"/>
    <w:rsid w:val="005A3141"/>
    <w:rsid w:val="005A37ED"/>
    <w:rsid w:val="005A3A46"/>
    <w:rsid w:val="005A3AFE"/>
    <w:rsid w:val="005A3C26"/>
    <w:rsid w:val="005A3E60"/>
    <w:rsid w:val="005A4343"/>
    <w:rsid w:val="005A43DF"/>
    <w:rsid w:val="005A462D"/>
    <w:rsid w:val="005A48DF"/>
    <w:rsid w:val="005A4BAD"/>
    <w:rsid w:val="005A4BF4"/>
    <w:rsid w:val="005A4D05"/>
    <w:rsid w:val="005A4FDE"/>
    <w:rsid w:val="005A5013"/>
    <w:rsid w:val="005A5077"/>
    <w:rsid w:val="005A533A"/>
    <w:rsid w:val="005A5368"/>
    <w:rsid w:val="005A5675"/>
    <w:rsid w:val="005A5A6D"/>
    <w:rsid w:val="005A5C8E"/>
    <w:rsid w:val="005A60B5"/>
    <w:rsid w:val="005A60D1"/>
    <w:rsid w:val="005A6197"/>
    <w:rsid w:val="005A676A"/>
    <w:rsid w:val="005A6859"/>
    <w:rsid w:val="005A6DC2"/>
    <w:rsid w:val="005A701F"/>
    <w:rsid w:val="005A71D7"/>
    <w:rsid w:val="005A73DF"/>
    <w:rsid w:val="005A75F7"/>
    <w:rsid w:val="005A770D"/>
    <w:rsid w:val="005A7959"/>
    <w:rsid w:val="005B00A4"/>
    <w:rsid w:val="005B013F"/>
    <w:rsid w:val="005B03F1"/>
    <w:rsid w:val="005B0DA4"/>
    <w:rsid w:val="005B0DB8"/>
    <w:rsid w:val="005B0FFF"/>
    <w:rsid w:val="005B153F"/>
    <w:rsid w:val="005B1D9D"/>
    <w:rsid w:val="005B2534"/>
    <w:rsid w:val="005B2DCF"/>
    <w:rsid w:val="005B2FA2"/>
    <w:rsid w:val="005B3269"/>
    <w:rsid w:val="005B3903"/>
    <w:rsid w:val="005B39F3"/>
    <w:rsid w:val="005B3D06"/>
    <w:rsid w:val="005B3E4A"/>
    <w:rsid w:val="005B3FCF"/>
    <w:rsid w:val="005B46AF"/>
    <w:rsid w:val="005B47DD"/>
    <w:rsid w:val="005B511B"/>
    <w:rsid w:val="005B5379"/>
    <w:rsid w:val="005B53BC"/>
    <w:rsid w:val="005B53CB"/>
    <w:rsid w:val="005B56D0"/>
    <w:rsid w:val="005B56E6"/>
    <w:rsid w:val="005B60AC"/>
    <w:rsid w:val="005B6239"/>
    <w:rsid w:val="005B62A9"/>
    <w:rsid w:val="005B64EA"/>
    <w:rsid w:val="005B6FEB"/>
    <w:rsid w:val="005B7211"/>
    <w:rsid w:val="005B73EF"/>
    <w:rsid w:val="005B74FD"/>
    <w:rsid w:val="005B76E6"/>
    <w:rsid w:val="005B7751"/>
    <w:rsid w:val="005B7804"/>
    <w:rsid w:val="005B7934"/>
    <w:rsid w:val="005B7A66"/>
    <w:rsid w:val="005B7AF3"/>
    <w:rsid w:val="005B7C71"/>
    <w:rsid w:val="005B7F72"/>
    <w:rsid w:val="005C00D2"/>
    <w:rsid w:val="005C0AEC"/>
    <w:rsid w:val="005C0D9D"/>
    <w:rsid w:val="005C0FDD"/>
    <w:rsid w:val="005C1119"/>
    <w:rsid w:val="005C193D"/>
    <w:rsid w:val="005C1948"/>
    <w:rsid w:val="005C1DF7"/>
    <w:rsid w:val="005C2000"/>
    <w:rsid w:val="005C2713"/>
    <w:rsid w:val="005C29E7"/>
    <w:rsid w:val="005C2FD8"/>
    <w:rsid w:val="005C30D8"/>
    <w:rsid w:val="005C30E8"/>
    <w:rsid w:val="005C3496"/>
    <w:rsid w:val="005C3630"/>
    <w:rsid w:val="005C37B2"/>
    <w:rsid w:val="005C3820"/>
    <w:rsid w:val="005C3D7F"/>
    <w:rsid w:val="005C3F3C"/>
    <w:rsid w:val="005C412B"/>
    <w:rsid w:val="005C41B5"/>
    <w:rsid w:val="005C433E"/>
    <w:rsid w:val="005C434C"/>
    <w:rsid w:val="005C4845"/>
    <w:rsid w:val="005C4C7A"/>
    <w:rsid w:val="005C4CB7"/>
    <w:rsid w:val="005C4CDC"/>
    <w:rsid w:val="005C4D2B"/>
    <w:rsid w:val="005C50AF"/>
    <w:rsid w:val="005C5301"/>
    <w:rsid w:val="005C544B"/>
    <w:rsid w:val="005C5620"/>
    <w:rsid w:val="005C59D7"/>
    <w:rsid w:val="005C5ACF"/>
    <w:rsid w:val="005C5EFA"/>
    <w:rsid w:val="005C640A"/>
    <w:rsid w:val="005C69F2"/>
    <w:rsid w:val="005C6DF7"/>
    <w:rsid w:val="005C6E21"/>
    <w:rsid w:val="005C777A"/>
    <w:rsid w:val="005C7912"/>
    <w:rsid w:val="005C7923"/>
    <w:rsid w:val="005C7A49"/>
    <w:rsid w:val="005C7B7D"/>
    <w:rsid w:val="005C7D92"/>
    <w:rsid w:val="005C7E91"/>
    <w:rsid w:val="005D0272"/>
    <w:rsid w:val="005D05CA"/>
    <w:rsid w:val="005D060B"/>
    <w:rsid w:val="005D087B"/>
    <w:rsid w:val="005D0E15"/>
    <w:rsid w:val="005D2085"/>
    <w:rsid w:val="005D24CD"/>
    <w:rsid w:val="005D2C26"/>
    <w:rsid w:val="005D3135"/>
    <w:rsid w:val="005D3307"/>
    <w:rsid w:val="005D3406"/>
    <w:rsid w:val="005D3450"/>
    <w:rsid w:val="005D3662"/>
    <w:rsid w:val="005D3781"/>
    <w:rsid w:val="005D37B5"/>
    <w:rsid w:val="005D3912"/>
    <w:rsid w:val="005D3E30"/>
    <w:rsid w:val="005D400A"/>
    <w:rsid w:val="005D4068"/>
    <w:rsid w:val="005D421C"/>
    <w:rsid w:val="005D45CC"/>
    <w:rsid w:val="005D4751"/>
    <w:rsid w:val="005D47F1"/>
    <w:rsid w:val="005D4838"/>
    <w:rsid w:val="005D4927"/>
    <w:rsid w:val="005D4A41"/>
    <w:rsid w:val="005D4E71"/>
    <w:rsid w:val="005D56CE"/>
    <w:rsid w:val="005D5979"/>
    <w:rsid w:val="005D5B8A"/>
    <w:rsid w:val="005D5D93"/>
    <w:rsid w:val="005D6320"/>
    <w:rsid w:val="005D6723"/>
    <w:rsid w:val="005D6731"/>
    <w:rsid w:val="005D6834"/>
    <w:rsid w:val="005D6D0E"/>
    <w:rsid w:val="005D748E"/>
    <w:rsid w:val="005D75A9"/>
    <w:rsid w:val="005D7E9A"/>
    <w:rsid w:val="005E018C"/>
    <w:rsid w:val="005E04AE"/>
    <w:rsid w:val="005E0FAC"/>
    <w:rsid w:val="005E127B"/>
    <w:rsid w:val="005E1728"/>
    <w:rsid w:val="005E2DBC"/>
    <w:rsid w:val="005E33A9"/>
    <w:rsid w:val="005E35CB"/>
    <w:rsid w:val="005E3CF9"/>
    <w:rsid w:val="005E3DE4"/>
    <w:rsid w:val="005E405E"/>
    <w:rsid w:val="005E4593"/>
    <w:rsid w:val="005E4B81"/>
    <w:rsid w:val="005E4F5F"/>
    <w:rsid w:val="005E541B"/>
    <w:rsid w:val="005E57C2"/>
    <w:rsid w:val="005E5955"/>
    <w:rsid w:val="005E5F03"/>
    <w:rsid w:val="005E6397"/>
    <w:rsid w:val="005E6736"/>
    <w:rsid w:val="005E6AA4"/>
    <w:rsid w:val="005E6F06"/>
    <w:rsid w:val="005E7191"/>
    <w:rsid w:val="005E71C1"/>
    <w:rsid w:val="005E7880"/>
    <w:rsid w:val="005E7A46"/>
    <w:rsid w:val="005E7E8D"/>
    <w:rsid w:val="005F00A3"/>
    <w:rsid w:val="005F051B"/>
    <w:rsid w:val="005F0B59"/>
    <w:rsid w:val="005F0B9B"/>
    <w:rsid w:val="005F10D0"/>
    <w:rsid w:val="005F13B9"/>
    <w:rsid w:val="005F1831"/>
    <w:rsid w:val="005F1893"/>
    <w:rsid w:val="005F1AF8"/>
    <w:rsid w:val="005F1BA3"/>
    <w:rsid w:val="005F1E6F"/>
    <w:rsid w:val="005F1E89"/>
    <w:rsid w:val="005F2386"/>
    <w:rsid w:val="005F23FF"/>
    <w:rsid w:val="005F2B1F"/>
    <w:rsid w:val="005F2BA6"/>
    <w:rsid w:val="005F2D65"/>
    <w:rsid w:val="005F2F55"/>
    <w:rsid w:val="005F345B"/>
    <w:rsid w:val="005F3B62"/>
    <w:rsid w:val="005F3D5B"/>
    <w:rsid w:val="005F3F86"/>
    <w:rsid w:val="005F424C"/>
    <w:rsid w:val="005F48C6"/>
    <w:rsid w:val="005F4CAE"/>
    <w:rsid w:val="005F5075"/>
    <w:rsid w:val="005F5309"/>
    <w:rsid w:val="005F53F0"/>
    <w:rsid w:val="005F55EF"/>
    <w:rsid w:val="005F5682"/>
    <w:rsid w:val="005F57A2"/>
    <w:rsid w:val="005F5A1F"/>
    <w:rsid w:val="005F5A28"/>
    <w:rsid w:val="005F5C36"/>
    <w:rsid w:val="005F5DE7"/>
    <w:rsid w:val="005F6265"/>
    <w:rsid w:val="005F62C3"/>
    <w:rsid w:val="005F678A"/>
    <w:rsid w:val="005F6890"/>
    <w:rsid w:val="005F6D3A"/>
    <w:rsid w:val="005F6D3F"/>
    <w:rsid w:val="005F6F6A"/>
    <w:rsid w:val="005F7252"/>
    <w:rsid w:val="005F7566"/>
    <w:rsid w:val="005F7614"/>
    <w:rsid w:val="005F7619"/>
    <w:rsid w:val="005F77B7"/>
    <w:rsid w:val="005F79BE"/>
    <w:rsid w:val="005F79E0"/>
    <w:rsid w:val="005F7DA5"/>
    <w:rsid w:val="005F7EA0"/>
    <w:rsid w:val="00600230"/>
    <w:rsid w:val="00600364"/>
    <w:rsid w:val="00600394"/>
    <w:rsid w:val="006006C9"/>
    <w:rsid w:val="006006E6"/>
    <w:rsid w:val="00600726"/>
    <w:rsid w:val="00600746"/>
    <w:rsid w:val="0060098F"/>
    <w:rsid w:val="00600C04"/>
    <w:rsid w:val="00600ED3"/>
    <w:rsid w:val="00601514"/>
    <w:rsid w:val="00601666"/>
    <w:rsid w:val="006016F1"/>
    <w:rsid w:val="0060203B"/>
    <w:rsid w:val="006021EA"/>
    <w:rsid w:val="006022A3"/>
    <w:rsid w:val="006025C5"/>
    <w:rsid w:val="006028AF"/>
    <w:rsid w:val="006029C4"/>
    <w:rsid w:val="00602C66"/>
    <w:rsid w:val="00603DEC"/>
    <w:rsid w:val="00604318"/>
    <w:rsid w:val="00604B4A"/>
    <w:rsid w:val="00604BA4"/>
    <w:rsid w:val="00604CC1"/>
    <w:rsid w:val="00604FC6"/>
    <w:rsid w:val="006052FE"/>
    <w:rsid w:val="006055FE"/>
    <w:rsid w:val="006056EE"/>
    <w:rsid w:val="00605745"/>
    <w:rsid w:val="006057DC"/>
    <w:rsid w:val="00605929"/>
    <w:rsid w:val="00605B96"/>
    <w:rsid w:val="00605BFB"/>
    <w:rsid w:val="0060609B"/>
    <w:rsid w:val="0060614C"/>
    <w:rsid w:val="0060616D"/>
    <w:rsid w:val="00606408"/>
    <w:rsid w:val="0060657F"/>
    <w:rsid w:val="006065A0"/>
    <w:rsid w:val="006067DD"/>
    <w:rsid w:val="0060698D"/>
    <w:rsid w:val="006069B9"/>
    <w:rsid w:val="00607325"/>
    <w:rsid w:val="006077BF"/>
    <w:rsid w:val="00607A63"/>
    <w:rsid w:val="006100EE"/>
    <w:rsid w:val="006104A9"/>
    <w:rsid w:val="00610810"/>
    <w:rsid w:val="006108AE"/>
    <w:rsid w:val="00610C7F"/>
    <w:rsid w:val="00610D12"/>
    <w:rsid w:val="00610FAD"/>
    <w:rsid w:val="00610FD5"/>
    <w:rsid w:val="00611258"/>
    <w:rsid w:val="006114B0"/>
    <w:rsid w:val="00611937"/>
    <w:rsid w:val="00611A8F"/>
    <w:rsid w:val="00611BEE"/>
    <w:rsid w:val="00611C56"/>
    <w:rsid w:val="00611E88"/>
    <w:rsid w:val="0061225C"/>
    <w:rsid w:val="0061237D"/>
    <w:rsid w:val="006125F3"/>
    <w:rsid w:val="00612E1A"/>
    <w:rsid w:val="00612E2F"/>
    <w:rsid w:val="00612E37"/>
    <w:rsid w:val="00612ECA"/>
    <w:rsid w:val="00613744"/>
    <w:rsid w:val="0061397B"/>
    <w:rsid w:val="00613D14"/>
    <w:rsid w:val="00613D1A"/>
    <w:rsid w:val="00613FB7"/>
    <w:rsid w:val="00614012"/>
    <w:rsid w:val="0061402D"/>
    <w:rsid w:val="00614361"/>
    <w:rsid w:val="00614503"/>
    <w:rsid w:val="006146D3"/>
    <w:rsid w:val="00614751"/>
    <w:rsid w:val="00614B83"/>
    <w:rsid w:val="00614C25"/>
    <w:rsid w:val="00614E79"/>
    <w:rsid w:val="00614EEC"/>
    <w:rsid w:val="00614FFB"/>
    <w:rsid w:val="00615173"/>
    <w:rsid w:val="006154A0"/>
    <w:rsid w:val="0061560E"/>
    <w:rsid w:val="00615620"/>
    <w:rsid w:val="0061598B"/>
    <w:rsid w:val="00615B88"/>
    <w:rsid w:val="006168CA"/>
    <w:rsid w:val="00616BD9"/>
    <w:rsid w:val="00616E88"/>
    <w:rsid w:val="00616F09"/>
    <w:rsid w:val="006170ED"/>
    <w:rsid w:val="00617174"/>
    <w:rsid w:val="0061732E"/>
    <w:rsid w:val="0061755E"/>
    <w:rsid w:val="00617601"/>
    <w:rsid w:val="006177B3"/>
    <w:rsid w:val="00617923"/>
    <w:rsid w:val="006179FD"/>
    <w:rsid w:val="00617B47"/>
    <w:rsid w:val="00617B5E"/>
    <w:rsid w:val="00617B66"/>
    <w:rsid w:val="00617E76"/>
    <w:rsid w:val="0062000E"/>
    <w:rsid w:val="006209B3"/>
    <w:rsid w:val="00620BDF"/>
    <w:rsid w:val="00621353"/>
    <w:rsid w:val="0062155E"/>
    <w:rsid w:val="0062160E"/>
    <w:rsid w:val="00621764"/>
    <w:rsid w:val="006217C9"/>
    <w:rsid w:val="00621809"/>
    <w:rsid w:val="00621B62"/>
    <w:rsid w:val="00621BF6"/>
    <w:rsid w:val="0062244D"/>
    <w:rsid w:val="006224C7"/>
    <w:rsid w:val="00622569"/>
    <w:rsid w:val="00622579"/>
    <w:rsid w:val="006229AC"/>
    <w:rsid w:val="00622A69"/>
    <w:rsid w:val="00622B51"/>
    <w:rsid w:val="006232C0"/>
    <w:rsid w:val="0062378B"/>
    <w:rsid w:val="0062414A"/>
    <w:rsid w:val="006241D8"/>
    <w:rsid w:val="0062447C"/>
    <w:rsid w:val="006249AF"/>
    <w:rsid w:val="00624C14"/>
    <w:rsid w:val="00624C5B"/>
    <w:rsid w:val="00625075"/>
    <w:rsid w:val="006254E6"/>
    <w:rsid w:val="0062590E"/>
    <w:rsid w:val="006259F9"/>
    <w:rsid w:val="00625A45"/>
    <w:rsid w:val="00625E4C"/>
    <w:rsid w:val="00625EA2"/>
    <w:rsid w:val="0062616B"/>
    <w:rsid w:val="00626405"/>
    <w:rsid w:val="00626557"/>
    <w:rsid w:val="0062675A"/>
    <w:rsid w:val="0062697F"/>
    <w:rsid w:val="00626CAE"/>
    <w:rsid w:val="00626D9C"/>
    <w:rsid w:val="00626E7E"/>
    <w:rsid w:val="006270C3"/>
    <w:rsid w:val="006270CE"/>
    <w:rsid w:val="006272DB"/>
    <w:rsid w:val="006277A2"/>
    <w:rsid w:val="006278FF"/>
    <w:rsid w:val="0062799F"/>
    <w:rsid w:val="006279F2"/>
    <w:rsid w:val="00627DB7"/>
    <w:rsid w:val="00627F2F"/>
    <w:rsid w:val="0063013F"/>
    <w:rsid w:val="006303CB"/>
    <w:rsid w:val="00630585"/>
    <w:rsid w:val="006306BD"/>
    <w:rsid w:val="00630C1D"/>
    <w:rsid w:val="00630FCF"/>
    <w:rsid w:val="006311A2"/>
    <w:rsid w:val="00631AD1"/>
    <w:rsid w:val="00631CE1"/>
    <w:rsid w:val="00631D5B"/>
    <w:rsid w:val="00631FBB"/>
    <w:rsid w:val="006325E2"/>
    <w:rsid w:val="0063264B"/>
    <w:rsid w:val="00632745"/>
    <w:rsid w:val="006328B6"/>
    <w:rsid w:val="006328E1"/>
    <w:rsid w:val="00632BF7"/>
    <w:rsid w:val="00632E76"/>
    <w:rsid w:val="00632F13"/>
    <w:rsid w:val="006333FA"/>
    <w:rsid w:val="00633761"/>
    <w:rsid w:val="006339AA"/>
    <w:rsid w:val="00633FF0"/>
    <w:rsid w:val="006340C0"/>
    <w:rsid w:val="00634699"/>
    <w:rsid w:val="00634869"/>
    <w:rsid w:val="00634F86"/>
    <w:rsid w:val="00635224"/>
    <w:rsid w:val="006352BF"/>
    <w:rsid w:val="00635339"/>
    <w:rsid w:val="00635403"/>
    <w:rsid w:val="00635577"/>
    <w:rsid w:val="00635689"/>
    <w:rsid w:val="00635717"/>
    <w:rsid w:val="00636118"/>
    <w:rsid w:val="006369F7"/>
    <w:rsid w:val="00636ABF"/>
    <w:rsid w:val="00637077"/>
    <w:rsid w:val="00637337"/>
    <w:rsid w:val="006373F9"/>
    <w:rsid w:val="00637424"/>
    <w:rsid w:val="006375D9"/>
    <w:rsid w:val="006378B5"/>
    <w:rsid w:val="00637EE5"/>
    <w:rsid w:val="00640070"/>
    <w:rsid w:val="006402E6"/>
    <w:rsid w:val="006403AA"/>
    <w:rsid w:val="0064047B"/>
    <w:rsid w:val="006406E8"/>
    <w:rsid w:val="00640E32"/>
    <w:rsid w:val="006410E0"/>
    <w:rsid w:val="00641196"/>
    <w:rsid w:val="0064146D"/>
    <w:rsid w:val="0064157E"/>
    <w:rsid w:val="0064167B"/>
    <w:rsid w:val="006418C2"/>
    <w:rsid w:val="00641C5A"/>
    <w:rsid w:val="00641D5F"/>
    <w:rsid w:val="00641F51"/>
    <w:rsid w:val="00641F55"/>
    <w:rsid w:val="006426A8"/>
    <w:rsid w:val="00642D1D"/>
    <w:rsid w:val="00642ED7"/>
    <w:rsid w:val="00643461"/>
    <w:rsid w:val="00643607"/>
    <w:rsid w:val="006438A0"/>
    <w:rsid w:val="00643923"/>
    <w:rsid w:val="00643AE5"/>
    <w:rsid w:val="00643CBB"/>
    <w:rsid w:val="00643D81"/>
    <w:rsid w:val="00643DEB"/>
    <w:rsid w:val="00643FEF"/>
    <w:rsid w:val="00643FF0"/>
    <w:rsid w:val="00644135"/>
    <w:rsid w:val="006444FD"/>
    <w:rsid w:val="006446BF"/>
    <w:rsid w:val="006446FF"/>
    <w:rsid w:val="006447E6"/>
    <w:rsid w:val="0064497E"/>
    <w:rsid w:val="00644BA7"/>
    <w:rsid w:val="00644ECA"/>
    <w:rsid w:val="006453C9"/>
    <w:rsid w:val="006453E3"/>
    <w:rsid w:val="006456A8"/>
    <w:rsid w:val="00645867"/>
    <w:rsid w:val="00645C5D"/>
    <w:rsid w:val="00645CAD"/>
    <w:rsid w:val="00646471"/>
    <w:rsid w:val="00646516"/>
    <w:rsid w:val="0064687A"/>
    <w:rsid w:val="0064692E"/>
    <w:rsid w:val="00646D3C"/>
    <w:rsid w:val="006474B4"/>
    <w:rsid w:val="0064792E"/>
    <w:rsid w:val="00647B12"/>
    <w:rsid w:val="00647D92"/>
    <w:rsid w:val="00647DFE"/>
    <w:rsid w:val="00650316"/>
    <w:rsid w:val="00650866"/>
    <w:rsid w:val="00650868"/>
    <w:rsid w:val="00650F36"/>
    <w:rsid w:val="006515E1"/>
    <w:rsid w:val="00651711"/>
    <w:rsid w:val="00651936"/>
    <w:rsid w:val="00651AB0"/>
    <w:rsid w:val="00652078"/>
    <w:rsid w:val="006521A9"/>
    <w:rsid w:val="00652321"/>
    <w:rsid w:val="00652BC3"/>
    <w:rsid w:val="00652BE5"/>
    <w:rsid w:val="00653504"/>
    <w:rsid w:val="006535AD"/>
    <w:rsid w:val="006535B5"/>
    <w:rsid w:val="006538FF"/>
    <w:rsid w:val="006539E9"/>
    <w:rsid w:val="00653BDF"/>
    <w:rsid w:val="00653C43"/>
    <w:rsid w:val="0065517A"/>
    <w:rsid w:val="0065521B"/>
    <w:rsid w:val="0065574A"/>
    <w:rsid w:val="00655DB7"/>
    <w:rsid w:val="00655DEB"/>
    <w:rsid w:val="00655EEF"/>
    <w:rsid w:val="0065609A"/>
    <w:rsid w:val="00656176"/>
    <w:rsid w:val="00656AD3"/>
    <w:rsid w:val="00656CE1"/>
    <w:rsid w:val="00656D97"/>
    <w:rsid w:val="00656DBF"/>
    <w:rsid w:val="00656F30"/>
    <w:rsid w:val="006575A9"/>
    <w:rsid w:val="0065771F"/>
    <w:rsid w:val="00657784"/>
    <w:rsid w:val="006577AF"/>
    <w:rsid w:val="0065782D"/>
    <w:rsid w:val="00657BE6"/>
    <w:rsid w:val="00657CA2"/>
    <w:rsid w:val="00657F04"/>
    <w:rsid w:val="006605A0"/>
    <w:rsid w:val="00660B16"/>
    <w:rsid w:val="006618B2"/>
    <w:rsid w:val="00661DF7"/>
    <w:rsid w:val="00662026"/>
    <w:rsid w:val="006621EE"/>
    <w:rsid w:val="006621EF"/>
    <w:rsid w:val="006629C4"/>
    <w:rsid w:val="00662BB6"/>
    <w:rsid w:val="00662FEB"/>
    <w:rsid w:val="00663280"/>
    <w:rsid w:val="006635EC"/>
    <w:rsid w:val="00663B80"/>
    <w:rsid w:val="00663F98"/>
    <w:rsid w:val="00664223"/>
    <w:rsid w:val="0066506F"/>
    <w:rsid w:val="00665582"/>
    <w:rsid w:val="006657ED"/>
    <w:rsid w:val="0066587D"/>
    <w:rsid w:val="00665CD6"/>
    <w:rsid w:val="00666177"/>
    <w:rsid w:val="006663D6"/>
    <w:rsid w:val="006663E6"/>
    <w:rsid w:val="00666538"/>
    <w:rsid w:val="00666622"/>
    <w:rsid w:val="00666735"/>
    <w:rsid w:val="00666858"/>
    <w:rsid w:val="0066692A"/>
    <w:rsid w:val="00666A9A"/>
    <w:rsid w:val="00666BEE"/>
    <w:rsid w:val="00666C53"/>
    <w:rsid w:val="00666C9D"/>
    <w:rsid w:val="00666CD2"/>
    <w:rsid w:val="00666DD7"/>
    <w:rsid w:val="00666E3C"/>
    <w:rsid w:val="006673BF"/>
    <w:rsid w:val="00667659"/>
    <w:rsid w:val="00667967"/>
    <w:rsid w:val="00667E01"/>
    <w:rsid w:val="00667E02"/>
    <w:rsid w:val="00667EC2"/>
    <w:rsid w:val="00670736"/>
    <w:rsid w:val="006708F2"/>
    <w:rsid w:val="00670A92"/>
    <w:rsid w:val="00670EFB"/>
    <w:rsid w:val="00670F04"/>
    <w:rsid w:val="0067106C"/>
    <w:rsid w:val="006710EE"/>
    <w:rsid w:val="006711AA"/>
    <w:rsid w:val="00671686"/>
    <w:rsid w:val="00671A28"/>
    <w:rsid w:val="00671A51"/>
    <w:rsid w:val="00671A5A"/>
    <w:rsid w:val="00671BBE"/>
    <w:rsid w:val="00671D19"/>
    <w:rsid w:val="00672016"/>
    <w:rsid w:val="00672060"/>
    <w:rsid w:val="0067210F"/>
    <w:rsid w:val="00672693"/>
    <w:rsid w:val="00673001"/>
    <w:rsid w:val="006731AA"/>
    <w:rsid w:val="00673274"/>
    <w:rsid w:val="006732BF"/>
    <w:rsid w:val="0067372F"/>
    <w:rsid w:val="006737A9"/>
    <w:rsid w:val="00673C2E"/>
    <w:rsid w:val="00673C78"/>
    <w:rsid w:val="00673E2F"/>
    <w:rsid w:val="00674711"/>
    <w:rsid w:val="00674D39"/>
    <w:rsid w:val="00674DAF"/>
    <w:rsid w:val="00674ECB"/>
    <w:rsid w:val="0067510C"/>
    <w:rsid w:val="0067513B"/>
    <w:rsid w:val="006754C0"/>
    <w:rsid w:val="006755FC"/>
    <w:rsid w:val="006757B9"/>
    <w:rsid w:val="00676123"/>
    <w:rsid w:val="0067631F"/>
    <w:rsid w:val="006763CF"/>
    <w:rsid w:val="00676535"/>
    <w:rsid w:val="00676A7D"/>
    <w:rsid w:val="00676C0A"/>
    <w:rsid w:val="006772C4"/>
    <w:rsid w:val="006772EA"/>
    <w:rsid w:val="00677560"/>
    <w:rsid w:val="0067797F"/>
    <w:rsid w:val="00677FB8"/>
    <w:rsid w:val="006801C3"/>
    <w:rsid w:val="00680233"/>
    <w:rsid w:val="00680358"/>
    <w:rsid w:val="00680516"/>
    <w:rsid w:val="006807F6"/>
    <w:rsid w:val="00680839"/>
    <w:rsid w:val="006808CF"/>
    <w:rsid w:val="00680EEA"/>
    <w:rsid w:val="00681913"/>
    <w:rsid w:val="00681B0D"/>
    <w:rsid w:val="0068252C"/>
    <w:rsid w:val="0068262A"/>
    <w:rsid w:val="0068268E"/>
    <w:rsid w:val="00682B36"/>
    <w:rsid w:val="00682DEF"/>
    <w:rsid w:val="00682FF8"/>
    <w:rsid w:val="0068322F"/>
    <w:rsid w:val="0068336F"/>
    <w:rsid w:val="00683510"/>
    <w:rsid w:val="0068387C"/>
    <w:rsid w:val="0068387D"/>
    <w:rsid w:val="00683AFA"/>
    <w:rsid w:val="00683B8D"/>
    <w:rsid w:val="00683F40"/>
    <w:rsid w:val="00684273"/>
    <w:rsid w:val="006844C8"/>
    <w:rsid w:val="006845FF"/>
    <w:rsid w:val="00684762"/>
    <w:rsid w:val="00684767"/>
    <w:rsid w:val="006848A4"/>
    <w:rsid w:val="006848ED"/>
    <w:rsid w:val="00684AD5"/>
    <w:rsid w:val="00684AFE"/>
    <w:rsid w:val="00685209"/>
    <w:rsid w:val="006852AF"/>
    <w:rsid w:val="00685611"/>
    <w:rsid w:val="00685928"/>
    <w:rsid w:val="00685A44"/>
    <w:rsid w:val="006863B4"/>
    <w:rsid w:val="00686560"/>
    <w:rsid w:val="006868C1"/>
    <w:rsid w:val="00686924"/>
    <w:rsid w:val="0068692D"/>
    <w:rsid w:val="00686996"/>
    <w:rsid w:val="00686AB6"/>
    <w:rsid w:val="00686BF5"/>
    <w:rsid w:val="00686E47"/>
    <w:rsid w:val="00687233"/>
    <w:rsid w:val="00687268"/>
    <w:rsid w:val="006875FF"/>
    <w:rsid w:val="00687ACA"/>
    <w:rsid w:val="006900AE"/>
    <w:rsid w:val="006904F6"/>
    <w:rsid w:val="00690B7C"/>
    <w:rsid w:val="00691305"/>
    <w:rsid w:val="0069180F"/>
    <w:rsid w:val="00691DEA"/>
    <w:rsid w:val="00692063"/>
    <w:rsid w:val="00692071"/>
    <w:rsid w:val="00692373"/>
    <w:rsid w:val="006924F6"/>
    <w:rsid w:val="00692761"/>
    <w:rsid w:val="006927A1"/>
    <w:rsid w:val="006928F1"/>
    <w:rsid w:val="006929BF"/>
    <w:rsid w:val="00692F3C"/>
    <w:rsid w:val="00692FB4"/>
    <w:rsid w:val="006932A5"/>
    <w:rsid w:val="006932F9"/>
    <w:rsid w:val="006936CB"/>
    <w:rsid w:val="00693BFF"/>
    <w:rsid w:val="00693CBF"/>
    <w:rsid w:val="00693DA4"/>
    <w:rsid w:val="006941A8"/>
    <w:rsid w:val="00694437"/>
    <w:rsid w:val="0069464D"/>
    <w:rsid w:val="0069488B"/>
    <w:rsid w:val="006949DE"/>
    <w:rsid w:val="00694B5E"/>
    <w:rsid w:val="00694BE7"/>
    <w:rsid w:val="0069595F"/>
    <w:rsid w:val="00695DC0"/>
    <w:rsid w:val="00695DCB"/>
    <w:rsid w:val="00695E08"/>
    <w:rsid w:val="0069629C"/>
    <w:rsid w:val="00696349"/>
    <w:rsid w:val="006963B9"/>
    <w:rsid w:val="00696782"/>
    <w:rsid w:val="00696DB6"/>
    <w:rsid w:val="00696DDC"/>
    <w:rsid w:val="00697215"/>
    <w:rsid w:val="00697217"/>
    <w:rsid w:val="00697658"/>
    <w:rsid w:val="006978EC"/>
    <w:rsid w:val="00697B6A"/>
    <w:rsid w:val="00697B79"/>
    <w:rsid w:val="00697C99"/>
    <w:rsid w:val="00697DEC"/>
    <w:rsid w:val="006A038A"/>
    <w:rsid w:val="006A0463"/>
    <w:rsid w:val="006A0850"/>
    <w:rsid w:val="006A0874"/>
    <w:rsid w:val="006A0E4A"/>
    <w:rsid w:val="006A1249"/>
    <w:rsid w:val="006A129C"/>
    <w:rsid w:val="006A1804"/>
    <w:rsid w:val="006A1925"/>
    <w:rsid w:val="006A1C87"/>
    <w:rsid w:val="006A1D70"/>
    <w:rsid w:val="006A2015"/>
    <w:rsid w:val="006A26A6"/>
    <w:rsid w:val="006A27D4"/>
    <w:rsid w:val="006A2AE7"/>
    <w:rsid w:val="006A3099"/>
    <w:rsid w:val="006A30DF"/>
    <w:rsid w:val="006A339D"/>
    <w:rsid w:val="006A34A9"/>
    <w:rsid w:val="006A3A2C"/>
    <w:rsid w:val="006A3BBF"/>
    <w:rsid w:val="006A409C"/>
    <w:rsid w:val="006A40AC"/>
    <w:rsid w:val="006A4565"/>
    <w:rsid w:val="006A46B7"/>
    <w:rsid w:val="006A4D56"/>
    <w:rsid w:val="006A4FE5"/>
    <w:rsid w:val="006A507B"/>
    <w:rsid w:val="006A525B"/>
    <w:rsid w:val="006A5681"/>
    <w:rsid w:val="006A56FC"/>
    <w:rsid w:val="006A656C"/>
    <w:rsid w:val="006A671E"/>
    <w:rsid w:val="006A6792"/>
    <w:rsid w:val="006A69CC"/>
    <w:rsid w:val="006A6C2B"/>
    <w:rsid w:val="006A6D4D"/>
    <w:rsid w:val="006A7495"/>
    <w:rsid w:val="006A770D"/>
    <w:rsid w:val="006A78A4"/>
    <w:rsid w:val="006A79D1"/>
    <w:rsid w:val="006A7A33"/>
    <w:rsid w:val="006A7A75"/>
    <w:rsid w:val="006A7F12"/>
    <w:rsid w:val="006A7F2D"/>
    <w:rsid w:val="006B017D"/>
    <w:rsid w:val="006B0222"/>
    <w:rsid w:val="006B0259"/>
    <w:rsid w:val="006B03FC"/>
    <w:rsid w:val="006B06B0"/>
    <w:rsid w:val="006B0899"/>
    <w:rsid w:val="006B11E5"/>
    <w:rsid w:val="006B14BC"/>
    <w:rsid w:val="006B1667"/>
    <w:rsid w:val="006B1705"/>
    <w:rsid w:val="006B1896"/>
    <w:rsid w:val="006B1907"/>
    <w:rsid w:val="006B1A5B"/>
    <w:rsid w:val="006B1D08"/>
    <w:rsid w:val="006B1F6C"/>
    <w:rsid w:val="006B25B9"/>
    <w:rsid w:val="006B26B9"/>
    <w:rsid w:val="006B2A3B"/>
    <w:rsid w:val="006B2C9D"/>
    <w:rsid w:val="006B2F50"/>
    <w:rsid w:val="006B30B6"/>
    <w:rsid w:val="006B3125"/>
    <w:rsid w:val="006B334A"/>
    <w:rsid w:val="006B35D4"/>
    <w:rsid w:val="006B3934"/>
    <w:rsid w:val="006B3CC4"/>
    <w:rsid w:val="006B40B7"/>
    <w:rsid w:val="006B4158"/>
    <w:rsid w:val="006B4203"/>
    <w:rsid w:val="006B43F0"/>
    <w:rsid w:val="006B45D1"/>
    <w:rsid w:val="006B4620"/>
    <w:rsid w:val="006B475B"/>
    <w:rsid w:val="006B4B18"/>
    <w:rsid w:val="006B4B77"/>
    <w:rsid w:val="006B50D9"/>
    <w:rsid w:val="006B537C"/>
    <w:rsid w:val="006B5417"/>
    <w:rsid w:val="006B5656"/>
    <w:rsid w:val="006B56BB"/>
    <w:rsid w:val="006B6098"/>
    <w:rsid w:val="006B712E"/>
    <w:rsid w:val="006B723E"/>
    <w:rsid w:val="006B7702"/>
    <w:rsid w:val="006B7AAD"/>
    <w:rsid w:val="006B7C31"/>
    <w:rsid w:val="006B7D41"/>
    <w:rsid w:val="006C0108"/>
    <w:rsid w:val="006C014C"/>
    <w:rsid w:val="006C042D"/>
    <w:rsid w:val="006C0499"/>
    <w:rsid w:val="006C0786"/>
    <w:rsid w:val="006C0B5A"/>
    <w:rsid w:val="006C0CCE"/>
    <w:rsid w:val="006C0D09"/>
    <w:rsid w:val="006C0DC8"/>
    <w:rsid w:val="006C1B31"/>
    <w:rsid w:val="006C1D70"/>
    <w:rsid w:val="006C1E52"/>
    <w:rsid w:val="006C1F14"/>
    <w:rsid w:val="006C2094"/>
    <w:rsid w:val="006C241A"/>
    <w:rsid w:val="006C273F"/>
    <w:rsid w:val="006C2877"/>
    <w:rsid w:val="006C2BFD"/>
    <w:rsid w:val="006C2C47"/>
    <w:rsid w:val="006C2E0A"/>
    <w:rsid w:val="006C2E4E"/>
    <w:rsid w:val="006C2E76"/>
    <w:rsid w:val="006C2E86"/>
    <w:rsid w:val="006C3193"/>
    <w:rsid w:val="006C3312"/>
    <w:rsid w:val="006C349B"/>
    <w:rsid w:val="006C3621"/>
    <w:rsid w:val="006C36E8"/>
    <w:rsid w:val="006C3A55"/>
    <w:rsid w:val="006C3B0D"/>
    <w:rsid w:val="006C41C3"/>
    <w:rsid w:val="006C42F9"/>
    <w:rsid w:val="006C435A"/>
    <w:rsid w:val="006C4401"/>
    <w:rsid w:val="006C4A7D"/>
    <w:rsid w:val="006C4CEC"/>
    <w:rsid w:val="006C4FDB"/>
    <w:rsid w:val="006C506B"/>
    <w:rsid w:val="006C52D4"/>
    <w:rsid w:val="006C52FB"/>
    <w:rsid w:val="006C5398"/>
    <w:rsid w:val="006C5475"/>
    <w:rsid w:val="006C57EA"/>
    <w:rsid w:val="006C5BF3"/>
    <w:rsid w:val="006C5C3B"/>
    <w:rsid w:val="006C5C66"/>
    <w:rsid w:val="006C5C77"/>
    <w:rsid w:val="006C6268"/>
    <w:rsid w:val="006C62A9"/>
    <w:rsid w:val="006C734D"/>
    <w:rsid w:val="006C76CA"/>
    <w:rsid w:val="006C76E8"/>
    <w:rsid w:val="006C78B6"/>
    <w:rsid w:val="006C7E6F"/>
    <w:rsid w:val="006C7E84"/>
    <w:rsid w:val="006D0171"/>
    <w:rsid w:val="006D01F5"/>
    <w:rsid w:val="006D03CC"/>
    <w:rsid w:val="006D0405"/>
    <w:rsid w:val="006D0BA4"/>
    <w:rsid w:val="006D0D35"/>
    <w:rsid w:val="006D0F2F"/>
    <w:rsid w:val="006D0FF0"/>
    <w:rsid w:val="006D134D"/>
    <w:rsid w:val="006D19EA"/>
    <w:rsid w:val="006D20F2"/>
    <w:rsid w:val="006D26F7"/>
    <w:rsid w:val="006D2764"/>
    <w:rsid w:val="006D2DC0"/>
    <w:rsid w:val="006D30EB"/>
    <w:rsid w:val="006D3333"/>
    <w:rsid w:val="006D3446"/>
    <w:rsid w:val="006D357D"/>
    <w:rsid w:val="006D38DE"/>
    <w:rsid w:val="006D3EF6"/>
    <w:rsid w:val="006D4247"/>
    <w:rsid w:val="006D4317"/>
    <w:rsid w:val="006D4BF8"/>
    <w:rsid w:val="006D4D76"/>
    <w:rsid w:val="006D4E8B"/>
    <w:rsid w:val="006D4F10"/>
    <w:rsid w:val="006D4F8D"/>
    <w:rsid w:val="006D555C"/>
    <w:rsid w:val="006D555F"/>
    <w:rsid w:val="006D5570"/>
    <w:rsid w:val="006D5808"/>
    <w:rsid w:val="006D5D0D"/>
    <w:rsid w:val="006D625E"/>
    <w:rsid w:val="006D64A5"/>
    <w:rsid w:val="006D6F2F"/>
    <w:rsid w:val="006D6FE6"/>
    <w:rsid w:val="006D7148"/>
    <w:rsid w:val="006D732D"/>
    <w:rsid w:val="006D7402"/>
    <w:rsid w:val="006D7596"/>
    <w:rsid w:val="006D7B85"/>
    <w:rsid w:val="006E00F4"/>
    <w:rsid w:val="006E0102"/>
    <w:rsid w:val="006E0195"/>
    <w:rsid w:val="006E03B4"/>
    <w:rsid w:val="006E0400"/>
    <w:rsid w:val="006E0403"/>
    <w:rsid w:val="006E057E"/>
    <w:rsid w:val="006E07F2"/>
    <w:rsid w:val="006E0D5D"/>
    <w:rsid w:val="006E11B5"/>
    <w:rsid w:val="006E13E7"/>
    <w:rsid w:val="006E153B"/>
    <w:rsid w:val="006E1709"/>
    <w:rsid w:val="006E173C"/>
    <w:rsid w:val="006E19F3"/>
    <w:rsid w:val="006E1A17"/>
    <w:rsid w:val="006E1A48"/>
    <w:rsid w:val="006E21D2"/>
    <w:rsid w:val="006E23C4"/>
    <w:rsid w:val="006E2559"/>
    <w:rsid w:val="006E2693"/>
    <w:rsid w:val="006E286C"/>
    <w:rsid w:val="006E2B60"/>
    <w:rsid w:val="006E2BD7"/>
    <w:rsid w:val="006E33D4"/>
    <w:rsid w:val="006E373D"/>
    <w:rsid w:val="006E378F"/>
    <w:rsid w:val="006E3A00"/>
    <w:rsid w:val="006E3B9E"/>
    <w:rsid w:val="006E3E8E"/>
    <w:rsid w:val="006E4142"/>
    <w:rsid w:val="006E42CA"/>
    <w:rsid w:val="006E4BED"/>
    <w:rsid w:val="006E4CF1"/>
    <w:rsid w:val="006E4E8E"/>
    <w:rsid w:val="006E4F2C"/>
    <w:rsid w:val="006E518E"/>
    <w:rsid w:val="006E524F"/>
    <w:rsid w:val="006E562E"/>
    <w:rsid w:val="006E56F7"/>
    <w:rsid w:val="006E599A"/>
    <w:rsid w:val="006E5C42"/>
    <w:rsid w:val="006E680A"/>
    <w:rsid w:val="006E689C"/>
    <w:rsid w:val="006E6DC9"/>
    <w:rsid w:val="006E6EEA"/>
    <w:rsid w:val="006E6F94"/>
    <w:rsid w:val="006E7115"/>
    <w:rsid w:val="006E75CA"/>
    <w:rsid w:val="006E76D5"/>
    <w:rsid w:val="006F01A3"/>
    <w:rsid w:val="006F0331"/>
    <w:rsid w:val="006F0801"/>
    <w:rsid w:val="006F0B9D"/>
    <w:rsid w:val="006F0C7D"/>
    <w:rsid w:val="006F0FDF"/>
    <w:rsid w:val="006F14D5"/>
    <w:rsid w:val="006F1574"/>
    <w:rsid w:val="006F178E"/>
    <w:rsid w:val="006F1847"/>
    <w:rsid w:val="006F1BC3"/>
    <w:rsid w:val="006F253F"/>
    <w:rsid w:val="006F2DE0"/>
    <w:rsid w:val="006F2F0E"/>
    <w:rsid w:val="006F31FF"/>
    <w:rsid w:val="006F32DE"/>
    <w:rsid w:val="006F3360"/>
    <w:rsid w:val="006F3712"/>
    <w:rsid w:val="006F3811"/>
    <w:rsid w:val="006F3ABB"/>
    <w:rsid w:val="006F3AEE"/>
    <w:rsid w:val="006F3B4E"/>
    <w:rsid w:val="006F41F6"/>
    <w:rsid w:val="006F45DA"/>
    <w:rsid w:val="006F4927"/>
    <w:rsid w:val="006F4939"/>
    <w:rsid w:val="006F4D8F"/>
    <w:rsid w:val="006F51DE"/>
    <w:rsid w:val="006F5423"/>
    <w:rsid w:val="006F5645"/>
    <w:rsid w:val="006F57BB"/>
    <w:rsid w:val="006F581F"/>
    <w:rsid w:val="006F5AC3"/>
    <w:rsid w:val="006F5BFF"/>
    <w:rsid w:val="006F6124"/>
    <w:rsid w:val="006F61F0"/>
    <w:rsid w:val="006F658A"/>
    <w:rsid w:val="006F6A0D"/>
    <w:rsid w:val="006F6A55"/>
    <w:rsid w:val="006F70B2"/>
    <w:rsid w:val="006F7272"/>
    <w:rsid w:val="006F7297"/>
    <w:rsid w:val="006F7428"/>
    <w:rsid w:val="006F769E"/>
    <w:rsid w:val="006F7A81"/>
    <w:rsid w:val="006F7C7C"/>
    <w:rsid w:val="006F7E46"/>
    <w:rsid w:val="006F7F3F"/>
    <w:rsid w:val="007002D4"/>
    <w:rsid w:val="007005B2"/>
    <w:rsid w:val="0070089A"/>
    <w:rsid w:val="0070091D"/>
    <w:rsid w:val="00701001"/>
    <w:rsid w:val="00701128"/>
    <w:rsid w:val="00701136"/>
    <w:rsid w:val="00701820"/>
    <w:rsid w:val="00701901"/>
    <w:rsid w:val="00701D31"/>
    <w:rsid w:val="00701F2A"/>
    <w:rsid w:val="00701F67"/>
    <w:rsid w:val="00702007"/>
    <w:rsid w:val="00702590"/>
    <w:rsid w:val="00702F6D"/>
    <w:rsid w:val="00704029"/>
    <w:rsid w:val="0070441F"/>
    <w:rsid w:val="007046F8"/>
    <w:rsid w:val="00704884"/>
    <w:rsid w:val="00704A4B"/>
    <w:rsid w:val="00704B5F"/>
    <w:rsid w:val="00704BD9"/>
    <w:rsid w:val="00705003"/>
    <w:rsid w:val="00705310"/>
    <w:rsid w:val="007053E6"/>
    <w:rsid w:val="00705813"/>
    <w:rsid w:val="00705916"/>
    <w:rsid w:val="00706048"/>
    <w:rsid w:val="0070604A"/>
    <w:rsid w:val="007061A1"/>
    <w:rsid w:val="007065A0"/>
    <w:rsid w:val="00706BCC"/>
    <w:rsid w:val="00706F61"/>
    <w:rsid w:val="00707236"/>
    <w:rsid w:val="0070729E"/>
    <w:rsid w:val="0070735D"/>
    <w:rsid w:val="007073F5"/>
    <w:rsid w:val="00707654"/>
    <w:rsid w:val="00707D80"/>
    <w:rsid w:val="00707E71"/>
    <w:rsid w:val="007101D6"/>
    <w:rsid w:val="007103AB"/>
    <w:rsid w:val="00710401"/>
    <w:rsid w:val="00710A05"/>
    <w:rsid w:val="00710A31"/>
    <w:rsid w:val="0071106C"/>
    <w:rsid w:val="007112A5"/>
    <w:rsid w:val="007113FD"/>
    <w:rsid w:val="007114D8"/>
    <w:rsid w:val="00711975"/>
    <w:rsid w:val="007120EC"/>
    <w:rsid w:val="007123FA"/>
    <w:rsid w:val="007127AC"/>
    <w:rsid w:val="0071292B"/>
    <w:rsid w:val="007129E8"/>
    <w:rsid w:val="00712C58"/>
    <w:rsid w:val="00712DC3"/>
    <w:rsid w:val="00713223"/>
    <w:rsid w:val="00713962"/>
    <w:rsid w:val="00713A9D"/>
    <w:rsid w:val="00713C34"/>
    <w:rsid w:val="0071405F"/>
    <w:rsid w:val="00714155"/>
    <w:rsid w:val="007147E4"/>
    <w:rsid w:val="007148CF"/>
    <w:rsid w:val="00714956"/>
    <w:rsid w:val="00714C99"/>
    <w:rsid w:val="00714E38"/>
    <w:rsid w:val="00715336"/>
    <w:rsid w:val="007155B5"/>
    <w:rsid w:val="00715945"/>
    <w:rsid w:val="00715E5C"/>
    <w:rsid w:val="00716182"/>
    <w:rsid w:val="007162B4"/>
    <w:rsid w:val="00716757"/>
    <w:rsid w:val="00716892"/>
    <w:rsid w:val="00716CD2"/>
    <w:rsid w:val="00716D54"/>
    <w:rsid w:val="00716DCC"/>
    <w:rsid w:val="00716FEF"/>
    <w:rsid w:val="0071776E"/>
    <w:rsid w:val="007178E4"/>
    <w:rsid w:val="00717BDE"/>
    <w:rsid w:val="00717C55"/>
    <w:rsid w:val="00717E5A"/>
    <w:rsid w:val="007200E8"/>
    <w:rsid w:val="00720483"/>
    <w:rsid w:val="007205DA"/>
    <w:rsid w:val="00720653"/>
    <w:rsid w:val="00720843"/>
    <w:rsid w:val="00720C76"/>
    <w:rsid w:val="00720D0F"/>
    <w:rsid w:val="00720EEC"/>
    <w:rsid w:val="00720FAA"/>
    <w:rsid w:val="00721111"/>
    <w:rsid w:val="00721357"/>
    <w:rsid w:val="0072144B"/>
    <w:rsid w:val="00721489"/>
    <w:rsid w:val="007217C5"/>
    <w:rsid w:val="00721914"/>
    <w:rsid w:val="00722662"/>
    <w:rsid w:val="00722670"/>
    <w:rsid w:val="0072273C"/>
    <w:rsid w:val="00722750"/>
    <w:rsid w:val="00722CCF"/>
    <w:rsid w:val="00722CFE"/>
    <w:rsid w:val="00722F28"/>
    <w:rsid w:val="0072325A"/>
    <w:rsid w:val="007232C7"/>
    <w:rsid w:val="0072351F"/>
    <w:rsid w:val="007235E5"/>
    <w:rsid w:val="00723923"/>
    <w:rsid w:val="00723A1B"/>
    <w:rsid w:val="00723AC7"/>
    <w:rsid w:val="00723BE1"/>
    <w:rsid w:val="00723C60"/>
    <w:rsid w:val="00723DCA"/>
    <w:rsid w:val="00723EED"/>
    <w:rsid w:val="00723F8F"/>
    <w:rsid w:val="0072412A"/>
    <w:rsid w:val="00724224"/>
    <w:rsid w:val="007242C6"/>
    <w:rsid w:val="0072432F"/>
    <w:rsid w:val="007249C1"/>
    <w:rsid w:val="00725025"/>
    <w:rsid w:val="00725177"/>
    <w:rsid w:val="007253FC"/>
    <w:rsid w:val="007256ED"/>
    <w:rsid w:val="00725898"/>
    <w:rsid w:val="0072599E"/>
    <w:rsid w:val="00725AC2"/>
    <w:rsid w:val="00725CE9"/>
    <w:rsid w:val="00725EE5"/>
    <w:rsid w:val="00725FD2"/>
    <w:rsid w:val="007261DD"/>
    <w:rsid w:val="0072624B"/>
    <w:rsid w:val="0072626F"/>
    <w:rsid w:val="00726294"/>
    <w:rsid w:val="007265E7"/>
    <w:rsid w:val="007267B6"/>
    <w:rsid w:val="0072790D"/>
    <w:rsid w:val="0072798E"/>
    <w:rsid w:val="00727A20"/>
    <w:rsid w:val="00727A83"/>
    <w:rsid w:val="00730063"/>
    <w:rsid w:val="00730113"/>
    <w:rsid w:val="007301D5"/>
    <w:rsid w:val="00730469"/>
    <w:rsid w:val="00730563"/>
    <w:rsid w:val="00730580"/>
    <w:rsid w:val="007305B4"/>
    <w:rsid w:val="00730628"/>
    <w:rsid w:val="00730771"/>
    <w:rsid w:val="00730784"/>
    <w:rsid w:val="00730845"/>
    <w:rsid w:val="00730976"/>
    <w:rsid w:val="00730987"/>
    <w:rsid w:val="00730A9A"/>
    <w:rsid w:val="00730D11"/>
    <w:rsid w:val="007311E5"/>
    <w:rsid w:val="007319F7"/>
    <w:rsid w:val="00731E79"/>
    <w:rsid w:val="00731F28"/>
    <w:rsid w:val="007321F3"/>
    <w:rsid w:val="0073253E"/>
    <w:rsid w:val="00732664"/>
    <w:rsid w:val="0073283F"/>
    <w:rsid w:val="00732974"/>
    <w:rsid w:val="00732B86"/>
    <w:rsid w:val="00732D1D"/>
    <w:rsid w:val="007335CA"/>
    <w:rsid w:val="00733703"/>
    <w:rsid w:val="00733905"/>
    <w:rsid w:val="00733AF8"/>
    <w:rsid w:val="00733C2B"/>
    <w:rsid w:val="00733F9D"/>
    <w:rsid w:val="00734210"/>
    <w:rsid w:val="007342CA"/>
    <w:rsid w:val="007347BF"/>
    <w:rsid w:val="007347C9"/>
    <w:rsid w:val="00734C31"/>
    <w:rsid w:val="00734F2A"/>
    <w:rsid w:val="0073500A"/>
    <w:rsid w:val="00735108"/>
    <w:rsid w:val="007351C5"/>
    <w:rsid w:val="00735699"/>
    <w:rsid w:val="00735858"/>
    <w:rsid w:val="0073596A"/>
    <w:rsid w:val="0073599E"/>
    <w:rsid w:val="00735DA5"/>
    <w:rsid w:val="00735EE2"/>
    <w:rsid w:val="007360CE"/>
    <w:rsid w:val="00736227"/>
    <w:rsid w:val="00736436"/>
    <w:rsid w:val="00736461"/>
    <w:rsid w:val="007366B2"/>
    <w:rsid w:val="00736725"/>
    <w:rsid w:val="0073673E"/>
    <w:rsid w:val="00736985"/>
    <w:rsid w:val="00736D09"/>
    <w:rsid w:val="00736ED2"/>
    <w:rsid w:val="00737334"/>
    <w:rsid w:val="00737713"/>
    <w:rsid w:val="00737CE9"/>
    <w:rsid w:val="00737F5C"/>
    <w:rsid w:val="007400BC"/>
    <w:rsid w:val="007400CD"/>
    <w:rsid w:val="00740CAD"/>
    <w:rsid w:val="0074146B"/>
    <w:rsid w:val="0074175F"/>
    <w:rsid w:val="007418C3"/>
    <w:rsid w:val="0074199B"/>
    <w:rsid w:val="00741D7F"/>
    <w:rsid w:val="007420CA"/>
    <w:rsid w:val="00742115"/>
    <w:rsid w:val="00742635"/>
    <w:rsid w:val="00743375"/>
    <w:rsid w:val="0074348C"/>
    <w:rsid w:val="0074372A"/>
    <w:rsid w:val="00743772"/>
    <w:rsid w:val="00743839"/>
    <w:rsid w:val="00743A46"/>
    <w:rsid w:val="00743D68"/>
    <w:rsid w:val="00743D8B"/>
    <w:rsid w:val="007440DA"/>
    <w:rsid w:val="0074414F"/>
    <w:rsid w:val="00744845"/>
    <w:rsid w:val="00744C03"/>
    <w:rsid w:val="00744CB2"/>
    <w:rsid w:val="00744D63"/>
    <w:rsid w:val="007452A7"/>
    <w:rsid w:val="007454A1"/>
    <w:rsid w:val="007455AF"/>
    <w:rsid w:val="0074584F"/>
    <w:rsid w:val="00745DE6"/>
    <w:rsid w:val="00745FB7"/>
    <w:rsid w:val="00746721"/>
    <w:rsid w:val="00746A5A"/>
    <w:rsid w:val="00746FA0"/>
    <w:rsid w:val="007470AC"/>
    <w:rsid w:val="007470E8"/>
    <w:rsid w:val="00747846"/>
    <w:rsid w:val="00747F49"/>
    <w:rsid w:val="0075040C"/>
    <w:rsid w:val="00750533"/>
    <w:rsid w:val="007505CE"/>
    <w:rsid w:val="007506D4"/>
    <w:rsid w:val="00750B07"/>
    <w:rsid w:val="00750C9B"/>
    <w:rsid w:val="00751493"/>
    <w:rsid w:val="007517E3"/>
    <w:rsid w:val="0075190F"/>
    <w:rsid w:val="007522DC"/>
    <w:rsid w:val="00752538"/>
    <w:rsid w:val="0075264B"/>
    <w:rsid w:val="00752795"/>
    <w:rsid w:val="00752B43"/>
    <w:rsid w:val="00752DAE"/>
    <w:rsid w:val="00752DC6"/>
    <w:rsid w:val="00752E30"/>
    <w:rsid w:val="0075322E"/>
    <w:rsid w:val="0075361A"/>
    <w:rsid w:val="007538D0"/>
    <w:rsid w:val="0075399F"/>
    <w:rsid w:val="00753B65"/>
    <w:rsid w:val="00753D0C"/>
    <w:rsid w:val="0075433C"/>
    <w:rsid w:val="0075443F"/>
    <w:rsid w:val="0075447F"/>
    <w:rsid w:val="00754538"/>
    <w:rsid w:val="00754767"/>
    <w:rsid w:val="00754A82"/>
    <w:rsid w:val="00754ABD"/>
    <w:rsid w:val="00754E9C"/>
    <w:rsid w:val="00755294"/>
    <w:rsid w:val="00755309"/>
    <w:rsid w:val="007554C3"/>
    <w:rsid w:val="007557EB"/>
    <w:rsid w:val="00755B66"/>
    <w:rsid w:val="0075619B"/>
    <w:rsid w:val="00756215"/>
    <w:rsid w:val="00756672"/>
    <w:rsid w:val="0075692C"/>
    <w:rsid w:val="0075699F"/>
    <w:rsid w:val="00756E09"/>
    <w:rsid w:val="00756F39"/>
    <w:rsid w:val="0075731E"/>
    <w:rsid w:val="007573A6"/>
    <w:rsid w:val="0075761F"/>
    <w:rsid w:val="007578AE"/>
    <w:rsid w:val="00757F06"/>
    <w:rsid w:val="00760067"/>
    <w:rsid w:val="007601A3"/>
    <w:rsid w:val="00760352"/>
    <w:rsid w:val="00760360"/>
    <w:rsid w:val="00760879"/>
    <w:rsid w:val="00760ABB"/>
    <w:rsid w:val="00760B70"/>
    <w:rsid w:val="00760BAF"/>
    <w:rsid w:val="00760BC6"/>
    <w:rsid w:val="007610D7"/>
    <w:rsid w:val="00761168"/>
    <w:rsid w:val="007616E4"/>
    <w:rsid w:val="00761B02"/>
    <w:rsid w:val="00761D6F"/>
    <w:rsid w:val="00761F01"/>
    <w:rsid w:val="00762483"/>
    <w:rsid w:val="007624BD"/>
    <w:rsid w:val="00762625"/>
    <w:rsid w:val="00762764"/>
    <w:rsid w:val="00762908"/>
    <w:rsid w:val="00762D77"/>
    <w:rsid w:val="007630A0"/>
    <w:rsid w:val="007639E1"/>
    <w:rsid w:val="00763F4A"/>
    <w:rsid w:val="0076403D"/>
    <w:rsid w:val="0076413F"/>
    <w:rsid w:val="00764358"/>
    <w:rsid w:val="00764860"/>
    <w:rsid w:val="007648DA"/>
    <w:rsid w:val="00764B37"/>
    <w:rsid w:val="00764C07"/>
    <w:rsid w:val="00764D7F"/>
    <w:rsid w:val="007650B2"/>
    <w:rsid w:val="00765937"/>
    <w:rsid w:val="007659BE"/>
    <w:rsid w:val="00765BE6"/>
    <w:rsid w:val="00765FE3"/>
    <w:rsid w:val="00766824"/>
    <w:rsid w:val="00766C74"/>
    <w:rsid w:val="00767092"/>
    <w:rsid w:val="007670D2"/>
    <w:rsid w:val="007673B8"/>
    <w:rsid w:val="007676F9"/>
    <w:rsid w:val="00767A08"/>
    <w:rsid w:val="00767A99"/>
    <w:rsid w:val="00767CAA"/>
    <w:rsid w:val="00767EAA"/>
    <w:rsid w:val="00770043"/>
    <w:rsid w:val="007705C7"/>
    <w:rsid w:val="00770752"/>
    <w:rsid w:val="0077097B"/>
    <w:rsid w:val="00770D1C"/>
    <w:rsid w:val="00770D29"/>
    <w:rsid w:val="00770F0F"/>
    <w:rsid w:val="00770F20"/>
    <w:rsid w:val="007712F6"/>
    <w:rsid w:val="00771674"/>
    <w:rsid w:val="00771740"/>
    <w:rsid w:val="007718E9"/>
    <w:rsid w:val="00771BB4"/>
    <w:rsid w:val="00772463"/>
    <w:rsid w:val="0077276A"/>
    <w:rsid w:val="0077297F"/>
    <w:rsid w:val="0077299E"/>
    <w:rsid w:val="00772F99"/>
    <w:rsid w:val="007730B6"/>
    <w:rsid w:val="00773275"/>
    <w:rsid w:val="00773517"/>
    <w:rsid w:val="007735B9"/>
    <w:rsid w:val="007738FD"/>
    <w:rsid w:val="007739C9"/>
    <w:rsid w:val="00773D7D"/>
    <w:rsid w:val="0077447E"/>
    <w:rsid w:val="0077448E"/>
    <w:rsid w:val="00774ED4"/>
    <w:rsid w:val="00775059"/>
    <w:rsid w:val="007752BE"/>
    <w:rsid w:val="007755D6"/>
    <w:rsid w:val="00775798"/>
    <w:rsid w:val="00775D98"/>
    <w:rsid w:val="00775EBC"/>
    <w:rsid w:val="00775F1F"/>
    <w:rsid w:val="007760BD"/>
    <w:rsid w:val="00776249"/>
    <w:rsid w:val="007764BB"/>
    <w:rsid w:val="00776814"/>
    <w:rsid w:val="007769C4"/>
    <w:rsid w:val="00776D66"/>
    <w:rsid w:val="00777375"/>
    <w:rsid w:val="00777403"/>
    <w:rsid w:val="00777BEE"/>
    <w:rsid w:val="00777EBA"/>
    <w:rsid w:val="00777EFE"/>
    <w:rsid w:val="00777F13"/>
    <w:rsid w:val="00777F58"/>
    <w:rsid w:val="00780233"/>
    <w:rsid w:val="00780937"/>
    <w:rsid w:val="00781315"/>
    <w:rsid w:val="00781554"/>
    <w:rsid w:val="00781AF1"/>
    <w:rsid w:val="00782201"/>
    <w:rsid w:val="00782896"/>
    <w:rsid w:val="00782C2B"/>
    <w:rsid w:val="00782D53"/>
    <w:rsid w:val="00782EEE"/>
    <w:rsid w:val="00783189"/>
    <w:rsid w:val="007836FA"/>
    <w:rsid w:val="00783A27"/>
    <w:rsid w:val="00783C46"/>
    <w:rsid w:val="00783FFD"/>
    <w:rsid w:val="0078447D"/>
    <w:rsid w:val="00785101"/>
    <w:rsid w:val="00785154"/>
    <w:rsid w:val="00785890"/>
    <w:rsid w:val="007858CC"/>
    <w:rsid w:val="00785DC0"/>
    <w:rsid w:val="00786330"/>
    <w:rsid w:val="00786640"/>
    <w:rsid w:val="00786815"/>
    <w:rsid w:val="007869B8"/>
    <w:rsid w:val="007869D6"/>
    <w:rsid w:val="00786BDB"/>
    <w:rsid w:val="0078703B"/>
    <w:rsid w:val="007873DF"/>
    <w:rsid w:val="0078744E"/>
    <w:rsid w:val="007876EB"/>
    <w:rsid w:val="0078781E"/>
    <w:rsid w:val="00787E2E"/>
    <w:rsid w:val="00787EA3"/>
    <w:rsid w:val="0079002C"/>
    <w:rsid w:val="007905AF"/>
    <w:rsid w:val="00790661"/>
    <w:rsid w:val="0079078C"/>
    <w:rsid w:val="00790A06"/>
    <w:rsid w:val="00790F85"/>
    <w:rsid w:val="00791002"/>
    <w:rsid w:val="007911D5"/>
    <w:rsid w:val="0079135B"/>
    <w:rsid w:val="007914E2"/>
    <w:rsid w:val="00791740"/>
    <w:rsid w:val="00791745"/>
    <w:rsid w:val="007917D8"/>
    <w:rsid w:val="007917F3"/>
    <w:rsid w:val="007918F7"/>
    <w:rsid w:val="00791A96"/>
    <w:rsid w:val="00791B8F"/>
    <w:rsid w:val="0079238E"/>
    <w:rsid w:val="007927DA"/>
    <w:rsid w:val="00792A89"/>
    <w:rsid w:val="0079308E"/>
    <w:rsid w:val="00793175"/>
    <w:rsid w:val="00793200"/>
    <w:rsid w:val="0079354E"/>
    <w:rsid w:val="007935DF"/>
    <w:rsid w:val="0079369E"/>
    <w:rsid w:val="00793886"/>
    <w:rsid w:val="00793A21"/>
    <w:rsid w:val="00793A53"/>
    <w:rsid w:val="00793BF5"/>
    <w:rsid w:val="00793FB0"/>
    <w:rsid w:val="0079429C"/>
    <w:rsid w:val="007946BE"/>
    <w:rsid w:val="00794894"/>
    <w:rsid w:val="007949A6"/>
    <w:rsid w:val="00794B7A"/>
    <w:rsid w:val="00794D50"/>
    <w:rsid w:val="00794DFE"/>
    <w:rsid w:val="00794F14"/>
    <w:rsid w:val="00795785"/>
    <w:rsid w:val="007957E6"/>
    <w:rsid w:val="00795A13"/>
    <w:rsid w:val="00795C19"/>
    <w:rsid w:val="00795FB1"/>
    <w:rsid w:val="00796B31"/>
    <w:rsid w:val="00796B4F"/>
    <w:rsid w:val="00797279"/>
    <w:rsid w:val="0079738D"/>
    <w:rsid w:val="007977CB"/>
    <w:rsid w:val="00797977"/>
    <w:rsid w:val="00797C30"/>
    <w:rsid w:val="00797C7C"/>
    <w:rsid w:val="00797CB2"/>
    <w:rsid w:val="00797D63"/>
    <w:rsid w:val="00797E65"/>
    <w:rsid w:val="00797F37"/>
    <w:rsid w:val="00797FE2"/>
    <w:rsid w:val="007A001A"/>
    <w:rsid w:val="007A049E"/>
    <w:rsid w:val="007A0714"/>
    <w:rsid w:val="007A0E07"/>
    <w:rsid w:val="007A10AB"/>
    <w:rsid w:val="007A14B5"/>
    <w:rsid w:val="007A1896"/>
    <w:rsid w:val="007A18CE"/>
    <w:rsid w:val="007A2037"/>
    <w:rsid w:val="007A217B"/>
    <w:rsid w:val="007A24F8"/>
    <w:rsid w:val="007A26C5"/>
    <w:rsid w:val="007A292C"/>
    <w:rsid w:val="007A29E4"/>
    <w:rsid w:val="007A2E44"/>
    <w:rsid w:val="007A3159"/>
    <w:rsid w:val="007A3F23"/>
    <w:rsid w:val="007A40F4"/>
    <w:rsid w:val="007A41BE"/>
    <w:rsid w:val="007A431A"/>
    <w:rsid w:val="007A45A1"/>
    <w:rsid w:val="007A4679"/>
    <w:rsid w:val="007A47D0"/>
    <w:rsid w:val="007A5018"/>
    <w:rsid w:val="007A592F"/>
    <w:rsid w:val="007A5A87"/>
    <w:rsid w:val="007A5BD9"/>
    <w:rsid w:val="007A5BE1"/>
    <w:rsid w:val="007A5EEE"/>
    <w:rsid w:val="007A683B"/>
    <w:rsid w:val="007A68F3"/>
    <w:rsid w:val="007A698B"/>
    <w:rsid w:val="007A6BCF"/>
    <w:rsid w:val="007A6C5D"/>
    <w:rsid w:val="007A6D6F"/>
    <w:rsid w:val="007A7A97"/>
    <w:rsid w:val="007A7B63"/>
    <w:rsid w:val="007A7CDC"/>
    <w:rsid w:val="007A7E4E"/>
    <w:rsid w:val="007B0010"/>
    <w:rsid w:val="007B076F"/>
    <w:rsid w:val="007B08B4"/>
    <w:rsid w:val="007B08F5"/>
    <w:rsid w:val="007B0A31"/>
    <w:rsid w:val="007B0A9B"/>
    <w:rsid w:val="007B0B58"/>
    <w:rsid w:val="007B0C02"/>
    <w:rsid w:val="007B0C64"/>
    <w:rsid w:val="007B0CFD"/>
    <w:rsid w:val="007B0DDB"/>
    <w:rsid w:val="007B1154"/>
    <w:rsid w:val="007B139E"/>
    <w:rsid w:val="007B1510"/>
    <w:rsid w:val="007B15D2"/>
    <w:rsid w:val="007B1966"/>
    <w:rsid w:val="007B1A6B"/>
    <w:rsid w:val="007B1AEA"/>
    <w:rsid w:val="007B213E"/>
    <w:rsid w:val="007B2362"/>
    <w:rsid w:val="007B2474"/>
    <w:rsid w:val="007B2596"/>
    <w:rsid w:val="007B287F"/>
    <w:rsid w:val="007B2893"/>
    <w:rsid w:val="007B2B8D"/>
    <w:rsid w:val="007B2BD4"/>
    <w:rsid w:val="007B30B4"/>
    <w:rsid w:val="007B30C5"/>
    <w:rsid w:val="007B32B8"/>
    <w:rsid w:val="007B350E"/>
    <w:rsid w:val="007B37CB"/>
    <w:rsid w:val="007B3B8E"/>
    <w:rsid w:val="007B3E56"/>
    <w:rsid w:val="007B402B"/>
    <w:rsid w:val="007B411F"/>
    <w:rsid w:val="007B437E"/>
    <w:rsid w:val="007B43D4"/>
    <w:rsid w:val="007B4897"/>
    <w:rsid w:val="007B49F9"/>
    <w:rsid w:val="007B4A06"/>
    <w:rsid w:val="007B4EBA"/>
    <w:rsid w:val="007B4F5F"/>
    <w:rsid w:val="007B4F7D"/>
    <w:rsid w:val="007B50F2"/>
    <w:rsid w:val="007B59BE"/>
    <w:rsid w:val="007B64CA"/>
    <w:rsid w:val="007B6705"/>
    <w:rsid w:val="007B6A0E"/>
    <w:rsid w:val="007B6BF0"/>
    <w:rsid w:val="007B6C63"/>
    <w:rsid w:val="007B6CA9"/>
    <w:rsid w:val="007B6D90"/>
    <w:rsid w:val="007B7369"/>
    <w:rsid w:val="007B7615"/>
    <w:rsid w:val="007B769F"/>
    <w:rsid w:val="007B7938"/>
    <w:rsid w:val="007B7B5C"/>
    <w:rsid w:val="007B7D31"/>
    <w:rsid w:val="007B7D54"/>
    <w:rsid w:val="007C0885"/>
    <w:rsid w:val="007C0CF3"/>
    <w:rsid w:val="007C0D23"/>
    <w:rsid w:val="007C0D6F"/>
    <w:rsid w:val="007C0E88"/>
    <w:rsid w:val="007C1240"/>
    <w:rsid w:val="007C17E6"/>
    <w:rsid w:val="007C18F2"/>
    <w:rsid w:val="007C1EC4"/>
    <w:rsid w:val="007C1F2E"/>
    <w:rsid w:val="007C2314"/>
    <w:rsid w:val="007C2427"/>
    <w:rsid w:val="007C2453"/>
    <w:rsid w:val="007C256A"/>
    <w:rsid w:val="007C298D"/>
    <w:rsid w:val="007C2C04"/>
    <w:rsid w:val="007C30B7"/>
    <w:rsid w:val="007C35AA"/>
    <w:rsid w:val="007C4029"/>
    <w:rsid w:val="007C4C74"/>
    <w:rsid w:val="007C4CE6"/>
    <w:rsid w:val="007C4F6C"/>
    <w:rsid w:val="007C513E"/>
    <w:rsid w:val="007C519E"/>
    <w:rsid w:val="007C528D"/>
    <w:rsid w:val="007C52F1"/>
    <w:rsid w:val="007C573D"/>
    <w:rsid w:val="007C582F"/>
    <w:rsid w:val="007C5A93"/>
    <w:rsid w:val="007C5C0F"/>
    <w:rsid w:val="007C5D90"/>
    <w:rsid w:val="007C5F39"/>
    <w:rsid w:val="007C60E6"/>
    <w:rsid w:val="007C6791"/>
    <w:rsid w:val="007C6E33"/>
    <w:rsid w:val="007C6F81"/>
    <w:rsid w:val="007C70E4"/>
    <w:rsid w:val="007C7125"/>
    <w:rsid w:val="007C7182"/>
    <w:rsid w:val="007C74F5"/>
    <w:rsid w:val="007C76AE"/>
    <w:rsid w:val="007D08A9"/>
    <w:rsid w:val="007D1835"/>
    <w:rsid w:val="007D18BA"/>
    <w:rsid w:val="007D1A03"/>
    <w:rsid w:val="007D1F2F"/>
    <w:rsid w:val="007D1FD7"/>
    <w:rsid w:val="007D2541"/>
    <w:rsid w:val="007D285B"/>
    <w:rsid w:val="007D28EF"/>
    <w:rsid w:val="007D2F3A"/>
    <w:rsid w:val="007D2FB3"/>
    <w:rsid w:val="007D2FC0"/>
    <w:rsid w:val="007D374D"/>
    <w:rsid w:val="007D37F9"/>
    <w:rsid w:val="007D3879"/>
    <w:rsid w:val="007D38B8"/>
    <w:rsid w:val="007D3B4C"/>
    <w:rsid w:val="007D3E2A"/>
    <w:rsid w:val="007D3F15"/>
    <w:rsid w:val="007D43DB"/>
    <w:rsid w:val="007D477C"/>
    <w:rsid w:val="007D48CC"/>
    <w:rsid w:val="007D4C33"/>
    <w:rsid w:val="007D4DD3"/>
    <w:rsid w:val="007D4F77"/>
    <w:rsid w:val="007D50AD"/>
    <w:rsid w:val="007D519A"/>
    <w:rsid w:val="007D57D5"/>
    <w:rsid w:val="007D5965"/>
    <w:rsid w:val="007D59C1"/>
    <w:rsid w:val="007D59FE"/>
    <w:rsid w:val="007D5F5B"/>
    <w:rsid w:val="007D616F"/>
    <w:rsid w:val="007D62C0"/>
    <w:rsid w:val="007D62DE"/>
    <w:rsid w:val="007D6341"/>
    <w:rsid w:val="007D6777"/>
    <w:rsid w:val="007D69BB"/>
    <w:rsid w:val="007D6B55"/>
    <w:rsid w:val="007D78A5"/>
    <w:rsid w:val="007D7941"/>
    <w:rsid w:val="007D7A46"/>
    <w:rsid w:val="007D7A7E"/>
    <w:rsid w:val="007D7CD9"/>
    <w:rsid w:val="007D7D61"/>
    <w:rsid w:val="007D7EDD"/>
    <w:rsid w:val="007D7FB8"/>
    <w:rsid w:val="007E0787"/>
    <w:rsid w:val="007E091D"/>
    <w:rsid w:val="007E0A08"/>
    <w:rsid w:val="007E0A44"/>
    <w:rsid w:val="007E0CF0"/>
    <w:rsid w:val="007E0EE1"/>
    <w:rsid w:val="007E0F56"/>
    <w:rsid w:val="007E1079"/>
    <w:rsid w:val="007E1462"/>
    <w:rsid w:val="007E1B80"/>
    <w:rsid w:val="007E1BB8"/>
    <w:rsid w:val="007E20B5"/>
    <w:rsid w:val="007E2117"/>
    <w:rsid w:val="007E22DF"/>
    <w:rsid w:val="007E23D0"/>
    <w:rsid w:val="007E2B09"/>
    <w:rsid w:val="007E2C76"/>
    <w:rsid w:val="007E2CDD"/>
    <w:rsid w:val="007E2D88"/>
    <w:rsid w:val="007E2E97"/>
    <w:rsid w:val="007E30B0"/>
    <w:rsid w:val="007E30F9"/>
    <w:rsid w:val="007E3234"/>
    <w:rsid w:val="007E361D"/>
    <w:rsid w:val="007E3B8D"/>
    <w:rsid w:val="007E4242"/>
    <w:rsid w:val="007E46F7"/>
    <w:rsid w:val="007E47CB"/>
    <w:rsid w:val="007E4C53"/>
    <w:rsid w:val="007E4FD5"/>
    <w:rsid w:val="007E572C"/>
    <w:rsid w:val="007E5D21"/>
    <w:rsid w:val="007E614D"/>
    <w:rsid w:val="007E6266"/>
    <w:rsid w:val="007E6636"/>
    <w:rsid w:val="007E681B"/>
    <w:rsid w:val="007E68A6"/>
    <w:rsid w:val="007E6931"/>
    <w:rsid w:val="007E6F8A"/>
    <w:rsid w:val="007E6FE8"/>
    <w:rsid w:val="007E72E0"/>
    <w:rsid w:val="007E73C6"/>
    <w:rsid w:val="007E7536"/>
    <w:rsid w:val="007E7B1A"/>
    <w:rsid w:val="007F0047"/>
    <w:rsid w:val="007F034A"/>
    <w:rsid w:val="007F0755"/>
    <w:rsid w:val="007F07F7"/>
    <w:rsid w:val="007F095D"/>
    <w:rsid w:val="007F0D05"/>
    <w:rsid w:val="007F0FC3"/>
    <w:rsid w:val="007F112F"/>
    <w:rsid w:val="007F1293"/>
    <w:rsid w:val="007F23C0"/>
    <w:rsid w:val="007F2488"/>
    <w:rsid w:val="007F25F6"/>
    <w:rsid w:val="007F26E6"/>
    <w:rsid w:val="007F2A96"/>
    <w:rsid w:val="007F2ACD"/>
    <w:rsid w:val="007F2B05"/>
    <w:rsid w:val="007F2C45"/>
    <w:rsid w:val="007F2F78"/>
    <w:rsid w:val="007F3024"/>
    <w:rsid w:val="007F3087"/>
    <w:rsid w:val="007F3542"/>
    <w:rsid w:val="007F35E0"/>
    <w:rsid w:val="007F3958"/>
    <w:rsid w:val="007F3A3A"/>
    <w:rsid w:val="007F3ED7"/>
    <w:rsid w:val="007F4105"/>
    <w:rsid w:val="007F4129"/>
    <w:rsid w:val="007F4633"/>
    <w:rsid w:val="007F490C"/>
    <w:rsid w:val="007F49D8"/>
    <w:rsid w:val="007F5223"/>
    <w:rsid w:val="007F5298"/>
    <w:rsid w:val="007F5436"/>
    <w:rsid w:val="007F558B"/>
    <w:rsid w:val="007F561C"/>
    <w:rsid w:val="007F5AFE"/>
    <w:rsid w:val="007F5E03"/>
    <w:rsid w:val="007F6243"/>
    <w:rsid w:val="007F654B"/>
    <w:rsid w:val="007F65ED"/>
    <w:rsid w:val="007F6865"/>
    <w:rsid w:val="007F6899"/>
    <w:rsid w:val="007F6B22"/>
    <w:rsid w:val="007F6C89"/>
    <w:rsid w:val="007F6E34"/>
    <w:rsid w:val="007F70FB"/>
    <w:rsid w:val="007F7135"/>
    <w:rsid w:val="007F71F7"/>
    <w:rsid w:val="007F72D5"/>
    <w:rsid w:val="007F73FB"/>
    <w:rsid w:val="007F750C"/>
    <w:rsid w:val="007F771E"/>
    <w:rsid w:val="007F7833"/>
    <w:rsid w:val="007F7846"/>
    <w:rsid w:val="007F7954"/>
    <w:rsid w:val="007F7C24"/>
    <w:rsid w:val="0080017D"/>
    <w:rsid w:val="00800A37"/>
    <w:rsid w:val="00800BD2"/>
    <w:rsid w:val="00800E22"/>
    <w:rsid w:val="00801018"/>
    <w:rsid w:val="0080139E"/>
    <w:rsid w:val="00801480"/>
    <w:rsid w:val="0080163D"/>
    <w:rsid w:val="00801707"/>
    <w:rsid w:val="00801AD2"/>
    <w:rsid w:val="00801B0D"/>
    <w:rsid w:val="00801D29"/>
    <w:rsid w:val="00802074"/>
    <w:rsid w:val="008023A3"/>
    <w:rsid w:val="00802839"/>
    <w:rsid w:val="00802ABF"/>
    <w:rsid w:val="008032EA"/>
    <w:rsid w:val="00803E27"/>
    <w:rsid w:val="00803F57"/>
    <w:rsid w:val="008040A7"/>
    <w:rsid w:val="00804160"/>
    <w:rsid w:val="008041E4"/>
    <w:rsid w:val="008044BE"/>
    <w:rsid w:val="00804536"/>
    <w:rsid w:val="00804547"/>
    <w:rsid w:val="00804634"/>
    <w:rsid w:val="008049C9"/>
    <w:rsid w:val="00805143"/>
    <w:rsid w:val="00805222"/>
    <w:rsid w:val="00805631"/>
    <w:rsid w:val="008059BC"/>
    <w:rsid w:val="008059D1"/>
    <w:rsid w:val="00805A20"/>
    <w:rsid w:val="00805FEA"/>
    <w:rsid w:val="008060AA"/>
    <w:rsid w:val="00806161"/>
    <w:rsid w:val="00806217"/>
    <w:rsid w:val="00806344"/>
    <w:rsid w:val="00806460"/>
    <w:rsid w:val="0080657F"/>
    <w:rsid w:val="00806611"/>
    <w:rsid w:val="0080669F"/>
    <w:rsid w:val="008067BB"/>
    <w:rsid w:val="00806AF3"/>
    <w:rsid w:val="00806B9F"/>
    <w:rsid w:val="00806D7C"/>
    <w:rsid w:val="00806E6C"/>
    <w:rsid w:val="00807458"/>
    <w:rsid w:val="0080A668"/>
    <w:rsid w:val="00810AA8"/>
    <w:rsid w:val="00810E15"/>
    <w:rsid w:val="00810ECF"/>
    <w:rsid w:val="00811173"/>
    <w:rsid w:val="00811174"/>
    <w:rsid w:val="008115AE"/>
    <w:rsid w:val="00811780"/>
    <w:rsid w:val="00811915"/>
    <w:rsid w:val="00811EFC"/>
    <w:rsid w:val="00812636"/>
    <w:rsid w:val="00812A01"/>
    <w:rsid w:val="00812CC1"/>
    <w:rsid w:val="00812E10"/>
    <w:rsid w:val="00813777"/>
    <w:rsid w:val="00813B15"/>
    <w:rsid w:val="00813D3B"/>
    <w:rsid w:val="00813D58"/>
    <w:rsid w:val="00814BDD"/>
    <w:rsid w:val="008153C2"/>
    <w:rsid w:val="00815A4B"/>
    <w:rsid w:val="00815F0A"/>
    <w:rsid w:val="00816032"/>
    <w:rsid w:val="008165BD"/>
    <w:rsid w:val="008166AC"/>
    <w:rsid w:val="0081677C"/>
    <w:rsid w:val="00816978"/>
    <w:rsid w:val="008169BB"/>
    <w:rsid w:val="00816DC8"/>
    <w:rsid w:val="00816EA8"/>
    <w:rsid w:val="00816FC6"/>
    <w:rsid w:val="008171ED"/>
    <w:rsid w:val="0081789C"/>
    <w:rsid w:val="00817923"/>
    <w:rsid w:val="00817B28"/>
    <w:rsid w:val="00817D6D"/>
    <w:rsid w:val="00817D96"/>
    <w:rsid w:val="0082014E"/>
    <w:rsid w:val="00820790"/>
    <w:rsid w:val="00820ADD"/>
    <w:rsid w:val="00820F84"/>
    <w:rsid w:val="00821436"/>
    <w:rsid w:val="0082166D"/>
    <w:rsid w:val="008217CE"/>
    <w:rsid w:val="00821A83"/>
    <w:rsid w:val="00821B2C"/>
    <w:rsid w:val="00821E82"/>
    <w:rsid w:val="00821E9A"/>
    <w:rsid w:val="008220BA"/>
    <w:rsid w:val="00822C61"/>
    <w:rsid w:val="00822DB3"/>
    <w:rsid w:val="0082328A"/>
    <w:rsid w:val="00823447"/>
    <w:rsid w:val="008234D6"/>
    <w:rsid w:val="00823564"/>
    <w:rsid w:val="00823740"/>
    <w:rsid w:val="008248D7"/>
    <w:rsid w:val="00824DFD"/>
    <w:rsid w:val="00824FFA"/>
    <w:rsid w:val="008250E9"/>
    <w:rsid w:val="0082524E"/>
    <w:rsid w:val="00825503"/>
    <w:rsid w:val="008259EE"/>
    <w:rsid w:val="00825F64"/>
    <w:rsid w:val="00826217"/>
    <w:rsid w:val="00826BF5"/>
    <w:rsid w:val="00826BF7"/>
    <w:rsid w:val="00826E4C"/>
    <w:rsid w:val="0082736B"/>
    <w:rsid w:val="0082768D"/>
    <w:rsid w:val="008279CF"/>
    <w:rsid w:val="00827A50"/>
    <w:rsid w:val="00827E83"/>
    <w:rsid w:val="00830135"/>
    <w:rsid w:val="00830454"/>
    <w:rsid w:val="008306BA"/>
    <w:rsid w:val="008306E0"/>
    <w:rsid w:val="0083083E"/>
    <w:rsid w:val="008309F6"/>
    <w:rsid w:val="008312FD"/>
    <w:rsid w:val="00831E54"/>
    <w:rsid w:val="00831EC6"/>
    <w:rsid w:val="00832137"/>
    <w:rsid w:val="0083221A"/>
    <w:rsid w:val="0083246D"/>
    <w:rsid w:val="00832615"/>
    <w:rsid w:val="00832877"/>
    <w:rsid w:val="00832DC8"/>
    <w:rsid w:val="00832EE8"/>
    <w:rsid w:val="00833195"/>
    <w:rsid w:val="00833687"/>
    <w:rsid w:val="00833C0B"/>
    <w:rsid w:val="00833C1B"/>
    <w:rsid w:val="00833DAA"/>
    <w:rsid w:val="00833F7C"/>
    <w:rsid w:val="008340DD"/>
    <w:rsid w:val="00834208"/>
    <w:rsid w:val="008345E3"/>
    <w:rsid w:val="008345F3"/>
    <w:rsid w:val="008346DA"/>
    <w:rsid w:val="0083475B"/>
    <w:rsid w:val="008349E4"/>
    <w:rsid w:val="00834CE8"/>
    <w:rsid w:val="00834DBA"/>
    <w:rsid w:val="00834DF4"/>
    <w:rsid w:val="008351BE"/>
    <w:rsid w:val="00835210"/>
    <w:rsid w:val="008358EB"/>
    <w:rsid w:val="00835EE7"/>
    <w:rsid w:val="0083611B"/>
    <w:rsid w:val="00836668"/>
    <w:rsid w:val="00836788"/>
    <w:rsid w:val="00836B80"/>
    <w:rsid w:val="00836D64"/>
    <w:rsid w:val="00836E11"/>
    <w:rsid w:val="00837108"/>
    <w:rsid w:val="008371AC"/>
    <w:rsid w:val="00837587"/>
    <w:rsid w:val="00837816"/>
    <w:rsid w:val="00837C6D"/>
    <w:rsid w:val="00837D8A"/>
    <w:rsid w:val="00840187"/>
    <w:rsid w:val="008401FC"/>
    <w:rsid w:val="008405CE"/>
    <w:rsid w:val="00840820"/>
    <w:rsid w:val="00840E67"/>
    <w:rsid w:val="00841413"/>
    <w:rsid w:val="00841684"/>
    <w:rsid w:val="00841A7E"/>
    <w:rsid w:val="00841AE9"/>
    <w:rsid w:val="00841BE9"/>
    <w:rsid w:val="00841EF9"/>
    <w:rsid w:val="00842173"/>
    <w:rsid w:val="00842175"/>
    <w:rsid w:val="008424CB"/>
    <w:rsid w:val="00842635"/>
    <w:rsid w:val="0084273C"/>
    <w:rsid w:val="00842838"/>
    <w:rsid w:val="00842955"/>
    <w:rsid w:val="00843288"/>
    <w:rsid w:val="0084344B"/>
    <w:rsid w:val="008436DC"/>
    <w:rsid w:val="00843925"/>
    <w:rsid w:val="00843A4C"/>
    <w:rsid w:val="00843AF1"/>
    <w:rsid w:val="0084435F"/>
    <w:rsid w:val="00844371"/>
    <w:rsid w:val="00844494"/>
    <w:rsid w:val="0084464F"/>
    <w:rsid w:val="008449E3"/>
    <w:rsid w:val="00844C86"/>
    <w:rsid w:val="00844CD9"/>
    <w:rsid w:val="00845438"/>
    <w:rsid w:val="00845689"/>
    <w:rsid w:val="008459BC"/>
    <w:rsid w:val="00845F21"/>
    <w:rsid w:val="00846051"/>
    <w:rsid w:val="008460B4"/>
    <w:rsid w:val="00846206"/>
    <w:rsid w:val="0084638A"/>
    <w:rsid w:val="0084669B"/>
    <w:rsid w:val="00846A6E"/>
    <w:rsid w:val="00846C6A"/>
    <w:rsid w:val="00846FBA"/>
    <w:rsid w:val="00846FE9"/>
    <w:rsid w:val="00847192"/>
    <w:rsid w:val="008475F6"/>
    <w:rsid w:val="00847697"/>
    <w:rsid w:val="008479D0"/>
    <w:rsid w:val="00847AF7"/>
    <w:rsid w:val="00850303"/>
    <w:rsid w:val="008503B8"/>
    <w:rsid w:val="00850786"/>
    <w:rsid w:val="008507E6"/>
    <w:rsid w:val="0085092C"/>
    <w:rsid w:val="0085098B"/>
    <w:rsid w:val="00850C2E"/>
    <w:rsid w:val="00850D13"/>
    <w:rsid w:val="00850E58"/>
    <w:rsid w:val="00851110"/>
    <w:rsid w:val="008516EB"/>
    <w:rsid w:val="008516FC"/>
    <w:rsid w:val="008519E5"/>
    <w:rsid w:val="008519F9"/>
    <w:rsid w:val="00851A00"/>
    <w:rsid w:val="00851A93"/>
    <w:rsid w:val="00851C83"/>
    <w:rsid w:val="00852069"/>
    <w:rsid w:val="008521BB"/>
    <w:rsid w:val="008522DF"/>
    <w:rsid w:val="008523BD"/>
    <w:rsid w:val="008527CC"/>
    <w:rsid w:val="00852D75"/>
    <w:rsid w:val="008530D3"/>
    <w:rsid w:val="0085333A"/>
    <w:rsid w:val="00853481"/>
    <w:rsid w:val="008538A1"/>
    <w:rsid w:val="00853C50"/>
    <w:rsid w:val="00853D58"/>
    <w:rsid w:val="008545CB"/>
    <w:rsid w:val="00854712"/>
    <w:rsid w:val="00854D33"/>
    <w:rsid w:val="00854EB7"/>
    <w:rsid w:val="00854ECC"/>
    <w:rsid w:val="0085537F"/>
    <w:rsid w:val="008554DD"/>
    <w:rsid w:val="00855606"/>
    <w:rsid w:val="008557E6"/>
    <w:rsid w:val="00855C49"/>
    <w:rsid w:val="00855CC8"/>
    <w:rsid w:val="008562E5"/>
    <w:rsid w:val="00856423"/>
    <w:rsid w:val="008568CA"/>
    <w:rsid w:val="00856D91"/>
    <w:rsid w:val="00856EEC"/>
    <w:rsid w:val="008575CC"/>
    <w:rsid w:val="00857BDD"/>
    <w:rsid w:val="00857C75"/>
    <w:rsid w:val="008600C6"/>
    <w:rsid w:val="008603F6"/>
    <w:rsid w:val="008606FE"/>
    <w:rsid w:val="00860BBF"/>
    <w:rsid w:val="00860E55"/>
    <w:rsid w:val="00860E61"/>
    <w:rsid w:val="0086104C"/>
    <w:rsid w:val="0086151C"/>
    <w:rsid w:val="00861CE0"/>
    <w:rsid w:val="00861E2E"/>
    <w:rsid w:val="00861EB6"/>
    <w:rsid w:val="00861F3A"/>
    <w:rsid w:val="00862751"/>
    <w:rsid w:val="0086284C"/>
    <w:rsid w:val="00862C8C"/>
    <w:rsid w:val="00862DB2"/>
    <w:rsid w:val="00862F42"/>
    <w:rsid w:val="00863559"/>
    <w:rsid w:val="008638B3"/>
    <w:rsid w:val="00863C15"/>
    <w:rsid w:val="00863D0B"/>
    <w:rsid w:val="00863D94"/>
    <w:rsid w:val="00863ECD"/>
    <w:rsid w:val="00864128"/>
    <w:rsid w:val="00864511"/>
    <w:rsid w:val="00864764"/>
    <w:rsid w:val="00864826"/>
    <w:rsid w:val="0086492B"/>
    <w:rsid w:val="00864960"/>
    <w:rsid w:val="00864E62"/>
    <w:rsid w:val="00864EA0"/>
    <w:rsid w:val="00865163"/>
    <w:rsid w:val="00865217"/>
    <w:rsid w:val="0086539F"/>
    <w:rsid w:val="008653AE"/>
    <w:rsid w:val="008654AD"/>
    <w:rsid w:val="008658FA"/>
    <w:rsid w:val="00865AAE"/>
    <w:rsid w:val="00865F42"/>
    <w:rsid w:val="008663BD"/>
    <w:rsid w:val="0086643E"/>
    <w:rsid w:val="00866756"/>
    <w:rsid w:val="008669AE"/>
    <w:rsid w:val="00866AAE"/>
    <w:rsid w:val="00866AB4"/>
    <w:rsid w:val="0086717F"/>
    <w:rsid w:val="00867253"/>
    <w:rsid w:val="0086742C"/>
    <w:rsid w:val="00867463"/>
    <w:rsid w:val="008675A4"/>
    <w:rsid w:val="008676F8"/>
    <w:rsid w:val="0086774A"/>
    <w:rsid w:val="008677DE"/>
    <w:rsid w:val="008678C9"/>
    <w:rsid w:val="00867B0E"/>
    <w:rsid w:val="00867BDD"/>
    <w:rsid w:val="00867D00"/>
    <w:rsid w:val="00867D7A"/>
    <w:rsid w:val="00867DDF"/>
    <w:rsid w:val="00867E13"/>
    <w:rsid w:val="0087010F"/>
    <w:rsid w:val="0087025E"/>
    <w:rsid w:val="00870BA5"/>
    <w:rsid w:val="008716BB"/>
    <w:rsid w:val="008719C7"/>
    <w:rsid w:val="00871D2D"/>
    <w:rsid w:val="00872151"/>
    <w:rsid w:val="0087218D"/>
    <w:rsid w:val="00872289"/>
    <w:rsid w:val="008722B9"/>
    <w:rsid w:val="008726C2"/>
    <w:rsid w:val="0087374B"/>
    <w:rsid w:val="00873C22"/>
    <w:rsid w:val="00873D8C"/>
    <w:rsid w:val="00873DA3"/>
    <w:rsid w:val="00873E18"/>
    <w:rsid w:val="00874119"/>
    <w:rsid w:val="0087433F"/>
    <w:rsid w:val="0087448B"/>
    <w:rsid w:val="00874715"/>
    <w:rsid w:val="00874D19"/>
    <w:rsid w:val="00874E91"/>
    <w:rsid w:val="008754AB"/>
    <w:rsid w:val="008759BD"/>
    <w:rsid w:val="00875E18"/>
    <w:rsid w:val="00875E19"/>
    <w:rsid w:val="00875F5C"/>
    <w:rsid w:val="0087625D"/>
    <w:rsid w:val="00876788"/>
    <w:rsid w:val="0087698E"/>
    <w:rsid w:val="00876AE3"/>
    <w:rsid w:val="00877036"/>
    <w:rsid w:val="008772B5"/>
    <w:rsid w:val="00877B54"/>
    <w:rsid w:val="00877DC3"/>
    <w:rsid w:val="00877E9B"/>
    <w:rsid w:val="00877EFE"/>
    <w:rsid w:val="00880462"/>
    <w:rsid w:val="008809A7"/>
    <w:rsid w:val="008809F9"/>
    <w:rsid w:val="00880A7E"/>
    <w:rsid w:val="008814A7"/>
    <w:rsid w:val="00881699"/>
    <w:rsid w:val="008816B7"/>
    <w:rsid w:val="008817BC"/>
    <w:rsid w:val="0088199A"/>
    <w:rsid w:val="008826F3"/>
    <w:rsid w:val="00882A33"/>
    <w:rsid w:val="00882ADC"/>
    <w:rsid w:val="00882D53"/>
    <w:rsid w:val="00882D6E"/>
    <w:rsid w:val="008833BF"/>
    <w:rsid w:val="00883A5D"/>
    <w:rsid w:val="00883AFA"/>
    <w:rsid w:val="00883BCC"/>
    <w:rsid w:val="00883CD7"/>
    <w:rsid w:val="00884347"/>
    <w:rsid w:val="008843DB"/>
    <w:rsid w:val="00884674"/>
    <w:rsid w:val="00884692"/>
    <w:rsid w:val="008846AD"/>
    <w:rsid w:val="00884771"/>
    <w:rsid w:val="00884796"/>
    <w:rsid w:val="008847B5"/>
    <w:rsid w:val="00884AF9"/>
    <w:rsid w:val="00884B0F"/>
    <w:rsid w:val="00884BD9"/>
    <w:rsid w:val="00884DE7"/>
    <w:rsid w:val="008851CB"/>
    <w:rsid w:val="008855B0"/>
    <w:rsid w:val="0088564D"/>
    <w:rsid w:val="0088568C"/>
    <w:rsid w:val="00885A7C"/>
    <w:rsid w:val="00885CCB"/>
    <w:rsid w:val="0088643C"/>
    <w:rsid w:val="00886737"/>
    <w:rsid w:val="0088676D"/>
    <w:rsid w:val="00886C60"/>
    <w:rsid w:val="00886D2F"/>
    <w:rsid w:val="00886DEC"/>
    <w:rsid w:val="00886E51"/>
    <w:rsid w:val="008874C5"/>
    <w:rsid w:val="00887532"/>
    <w:rsid w:val="008876F8"/>
    <w:rsid w:val="00887BB9"/>
    <w:rsid w:val="00887E26"/>
    <w:rsid w:val="00887F97"/>
    <w:rsid w:val="008900CB"/>
    <w:rsid w:val="00890299"/>
    <w:rsid w:val="00890BB1"/>
    <w:rsid w:val="00890C0C"/>
    <w:rsid w:val="00890C2B"/>
    <w:rsid w:val="00890C7F"/>
    <w:rsid w:val="00890D75"/>
    <w:rsid w:val="00890E42"/>
    <w:rsid w:val="00890F41"/>
    <w:rsid w:val="00891383"/>
    <w:rsid w:val="00891514"/>
    <w:rsid w:val="008915F9"/>
    <w:rsid w:val="00891768"/>
    <w:rsid w:val="00891FD6"/>
    <w:rsid w:val="00891FEF"/>
    <w:rsid w:val="0089216F"/>
    <w:rsid w:val="0089245C"/>
    <w:rsid w:val="008924DE"/>
    <w:rsid w:val="0089259F"/>
    <w:rsid w:val="0089276F"/>
    <w:rsid w:val="0089339A"/>
    <w:rsid w:val="00893758"/>
    <w:rsid w:val="00893E8B"/>
    <w:rsid w:val="00894306"/>
    <w:rsid w:val="0089440E"/>
    <w:rsid w:val="008944B1"/>
    <w:rsid w:val="00894910"/>
    <w:rsid w:val="0089493D"/>
    <w:rsid w:val="00894B8D"/>
    <w:rsid w:val="00894FE6"/>
    <w:rsid w:val="00895019"/>
    <w:rsid w:val="0089515D"/>
    <w:rsid w:val="008952FF"/>
    <w:rsid w:val="00895E4F"/>
    <w:rsid w:val="00896242"/>
    <w:rsid w:val="00896258"/>
    <w:rsid w:val="00896352"/>
    <w:rsid w:val="008963A2"/>
    <w:rsid w:val="008967E8"/>
    <w:rsid w:val="00896E6D"/>
    <w:rsid w:val="008973C5"/>
    <w:rsid w:val="00897632"/>
    <w:rsid w:val="00897725"/>
    <w:rsid w:val="00897918"/>
    <w:rsid w:val="008A01B8"/>
    <w:rsid w:val="008A0228"/>
    <w:rsid w:val="008A06CC"/>
    <w:rsid w:val="008A0996"/>
    <w:rsid w:val="008A0C3B"/>
    <w:rsid w:val="008A0E68"/>
    <w:rsid w:val="008A1237"/>
    <w:rsid w:val="008A1532"/>
    <w:rsid w:val="008A2276"/>
    <w:rsid w:val="008A2D72"/>
    <w:rsid w:val="008A2DEE"/>
    <w:rsid w:val="008A32F5"/>
    <w:rsid w:val="008A3882"/>
    <w:rsid w:val="008A3B29"/>
    <w:rsid w:val="008A3E3C"/>
    <w:rsid w:val="008A3E5F"/>
    <w:rsid w:val="008A3FD8"/>
    <w:rsid w:val="008A401D"/>
    <w:rsid w:val="008A418B"/>
    <w:rsid w:val="008A4327"/>
    <w:rsid w:val="008A4411"/>
    <w:rsid w:val="008A4689"/>
    <w:rsid w:val="008A4977"/>
    <w:rsid w:val="008A4D00"/>
    <w:rsid w:val="008A4EE3"/>
    <w:rsid w:val="008A53B2"/>
    <w:rsid w:val="008A55D5"/>
    <w:rsid w:val="008A5BC7"/>
    <w:rsid w:val="008A6270"/>
    <w:rsid w:val="008A63FF"/>
    <w:rsid w:val="008A657F"/>
    <w:rsid w:val="008A68A8"/>
    <w:rsid w:val="008A696C"/>
    <w:rsid w:val="008A6BDA"/>
    <w:rsid w:val="008A6C7A"/>
    <w:rsid w:val="008A6DA5"/>
    <w:rsid w:val="008A70B5"/>
    <w:rsid w:val="008A7114"/>
    <w:rsid w:val="008A722E"/>
    <w:rsid w:val="008A7470"/>
    <w:rsid w:val="008A7518"/>
    <w:rsid w:val="008A7F14"/>
    <w:rsid w:val="008A7FE5"/>
    <w:rsid w:val="008A7FF4"/>
    <w:rsid w:val="008B02E8"/>
    <w:rsid w:val="008B0314"/>
    <w:rsid w:val="008B036E"/>
    <w:rsid w:val="008B039E"/>
    <w:rsid w:val="008B0771"/>
    <w:rsid w:val="008B098F"/>
    <w:rsid w:val="008B0B80"/>
    <w:rsid w:val="008B1389"/>
    <w:rsid w:val="008B1B44"/>
    <w:rsid w:val="008B1D5C"/>
    <w:rsid w:val="008B1E38"/>
    <w:rsid w:val="008B1FB7"/>
    <w:rsid w:val="008B2985"/>
    <w:rsid w:val="008B2C0C"/>
    <w:rsid w:val="008B3389"/>
    <w:rsid w:val="008B33F2"/>
    <w:rsid w:val="008B354F"/>
    <w:rsid w:val="008B372F"/>
    <w:rsid w:val="008B37D7"/>
    <w:rsid w:val="008B3B68"/>
    <w:rsid w:val="008B3DDD"/>
    <w:rsid w:val="008B3F22"/>
    <w:rsid w:val="008B3F70"/>
    <w:rsid w:val="008B405E"/>
    <w:rsid w:val="008B409C"/>
    <w:rsid w:val="008B4143"/>
    <w:rsid w:val="008B4AFE"/>
    <w:rsid w:val="008B4C1E"/>
    <w:rsid w:val="008B4FB7"/>
    <w:rsid w:val="008B52FD"/>
    <w:rsid w:val="008B58EA"/>
    <w:rsid w:val="008B5D05"/>
    <w:rsid w:val="008B5D16"/>
    <w:rsid w:val="008B5F93"/>
    <w:rsid w:val="008B6225"/>
    <w:rsid w:val="008B672B"/>
    <w:rsid w:val="008B6734"/>
    <w:rsid w:val="008B686C"/>
    <w:rsid w:val="008B6C1A"/>
    <w:rsid w:val="008B6C3C"/>
    <w:rsid w:val="008B6F4E"/>
    <w:rsid w:val="008B701B"/>
    <w:rsid w:val="008B713A"/>
    <w:rsid w:val="008B73AE"/>
    <w:rsid w:val="008B77FF"/>
    <w:rsid w:val="008B7910"/>
    <w:rsid w:val="008B7CBC"/>
    <w:rsid w:val="008B7FB9"/>
    <w:rsid w:val="008B7FCE"/>
    <w:rsid w:val="008C0010"/>
    <w:rsid w:val="008C00DF"/>
    <w:rsid w:val="008C0170"/>
    <w:rsid w:val="008C035C"/>
    <w:rsid w:val="008C08E8"/>
    <w:rsid w:val="008C0DA2"/>
    <w:rsid w:val="008C0EA8"/>
    <w:rsid w:val="008C0F1B"/>
    <w:rsid w:val="008C100B"/>
    <w:rsid w:val="008C1558"/>
    <w:rsid w:val="008C158B"/>
    <w:rsid w:val="008C1945"/>
    <w:rsid w:val="008C1D88"/>
    <w:rsid w:val="008C211F"/>
    <w:rsid w:val="008C2282"/>
    <w:rsid w:val="008C22E7"/>
    <w:rsid w:val="008C2363"/>
    <w:rsid w:val="008C269E"/>
    <w:rsid w:val="008C2706"/>
    <w:rsid w:val="008C2BD1"/>
    <w:rsid w:val="008C2EB8"/>
    <w:rsid w:val="008C37FB"/>
    <w:rsid w:val="008C38CC"/>
    <w:rsid w:val="008C3B99"/>
    <w:rsid w:val="008C3D36"/>
    <w:rsid w:val="008C3E4A"/>
    <w:rsid w:val="008C4285"/>
    <w:rsid w:val="008C442D"/>
    <w:rsid w:val="008C4B51"/>
    <w:rsid w:val="008C4BCF"/>
    <w:rsid w:val="008C5017"/>
    <w:rsid w:val="008C5245"/>
    <w:rsid w:val="008C545C"/>
    <w:rsid w:val="008C5EAA"/>
    <w:rsid w:val="008C619F"/>
    <w:rsid w:val="008C61FD"/>
    <w:rsid w:val="008C6380"/>
    <w:rsid w:val="008C69DE"/>
    <w:rsid w:val="008C6A6B"/>
    <w:rsid w:val="008C6A9A"/>
    <w:rsid w:val="008C6C04"/>
    <w:rsid w:val="008C6EC9"/>
    <w:rsid w:val="008C6F1E"/>
    <w:rsid w:val="008C7606"/>
    <w:rsid w:val="008C79F6"/>
    <w:rsid w:val="008C7E45"/>
    <w:rsid w:val="008C7F1A"/>
    <w:rsid w:val="008D03A3"/>
    <w:rsid w:val="008D0827"/>
    <w:rsid w:val="008D0C8B"/>
    <w:rsid w:val="008D0E39"/>
    <w:rsid w:val="008D1003"/>
    <w:rsid w:val="008D140E"/>
    <w:rsid w:val="008D1507"/>
    <w:rsid w:val="008D166C"/>
    <w:rsid w:val="008D2A74"/>
    <w:rsid w:val="008D2F81"/>
    <w:rsid w:val="008D3257"/>
    <w:rsid w:val="008D3308"/>
    <w:rsid w:val="008D34CB"/>
    <w:rsid w:val="008D3656"/>
    <w:rsid w:val="008D3710"/>
    <w:rsid w:val="008D3B6A"/>
    <w:rsid w:val="008D3C41"/>
    <w:rsid w:val="008D3D4A"/>
    <w:rsid w:val="008D3E0A"/>
    <w:rsid w:val="008D3EC5"/>
    <w:rsid w:val="008D3FA1"/>
    <w:rsid w:val="008D3FB3"/>
    <w:rsid w:val="008D4240"/>
    <w:rsid w:val="008D46EC"/>
    <w:rsid w:val="008D49B0"/>
    <w:rsid w:val="008D4B1B"/>
    <w:rsid w:val="008D4C36"/>
    <w:rsid w:val="008D4CC7"/>
    <w:rsid w:val="008D52AA"/>
    <w:rsid w:val="008D52C1"/>
    <w:rsid w:val="008D52D3"/>
    <w:rsid w:val="008D54E3"/>
    <w:rsid w:val="008D5708"/>
    <w:rsid w:val="008D580B"/>
    <w:rsid w:val="008D5C78"/>
    <w:rsid w:val="008D6475"/>
    <w:rsid w:val="008D67C3"/>
    <w:rsid w:val="008D6FB7"/>
    <w:rsid w:val="008D7C50"/>
    <w:rsid w:val="008D7FC3"/>
    <w:rsid w:val="008E0023"/>
    <w:rsid w:val="008E0171"/>
    <w:rsid w:val="008E01F6"/>
    <w:rsid w:val="008E03E8"/>
    <w:rsid w:val="008E041B"/>
    <w:rsid w:val="008E0454"/>
    <w:rsid w:val="008E0669"/>
    <w:rsid w:val="008E075E"/>
    <w:rsid w:val="008E0871"/>
    <w:rsid w:val="008E0B2A"/>
    <w:rsid w:val="008E0DC1"/>
    <w:rsid w:val="008E144D"/>
    <w:rsid w:val="008E184C"/>
    <w:rsid w:val="008E1916"/>
    <w:rsid w:val="008E1E8D"/>
    <w:rsid w:val="008E2049"/>
    <w:rsid w:val="008E22D6"/>
    <w:rsid w:val="008E23BE"/>
    <w:rsid w:val="008E24D7"/>
    <w:rsid w:val="008E26C1"/>
    <w:rsid w:val="008E2B69"/>
    <w:rsid w:val="008E2D07"/>
    <w:rsid w:val="008E2D10"/>
    <w:rsid w:val="008E2DB3"/>
    <w:rsid w:val="008E3305"/>
    <w:rsid w:val="008E3721"/>
    <w:rsid w:val="008E410A"/>
    <w:rsid w:val="008E43BE"/>
    <w:rsid w:val="008E4791"/>
    <w:rsid w:val="008E4C4E"/>
    <w:rsid w:val="008E4ECF"/>
    <w:rsid w:val="008E4FB4"/>
    <w:rsid w:val="008E5146"/>
    <w:rsid w:val="008E579A"/>
    <w:rsid w:val="008E5808"/>
    <w:rsid w:val="008E5C3E"/>
    <w:rsid w:val="008E6443"/>
    <w:rsid w:val="008E6570"/>
    <w:rsid w:val="008E6677"/>
    <w:rsid w:val="008E6CA8"/>
    <w:rsid w:val="008E6CF0"/>
    <w:rsid w:val="008E6E2F"/>
    <w:rsid w:val="008E6EBB"/>
    <w:rsid w:val="008E6F99"/>
    <w:rsid w:val="008E7164"/>
    <w:rsid w:val="008E7201"/>
    <w:rsid w:val="008E728A"/>
    <w:rsid w:val="008E7B0D"/>
    <w:rsid w:val="008E7BBB"/>
    <w:rsid w:val="008E7DC3"/>
    <w:rsid w:val="008E7EE3"/>
    <w:rsid w:val="008F011B"/>
    <w:rsid w:val="008F0150"/>
    <w:rsid w:val="008F0473"/>
    <w:rsid w:val="008F04A2"/>
    <w:rsid w:val="008F0582"/>
    <w:rsid w:val="008F05D4"/>
    <w:rsid w:val="008F0781"/>
    <w:rsid w:val="008F0794"/>
    <w:rsid w:val="008F0BBE"/>
    <w:rsid w:val="008F0F7B"/>
    <w:rsid w:val="008F191F"/>
    <w:rsid w:val="008F1B6C"/>
    <w:rsid w:val="008F1F6A"/>
    <w:rsid w:val="008F25F0"/>
    <w:rsid w:val="008F2633"/>
    <w:rsid w:val="008F2861"/>
    <w:rsid w:val="008F28A7"/>
    <w:rsid w:val="008F321E"/>
    <w:rsid w:val="008F37DC"/>
    <w:rsid w:val="008F3878"/>
    <w:rsid w:val="008F3C24"/>
    <w:rsid w:val="008F3EDC"/>
    <w:rsid w:val="008F3F5B"/>
    <w:rsid w:val="008F3F64"/>
    <w:rsid w:val="008F3FD3"/>
    <w:rsid w:val="008F414F"/>
    <w:rsid w:val="008F43BE"/>
    <w:rsid w:val="008F4682"/>
    <w:rsid w:val="008F47B6"/>
    <w:rsid w:val="008F482C"/>
    <w:rsid w:val="008F48AA"/>
    <w:rsid w:val="008F48E2"/>
    <w:rsid w:val="008F4B48"/>
    <w:rsid w:val="008F4CBB"/>
    <w:rsid w:val="008F4F26"/>
    <w:rsid w:val="008F4F41"/>
    <w:rsid w:val="008F6120"/>
    <w:rsid w:val="008F61E1"/>
    <w:rsid w:val="008F6621"/>
    <w:rsid w:val="008F6C1D"/>
    <w:rsid w:val="008F6D5F"/>
    <w:rsid w:val="008F6E08"/>
    <w:rsid w:val="008F6F5F"/>
    <w:rsid w:val="008F7060"/>
    <w:rsid w:val="008F71D9"/>
    <w:rsid w:val="008F742F"/>
    <w:rsid w:val="008F7BDA"/>
    <w:rsid w:val="008F7F39"/>
    <w:rsid w:val="008F7FB9"/>
    <w:rsid w:val="0090004D"/>
    <w:rsid w:val="0090006F"/>
    <w:rsid w:val="009001EB"/>
    <w:rsid w:val="00900BF1"/>
    <w:rsid w:val="00901076"/>
    <w:rsid w:val="00901246"/>
    <w:rsid w:val="009013F2"/>
    <w:rsid w:val="00901B06"/>
    <w:rsid w:val="00901BD4"/>
    <w:rsid w:val="00901D97"/>
    <w:rsid w:val="0090207A"/>
    <w:rsid w:val="009021C8"/>
    <w:rsid w:val="00902663"/>
    <w:rsid w:val="00902BA5"/>
    <w:rsid w:val="00902DDC"/>
    <w:rsid w:val="0090310E"/>
    <w:rsid w:val="00903145"/>
    <w:rsid w:val="0090331A"/>
    <w:rsid w:val="0090344C"/>
    <w:rsid w:val="009035F0"/>
    <w:rsid w:val="0090376A"/>
    <w:rsid w:val="00903941"/>
    <w:rsid w:val="00903DC7"/>
    <w:rsid w:val="00904346"/>
    <w:rsid w:val="009043BF"/>
    <w:rsid w:val="0090453B"/>
    <w:rsid w:val="00904C09"/>
    <w:rsid w:val="00904C0F"/>
    <w:rsid w:val="00904FF1"/>
    <w:rsid w:val="00905071"/>
    <w:rsid w:val="00905143"/>
    <w:rsid w:val="0090533F"/>
    <w:rsid w:val="00905532"/>
    <w:rsid w:val="009055DB"/>
    <w:rsid w:val="00905743"/>
    <w:rsid w:val="00905A6E"/>
    <w:rsid w:val="00905C42"/>
    <w:rsid w:val="00905E66"/>
    <w:rsid w:val="009062C5"/>
    <w:rsid w:val="009064E5"/>
    <w:rsid w:val="00906592"/>
    <w:rsid w:val="00906DAF"/>
    <w:rsid w:val="00906FAD"/>
    <w:rsid w:val="00907027"/>
    <w:rsid w:val="0090719C"/>
    <w:rsid w:val="00907511"/>
    <w:rsid w:val="00907796"/>
    <w:rsid w:val="00910007"/>
    <w:rsid w:val="00910114"/>
    <w:rsid w:val="009106FC"/>
    <w:rsid w:val="00910822"/>
    <w:rsid w:val="0091099D"/>
    <w:rsid w:val="00910A38"/>
    <w:rsid w:val="00910CC3"/>
    <w:rsid w:val="00910DA0"/>
    <w:rsid w:val="00911273"/>
    <w:rsid w:val="00911485"/>
    <w:rsid w:val="00911590"/>
    <w:rsid w:val="009117DD"/>
    <w:rsid w:val="00911899"/>
    <w:rsid w:val="00911B6D"/>
    <w:rsid w:val="00911C05"/>
    <w:rsid w:val="00911CAA"/>
    <w:rsid w:val="00911D55"/>
    <w:rsid w:val="0091237A"/>
    <w:rsid w:val="009123FF"/>
    <w:rsid w:val="0091275C"/>
    <w:rsid w:val="00912CCB"/>
    <w:rsid w:val="00912D52"/>
    <w:rsid w:val="00912E1F"/>
    <w:rsid w:val="00912FB7"/>
    <w:rsid w:val="009135E9"/>
    <w:rsid w:val="009137F7"/>
    <w:rsid w:val="00914EBB"/>
    <w:rsid w:val="00915238"/>
    <w:rsid w:val="00915503"/>
    <w:rsid w:val="00915D7D"/>
    <w:rsid w:val="00915E3F"/>
    <w:rsid w:val="00916676"/>
    <w:rsid w:val="0091692D"/>
    <w:rsid w:val="009170E6"/>
    <w:rsid w:val="00917202"/>
    <w:rsid w:val="009176D0"/>
    <w:rsid w:val="009178EA"/>
    <w:rsid w:val="00917958"/>
    <w:rsid w:val="00917B98"/>
    <w:rsid w:val="00917F83"/>
    <w:rsid w:val="00920085"/>
    <w:rsid w:val="0092024F"/>
    <w:rsid w:val="0092057A"/>
    <w:rsid w:val="009206B2"/>
    <w:rsid w:val="00920937"/>
    <w:rsid w:val="00920958"/>
    <w:rsid w:val="00920A86"/>
    <w:rsid w:val="00920CB9"/>
    <w:rsid w:val="00920E26"/>
    <w:rsid w:val="00920EC9"/>
    <w:rsid w:val="00921222"/>
    <w:rsid w:val="00921343"/>
    <w:rsid w:val="0092169E"/>
    <w:rsid w:val="00922061"/>
    <w:rsid w:val="00922199"/>
    <w:rsid w:val="00922293"/>
    <w:rsid w:val="0092259A"/>
    <w:rsid w:val="009225ED"/>
    <w:rsid w:val="0092263D"/>
    <w:rsid w:val="0092296A"/>
    <w:rsid w:val="00922ADF"/>
    <w:rsid w:val="00922D8B"/>
    <w:rsid w:val="00922F85"/>
    <w:rsid w:val="00922F87"/>
    <w:rsid w:val="0092326E"/>
    <w:rsid w:val="009236E3"/>
    <w:rsid w:val="00923B3E"/>
    <w:rsid w:val="00923C8F"/>
    <w:rsid w:val="0092410E"/>
    <w:rsid w:val="00924136"/>
    <w:rsid w:val="00924175"/>
    <w:rsid w:val="009242D0"/>
    <w:rsid w:val="009242FA"/>
    <w:rsid w:val="00924810"/>
    <w:rsid w:val="009248ED"/>
    <w:rsid w:val="00924A40"/>
    <w:rsid w:val="00924CB1"/>
    <w:rsid w:val="00924FE2"/>
    <w:rsid w:val="00925592"/>
    <w:rsid w:val="009259CF"/>
    <w:rsid w:val="00925AF0"/>
    <w:rsid w:val="00925B99"/>
    <w:rsid w:val="00925C4E"/>
    <w:rsid w:val="00925C5A"/>
    <w:rsid w:val="00926017"/>
    <w:rsid w:val="0092630E"/>
    <w:rsid w:val="009267E2"/>
    <w:rsid w:val="00926992"/>
    <w:rsid w:val="009269AB"/>
    <w:rsid w:val="00926AA7"/>
    <w:rsid w:val="00926EF4"/>
    <w:rsid w:val="00927198"/>
    <w:rsid w:val="009271D3"/>
    <w:rsid w:val="009271E2"/>
    <w:rsid w:val="00927914"/>
    <w:rsid w:val="00927BFB"/>
    <w:rsid w:val="00930913"/>
    <w:rsid w:val="00930C39"/>
    <w:rsid w:val="00930DED"/>
    <w:rsid w:val="00931835"/>
    <w:rsid w:val="00931D17"/>
    <w:rsid w:val="00931D87"/>
    <w:rsid w:val="00932124"/>
    <w:rsid w:val="009321D9"/>
    <w:rsid w:val="009326CC"/>
    <w:rsid w:val="00932D88"/>
    <w:rsid w:val="00932DCF"/>
    <w:rsid w:val="00933040"/>
    <w:rsid w:val="009330E6"/>
    <w:rsid w:val="0093402B"/>
    <w:rsid w:val="00934105"/>
    <w:rsid w:val="009341C9"/>
    <w:rsid w:val="00934402"/>
    <w:rsid w:val="0093448A"/>
    <w:rsid w:val="009347F9"/>
    <w:rsid w:val="0093482E"/>
    <w:rsid w:val="00934ADC"/>
    <w:rsid w:val="00934BBA"/>
    <w:rsid w:val="00934D00"/>
    <w:rsid w:val="00934DCA"/>
    <w:rsid w:val="00935149"/>
    <w:rsid w:val="009352D7"/>
    <w:rsid w:val="00935528"/>
    <w:rsid w:val="0093555C"/>
    <w:rsid w:val="0093569E"/>
    <w:rsid w:val="00935814"/>
    <w:rsid w:val="00935FE8"/>
    <w:rsid w:val="009360FE"/>
    <w:rsid w:val="00936817"/>
    <w:rsid w:val="00936B51"/>
    <w:rsid w:val="00936C78"/>
    <w:rsid w:val="00936F3F"/>
    <w:rsid w:val="009371FF"/>
    <w:rsid w:val="009372C6"/>
    <w:rsid w:val="0093740A"/>
    <w:rsid w:val="00937948"/>
    <w:rsid w:val="009379EF"/>
    <w:rsid w:val="00937B6A"/>
    <w:rsid w:val="00937B87"/>
    <w:rsid w:val="00937DE6"/>
    <w:rsid w:val="00937EA3"/>
    <w:rsid w:val="00940666"/>
    <w:rsid w:val="00940669"/>
    <w:rsid w:val="00940701"/>
    <w:rsid w:val="009408AD"/>
    <w:rsid w:val="009409ED"/>
    <w:rsid w:val="00940A13"/>
    <w:rsid w:val="00940B88"/>
    <w:rsid w:val="00940EDD"/>
    <w:rsid w:val="00940F52"/>
    <w:rsid w:val="00942482"/>
    <w:rsid w:val="009425C3"/>
    <w:rsid w:val="0094339F"/>
    <w:rsid w:val="00943409"/>
    <w:rsid w:val="00943884"/>
    <w:rsid w:val="009439F7"/>
    <w:rsid w:val="00943CB8"/>
    <w:rsid w:val="00943E4E"/>
    <w:rsid w:val="00944052"/>
    <w:rsid w:val="00944346"/>
    <w:rsid w:val="00944D19"/>
    <w:rsid w:val="009461A4"/>
    <w:rsid w:val="00946277"/>
    <w:rsid w:val="009469CA"/>
    <w:rsid w:val="009473A7"/>
    <w:rsid w:val="0094772B"/>
    <w:rsid w:val="00947784"/>
    <w:rsid w:val="00947BB4"/>
    <w:rsid w:val="00947ED3"/>
    <w:rsid w:val="00950006"/>
    <w:rsid w:val="009502EF"/>
    <w:rsid w:val="00950569"/>
    <w:rsid w:val="00950595"/>
    <w:rsid w:val="00950669"/>
    <w:rsid w:val="00950C47"/>
    <w:rsid w:val="00950DC0"/>
    <w:rsid w:val="009510A2"/>
    <w:rsid w:val="009511F3"/>
    <w:rsid w:val="009512D0"/>
    <w:rsid w:val="009512F4"/>
    <w:rsid w:val="00951315"/>
    <w:rsid w:val="0095135B"/>
    <w:rsid w:val="009514A8"/>
    <w:rsid w:val="0095158D"/>
    <w:rsid w:val="00951FA1"/>
    <w:rsid w:val="00952C24"/>
    <w:rsid w:val="00952E8C"/>
    <w:rsid w:val="00952F3B"/>
    <w:rsid w:val="009533ED"/>
    <w:rsid w:val="0095341E"/>
    <w:rsid w:val="00953756"/>
    <w:rsid w:val="00953A59"/>
    <w:rsid w:val="00953A8C"/>
    <w:rsid w:val="00953C21"/>
    <w:rsid w:val="00953D60"/>
    <w:rsid w:val="009541B2"/>
    <w:rsid w:val="0095470F"/>
    <w:rsid w:val="0095474A"/>
    <w:rsid w:val="009548B1"/>
    <w:rsid w:val="00954DF4"/>
    <w:rsid w:val="00954E75"/>
    <w:rsid w:val="00954F0A"/>
    <w:rsid w:val="00955091"/>
    <w:rsid w:val="0095538B"/>
    <w:rsid w:val="00955605"/>
    <w:rsid w:val="00955628"/>
    <w:rsid w:val="009556EA"/>
    <w:rsid w:val="009556FE"/>
    <w:rsid w:val="0095575D"/>
    <w:rsid w:val="00955DA0"/>
    <w:rsid w:val="009564F3"/>
    <w:rsid w:val="00956AC9"/>
    <w:rsid w:val="00956AF2"/>
    <w:rsid w:val="00956BFF"/>
    <w:rsid w:val="00956F9F"/>
    <w:rsid w:val="0095703F"/>
    <w:rsid w:val="009575DA"/>
    <w:rsid w:val="00957C19"/>
    <w:rsid w:val="00957CCF"/>
    <w:rsid w:val="00957DB6"/>
    <w:rsid w:val="00957EA5"/>
    <w:rsid w:val="00960042"/>
    <w:rsid w:val="00960364"/>
    <w:rsid w:val="009603CD"/>
    <w:rsid w:val="009604E4"/>
    <w:rsid w:val="009607E8"/>
    <w:rsid w:val="00961319"/>
    <w:rsid w:val="00961457"/>
    <w:rsid w:val="00961B0B"/>
    <w:rsid w:val="00961BF9"/>
    <w:rsid w:val="00962028"/>
    <w:rsid w:val="0096209C"/>
    <w:rsid w:val="00962116"/>
    <w:rsid w:val="0096248C"/>
    <w:rsid w:val="009627B2"/>
    <w:rsid w:val="00962864"/>
    <w:rsid w:val="00962AE2"/>
    <w:rsid w:val="00962CAB"/>
    <w:rsid w:val="00962D63"/>
    <w:rsid w:val="00962F44"/>
    <w:rsid w:val="009634E0"/>
    <w:rsid w:val="009638F4"/>
    <w:rsid w:val="009641A7"/>
    <w:rsid w:val="00964505"/>
    <w:rsid w:val="0096461C"/>
    <w:rsid w:val="0096480D"/>
    <w:rsid w:val="00964A03"/>
    <w:rsid w:val="00965213"/>
    <w:rsid w:val="009654DE"/>
    <w:rsid w:val="00965507"/>
    <w:rsid w:val="0096561D"/>
    <w:rsid w:val="009656B0"/>
    <w:rsid w:val="00965ADE"/>
    <w:rsid w:val="00965B6C"/>
    <w:rsid w:val="00966675"/>
    <w:rsid w:val="0096668A"/>
    <w:rsid w:val="00966778"/>
    <w:rsid w:val="00966883"/>
    <w:rsid w:val="00966AFE"/>
    <w:rsid w:val="00966CB9"/>
    <w:rsid w:val="00966D2E"/>
    <w:rsid w:val="00966DFF"/>
    <w:rsid w:val="009675DD"/>
    <w:rsid w:val="0096764D"/>
    <w:rsid w:val="0096764E"/>
    <w:rsid w:val="009707A9"/>
    <w:rsid w:val="00970BE4"/>
    <w:rsid w:val="00970C6A"/>
    <w:rsid w:val="009711F9"/>
    <w:rsid w:val="00971242"/>
    <w:rsid w:val="0097145F"/>
    <w:rsid w:val="00971566"/>
    <w:rsid w:val="0097158B"/>
    <w:rsid w:val="00971A53"/>
    <w:rsid w:val="00971C47"/>
    <w:rsid w:val="00971FC0"/>
    <w:rsid w:val="00971FC7"/>
    <w:rsid w:val="00972278"/>
    <w:rsid w:val="00972390"/>
    <w:rsid w:val="0097250A"/>
    <w:rsid w:val="0097256A"/>
    <w:rsid w:val="0097273B"/>
    <w:rsid w:val="00972CCC"/>
    <w:rsid w:val="00972E87"/>
    <w:rsid w:val="0097315C"/>
    <w:rsid w:val="009733A9"/>
    <w:rsid w:val="00973438"/>
    <w:rsid w:val="0097355E"/>
    <w:rsid w:val="009737F1"/>
    <w:rsid w:val="00973BBD"/>
    <w:rsid w:val="00973FCB"/>
    <w:rsid w:val="00974009"/>
    <w:rsid w:val="009750C9"/>
    <w:rsid w:val="00975114"/>
    <w:rsid w:val="0097531A"/>
    <w:rsid w:val="009753D7"/>
    <w:rsid w:val="00975462"/>
    <w:rsid w:val="00975487"/>
    <w:rsid w:val="00975A0A"/>
    <w:rsid w:val="00975D4A"/>
    <w:rsid w:val="00975F37"/>
    <w:rsid w:val="00976025"/>
    <w:rsid w:val="0097606C"/>
    <w:rsid w:val="00976131"/>
    <w:rsid w:val="00976359"/>
    <w:rsid w:val="0097640D"/>
    <w:rsid w:val="009768C0"/>
    <w:rsid w:val="00976D24"/>
    <w:rsid w:val="00976E29"/>
    <w:rsid w:val="009772BF"/>
    <w:rsid w:val="009773E9"/>
    <w:rsid w:val="00977441"/>
    <w:rsid w:val="00977A15"/>
    <w:rsid w:val="00977B7B"/>
    <w:rsid w:val="00977C84"/>
    <w:rsid w:val="00977CCE"/>
    <w:rsid w:val="00980043"/>
    <w:rsid w:val="00980273"/>
    <w:rsid w:val="009802D1"/>
    <w:rsid w:val="00980424"/>
    <w:rsid w:val="00980542"/>
    <w:rsid w:val="0098061C"/>
    <w:rsid w:val="009809C8"/>
    <w:rsid w:val="00980E08"/>
    <w:rsid w:val="009811C2"/>
    <w:rsid w:val="00981252"/>
    <w:rsid w:val="00981F92"/>
    <w:rsid w:val="009821D3"/>
    <w:rsid w:val="009822DD"/>
    <w:rsid w:val="0098240F"/>
    <w:rsid w:val="00982819"/>
    <w:rsid w:val="009829E0"/>
    <w:rsid w:val="00982B59"/>
    <w:rsid w:val="00982E2A"/>
    <w:rsid w:val="00983571"/>
    <w:rsid w:val="0098365E"/>
    <w:rsid w:val="009839EF"/>
    <w:rsid w:val="00983F1C"/>
    <w:rsid w:val="00984337"/>
    <w:rsid w:val="00984990"/>
    <w:rsid w:val="00984A5D"/>
    <w:rsid w:val="00984CD2"/>
    <w:rsid w:val="0098513F"/>
    <w:rsid w:val="00985277"/>
    <w:rsid w:val="009853E5"/>
    <w:rsid w:val="00985539"/>
    <w:rsid w:val="00985C3B"/>
    <w:rsid w:val="00985D2C"/>
    <w:rsid w:val="00985F4B"/>
    <w:rsid w:val="00985FB3"/>
    <w:rsid w:val="00986109"/>
    <w:rsid w:val="00986612"/>
    <w:rsid w:val="0098663D"/>
    <w:rsid w:val="0098758C"/>
    <w:rsid w:val="009875DB"/>
    <w:rsid w:val="009875FA"/>
    <w:rsid w:val="00987602"/>
    <w:rsid w:val="00987A21"/>
    <w:rsid w:val="00987B54"/>
    <w:rsid w:val="00987C16"/>
    <w:rsid w:val="00987C6D"/>
    <w:rsid w:val="00987F4B"/>
    <w:rsid w:val="00987FE4"/>
    <w:rsid w:val="0099018C"/>
    <w:rsid w:val="00990221"/>
    <w:rsid w:val="00990399"/>
    <w:rsid w:val="009909D5"/>
    <w:rsid w:val="00990AC8"/>
    <w:rsid w:val="00990C19"/>
    <w:rsid w:val="009913D9"/>
    <w:rsid w:val="00991511"/>
    <w:rsid w:val="009917E4"/>
    <w:rsid w:val="00991AFF"/>
    <w:rsid w:val="00991DD7"/>
    <w:rsid w:val="00991DED"/>
    <w:rsid w:val="00992451"/>
    <w:rsid w:val="009926D9"/>
    <w:rsid w:val="009928D9"/>
    <w:rsid w:val="00992C2E"/>
    <w:rsid w:val="00992D1A"/>
    <w:rsid w:val="00992E08"/>
    <w:rsid w:val="00992F77"/>
    <w:rsid w:val="0099331F"/>
    <w:rsid w:val="009933C3"/>
    <w:rsid w:val="00993760"/>
    <w:rsid w:val="00993852"/>
    <w:rsid w:val="0099388E"/>
    <w:rsid w:val="00994031"/>
    <w:rsid w:val="009940BC"/>
    <w:rsid w:val="00994108"/>
    <w:rsid w:val="009941B0"/>
    <w:rsid w:val="00994463"/>
    <w:rsid w:val="009947D0"/>
    <w:rsid w:val="00994BE0"/>
    <w:rsid w:val="00994E49"/>
    <w:rsid w:val="009955EF"/>
    <w:rsid w:val="0099577B"/>
    <w:rsid w:val="00995960"/>
    <w:rsid w:val="0099598C"/>
    <w:rsid w:val="009959D5"/>
    <w:rsid w:val="00995C70"/>
    <w:rsid w:val="00995D4A"/>
    <w:rsid w:val="00996105"/>
    <w:rsid w:val="00996163"/>
    <w:rsid w:val="00996359"/>
    <w:rsid w:val="009964C3"/>
    <w:rsid w:val="0099671A"/>
    <w:rsid w:val="0099690E"/>
    <w:rsid w:val="00996FD9"/>
    <w:rsid w:val="00997187"/>
    <w:rsid w:val="0099730E"/>
    <w:rsid w:val="009A024E"/>
    <w:rsid w:val="009A0816"/>
    <w:rsid w:val="009A0E6C"/>
    <w:rsid w:val="009A0F13"/>
    <w:rsid w:val="009A103E"/>
    <w:rsid w:val="009A1829"/>
    <w:rsid w:val="009A1AC6"/>
    <w:rsid w:val="009A20FD"/>
    <w:rsid w:val="009A25EF"/>
    <w:rsid w:val="009A28DB"/>
    <w:rsid w:val="009A29D1"/>
    <w:rsid w:val="009A2E9A"/>
    <w:rsid w:val="009A3334"/>
    <w:rsid w:val="009A3485"/>
    <w:rsid w:val="009A3655"/>
    <w:rsid w:val="009A36C5"/>
    <w:rsid w:val="009A381C"/>
    <w:rsid w:val="009A3AC2"/>
    <w:rsid w:val="009A3D05"/>
    <w:rsid w:val="009A4168"/>
    <w:rsid w:val="009A42F9"/>
    <w:rsid w:val="009A431A"/>
    <w:rsid w:val="009A4502"/>
    <w:rsid w:val="009A460A"/>
    <w:rsid w:val="009A4A32"/>
    <w:rsid w:val="009A4B7F"/>
    <w:rsid w:val="009A514D"/>
    <w:rsid w:val="009A52BE"/>
    <w:rsid w:val="009A592B"/>
    <w:rsid w:val="009A5B10"/>
    <w:rsid w:val="009A5DDA"/>
    <w:rsid w:val="009A5EF8"/>
    <w:rsid w:val="009A5F84"/>
    <w:rsid w:val="009A601D"/>
    <w:rsid w:val="009A6255"/>
    <w:rsid w:val="009A64F2"/>
    <w:rsid w:val="009A6958"/>
    <w:rsid w:val="009A6C15"/>
    <w:rsid w:val="009A73BA"/>
    <w:rsid w:val="009A77EF"/>
    <w:rsid w:val="009B01B3"/>
    <w:rsid w:val="009B0567"/>
    <w:rsid w:val="009B11E9"/>
    <w:rsid w:val="009B1489"/>
    <w:rsid w:val="009B2096"/>
    <w:rsid w:val="009B2629"/>
    <w:rsid w:val="009B2826"/>
    <w:rsid w:val="009B3310"/>
    <w:rsid w:val="009B3AAB"/>
    <w:rsid w:val="009B3C97"/>
    <w:rsid w:val="009B40D1"/>
    <w:rsid w:val="009B432A"/>
    <w:rsid w:val="009B4355"/>
    <w:rsid w:val="009B44CB"/>
    <w:rsid w:val="009B455E"/>
    <w:rsid w:val="009B4575"/>
    <w:rsid w:val="009B4607"/>
    <w:rsid w:val="009B5038"/>
    <w:rsid w:val="009B51B5"/>
    <w:rsid w:val="009B5673"/>
    <w:rsid w:val="009B5707"/>
    <w:rsid w:val="009B5AAC"/>
    <w:rsid w:val="009B5CBC"/>
    <w:rsid w:val="009B5FFB"/>
    <w:rsid w:val="009B626D"/>
    <w:rsid w:val="009B64C2"/>
    <w:rsid w:val="009B66A7"/>
    <w:rsid w:val="009B69BF"/>
    <w:rsid w:val="009B6AF6"/>
    <w:rsid w:val="009B6C33"/>
    <w:rsid w:val="009B6CBE"/>
    <w:rsid w:val="009B6FBF"/>
    <w:rsid w:val="009B6FFC"/>
    <w:rsid w:val="009B70BB"/>
    <w:rsid w:val="009B7114"/>
    <w:rsid w:val="009B7379"/>
    <w:rsid w:val="009B7625"/>
    <w:rsid w:val="009B7F12"/>
    <w:rsid w:val="009B7F3F"/>
    <w:rsid w:val="009B7F51"/>
    <w:rsid w:val="009C0472"/>
    <w:rsid w:val="009C0499"/>
    <w:rsid w:val="009C0785"/>
    <w:rsid w:val="009C07F0"/>
    <w:rsid w:val="009C08B9"/>
    <w:rsid w:val="009C147C"/>
    <w:rsid w:val="009C17D8"/>
    <w:rsid w:val="009C180F"/>
    <w:rsid w:val="009C1E42"/>
    <w:rsid w:val="009C21FE"/>
    <w:rsid w:val="009C27F2"/>
    <w:rsid w:val="009C2A1D"/>
    <w:rsid w:val="009C2A4B"/>
    <w:rsid w:val="009C2E3B"/>
    <w:rsid w:val="009C3063"/>
    <w:rsid w:val="009C35A6"/>
    <w:rsid w:val="009C36C5"/>
    <w:rsid w:val="009C39F7"/>
    <w:rsid w:val="009C3C47"/>
    <w:rsid w:val="009C43AC"/>
    <w:rsid w:val="009C444A"/>
    <w:rsid w:val="009C4A57"/>
    <w:rsid w:val="009C4BCC"/>
    <w:rsid w:val="009C4DFF"/>
    <w:rsid w:val="009C56D4"/>
    <w:rsid w:val="009C5893"/>
    <w:rsid w:val="009C58C0"/>
    <w:rsid w:val="009C5955"/>
    <w:rsid w:val="009C5965"/>
    <w:rsid w:val="009C5BA9"/>
    <w:rsid w:val="009C5D0F"/>
    <w:rsid w:val="009C5FE4"/>
    <w:rsid w:val="009C6063"/>
    <w:rsid w:val="009C6358"/>
    <w:rsid w:val="009C659C"/>
    <w:rsid w:val="009C6748"/>
    <w:rsid w:val="009C698E"/>
    <w:rsid w:val="009C6CCA"/>
    <w:rsid w:val="009C72F7"/>
    <w:rsid w:val="009C7BEE"/>
    <w:rsid w:val="009D0014"/>
    <w:rsid w:val="009D06AD"/>
    <w:rsid w:val="009D084C"/>
    <w:rsid w:val="009D0857"/>
    <w:rsid w:val="009D0A6C"/>
    <w:rsid w:val="009D118A"/>
    <w:rsid w:val="009D1AC3"/>
    <w:rsid w:val="009D1B81"/>
    <w:rsid w:val="009D1BF4"/>
    <w:rsid w:val="009D1D61"/>
    <w:rsid w:val="009D1E17"/>
    <w:rsid w:val="009D1EC5"/>
    <w:rsid w:val="009D1EF3"/>
    <w:rsid w:val="009D2133"/>
    <w:rsid w:val="009D2759"/>
    <w:rsid w:val="009D2DCF"/>
    <w:rsid w:val="009D2FDE"/>
    <w:rsid w:val="009D311C"/>
    <w:rsid w:val="009D32CF"/>
    <w:rsid w:val="009D32DA"/>
    <w:rsid w:val="009D33F4"/>
    <w:rsid w:val="009D370A"/>
    <w:rsid w:val="009D3D01"/>
    <w:rsid w:val="009D4158"/>
    <w:rsid w:val="009D430D"/>
    <w:rsid w:val="009D48B4"/>
    <w:rsid w:val="009D4EE2"/>
    <w:rsid w:val="009D51E3"/>
    <w:rsid w:val="009D5225"/>
    <w:rsid w:val="009D5475"/>
    <w:rsid w:val="009D54C4"/>
    <w:rsid w:val="009D5521"/>
    <w:rsid w:val="009D58BE"/>
    <w:rsid w:val="009D59C5"/>
    <w:rsid w:val="009D5A93"/>
    <w:rsid w:val="009D5B3E"/>
    <w:rsid w:val="009D5B86"/>
    <w:rsid w:val="009D613C"/>
    <w:rsid w:val="009D626D"/>
    <w:rsid w:val="009D6396"/>
    <w:rsid w:val="009D65DD"/>
    <w:rsid w:val="009D66A6"/>
    <w:rsid w:val="009D6773"/>
    <w:rsid w:val="009D6850"/>
    <w:rsid w:val="009D6AED"/>
    <w:rsid w:val="009D6EA1"/>
    <w:rsid w:val="009D7B22"/>
    <w:rsid w:val="009D7BD3"/>
    <w:rsid w:val="009E05E2"/>
    <w:rsid w:val="009E0683"/>
    <w:rsid w:val="009E0926"/>
    <w:rsid w:val="009E0E51"/>
    <w:rsid w:val="009E0E59"/>
    <w:rsid w:val="009E1717"/>
    <w:rsid w:val="009E1ADA"/>
    <w:rsid w:val="009E20F2"/>
    <w:rsid w:val="009E2706"/>
    <w:rsid w:val="009E2B4D"/>
    <w:rsid w:val="009E2C26"/>
    <w:rsid w:val="009E2C27"/>
    <w:rsid w:val="009E336B"/>
    <w:rsid w:val="009E3774"/>
    <w:rsid w:val="009E3B52"/>
    <w:rsid w:val="009E3C1D"/>
    <w:rsid w:val="009E41DC"/>
    <w:rsid w:val="009E4277"/>
    <w:rsid w:val="009E461B"/>
    <w:rsid w:val="009E46F7"/>
    <w:rsid w:val="009E4732"/>
    <w:rsid w:val="009E48D9"/>
    <w:rsid w:val="009E4A94"/>
    <w:rsid w:val="009E4CFC"/>
    <w:rsid w:val="009E4D43"/>
    <w:rsid w:val="009E4E34"/>
    <w:rsid w:val="009E51B5"/>
    <w:rsid w:val="009E53F0"/>
    <w:rsid w:val="009E54F1"/>
    <w:rsid w:val="009E557B"/>
    <w:rsid w:val="009E58E5"/>
    <w:rsid w:val="009E5E3C"/>
    <w:rsid w:val="009E626B"/>
    <w:rsid w:val="009E7274"/>
    <w:rsid w:val="009E73BC"/>
    <w:rsid w:val="009E7733"/>
    <w:rsid w:val="009E7824"/>
    <w:rsid w:val="009E7D6B"/>
    <w:rsid w:val="009F0126"/>
    <w:rsid w:val="009F040D"/>
    <w:rsid w:val="009F0B27"/>
    <w:rsid w:val="009F0B35"/>
    <w:rsid w:val="009F0D23"/>
    <w:rsid w:val="009F111B"/>
    <w:rsid w:val="009F1120"/>
    <w:rsid w:val="009F169F"/>
    <w:rsid w:val="009F1A84"/>
    <w:rsid w:val="009F1F9A"/>
    <w:rsid w:val="009F212D"/>
    <w:rsid w:val="009F2495"/>
    <w:rsid w:val="009F24F0"/>
    <w:rsid w:val="009F2707"/>
    <w:rsid w:val="009F2928"/>
    <w:rsid w:val="009F293E"/>
    <w:rsid w:val="009F305C"/>
    <w:rsid w:val="009F3126"/>
    <w:rsid w:val="009F38A8"/>
    <w:rsid w:val="009F3A32"/>
    <w:rsid w:val="009F3CD9"/>
    <w:rsid w:val="009F3DF7"/>
    <w:rsid w:val="009F4572"/>
    <w:rsid w:val="009F4A74"/>
    <w:rsid w:val="009F4C37"/>
    <w:rsid w:val="009F4E0B"/>
    <w:rsid w:val="009F51F8"/>
    <w:rsid w:val="009F5206"/>
    <w:rsid w:val="009F520F"/>
    <w:rsid w:val="009F5385"/>
    <w:rsid w:val="009F54E3"/>
    <w:rsid w:val="009F56FA"/>
    <w:rsid w:val="009F586E"/>
    <w:rsid w:val="009F5FB2"/>
    <w:rsid w:val="009F6DE2"/>
    <w:rsid w:val="009F6E5C"/>
    <w:rsid w:val="009F6EC1"/>
    <w:rsid w:val="009F6F04"/>
    <w:rsid w:val="009F751C"/>
    <w:rsid w:val="009F7753"/>
    <w:rsid w:val="009F77F4"/>
    <w:rsid w:val="009F79D9"/>
    <w:rsid w:val="009F7D13"/>
    <w:rsid w:val="009F7D16"/>
    <w:rsid w:val="009F7D1A"/>
    <w:rsid w:val="009F7D91"/>
    <w:rsid w:val="009F7E59"/>
    <w:rsid w:val="00A0021C"/>
    <w:rsid w:val="00A003D8"/>
    <w:rsid w:val="00A004AC"/>
    <w:rsid w:val="00A00587"/>
    <w:rsid w:val="00A00AA1"/>
    <w:rsid w:val="00A01318"/>
    <w:rsid w:val="00A01394"/>
    <w:rsid w:val="00A01715"/>
    <w:rsid w:val="00A0171A"/>
    <w:rsid w:val="00A01C1F"/>
    <w:rsid w:val="00A01EB0"/>
    <w:rsid w:val="00A01FCD"/>
    <w:rsid w:val="00A02074"/>
    <w:rsid w:val="00A02DC2"/>
    <w:rsid w:val="00A02EF4"/>
    <w:rsid w:val="00A0335B"/>
    <w:rsid w:val="00A03475"/>
    <w:rsid w:val="00A035E0"/>
    <w:rsid w:val="00A0369E"/>
    <w:rsid w:val="00A039BC"/>
    <w:rsid w:val="00A03A90"/>
    <w:rsid w:val="00A03BB7"/>
    <w:rsid w:val="00A047BD"/>
    <w:rsid w:val="00A04935"/>
    <w:rsid w:val="00A049DE"/>
    <w:rsid w:val="00A04ADD"/>
    <w:rsid w:val="00A04B7D"/>
    <w:rsid w:val="00A04ED5"/>
    <w:rsid w:val="00A0507F"/>
    <w:rsid w:val="00A051A7"/>
    <w:rsid w:val="00A05385"/>
    <w:rsid w:val="00A0546D"/>
    <w:rsid w:val="00A054F2"/>
    <w:rsid w:val="00A05658"/>
    <w:rsid w:val="00A05A82"/>
    <w:rsid w:val="00A05ACF"/>
    <w:rsid w:val="00A05CCA"/>
    <w:rsid w:val="00A05E4B"/>
    <w:rsid w:val="00A06843"/>
    <w:rsid w:val="00A0688A"/>
    <w:rsid w:val="00A06CF6"/>
    <w:rsid w:val="00A06FFE"/>
    <w:rsid w:val="00A0713D"/>
    <w:rsid w:val="00A07180"/>
    <w:rsid w:val="00A0764F"/>
    <w:rsid w:val="00A078CD"/>
    <w:rsid w:val="00A07981"/>
    <w:rsid w:val="00A07B0D"/>
    <w:rsid w:val="00A07DAD"/>
    <w:rsid w:val="00A10071"/>
    <w:rsid w:val="00A100E6"/>
    <w:rsid w:val="00A10192"/>
    <w:rsid w:val="00A10409"/>
    <w:rsid w:val="00A10588"/>
    <w:rsid w:val="00A106A5"/>
    <w:rsid w:val="00A106D2"/>
    <w:rsid w:val="00A10762"/>
    <w:rsid w:val="00A107B5"/>
    <w:rsid w:val="00A1084A"/>
    <w:rsid w:val="00A10B58"/>
    <w:rsid w:val="00A10F89"/>
    <w:rsid w:val="00A111EC"/>
    <w:rsid w:val="00A112DE"/>
    <w:rsid w:val="00A1151D"/>
    <w:rsid w:val="00A11753"/>
    <w:rsid w:val="00A11A84"/>
    <w:rsid w:val="00A120DF"/>
    <w:rsid w:val="00A125F6"/>
    <w:rsid w:val="00A127BD"/>
    <w:rsid w:val="00A13224"/>
    <w:rsid w:val="00A13388"/>
    <w:rsid w:val="00A134DD"/>
    <w:rsid w:val="00A13677"/>
    <w:rsid w:val="00A13CF7"/>
    <w:rsid w:val="00A142C0"/>
    <w:rsid w:val="00A1489D"/>
    <w:rsid w:val="00A1494D"/>
    <w:rsid w:val="00A149A6"/>
    <w:rsid w:val="00A14A69"/>
    <w:rsid w:val="00A14A88"/>
    <w:rsid w:val="00A14AB3"/>
    <w:rsid w:val="00A14EAF"/>
    <w:rsid w:val="00A15002"/>
    <w:rsid w:val="00A15218"/>
    <w:rsid w:val="00A157CD"/>
    <w:rsid w:val="00A158DA"/>
    <w:rsid w:val="00A159DA"/>
    <w:rsid w:val="00A15C81"/>
    <w:rsid w:val="00A15FF5"/>
    <w:rsid w:val="00A16065"/>
    <w:rsid w:val="00A16076"/>
    <w:rsid w:val="00A16307"/>
    <w:rsid w:val="00A1642F"/>
    <w:rsid w:val="00A16D80"/>
    <w:rsid w:val="00A17420"/>
    <w:rsid w:val="00A174BD"/>
    <w:rsid w:val="00A179D2"/>
    <w:rsid w:val="00A17AAB"/>
    <w:rsid w:val="00A17D46"/>
    <w:rsid w:val="00A17D98"/>
    <w:rsid w:val="00A200E0"/>
    <w:rsid w:val="00A20105"/>
    <w:rsid w:val="00A2048B"/>
    <w:rsid w:val="00A2070E"/>
    <w:rsid w:val="00A20864"/>
    <w:rsid w:val="00A20C4D"/>
    <w:rsid w:val="00A20DA1"/>
    <w:rsid w:val="00A214CE"/>
    <w:rsid w:val="00A218DD"/>
    <w:rsid w:val="00A21EBA"/>
    <w:rsid w:val="00A220F9"/>
    <w:rsid w:val="00A2294E"/>
    <w:rsid w:val="00A22D40"/>
    <w:rsid w:val="00A23377"/>
    <w:rsid w:val="00A2351E"/>
    <w:rsid w:val="00A23761"/>
    <w:rsid w:val="00A237F6"/>
    <w:rsid w:val="00A2381A"/>
    <w:rsid w:val="00A238AD"/>
    <w:rsid w:val="00A23D69"/>
    <w:rsid w:val="00A24167"/>
    <w:rsid w:val="00A2430B"/>
    <w:rsid w:val="00A24374"/>
    <w:rsid w:val="00A2448C"/>
    <w:rsid w:val="00A24869"/>
    <w:rsid w:val="00A24981"/>
    <w:rsid w:val="00A249B2"/>
    <w:rsid w:val="00A24B0B"/>
    <w:rsid w:val="00A24BA9"/>
    <w:rsid w:val="00A25493"/>
    <w:rsid w:val="00A25542"/>
    <w:rsid w:val="00A25C55"/>
    <w:rsid w:val="00A26210"/>
    <w:rsid w:val="00A26323"/>
    <w:rsid w:val="00A26417"/>
    <w:rsid w:val="00A26494"/>
    <w:rsid w:val="00A26655"/>
    <w:rsid w:val="00A267F8"/>
    <w:rsid w:val="00A2687C"/>
    <w:rsid w:val="00A26A27"/>
    <w:rsid w:val="00A26C53"/>
    <w:rsid w:val="00A27051"/>
    <w:rsid w:val="00A2720E"/>
    <w:rsid w:val="00A2726E"/>
    <w:rsid w:val="00A276FF"/>
    <w:rsid w:val="00A3017B"/>
    <w:rsid w:val="00A30457"/>
    <w:rsid w:val="00A30988"/>
    <w:rsid w:val="00A309C1"/>
    <w:rsid w:val="00A30C30"/>
    <w:rsid w:val="00A30C56"/>
    <w:rsid w:val="00A30F9D"/>
    <w:rsid w:val="00A312EB"/>
    <w:rsid w:val="00A3199D"/>
    <w:rsid w:val="00A31E4B"/>
    <w:rsid w:val="00A3201B"/>
    <w:rsid w:val="00A3286D"/>
    <w:rsid w:val="00A32C18"/>
    <w:rsid w:val="00A32CF0"/>
    <w:rsid w:val="00A32E89"/>
    <w:rsid w:val="00A32EEF"/>
    <w:rsid w:val="00A339D0"/>
    <w:rsid w:val="00A33A75"/>
    <w:rsid w:val="00A33BD9"/>
    <w:rsid w:val="00A33C02"/>
    <w:rsid w:val="00A3465C"/>
    <w:rsid w:val="00A347FE"/>
    <w:rsid w:val="00A34A80"/>
    <w:rsid w:val="00A34D41"/>
    <w:rsid w:val="00A34D7F"/>
    <w:rsid w:val="00A34D9A"/>
    <w:rsid w:val="00A34ED0"/>
    <w:rsid w:val="00A35397"/>
    <w:rsid w:val="00A357F7"/>
    <w:rsid w:val="00A3591D"/>
    <w:rsid w:val="00A35E1B"/>
    <w:rsid w:val="00A35F90"/>
    <w:rsid w:val="00A36A1A"/>
    <w:rsid w:val="00A36A8B"/>
    <w:rsid w:val="00A36D8A"/>
    <w:rsid w:val="00A37031"/>
    <w:rsid w:val="00A37274"/>
    <w:rsid w:val="00A3768D"/>
    <w:rsid w:val="00A377CF"/>
    <w:rsid w:val="00A37876"/>
    <w:rsid w:val="00A4009C"/>
    <w:rsid w:val="00A400A7"/>
    <w:rsid w:val="00A4067C"/>
    <w:rsid w:val="00A40994"/>
    <w:rsid w:val="00A4106F"/>
    <w:rsid w:val="00A415AE"/>
    <w:rsid w:val="00A4162A"/>
    <w:rsid w:val="00A41630"/>
    <w:rsid w:val="00A418AE"/>
    <w:rsid w:val="00A41D0B"/>
    <w:rsid w:val="00A41EC7"/>
    <w:rsid w:val="00A421C3"/>
    <w:rsid w:val="00A42DF9"/>
    <w:rsid w:val="00A4301E"/>
    <w:rsid w:val="00A4391C"/>
    <w:rsid w:val="00A43A47"/>
    <w:rsid w:val="00A43B4B"/>
    <w:rsid w:val="00A43B8C"/>
    <w:rsid w:val="00A43C4C"/>
    <w:rsid w:val="00A4401C"/>
    <w:rsid w:val="00A440A2"/>
    <w:rsid w:val="00A4429D"/>
    <w:rsid w:val="00A44315"/>
    <w:rsid w:val="00A445C9"/>
    <w:rsid w:val="00A44637"/>
    <w:rsid w:val="00A447AD"/>
    <w:rsid w:val="00A44AA1"/>
    <w:rsid w:val="00A44BCF"/>
    <w:rsid w:val="00A45087"/>
    <w:rsid w:val="00A450C5"/>
    <w:rsid w:val="00A452F1"/>
    <w:rsid w:val="00A459AC"/>
    <w:rsid w:val="00A45E71"/>
    <w:rsid w:val="00A460F0"/>
    <w:rsid w:val="00A466F9"/>
    <w:rsid w:val="00A46939"/>
    <w:rsid w:val="00A46E01"/>
    <w:rsid w:val="00A4729B"/>
    <w:rsid w:val="00A473B2"/>
    <w:rsid w:val="00A47413"/>
    <w:rsid w:val="00A474A3"/>
    <w:rsid w:val="00A47A53"/>
    <w:rsid w:val="00A47AE3"/>
    <w:rsid w:val="00A47B15"/>
    <w:rsid w:val="00A47DE4"/>
    <w:rsid w:val="00A47FA4"/>
    <w:rsid w:val="00A500FE"/>
    <w:rsid w:val="00A501E0"/>
    <w:rsid w:val="00A50552"/>
    <w:rsid w:val="00A50700"/>
    <w:rsid w:val="00A50750"/>
    <w:rsid w:val="00A5087D"/>
    <w:rsid w:val="00A50EE4"/>
    <w:rsid w:val="00A50F01"/>
    <w:rsid w:val="00A510A4"/>
    <w:rsid w:val="00A5134C"/>
    <w:rsid w:val="00A5155E"/>
    <w:rsid w:val="00A5166F"/>
    <w:rsid w:val="00A51858"/>
    <w:rsid w:val="00A51E6E"/>
    <w:rsid w:val="00A52670"/>
    <w:rsid w:val="00A528EE"/>
    <w:rsid w:val="00A52917"/>
    <w:rsid w:val="00A52973"/>
    <w:rsid w:val="00A52B0E"/>
    <w:rsid w:val="00A52B1D"/>
    <w:rsid w:val="00A52BCD"/>
    <w:rsid w:val="00A52CC6"/>
    <w:rsid w:val="00A52D4B"/>
    <w:rsid w:val="00A52E83"/>
    <w:rsid w:val="00A5344A"/>
    <w:rsid w:val="00A53690"/>
    <w:rsid w:val="00A5384A"/>
    <w:rsid w:val="00A539CB"/>
    <w:rsid w:val="00A53AE2"/>
    <w:rsid w:val="00A53E25"/>
    <w:rsid w:val="00A53EDB"/>
    <w:rsid w:val="00A54249"/>
    <w:rsid w:val="00A54755"/>
    <w:rsid w:val="00A54A5B"/>
    <w:rsid w:val="00A54B95"/>
    <w:rsid w:val="00A54D32"/>
    <w:rsid w:val="00A54F4C"/>
    <w:rsid w:val="00A55102"/>
    <w:rsid w:val="00A55D6D"/>
    <w:rsid w:val="00A5625B"/>
    <w:rsid w:val="00A56598"/>
    <w:rsid w:val="00A5693E"/>
    <w:rsid w:val="00A56ED5"/>
    <w:rsid w:val="00A570FD"/>
    <w:rsid w:val="00A5719C"/>
    <w:rsid w:val="00A571DC"/>
    <w:rsid w:val="00A573B2"/>
    <w:rsid w:val="00A574C4"/>
    <w:rsid w:val="00A5762F"/>
    <w:rsid w:val="00A57714"/>
    <w:rsid w:val="00A5777F"/>
    <w:rsid w:val="00A57FBC"/>
    <w:rsid w:val="00A60524"/>
    <w:rsid w:val="00A6087F"/>
    <w:rsid w:val="00A608DC"/>
    <w:rsid w:val="00A60B48"/>
    <w:rsid w:val="00A60F38"/>
    <w:rsid w:val="00A61127"/>
    <w:rsid w:val="00A61176"/>
    <w:rsid w:val="00A61291"/>
    <w:rsid w:val="00A6144A"/>
    <w:rsid w:val="00A619BF"/>
    <w:rsid w:val="00A622D5"/>
    <w:rsid w:val="00A62780"/>
    <w:rsid w:val="00A62953"/>
    <w:rsid w:val="00A62BB5"/>
    <w:rsid w:val="00A62FFD"/>
    <w:rsid w:val="00A63749"/>
    <w:rsid w:val="00A63881"/>
    <w:rsid w:val="00A63D6A"/>
    <w:rsid w:val="00A63FCC"/>
    <w:rsid w:val="00A6412E"/>
    <w:rsid w:val="00A643B8"/>
    <w:rsid w:val="00A644D9"/>
    <w:rsid w:val="00A64973"/>
    <w:rsid w:val="00A64A7F"/>
    <w:rsid w:val="00A64D14"/>
    <w:rsid w:val="00A650C8"/>
    <w:rsid w:val="00A655ED"/>
    <w:rsid w:val="00A65E0E"/>
    <w:rsid w:val="00A65F6A"/>
    <w:rsid w:val="00A65FBD"/>
    <w:rsid w:val="00A65FF8"/>
    <w:rsid w:val="00A66383"/>
    <w:rsid w:val="00A66622"/>
    <w:rsid w:val="00A66B82"/>
    <w:rsid w:val="00A6709B"/>
    <w:rsid w:val="00A673FC"/>
    <w:rsid w:val="00A700C0"/>
    <w:rsid w:val="00A70203"/>
    <w:rsid w:val="00A70557"/>
    <w:rsid w:val="00A705D6"/>
    <w:rsid w:val="00A7086D"/>
    <w:rsid w:val="00A7096D"/>
    <w:rsid w:val="00A70AE6"/>
    <w:rsid w:val="00A70B8F"/>
    <w:rsid w:val="00A710BC"/>
    <w:rsid w:val="00A7162A"/>
    <w:rsid w:val="00A718B0"/>
    <w:rsid w:val="00A71949"/>
    <w:rsid w:val="00A71B1A"/>
    <w:rsid w:val="00A71B1C"/>
    <w:rsid w:val="00A71EE6"/>
    <w:rsid w:val="00A71FB0"/>
    <w:rsid w:val="00A7249E"/>
    <w:rsid w:val="00A72684"/>
    <w:rsid w:val="00A72B94"/>
    <w:rsid w:val="00A72C58"/>
    <w:rsid w:val="00A72E58"/>
    <w:rsid w:val="00A7319A"/>
    <w:rsid w:val="00A739B7"/>
    <w:rsid w:val="00A73D2E"/>
    <w:rsid w:val="00A73EF8"/>
    <w:rsid w:val="00A74542"/>
    <w:rsid w:val="00A745A0"/>
    <w:rsid w:val="00A747DD"/>
    <w:rsid w:val="00A74B5A"/>
    <w:rsid w:val="00A74DC9"/>
    <w:rsid w:val="00A757E9"/>
    <w:rsid w:val="00A758CE"/>
    <w:rsid w:val="00A75A1A"/>
    <w:rsid w:val="00A75BCD"/>
    <w:rsid w:val="00A75D24"/>
    <w:rsid w:val="00A7610E"/>
    <w:rsid w:val="00A762BF"/>
    <w:rsid w:val="00A7659F"/>
    <w:rsid w:val="00A766B5"/>
    <w:rsid w:val="00A76AE2"/>
    <w:rsid w:val="00A76ED0"/>
    <w:rsid w:val="00A77018"/>
    <w:rsid w:val="00A771E5"/>
    <w:rsid w:val="00A7756D"/>
    <w:rsid w:val="00A77806"/>
    <w:rsid w:val="00A77D86"/>
    <w:rsid w:val="00A77E16"/>
    <w:rsid w:val="00A77E48"/>
    <w:rsid w:val="00A800DB"/>
    <w:rsid w:val="00A8034D"/>
    <w:rsid w:val="00A804B2"/>
    <w:rsid w:val="00A804CA"/>
    <w:rsid w:val="00A80F50"/>
    <w:rsid w:val="00A810BA"/>
    <w:rsid w:val="00A811E8"/>
    <w:rsid w:val="00A813C9"/>
    <w:rsid w:val="00A81DED"/>
    <w:rsid w:val="00A822E5"/>
    <w:rsid w:val="00A828C2"/>
    <w:rsid w:val="00A82F4A"/>
    <w:rsid w:val="00A83300"/>
    <w:rsid w:val="00A83360"/>
    <w:rsid w:val="00A83905"/>
    <w:rsid w:val="00A83D4D"/>
    <w:rsid w:val="00A840FD"/>
    <w:rsid w:val="00A8448B"/>
    <w:rsid w:val="00A84855"/>
    <w:rsid w:val="00A84FB7"/>
    <w:rsid w:val="00A850C3"/>
    <w:rsid w:val="00A85121"/>
    <w:rsid w:val="00A85299"/>
    <w:rsid w:val="00A85517"/>
    <w:rsid w:val="00A85C80"/>
    <w:rsid w:val="00A865A0"/>
    <w:rsid w:val="00A86691"/>
    <w:rsid w:val="00A86828"/>
    <w:rsid w:val="00A869B4"/>
    <w:rsid w:val="00A86DC6"/>
    <w:rsid w:val="00A86E57"/>
    <w:rsid w:val="00A87103"/>
    <w:rsid w:val="00A879CE"/>
    <w:rsid w:val="00A87D41"/>
    <w:rsid w:val="00A87FCB"/>
    <w:rsid w:val="00A9005B"/>
    <w:rsid w:val="00A90212"/>
    <w:rsid w:val="00A902AB"/>
    <w:rsid w:val="00A90480"/>
    <w:rsid w:val="00A90B13"/>
    <w:rsid w:val="00A911DF"/>
    <w:rsid w:val="00A9168B"/>
    <w:rsid w:val="00A918B5"/>
    <w:rsid w:val="00A91D2F"/>
    <w:rsid w:val="00A924A8"/>
    <w:rsid w:val="00A92572"/>
    <w:rsid w:val="00A9285F"/>
    <w:rsid w:val="00A92991"/>
    <w:rsid w:val="00A92B06"/>
    <w:rsid w:val="00A93175"/>
    <w:rsid w:val="00A9328C"/>
    <w:rsid w:val="00A938C7"/>
    <w:rsid w:val="00A93A55"/>
    <w:rsid w:val="00A93C4E"/>
    <w:rsid w:val="00A93EA0"/>
    <w:rsid w:val="00A940FA"/>
    <w:rsid w:val="00A949CE"/>
    <w:rsid w:val="00A94F10"/>
    <w:rsid w:val="00A9533C"/>
    <w:rsid w:val="00A954F3"/>
    <w:rsid w:val="00A9563E"/>
    <w:rsid w:val="00A956BE"/>
    <w:rsid w:val="00A95887"/>
    <w:rsid w:val="00A95ADF"/>
    <w:rsid w:val="00A96945"/>
    <w:rsid w:val="00A96C2F"/>
    <w:rsid w:val="00A96EA7"/>
    <w:rsid w:val="00A973B6"/>
    <w:rsid w:val="00A9741F"/>
    <w:rsid w:val="00A97456"/>
    <w:rsid w:val="00A97931"/>
    <w:rsid w:val="00A97941"/>
    <w:rsid w:val="00AA019E"/>
    <w:rsid w:val="00AA01A4"/>
    <w:rsid w:val="00AA05A1"/>
    <w:rsid w:val="00AA0A1D"/>
    <w:rsid w:val="00AA0B58"/>
    <w:rsid w:val="00AA0EDE"/>
    <w:rsid w:val="00AA11C6"/>
    <w:rsid w:val="00AA1378"/>
    <w:rsid w:val="00AA175C"/>
    <w:rsid w:val="00AA1AFB"/>
    <w:rsid w:val="00AA1EF5"/>
    <w:rsid w:val="00AA25BB"/>
    <w:rsid w:val="00AA2734"/>
    <w:rsid w:val="00AA29B0"/>
    <w:rsid w:val="00AA2A80"/>
    <w:rsid w:val="00AA2AB5"/>
    <w:rsid w:val="00AA2C07"/>
    <w:rsid w:val="00AA2FFE"/>
    <w:rsid w:val="00AA3296"/>
    <w:rsid w:val="00AA34A9"/>
    <w:rsid w:val="00AA3515"/>
    <w:rsid w:val="00AA3765"/>
    <w:rsid w:val="00AA389B"/>
    <w:rsid w:val="00AA396B"/>
    <w:rsid w:val="00AA3ADF"/>
    <w:rsid w:val="00AA3CD1"/>
    <w:rsid w:val="00AA4ADF"/>
    <w:rsid w:val="00AA4CF6"/>
    <w:rsid w:val="00AA4E13"/>
    <w:rsid w:val="00AA4E8C"/>
    <w:rsid w:val="00AA4F53"/>
    <w:rsid w:val="00AA55CA"/>
    <w:rsid w:val="00AA5E33"/>
    <w:rsid w:val="00AA69D3"/>
    <w:rsid w:val="00AA6B6B"/>
    <w:rsid w:val="00AA735F"/>
    <w:rsid w:val="00AA73AF"/>
    <w:rsid w:val="00AA73E1"/>
    <w:rsid w:val="00AA74B2"/>
    <w:rsid w:val="00AA757D"/>
    <w:rsid w:val="00AA75AC"/>
    <w:rsid w:val="00AA773C"/>
    <w:rsid w:val="00AA77B9"/>
    <w:rsid w:val="00AA7A46"/>
    <w:rsid w:val="00AA7AFB"/>
    <w:rsid w:val="00AA7E97"/>
    <w:rsid w:val="00AB059E"/>
    <w:rsid w:val="00AB0838"/>
    <w:rsid w:val="00AB0898"/>
    <w:rsid w:val="00AB09E4"/>
    <w:rsid w:val="00AB0E49"/>
    <w:rsid w:val="00AB0F9F"/>
    <w:rsid w:val="00AB12EB"/>
    <w:rsid w:val="00AB157B"/>
    <w:rsid w:val="00AB16C6"/>
    <w:rsid w:val="00AB1774"/>
    <w:rsid w:val="00AB18F8"/>
    <w:rsid w:val="00AB2468"/>
    <w:rsid w:val="00AB281D"/>
    <w:rsid w:val="00AB2B6E"/>
    <w:rsid w:val="00AB2CF3"/>
    <w:rsid w:val="00AB34F6"/>
    <w:rsid w:val="00AB357D"/>
    <w:rsid w:val="00AB3718"/>
    <w:rsid w:val="00AB37A5"/>
    <w:rsid w:val="00AB3C82"/>
    <w:rsid w:val="00AB3C97"/>
    <w:rsid w:val="00AB3D56"/>
    <w:rsid w:val="00AB3E45"/>
    <w:rsid w:val="00AB40B6"/>
    <w:rsid w:val="00AB43AD"/>
    <w:rsid w:val="00AB4423"/>
    <w:rsid w:val="00AB4550"/>
    <w:rsid w:val="00AB4663"/>
    <w:rsid w:val="00AB49CC"/>
    <w:rsid w:val="00AB49E2"/>
    <w:rsid w:val="00AB4B5E"/>
    <w:rsid w:val="00AB4BD6"/>
    <w:rsid w:val="00AB4E11"/>
    <w:rsid w:val="00AB4E68"/>
    <w:rsid w:val="00AB4EA3"/>
    <w:rsid w:val="00AB513D"/>
    <w:rsid w:val="00AB5153"/>
    <w:rsid w:val="00AB52E8"/>
    <w:rsid w:val="00AB55CC"/>
    <w:rsid w:val="00AB55EF"/>
    <w:rsid w:val="00AB586B"/>
    <w:rsid w:val="00AB5A25"/>
    <w:rsid w:val="00AB5F17"/>
    <w:rsid w:val="00AB6176"/>
    <w:rsid w:val="00AB617E"/>
    <w:rsid w:val="00AB61F5"/>
    <w:rsid w:val="00AB625C"/>
    <w:rsid w:val="00AB6596"/>
    <w:rsid w:val="00AB676F"/>
    <w:rsid w:val="00AB6933"/>
    <w:rsid w:val="00AB69F3"/>
    <w:rsid w:val="00AB6C69"/>
    <w:rsid w:val="00AB6FD8"/>
    <w:rsid w:val="00AB7070"/>
    <w:rsid w:val="00AB725F"/>
    <w:rsid w:val="00AB741C"/>
    <w:rsid w:val="00AB772D"/>
    <w:rsid w:val="00AB7DB8"/>
    <w:rsid w:val="00AB7E2F"/>
    <w:rsid w:val="00AC02B2"/>
    <w:rsid w:val="00AC0347"/>
    <w:rsid w:val="00AC04BC"/>
    <w:rsid w:val="00AC059A"/>
    <w:rsid w:val="00AC0938"/>
    <w:rsid w:val="00AC0A20"/>
    <w:rsid w:val="00AC0AB4"/>
    <w:rsid w:val="00AC0B26"/>
    <w:rsid w:val="00AC0C6D"/>
    <w:rsid w:val="00AC0D31"/>
    <w:rsid w:val="00AC131C"/>
    <w:rsid w:val="00AC135E"/>
    <w:rsid w:val="00AC13BB"/>
    <w:rsid w:val="00AC17FD"/>
    <w:rsid w:val="00AC18BD"/>
    <w:rsid w:val="00AC1951"/>
    <w:rsid w:val="00AC1959"/>
    <w:rsid w:val="00AC1D0D"/>
    <w:rsid w:val="00AC1E45"/>
    <w:rsid w:val="00AC1F86"/>
    <w:rsid w:val="00AC22D8"/>
    <w:rsid w:val="00AC252E"/>
    <w:rsid w:val="00AC2C12"/>
    <w:rsid w:val="00AC32BC"/>
    <w:rsid w:val="00AC37A0"/>
    <w:rsid w:val="00AC38F2"/>
    <w:rsid w:val="00AC39FF"/>
    <w:rsid w:val="00AC3A8F"/>
    <w:rsid w:val="00AC3B7C"/>
    <w:rsid w:val="00AC4180"/>
    <w:rsid w:val="00AC47A7"/>
    <w:rsid w:val="00AC4CEE"/>
    <w:rsid w:val="00AC5042"/>
    <w:rsid w:val="00AC5671"/>
    <w:rsid w:val="00AC5AC5"/>
    <w:rsid w:val="00AC68DC"/>
    <w:rsid w:val="00AC6ABF"/>
    <w:rsid w:val="00AC713F"/>
    <w:rsid w:val="00AC7383"/>
    <w:rsid w:val="00AC77A0"/>
    <w:rsid w:val="00AC77EC"/>
    <w:rsid w:val="00AD016F"/>
    <w:rsid w:val="00AD023B"/>
    <w:rsid w:val="00AD0509"/>
    <w:rsid w:val="00AD0662"/>
    <w:rsid w:val="00AD06F4"/>
    <w:rsid w:val="00AD0774"/>
    <w:rsid w:val="00AD1231"/>
    <w:rsid w:val="00AD1D4A"/>
    <w:rsid w:val="00AD1D54"/>
    <w:rsid w:val="00AD1E9C"/>
    <w:rsid w:val="00AD1F30"/>
    <w:rsid w:val="00AD210F"/>
    <w:rsid w:val="00AD23F8"/>
    <w:rsid w:val="00AD2668"/>
    <w:rsid w:val="00AD2ACB"/>
    <w:rsid w:val="00AD3093"/>
    <w:rsid w:val="00AD3385"/>
    <w:rsid w:val="00AD3631"/>
    <w:rsid w:val="00AD3F5E"/>
    <w:rsid w:val="00AD422B"/>
    <w:rsid w:val="00AD46FB"/>
    <w:rsid w:val="00AD4797"/>
    <w:rsid w:val="00AD4A66"/>
    <w:rsid w:val="00AD4C09"/>
    <w:rsid w:val="00AD4C12"/>
    <w:rsid w:val="00AD4F69"/>
    <w:rsid w:val="00AD5339"/>
    <w:rsid w:val="00AD5446"/>
    <w:rsid w:val="00AD5464"/>
    <w:rsid w:val="00AD57F1"/>
    <w:rsid w:val="00AD5A62"/>
    <w:rsid w:val="00AD5B9B"/>
    <w:rsid w:val="00AD5EF0"/>
    <w:rsid w:val="00AD5F79"/>
    <w:rsid w:val="00AD6857"/>
    <w:rsid w:val="00AD6931"/>
    <w:rsid w:val="00AD6B5C"/>
    <w:rsid w:val="00AD7352"/>
    <w:rsid w:val="00AD73A7"/>
    <w:rsid w:val="00AD7403"/>
    <w:rsid w:val="00AD78BA"/>
    <w:rsid w:val="00AD7B45"/>
    <w:rsid w:val="00AD7E4F"/>
    <w:rsid w:val="00AE02CE"/>
    <w:rsid w:val="00AE02F9"/>
    <w:rsid w:val="00AE0304"/>
    <w:rsid w:val="00AE05F7"/>
    <w:rsid w:val="00AE0644"/>
    <w:rsid w:val="00AE07B5"/>
    <w:rsid w:val="00AE07DD"/>
    <w:rsid w:val="00AE07EB"/>
    <w:rsid w:val="00AE0B1B"/>
    <w:rsid w:val="00AE0B4C"/>
    <w:rsid w:val="00AE0B8A"/>
    <w:rsid w:val="00AE0E17"/>
    <w:rsid w:val="00AE1685"/>
    <w:rsid w:val="00AE1A58"/>
    <w:rsid w:val="00AE223A"/>
    <w:rsid w:val="00AE2610"/>
    <w:rsid w:val="00AE2B43"/>
    <w:rsid w:val="00AE2B9E"/>
    <w:rsid w:val="00AE2CE7"/>
    <w:rsid w:val="00AE3506"/>
    <w:rsid w:val="00AE37B2"/>
    <w:rsid w:val="00AE3874"/>
    <w:rsid w:val="00AE38E3"/>
    <w:rsid w:val="00AE3A90"/>
    <w:rsid w:val="00AE3B47"/>
    <w:rsid w:val="00AE418E"/>
    <w:rsid w:val="00AE45E0"/>
    <w:rsid w:val="00AE4B5E"/>
    <w:rsid w:val="00AE4F5D"/>
    <w:rsid w:val="00AE4F87"/>
    <w:rsid w:val="00AE4FB3"/>
    <w:rsid w:val="00AE4FB7"/>
    <w:rsid w:val="00AE5078"/>
    <w:rsid w:val="00AE5179"/>
    <w:rsid w:val="00AE52A1"/>
    <w:rsid w:val="00AE54AC"/>
    <w:rsid w:val="00AE5CC2"/>
    <w:rsid w:val="00AE5D19"/>
    <w:rsid w:val="00AE65FE"/>
    <w:rsid w:val="00AE696C"/>
    <w:rsid w:val="00AE6BC8"/>
    <w:rsid w:val="00AE6E19"/>
    <w:rsid w:val="00AE7193"/>
    <w:rsid w:val="00AE78D0"/>
    <w:rsid w:val="00AE797D"/>
    <w:rsid w:val="00AE79B6"/>
    <w:rsid w:val="00AE7D71"/>
    <w:rsid w:val="00AE7E7A"/>
    <w:rsid w:val="00AE7E93"/>
    <w:rsid w:val="00AF032F"/>
    <w:rsid w:val="00AF0AA2"/>
    <w:rsid w:val="00AF0AAB"/>
    <w:rsid w:val="00AF0B50"/>
    <w:rsid w:val="00AF0B54"/>
    <w:rsid w:val="00AF0EE0"/>
    <w:rsid w:val="00AF0F83"/>
    <w:rsid w:val="00AF136A"/>
    <w:rsid w:val="00AF1E76"/>
    <w:rsid w:val="00AF2020"/>
    <w:rsid w:val="00AF20E2"/>
    <w:rsid w:val="00AF21EC"/>
    <w:rsid w:val="00AF2538"/>
    <w:rsid w:val="00AF25DB"/>
    <w:rsid w:val="00AF2638"/>
    <w:rsid w:val="00AF272C"/>
    <w:rsid w:val="00AF2C21"/>
    <w:rsid w:val="00AF2DBF"/>
    <w:rsid w:val="00AF2DF0"/>
    <w:rsid w:val="00AF3378"/>
    <w:rsid w:val="00AF33BC"/>
    <w:rsid w:val="00AF3480"/>
    <w:rsid w:val="00AF3731"/>
    <w:rsid w:val="00AF3D05"/>
    <w:rsid w:val="00AF3D1C"/>
    <w:rsid w:val="00AF3DB3"/>
    <w:rsid w:val="00AF3EC2"/>
    <w:rsid w:val="00AF4135"/>
    <w:rsid w:val="00AF450A"/>
    <w:rsid w:val="00AF4C25"/>
    <w:rsid w:val="00AF5020"/>
    <w:rsid w:val="00AF5833"/>
    <w:rsid w:val="00AF5949"/>
    <w:rsid w:val="00AF5991"/>
    <w:rsid w:val="00AF5AA1"/>
    <w:rsid w:val="00AF5E01"/>
    <w:rsid w:val="00AF6332"/>
    <w:rsid w:val="00AF6647"/>
    <w:rsid w:val="00AF6648"/>
    <w:rsid w:val="00AF6C99"/>
    <w:rsid w:val="00AF6E03"/>
    <w:rsid w:val="00AF6FC0"/>
    <w:rsid w:val="00AF71F5"/>
    <w:rsid w:val="00AF7409"/>
    <w:rsid w:val="00AF755D"/>
    <w:rsid w:val="00AF77FA"/>
    <w:rsid w:val="00AF79C2"/>
    <w:rsid w:val="00AF7AD0"/>
    <w:rsid w:val="00AF7DDE"/>
    <w:rsid w:val="00B000A7"/>
    <w:rsid w:val="00B00157"/>
    <w:rsid w:val="00B001BE"/>
    <w:rsid w:val="00B00233"/>
    <w:rsid w:val="00B0041C"/>
    <w:rsid w:val="00B0052C"/>
    <w:rsid w:val="00B00927"/>
    <w:rsid w:val="00B00928"/>
    <w:rsid w:val="00B00B4A"/>
    <w:rsid w:val="00B00F1E"/>
    <w:rsid w:val="00B0152D"/>
    <w:rsid w:val="00B01973"/>
    <w:rsid w:val="00B02052"/>
    <w:rsid w:val="00B020B7"/>
    <w:rsid w:val="00B0217C"/>
    <w:rsid w:val="00B02951"/>
    <w:rsid w:val="00B02C2F"/>
    <w:rsid w:val="00B02DC3"/>
    <w:rsid w:val="00B02E75"/>
    <w:rsid w:val="00B02EF0"/>
    <w:rsid w:val="00B02F31"/>
    <w:rsid w:val="00B0310F"/>
    <w:rsid w:val="00B03152"/>
    <w:rsid w:val="00B0319E"/>
    <w:rsid w:val="00B03634"/>
    <w:rsid w:val="00B036B8"/>
    <w:rsid w:val="00B03C67"/>
    <w:rsid w:val="00B03D20"/>
    <w:rsid w:val="00B040F5"/>
    <w:rsid w:val="00B04898"/>
    <w:rsid w:val="00B05195"/>
    <w:rsid w:val="00B05246"/>
    <w:rsid w:val="00B0561B"/>
    <w:rsid w:val="00B0568A"/>
    <w:rsid w:val="00B05744"/>
    <w:rsid w:val="00B05C6E"/>
    <w:rsid w:val="00B05DF3"/>
    <w:rsid w:val="00B06367"/>
    <w:rsid w:val="00B0636C"/>
    <w:rsid w:val="00B06642"/>
    <w:rsid w:val="00B06769"/>
    <w:rsid w:val="00B06870"/>
    <w:rsid w:val="00B068A5"/>
    <w:rsid w:val="00B06B4A"/>
    <w:rsid w:val="00B06B9D"/>
    <w:rsid w:val="00B06EC3"/>
    <w:rsid w:val="00B07453"/>
    <w:rsid w:val="00B07604"/>
    <w:rsid w:val="00B0779E"/>
    <w:rsid w:val="00B07BBB"/>
    <w:rsid w:val="00B07C99"/>
    <w:rsid w:val="00B07CA0"/>
    <w:rsid w:val="00B10700"/>
    <w:rsid w:val="00B1074C"/>
    <w:rsid w:val="00B10D34"/>
    <w:rsid w:val="00B10DBB"/>
    <w:rsid w:val="00B11085"/>
    <w:rsid w:val="00B110D5"/>
    <w:rsid w:val="00B116DA"/>
    <w:rsid w:val="00B117D8"/>
    <w:rsid w:val="00B11FC3"/>
    <w:rsid w:val="00B130DA"/>
    <w:rsid w:val="00B13B83"/>
    <w:rsid w:val="00B13FDD"/>
    <w:rsid w:val="00B1410F"/>
    <w:rsid w:val="00B14460"/>
    <w:rsid w:val="00B14883"/>
    <w:rsid w:val="00B14A42"/>
    <w:rsid w:val="00B14D27"/>
    <w:rsid w:val="00B14E89"/>
    <w:rsid w:val="00B15115"/>
    <w:rsid w:val="00B15125"/>
    <w:rsid w:val="00B152E5"/>
    <w:rsid w:val="00B153CC"/>
    <w:rsid w:val="00B158E2"/>
    <w:rsid w:val="00B15B02"/>
    <w:rsid w:val="00B15B48"/>
    <w:rsid w:val="00B16087"/>
    <w:rsid w:val="00B1620C"/>
    <w:rsid w:val="00B1642E"/>
    <w:rsid w:val="00B16482"/>
    <w:rsid w:val="00B166F3"/>
    <w:rsid w:val="00B16B52"/>
    <w:rsid w:val="00B16F51"/>
    <w:rsid w:val="00B16FD8"/>
    <w:rsid w:val="00B173D3"/>
    <w:rsid w:val="00B1743F"/>
    <w:rsid w:val="00B17945"/>
    <w:rsid w:val="00B17A4D"/>
    <w:rsid w:val="00B17B61"/>
    <w:rsid w:val="00B17EC3"/>
    <w:rsid w:val="00B2087A"/>
    <w:rsid w:val="00B20BA1"/>
    <w:rsid w:val="00B2107A"/>
    <w:rsid w:val="00B215D5"/>
    <w:rsid w:val="00B216E0"/>
    <w:rsid w:val="00B21A1C"/>
    <w:rsid w:val="00B21B9B"/>
    <w:rsid w:val="00B220A2"/>
    <w:rsid w:val="00B229A2"/>
    <w:rsid w:val="00B237D5"/>
    <w:rsid w:val="00B23987"/>
    <w:rsid w:val="00B239EE"/>
    <w:rsid w:val="00B23A6A"/>
    <w:rsid w:val="00B23E1D"/>
    <w:rsid w:val="00B243CE"/>
    <w:rsid w:val="00B24DE3"/>
    <w:rsid w:val="00B256F3"/>
    <w:rsid w:val="00B257F9"/>
    <w:rsid w:val="00B25837"/>
    <w:rsid w:val="00B25948"/>
    <w:rsid w:val="00B25AA8"/>
    <w:rsid w:val="00B25C20"/>
    <w:rsid w:val="00B25E76"/>
    <w:rsid w:val="00B25F11"/>
    <w:rsid w:val="00B2685F"/>
    <w:rsid w:val="00B26F95"/>
    <w:rsid w:val="00B271B5"/>
    <w:rsid w:val="00B272D2"/>
    <w:rsid w:val="00B27308"/>
    <w:rsid w:val="00B278EA"/>
    <w:rsid w:val="00B27F84"/>
    <w:rsid w:val="00B301BB"/>
    <w:rsid w:val="00B306B6"/>
    <w:rsid w:val="00B307A5"/>
    <w:rsid w:val="00B30AA0"/>
    <w:rsid w:val="00B30C11"/>
    <w:rsid w:val="00B317C0"/>
    <w:rsid w:val="00B317C6"/>
    <w:rsid w:val="00B31C61"/>
    <w:rsid w:val="00B31E02"/>
    <w:rsid w:val="00B32847"/>
    <w:rsid w:val="00B32C6A"/>
    <w:rsid w:val="00B32D7D"/>
    <w:rsid w:val="00B33014"/>
    <w:rsid w:val="00B33791"/>
    <w:rsid w:val="00B3383D"/>
    <w:rsid w:val="00B33983"/>
    <w:rsid w:val="00B339FE"/>
    <w:rsid w:val="00B33CAC"/>
    <w:rsid w:val="00B33DE7"/>
    <w:rsid w:val="00B345A7"/>
    <w:rsid w:val="00B34618"/>
    <w:rsid w:val="00B3481E"/>
    <w:rsid w:val="00B34834"/>
    <w:rsid w:val="00B34D20"/>
    <w:rsid w:val="00B351B0"/>
    <w:rsid w:val="00B35371"/>
    <w:rsid w:val="00B35394"/>
    <w:rsid w:val="00B3559F"/>
    <w:rsid w:val="00B35A36"/>
    <w:rsid w:val="00B35B85"/>
    <w:rsid w:val="00B35C1C"/>
    <w:rsid w:val="00B35C25"/>
    <w:rsid w:val="00B35FAC"/>
    <w:rsid w:val="00B36256"/>
    <w:rsid w:val="00B36585"/>
    <w:rsid w:val="00B36853"/>
    <w:rsid w:val="00B3693C"/>
    <w:rsid w:val="00B37087"/>
    <w:rsid w:val="00B371C8"/>
    <w:rsid w:val="00B37259"/>
    <w:rsid w:val="00B372BE"/>
    <w:rsid w:val="00B376D0"/>
    <w:rsid w:val="00B37721"/>
    <w:rsid w:val="00B37B4E"/>
    <w:rsid w:val="00B37BE5"/>
    <w:rsid w:val="00B37CA6"/>
    <w:rsid w:val="00B4018A"/>
    <w:rsid w:val="00B401ED"/>
    <w:rsid w:val="00B40629"/>
    <w:rsid w:val="00B40A12"/>
    <w:rsid w:val="00B40CAA"/>
    <w:rsid w:val="00B40DA5"/>
    <w:rsid w:val="00B40E43"/>
    <w:rsid w:val="00B40E8D"/>
    <w:rsid w:val="00B41198"/>
    <w:rsid w:val="00B411B9"/>
    <w:rsid w:val="00B413AD"/>
    <w:rsid w:val="00B41776"/>
    <w:rsid w:val="00B41887"/>
    <w:rsid w:val="00B4219F"/>
    <w:rsid w:val="00B421A8"/>
    <w:rsid w:val="00B4258D"/>
    <w:rsid w:val="00B42815"/>
    <w:rsid w:val="00B428DD"/>
    <w:rsid w:val="00B42ACB"/>
    <w:rsid w:val="00B42D7F"/>
    <w:rsid w:val="00B43080"/>
    <w:rsid w:val="00B43A69"/>
    <w:rsid w:val="00B43C22"/>
    <w:rsid w:val="00B43E56"/>
    <w:rsid w:val="00B4436E"/>
    <w:rsid w:val="00B44B2A"/>
    <w:rsid w:val="00B44C96"/>
    <w:rsid w:val="00B44EC6"/>
    <w:rsid w:val="00B45012"/>
    <w:rsid w:val="00B4503B"/>
    <w:rsid w:val="00B45163"/>
    <w:rsid w:val="00B4588B"/>
    <w:rsid w:val="00B45AF5"/>
    <w:rsid w:val="00B45BF0"/>
    <w:rsid w:val="00B46044"/>
    <w:rsid w:val="00B463DC"/>
    <w:rsid w:val="00B464AB"/>
    <w:rsid w:val="00B466DA"/>
    <w:rsid w:val="00B467AA"/>
    <w:rsid w:val="00B46C13"/>
    <w:rsid w:val="00B46D0D"/>
    <w:rsid w:val="00B46FA3"/>
    <w:rsid w:val="00B471E8"/>
    <w:rsid w:val="00B47A34"/>
    <w:rsid w:val="00B47A62"/>
    <w:rsid w:val="00B47E29"/>
    <w:rsid w:val="00B50291"/>
    <w:rsid w:val="00B502B5"/>
    <w:rsid w:val="00B504D4"/>
    <w:rsid w:val="00B505AF"/>
    <w:rsid w:val="00B50838"/>
    <w:rsid w:val="00B50FC6"/>
    <w:rsid w:val="00B514D7"/>
    <w:rsid w:val="00B51586"/>
    <w:rsid w:val="00B51705"/>
    <w:rsid w:val="00B518E2"/>
    <w:rsid w:val="00B51933"/>
    <w:rsid w:val="00B523CB"/>
    <w:rsid w:val="00B5273B"/>
    <w:rsid w:val="00B52CF4"/>
    <w:rsid w:val="00B52F6A"/>
    <w:rsid w:val="00B5374C"/>
    <w:rsid w:val="00B538F7"/>
    <w:rsid w:val="00B5396A"/>
    <w:rsid w:val="00B53E7D"/>
    <w:rsid w:val="00B54591"/>
    <w:rsid w:val="00B545CB"/>
    <w:rsid w:val="00B54BDA"/>
    <w:rsid w:val="00B54CA4"/>
    <w:rsid w:val="00B54D8B"/>
    <w:rsid w:val="00B54DC0"/>
    <w:rsid w:val="00B55051"/>
    <w:rsid w:val="00B556DC"/>
    <w:rsid w:val="00B5580C"/>
    <w:rsid w:val="00B55A77"/>
    <w:rsid w:val="00B55F1F"/>
    <w:rsid w:val="00B5607C"/>
    <w:rsid w:val="00B5641F"/>
    <w:rsid w:val="00B56D86"/>
    <w:rsid w:val="00B57139"/>
    <w:rsid w:val="00B577AE"/>
    <w:rsid w:val="00B57C3A"/>
    <w:rsid w:val="00B605A0"/>
    <w:rsid w:val="00B60686"/>
    <w:rsid w:val="00B60827"/>
    <w:rsid w:val="00B60D8D"/>
    <w:rsid w:val="00B60DD8"/>
    <w:rsid w:val="00B60F67"/>
    <w:rsid w:val="00B61427"/>
    <w:rsid w:val="00B615C5"/>
    <w:rsid w:val="00B616BE"/>
    <w:rsid w:val="00B61790"/>
    <w:rsid w:val="00B6196A"/>
    <w:rsid w:val="00B61AF4"/>
    <w:rsid w:val="00B61BD1"/>
    <w:rsid w:val="00B61FFF"/>
    <w:rsid w:val="00B62758"/>
    <w:rsid w:val="00B628F2"/>
    <w:rsid w:val="00B62B1D"/>
    <w:rsid w:val="00B62B53"/>
    <w:rsid w:val="00B62CBB"/>
    <w:rsid w:val="00B62DF8"/>
    <w:rsid w:val="00B62FAB"/>
    <w:rsid w:val="00B6322F"/>
    <w:rsid w:val="00B635B5"/>
    <w:rsid w:val="00B63781"/>
    <w:rsid w:val="00B63E51"/>
    <w:rsid w:val="00B63FA3"/>
    <w:rsid w:val="00B64358"/>
    <w:rsid w:val="00B64490"/>
    <w:rsid w:val="00B64993"/>
    <w:rsid w:val="00B64A52"/>
    <w:rsid w:val="00B64B82"/>
    <w:rsid w:val="00B64E0F"/>
    <w:rsid w:val="00B6502A"/>
    <w:rsid w:val="00B6550A"/>
    <w:rsid w:val="00B6599E"/>
    <w:rsid w:val="00B65AA5"/>
    <w:rsid w:val="00B65B5A"/>
    <w:rsid w:val="00B66000"/>
    <w:rsid w:val="00B6635B"/>
    <w:rsid w:val="00B6685A"/>
    <w:rsid w:val="00B66D14"/>
    <w:rsid w:val="00B66E42"/>
    <w:rsid w:val="00B67087"/>
    <w:rsid w:val="00B670C8"/>
    <w:rsid w:val="00B67411"/>
    <w:rsid w:val="00B674F7"/>
    <w:rsid w:val="00B677B7"/>
    <w:rsid w:val="00B678B6"/>
    <w:rsid w:val="00B67B93"/>
    <w:rsid w:val="00B67F05"/>
    <w:rsid w:val="00B67F82"/>
    <w:rsid w:val="00B70C1F"/>
    <w:rsid w:val="00B70F59"/>
    <w:rsid w:val="00B711EC"/>
    <w:rsid w:val="00B7159D"/>
    <w:rsid w:val="00B7166A"/>
    <w:rsid w:val="00B716CA"/>
    <w:rsid w:val="00B7176E"/>
    <w:rsid w:val="00B718C4"/>
    <w:rsid w:val="00B719F1"/>
    <w:rsid w:val="00B720AD"/>
    <w:rsid w:val="00B72128"/>
    <w:rsid w:val="00B72773"/>
    <w:rsid w:val="00B72A30"/>
    <w:rsid w:val="00B72F05"/>
    <w:rsid w:val="00B72FAC"/>
    <w:rsid w:val="00B72FEF"/>
    <w:rsid w:val="00B732C9"/>
    <w:rsid w:val="00B73391"/>
    <w:rsid w:val="00B73C7C"/>
    <w:rsid w:val="00B73F74"/>
    <w:rsid w:val="00B73F76"/>
    <w:rsid w:val="00B747CC"/>
    <w:rsid w:val="00B74959"/>
    <w:rsid w:val="00B74D06"/>
    <w:rsid w:val="00B75157"/>
    <w:rsid w:val="00B7532C"/>
    <w:rsid w:val="00B75379"/>
    <w:rsid w:val="00B753F1"/>
    <w:rsid w:val="00B75726"/>
    <w:rsid w:val="00B7574D"/>
    <w:rsid w:val="00B75782"/>
    <w:rsid w:val="00B758DC"/>
    <w:rsid w:val="00B75AAD"/>
    <w:rsid w:val="00B75AB4"/>
    <w:rsid w:val="00B75AEB"/>
    <w:rsid w:val="00B75BC6"/>
    <w:rsid w:val="00B760CF"/>
    <w:rsid w:val="00B76580"/>
    <w:rsid w:val="00B767BF"/>
    <w:rsid w:val="00B77103"/>
    <w:rsid w:val="00B77417"/>
    <w:rsid w:val="00B7753B"/>
    <w:rsid w:val="00B7773E"/>
    <w:rsid w:val="00B77962"/>
    <w:rsid w:val="00B80094"/>
    <w:rsid w:val="00B8035E"/>
    <w:rsid w:val="00B803A7"/>
    <w:rsid w:val="00B80EEB"/>
    <w:rsid w:val="00B81042"/>
    <w:rsid w:val="00B8194D"/>
    <w:rsid w:val="00B8198A"/>
    <w:rsid w:val="00B819BC"/>
    <w:rsid w:val="00B8202D"/>
    <w:rsid w:val="00B82499"/>
    <w:rsid w:val="00B825A9"/>
    <w:rsid w:val="00B825CE"/>
    <w:rsid w:val="00B82AC3"/>
    <w:rsid w:val="00B83377"/>
    <w:rsid w:val="00B83513"/>
    <w:rsid w:val="00B83714"/>
    <w:rsid w:val="00B83946"/>
    <w:rsid w:val="00B83AC9"/>
    <w:rsid w:val="00B83B3C"/>
    <w:rsid w:val="00B83CAD"/>
    <w:rsid w:val="00B841D4"/>
    <w:rsid w:val="00B84461"/>
    <w:rsid w:val="00B84639"/>
    <w:rsid w:val="00B846CD"/>
    <w:rsid w:val="00B84C8A"/>
    <w:rsid w:val="00B84D35"/>
    <w:rsid w:val="00B8510A"/>
    <w:rsid w:val="00B85521"/>
    <w:rsid w:val="00B85750"/>
    <w:rsid w:val="00B85D54"/>
    <w:rsid w:val="00B8620F"/>
    <w:rsid w:val="00B8624D"/>
    <w:rsid w:val="00B862CD"/>
    <w:rsid w:val="00B8655D"/>
    <w:rsid w:val="00B8688C"/>
    <w:rsid w:val="00B86965"/>
    <w:rsid w:val="00B870B7"/>
    <w:rsid w:val="00B87927"/>
    <w:rsid w:val="00B87D4C"/>
    <w:rsid w:val="00B87DA2"/>
    <w:rsid w:val="00B87DB1"/>
    <w:rsid w:val="00B903EC"/>
    <w:rsid w:val="00B90645"/>
    <w:rsid w:val="00B90D6A"/>
    <w:rsid w:val="00B90DB8"/>
    <w:rsid w:val="00B90E2A"/>
    <w:rsid w:val="00B90E8E"/>
    <w:rsid w:val="00B91191"/>
    <w:rsid w:val="00B9149D"/>
    <w:rsid w:val="00B9211F"/>
    <w:rsid w:val="00B921B4"/>
    <w:rsid w:val="00B922EC"/>
    <w:rsid w:val="00B92388"/>
    <w:rsid w:val="00B924A3"/>
    <w:rsid w:val="00B92699"/>
    <w:rsid w:val="00B92841"/>
    <w:rsid w:val="00B928F5"/>
    <w:rsid w:val="00B92A56"/>
    <w:rsid w:val="00B92ED8"/>
    <w:rsid w:val="00B92F11"/>
    <w:rsid w:val="00B92F49"/>
    <w:rsid w:val="00B9300E"/>
    <w:rsid w:val="00B930E9"/>
    <w:rsid w:val="00B9314B"/>
    <w:rsid w:val="00B935DA"/>
    <w:rsid w:val="00B9371C"/>
    <w:rsid w:val="00B93829"/>
    <w:rsid w:val="00B93962"/>
    <w:rsid w:val="00B93F9A"/>
    <w:rsid w:val="00B93FD2"/>
    <w:rsid w:val="00B94023"/>
    <w:rsid w:val="00B94642"/>
    <w:rsid w:val="00B94908"/>
    <w:rsid w:val="00B94A82"/>
    <w:rsid w:val="00B94C2B"/>
    <w:rsid w:val="00B95178"/>
    <w:rsid w:val="00B953F7"/>
    <w:rsid w:val="00B9551B"/>
    <w:rsid w:val="00B95701"/>
    <w:rsid w:val="00B95CFE"/>
    <w:rsid w:val="00B95E27"/>
    <w:rsid w:val="00B963AC"/>
    <w:rsid w:val="00B96AA4"/>
    <w:rsid w:val="00B96D7B"/>
    <w:rsid w:val="00B9705E"/>
    <w:rsid w:val="00B97218"/>
    <w:rsid w:val="00B9753F"/>
    <w:rsid w:val="00B97BA4"/>
    <w:rsid w:val="00B97C46"/>
    <w:rsid w:val="00B97CE4"/>
    <w:rsid w:val="00B97D4F"/>
    <w:rsid w:val="00B97D65"/>
    <w:rsid w:val="00BA0113"/>
    <w:rsid w:val="00BA01D7"/>
    <w:rsid w:val="00BA028C"/>
    <w:rsid w:val="00BA0475"/>
    <w:rsid w:val="00BA05BE"/>
    <w:rsid w:val="00BA0668"/>
    <w:rsid w:val="00BA07A7"/>
    <w:rsid w:val="00BA09C0"/>
    <w:rsid w:val="00BA0B1B"/>
    <w:rsid w:val="00BA0BA9"/>
    <w:rsid w:val="00BA0BEF"/>
    <w:rsid w:val="00BA12B9"/>
    <w:rsid w:val="00BA157B"/>
    <w:rsid w:val="00BA15E2"/>
    <w:rsid w:val="00BA1ACE"/>
    <w:rsid w:val="00BA1C1B"/>
    <w:rsid w:val="00BA1E3B"/>
    <w:rsid w:val="00BA2049"/>
    <w:rsid w:val="00BA20EE"/>
    <w:rsid w:val="00BA25DF"/>
    <w:rsid w:val="00BA27E9"/>
    <w:rsid w:val="00BA2B30"/>
    <w:rsid w:val="00BA2C00"/>
    <w:rsid w:val="00BA2E51"/>
    <w:rsid w:val="00BA36EB"/>
    <w:rsid w:val="00BA396F"/>
    <w:rsid w:val="00BA39D3"/>
    <w:rsid w:val="00BA3D9F"/>
    <w:rsid w:val="00BA3FAC"/>
    <w:rsid w:val="00BA40C3"/>
    <w:rsid w:val="00BA4161"/>
    <w:rsid w:val="00BA421D"/>
    <w:rsid w:val="00BA434C"/>
    <w:rsid w:val="00BA44AA"/>
    <w:rsid w:val="00BA4625"/>
    <w:rsid w:val="00BA4954"/>
    <w:rsid w:val="00BA53E6"/>
    <w:rsid w:val="00BA54C7"/>
    <w:rsid w:val="00BA58AB"/>
    <w:rsid w:val="00BA63DE"/>
    <w:rsid w:val="00BA69A9"/>
    <w:rsid w:val="00BA6B75"/>
    <w:rsid w:val="00BA6BD1"/>
    <w:rsid w:val="00BA6CD1"/>
    <w:rsid w:val="00BA718E"/>
    <w:rsid w:val="00BA71F3"/>
    <w:rsid w:val="00BA7260"/>
    <w:rsid w:val="00BA7390"/>
    <w:rsid w:val="00BA75BE"/>
    <w:rsid w:val="00BA7B19"/>
    <w:rsid w:val="00BA7E31"/>
    <w:rsid w:val="00BA7EEC"/>
    <w:rsid w:val="00BA7FA6"/>
    <w:rsid w:val="00BB00E4"/>
    <w:rsid w:val="00BB0160"/>
    <w:rsid w:val="00BB0644"/>
    <w:rsid w:val="00BB09FC"/>
    <w:rsid w:val="00BB1194"/>
    <w:rsid w:val="00BB1306"/>
    <w:rsid w:val="00BB166A"/>
    <w:rsid w:val="00BB189E"/>
    <w:rsid w:val="00BB1AD0"/>
    <w:rsid w:val="00BB1ECB"/>
    <w:rsid w:val="00BB21CB"/>
    <w:rsid w:val="00BB21FD"/>
    <w:rsid w:val="00BB23A6"/>
    <w:rsid w:val="00BB23CF"/>
    <w:rsid w:val="00BB251E"/>
    <w:rsid w:val="00BB2C91"/>
    <w:rsid w:val="00BB2DB3"/>
    <w:rsid w:val="00BB2F84"/>
    <w:rsid w:val="00BB3378"/>
    <w:rsid w:val="00BB3440"/>
    <w:rsid w:val="00BB3A07"/>
    <w:rsid w:val="00BB3F8C"/>
    <w:rsid w:val="00BB40FE"/>
    <w:rsid w:val="00BB4207"/>
    <w:rsid w:val="00BB4421"/>
    <w:rsid w:val="00BB4470"/>
    <w:rsid w:val="00BB46ED"/>
    <w:rsid w:val="00BB48C5"/>
    <w:rsid w:val="00BB496B"/>
    <w:rsid w:val="00BB49DF"/>
    <w:rsid w:val="00BB4BDD"/>
    <w:rsid w:val="00BB4E71"/>
    <w:rsid w:val="00BB512C"/>
    <w:rsid w:val="00BB5416"/>
    <w:rsid w:val="00BB5450"/>
    <w:rsid w:val="00BB55BA"/>
    <w:rsid w:val="00BB5998"/>
    <w:rsid w:val="00BB5D9D"/>
    <w:rsid w:val="00BB5FA3"/>
    <w:rsid w:val="00BB6250"/>
    <w:rsid w:val="00BB6647"/>
    <w:rsid w:val="00BB6C8C"/>
    <w:rsid w:val="00BB6D80"/>
    <w:rsid w:val="00BB701C"/>
    <w:rsid w:val="00BB7225"/>
    <w:rsid w:val="00BB7D66"/>
    <w:rsid w:val="00BB7D7A"/>
    <w:rsid w:val="00BC005C"/>
    <w:rsid w:val="00BC0528"/>
    <w:rsid w:val="00BC068C"/>
    <w:rsid w:val="00BC0CF2"/>
    <w:rsid w:val="00BC0E52"/>
    <w:rsid w:val="00BC0E99"/>
    <w:rsid w:val="00BC0F00"/>
    <w:rsid w:val="00BC0F27"/>
    <w:rsid w:val="00BC0FA9"/>
    <w:rsid w:val="00BC121D"/>
    <w:rsid w:val="00BC1499"/>
    <w:rsid w:val="00BC1B95"/>
    <w:rsid w:val="00BC1BF7"/>
    <w:rsid w:val="00BC1C82"/>
    <w:rsid w:val="00BC1E91"/>
    <w:rsid w:val="00BC1F1E"/>
    <w:rsid w:val="00BC2218"/>
    <w:rsid w:val="00BC2620"/>
    <w:rsid w:val="00BC2D21"/>
    <w:rsid w:val="00BC2F1C"/>
    <w:rsid w:val="00BC2F2E"/>
    <w:rsid w:val="00BC31DA"/>
    <w:rsid w:val="00BC339D"/>
    <w:rsid w:val="00BC33A8"/>
    <w:rsid w:val="00BC3600"/>
    <w:rsid w:val="00BC36D8"/>
    <w:rsid w:val="00BC36E3"/>
    <w:rsid w:val="00BC3EB3"/>
    <w:rsid w:val="00BC4019"/>
    <w:rsid w:val="00BC4022"/>
    <w:rsid w:val="00BC4270"/>
    <w:rsid w:val="00BC45A7"/>
    <w:rsid w:val="00BC4887"/>
    <w:rsid w:val="00BC48D8"/>
    <w:rsid w:val="00BC4BB3"/>
    <w:rsid w:val="00BC4F87"/>
    <w:rsid w:val="00BC504F"/>
    <w:rsid w:val="00BC517F"/>
    <w:rsid w:val="00BC550D"/>
    <w:rsid w:val="00BC563C"/>
    <w:rsid w:val="00BC5BD2"/>
    <w:rsid w:val="00BC5C63"/>
    <w:rsid w:val="00BC6070"/>
    <w:rsid w:val="00BC66BB"/>
    <w:rsid w:val="00BC6BFF"/>
    <w:rsid w:val="00BC7059"/>
    <w:rsid w:val="00BC79FF"/>
    <w:rsid w:val="00BC7B68"/>
    <w:rsid w:val="00BD004D"/>
    <w:rsid w:val="00BD048E"/>
    <w:rsid w:val="00BD0CCF"/>
    <w:rsid w:val="00BD1113"/>
    <w:rsid w:val="00BD1367"/>
    <w:rsid w:val="00BD1A3B"/>
    <w:rsid w:val="00BD1A6B"/>
    <w:rsid w:val="00BD215C"/>
    <w:rsid w:val="00BD23F7"/>
    <w:rsid w:val="00BD242F"/>
    <w:rsid w:val="00BD2C82"/>
    <w:rsid w:val="00BD3161"/>
    <w:rsid w:val="00BD36EA"/>
    <w:rsid w:val="00BD373A"/>
    <w:rsid w:val="00BD37EA"/>
    <w:rsid w:val="00BD3A50"/>
    <w:rsid w:val="00BD3A6C"/>
    <w:rsid w:val="00BD3D92"/>
    <w:rsid w:val="00BD4639"/>
    <w:rsid w:val="00BD4713"/>
    <w:rsid w:val="00BD4736"/>
    <w:rsid w:val="00BD4ADB"/>
    <w:rsid w:val="00BD4B18"/>
    <w:rsid w:val="00BD4E21"/>
    <w:rsid w:val="00BD56B8"/>
    <w:rsid w:val="00BD5A1B"/>
    <w:rsid w:val="00BD5C1B"/>
    <w:rsid w:val="00BD5FA8"/>
    <w:rsid w:val="00BD5FB9"/>
    <w:rsid w:val="00BD645D"/>
    <w:rsid w:val="00BD6707"/>
    <w:rsid w:val="00BD67A5"/>
    <w:rsid w:val="00BD6843"/>
    <w:rsid w:val="00BD68DA"/>
    <w:rsid w:val="00BD6F63"/>
    <w:rsid w:val="00BD725C"/>
    <w:rsid w:val="00BD791E"/>
    <w:rsid w:val="00BE0157"/>
    <w:rsid w:val="00BE01B1"/>
    <w:rsid w:val="00BE045B"/>
    <w:rsid w:val="00BE070C"/>
    <w:rsid w:val="00BE07F8"/>
    <w:rsid w:val="00BE0C11"/>
    <w:rsid w:val="00BE0D25"/>
    <w:rsid w:val="00BE0E5E"/>
    <w:rsid w:val="00BE10C3"/>
    <w:rsid w:val="00BE1817"/>
    <w:rsid w:val="00BE1859"/>
    <w:rsid w:val="00BE18AA"/>
    <w:rsid w:val="00BE1BE1"/>
    <w:rsid w:val="00BE1C38"/>
    <w:rsid w:val="00BE1D6A"/>
    <w:rsid w:val="00BE226B"/>
    <w:rsid w:val="00BE2E8E"/>
    <w:rsid w:val="00BE2F9F"/>
    <w:rsid w:val="00BE314C"/>
    <w:rsid w:val="00BE3516"/>
    <w:rsid w:val="00BE3636"/>
    <w:rsid w:val="00BE3B31"/>
    <w:rsid w:val="00BE3E45"/>
    <w:rsid w:val="00BE4032"/>
    <w:rsid w:val="00BE42E1"/>
    <w:rsid w:val="00BE43C3"/>
    <w:rsid w:val="00BE45B6"/>
    <w:rsid w:val="00BE4897"/>
    <w:rsid w:val="00BE49A6"/>
    <w:rsid w:val="00BE4A53"/>
    <w:rsid w:val="00BE55EA"/>
    <w:rsid w:val="00BE5812"/>
    <w:rsid w:val="00BE588B"/>
    <w:rsid w:val="00BE5B01"/>
    <w:rsid w:val="00BE5EEB"/>
    <w:rsid w:val="00BE639D"/>
    <w:rsid w:val="00BE661D"/>
    <w:rsid w:val="00BE66D1"/>
    <w:rsid w:val="00BE673A"/>
    <w:rsid w:val="00BE6965"/>
    <w:rsid w:val="00BE701B"/>
    <w:rsid w:val="00BE70AB"/>
    <w:rsid w:val="00BE7637"/>
    <w:rsid w:val="00BE7643"/>
    <w:rsid w:val="00BE76D0"/>
    <w:rsid w:val="00BE76E8"/>
    <w:rsid w:val="00BE7B1D"/>
    <w:rsid w:val="00BF0004"/>
    <w:rsid w:val="00BF00A7"/>
    <w:rsid w:val="00BF0133"/>
    <w:rsid w:val="00BF031D"/>
    <w:rsid w:val="00BF0568"/>
    <w:rsid w:val="00BF0B8C"/>
    <w:rsid w:val="00BF0FB4"/>
    <w:rsid w:val="00BF13DA"/>
    <w:rsid w:val="00BF1CC4"/>
    <w:rsid w:val="00BF1F9C"/>
    <w:rsid w:val="00BF212F"/>
    <w:rsid w:val="00BF26ED"/>
    <w:rsid w:val="00BF27A9"/>
    <w:rsid w:val="00BF29C2"/>
    <w:rsid w:val="00BF2A3D"/>
    <w:rsid w:val="00BF2AD8"/>
    <w:rsid w:val="00BF2C32"/>
    <w:rsid w:val="00BF2D99"/>
    <w:rsid w:val="00BF2EE2"/>
    <w:rsid w:val="00BF2F4E"/>
    <w:rsid w:val="00BF308D"/>
    <w:rsid w:val="00BF3175"/>
    <w:rsid w:val="00BF3723"/>
    <w:rsid w:val="00BF3CFA"/>
    <w:rsid w:val="00BF3E7D"/>
    <w:rsid w:val="00BF4028"/>
    <w:rsid w:val="00BF44E6"/>
    <w:rsid w:val="00BF4842"/>
    <w:rsid w:val="00BF5381"/>
    <w:rsid w:val="00BF560A"/>
    <w:rsid w:val="00BF562D"/>
    <w:rsid w:val="00BF592C"/>
    <w:rsid w:val="00BF626A"/>
    <w:rsid w:val="00BF6A75"/>
    <w:rsid w:val="00BF738E"/>
    <w:rsid w:val="00BF772F"/>
    <w:rsid w:val="00BF7B9E"/>
    <w:rsid w:val="00BF7D23"/>
    <w:rsid w:val="00BF7E46"/>
    <w:rsid w:val="00BF7F4D"/>
    <w:rsid w:val="00C00053"/>
    <w:rsid w:val="00C009D8"/>
    <w:rsid w:val="00C00AC0"/>
    <w:rsid w:val="00C00D43"/>
    <w:rsid w:val="00C00FFC"/>
    <w:rsid w:val="00C0104D"/>
    <w:rsid w:val="00C01195"/>
    <w:rsid w:val="00C01438"/>
    <w:rsid w:val="00C01584"/>
    <w:rsid w:val="00C0163B"/>
    <w:rsid w:val="00C018D6"/>
    <w:rsid w:val="00C01ABA"/>
    <w:rsid w:val="00C01C0D"/>
    <w:rsid w:val="00C01CCC"/>
    <w:rsid w:val="00C01D74"/>
    <w:rsid w:val="00C01EAE"/>
    <w:rsid w:val="00C01EE1"/>
    <w:rsid w:val="00C02706"/>
    <w:rsid w:val="00C028BA"/>
    <w:rsid w:val="00C02999"/>
    <w:rsid w:val="00C02BC9"/>
    <w:rsid w:val="00C031E8"/>
    <w:rsid w:val="00C04539"/>
    <w:rsid w:val="00C048C7"/>
    <w:rsid w:val="00C04A90"/>
    <w:rsid w:val="00C04DEE"/>
    <w:rsid w:val="00C04EEB"/>
    <w:rsid w:val="00C0580B"/>
    <w:rsid w:val="00C05836"/>
    <w:rsid w:val="00C05910"/>
    <w:rsid w:val="00C059A8"/>
    <w:rsid w:val="00C05A5E"/>
    <w:rsid w:val="00C05B18"/>
    <w:rsid w:val="00C05BCA"/>
    <w:rsid w:val="00C062C8"/>
    <w:rsid w:val="00C0639F"/>
    <w:rsid w:val="00C065EF"/>
    <w:rsid w:val="00C06741"/>
    <w:rsid w:val="00C0684C"/>
    <w:rsid w:val="00C068AA"/>
    <w:rsid w:val="00C06A73"/>
    <w:rsid w:val="00C06BCB"/>
    <w:rsid w:val="00C06D2A"/>
    <w:rsid w:val="00C06EA3"/>
    <w:rsid w:val="00C070ED"/>
    <w:rsid w:val="00C07388"/>
    <w:rsid w:val="00C073AB"/>
    <w:rsid w:val="00C073ED"/>
    <w:rsid w:val="00C078DE"/>
    <w:rsid w:val="00C07D92"/>
    <w:rsid w:val="00C07EC8"/>
    <w:rsid w:val="00C100E8"/>
    <w:rsid w:val="00C10157"/>
    <w:rsid w:val="00C10273"/>
    <w:rsid w:val="00C106C0"/>
    <w:rsid w:val="00C10742"/>
    <w:rsid w:val="00C10DAC"/>
    <w:rsid w:val="00C11103"/>
    <w:rsid w:val="00C111EE"/>
    <w:rsid w:val="00C11490"/>
    <w:rsid w:val="00C114D0"/>
    <w:rsid w:val="00C11931"/>
    <w:rsid w:val="00C1198D"/>
    <w:rsid w:val="00C11EDF"/>
    <w:rsid w:val="00C11F3D"/>
    <w:rsid w:val="00C128B3"/>
    <w:rsid w:val="00C1290E"/>
    <w:rsid w:val="00C12982"/>
    <w:rsid w:val="00C12B2F"/>
    <w:rsid w:val="00C12E2C"/>
    <w:rsid w:val="00C131A5"/>
    <w:rsid w:val="00C135F2"/>
    <w:rsid w:val="00C13D72"/>
    <w:rsid w:val="00C13F42"/>
    <w:rsid w:val="00C14137"/>
    <w:rsid w:val="00C1419C"/>
    <w:rsid w:val="00C14535"/>
    <w:rsid w:val="00C14FC1"/>
    <w:rsid w:val="00C156F3"/>
    <w:rsid w:val="00C15BDA"/>
    <w:rsid w:val="00C15C1C"/>
    <w:rsid w:val="00C15F4C"/>
    <w:rsid w:val="00C16078"/>
    <w:rsid w:val="00C1667C"/>
    <w:rsid w:val="00C16AEE"/>
    <w:rsid w:val="00C16B1A"/>
    <w:rsid w:val="00C16BBF"/>
    <w:rsid w:val="00C16C87"/>
    <w:rsid w:val="00C16CF0"/>
    <w:rsid w:val="00C16E29"/>
    <w:rsid w:val="00C1768D"/>
    <w:rsid w:val="00C177A3"/>
    <w:rsid w:val="00C202C3"/>
    <w:rsid w:val="00C20323"/>
    <w:rsid w:val="00C20332"/>
    <w:rsid w:val="00C2053B"/>
    <w:rsid w:val="00C20A5C"/>
    <w:rsid w:val="00C20C57"/>
    <w:rsid w:val="00C20ED3"/>
    <w:rsid w:val="00C20F5B"/>
    <w:rsid w:val="00C21053"/>
    <w:rsid w:val="00C213F4"/>
    <w:rsid w:val="00C21A18"/>
    <w:rsid w:val="00C21A24"/>
    <w:rsid w:val="00C21FF3"/>
    <w:rsid w:val="00C2291C"/>
    <w:rsid w:val="00C22B8E"/>
    <w:rsid w:val="00C22BBE"/>
    <w:rsid w:val="00C22C0F"/>
    <w:rsid w:val="00C22E24"/>
    <w:rsid w:val="00C22E85"/>
    <w:rsid w:val="00C23111"/>
    <w:rsid w:val="00C2336E"/>
    <w:rsid w:val="00C2346F"/>
    <w:rsid w:val="00C239A6"/>
    <w:rsid w:val="00C239AD"/>
    <w:rsid w:val="00C23B37"/>
    <w:rsid w:val="00C2415A"/>
    <w:rsid w:val="00C241A4"/>
    <w:rsid w:val="00C24610"/>
    <w:rsid w:val="00C24877"/>
    <w:rsid w:val="00C24BE9"/>
    <w:rsid w:val="00C24C41"/>
    <w:rsid w:val="00C24CF2"/>
    <w:rsid w:val="00C24F4C"/>
    <w:rsid w:val="00C24FE6"/>
    <w:rsid w:val="00C25842"/>
    <w:rsid w:val="00C25893"/>
    <w:rsid w:val="00C258CD"/>
    <w:rsid w:val="00C25CBA"/>
    <w:rsid w:val="00C26078"/>
    <w:rsid w:val="00C26369"/>
    <w:rsid w:val="00C2639B"/>
    <w:rsid w:val="00C267E5"/>
    <w:rsid w:val="00C268E7"/>
    <w:rsid w:val="00C26938"/>
    <w:rsid w:val="00C269CA"/>
    <w:rsid w:val="00C27110"/>
    <w:rsid w:val="00C27378"/>
    <w:rsid w:val="00C275DB"/>
    <w:rsid w:val="00C2766A"/>
    <w:rsid w:val="00C2781E"/>
    <w:rsid w:val="00C27DF8"/>
    <w:rsid w:val="00C27FFE"/>
    <w:rsid w:val="00C306F1"/>
    <w:rsid w:val="00C30791"/>
    <w:rsid w:val="00C307FA"/>
    <w:rsid w:val="00C30D6C"/>
    <w:rsid w:val="00C318D4"/>
    <w:rsid w:val="00C31CEA"/>
    <w:rsid w:val="00C3212C"/>
    <w:rsid w:val="00C3262D"/>
    <w:rsid w:val="00C3272B"/>
    <w:rsid w:val="00C32853"/>
    <w:rsid w:val="00C329A1"/>
    <w:rsid w:val="00C32C20"/>
    <w:rsid w:val="00C32F2A"/>
    <w:rsid w:val="00C32FA4"/>
    <w:rsid w:val="00C3314A"/>
    <w:rsid w:val="00C3342D"/>
    <w:rsid w:val="00C336A5"/>
    <w:rsid w:val="00C33919"/>
    <w:rsid w:val="00C33A4D"/>
    <w:rsid w:val="00C33B35"/>
    <w:rsid w:val="00C33B57"/>
    <w:rsid w:val="00C33CB6"/>
    <w:rsid w:val="00C33F36"/>
    <w:rsid w:val="00C33FFC"/>
    <w:rsid w:val="00C342D1"/>
    <w:rsid w:val="00C3447F"/>
    <w:rsid w:val="00C344D7"/>
    <w:rsid w:val="00C34756"/>
    <w:rsid w:val="00C347F9"/>
    <w:rsid w:val="00C34B23"/>
    <w:rsid w:val="00C34CD8"/>
    <w:rsid w:val="00C34E38"/>
    <w:rsid w:val="00C35057"/>
    <w:rsid w:val="00C351D6"/>
    <w:rsid w:val="00C35260"/>
    <w:rsid w:val="00C35675"/>
    <w:rsid w:val="00C35794"/>
    <w:rsid w:val="00C3591F"/>
    <w:rsid w:val="00C35A04"/>
    <w:rsid w:val="00C35B77"/>
    <w:rsid w:val="00C35BAA"/>
    <w:rsid w:val="00C35DD5"/>
    <w:rsid w:val="00C36020"/>
    <w:rsid w:val="00C360C5"/>
    <w:rsid w:val="00C3612D"/>
    <w:rsid w:val="00C3627C"/>
    <w:rsid w:val="00C366BE"/>
    <w:rsid w:val="00C368EF"/>
    <w:rsid w:val="00C372BE"/>
    <w:rsid w:val="00C373D7"/>
    <w:rsid w:val="00C3789B"/>
    <w:rsid w:val="00C37996"/>
    <w:rsid w:val="00C37C88"/>
    <w:rsid w:val="00C40024"/>
    <w:rsid w:val="00C4020B"/>
    <w:rsid w:val="00C40374"/>
    <w:rsid w:val="00C4053D"/>
    <w:rsid w:val="00C4096A"/>
    <w:rsid w:val="00C40A7D"/>
    <w:rsid w:val="00C40BE0"/>
    <w:rsid w:val="00C41532"/>
    <w:rsid w:val="00C4161E"/>
    <w:rsid w:val="00C41A53"/>
    <w:rsid w:val="00C41AF9"/>
    <w:rsid w:val="00C41C53"/>
    <w:rsid w:val="00C41CFD"/>
    <w:rsid w:val="00C41DDC"/>
    <w:rsid w:val="00C41E42"/>
    <w:rsid w:val="00C4239B"/>
    <w:rsid w:val="00C424FB"/>
    <w:rsid w:val="00C42522"/>
    <w:rsid w:val="00C42880"/>
    <w:rsid w:val="00C4298F"/>
    <w:rsid w:val="00C42A11"/>
    <w:rsid w:val="00C42F0A"/>
    <w:rsid w:val="00C4303F"/>
    <w:rsid w:val="00C430F9"/>
    <w:rsid w:val="00C43241"/>
    <w:rsid w:val="00C432A9"/>
    <w:rsid w:val="00C43337"/>
    <w:rsid w:val="00C43B9E"/>
    <w:rsid w:val="00C43BF8"/>
    <w:rsid w:val="00C43C0B"/>
    <w:rsid w:val="00C43F9E"/>
    <w:rsid w:val="00C4401B"/>
    <w:rsid w:val="00C44168"/>
    <w:rsid w:val="00C4420F"/>
    <w:rsid w:val="00C443C2"/>
    <w:rsid w:val="00C4459D"/>
    <w:rsid w:val="00C4486F"/>
    <w:rsid w:val="00C44D27"/>
    <w:rsid w:val="00C44D51"/>
    <w:rsid w:val="00C44F29"/>
    <w:rsid w:val="00C44F55"/>
    <w:rsid w:val="00C45390"/>
    <w:rsid w:val="00C453A0"/>
    <w:rsid w:val="00C455F5"/>
    <w:rsid w:val="00C456B5"/>
    <w:rsid w:val="00C4590A"/>
    <w:rsid w:val="00C4592C"/>
    <w:rsid w:val="00C45C49"/>
    <w:rsid w:val="00C4617F"/>
    <w:rsid w:val="00C4620F"/>
    <w:rsid w:val="00C46210"/>
    <w:rsid w:val="00C46793"/>
    <w:rsid w:val="00C47005"/>
    <w:rsid w:val="00C47443"/>
    <w:rsid w:val="00C47709"/>
    <w:rsid w:val="00C4777F"/>
    <w:rsid w:val="00C479E9"/>
    <w:rsid w:val="00C47AEF"/>
    <w:rsid w:val="00C47C7E"/>
    <w:rsid w:val="00C47E5D"/>
    <w:rsid w:val="00C47FAD"/>
    <w:rsid w:val="00C5009E"/>
    <w:rsid w:val="00C507B7"/>
    <w:rsid w:val="00C50944"/>
    <w:rsid w:val="00C50948"/>
    <w:rsid w:val="00C50A56"/>
    <w:rsid w:val="00C50A65"/>
    <w:rsid w:val="00C50C3A"/>
    <w:rsid w:val="00C5102E"/>
    <w:rsid w:val="00C51032"/>
    <w:rsid w:val="00C51648"/>
    <w:rsid w:val="00C5192E"/>
    <w:rsid w:val="00C51CD8"/>
    <w:rsid w:val="00C51E17"/>
    <w:rsid w:val="00C51E4D"/>
    <w:rsid w:val="00C52123"/>
    <w:rsid w:val="00C524A2"/>
    <w:rsid w:val="00C524B4"/>
    <w:rsid w:val="00C52B12"/>
    <w:rsid w:val="00C52F75"/>
    <w:rsid w:val="00C52FBD"/>
    <w:rsid w:val="00C532D6"/>
    <w:rsid w:val="00C53444"/>
    <w:rsid w:val="00C53502"/>
    <w:rsid w:val="00C537D5"/>
    <w:rsid w:val="00C53CBC"/>
    <w:rsid w:val="00C54486"/>
    <w:rsid w:val="00C54508"/>
    <w:rsid w:val="00C5452D"/>
    <w:rsid w:val="00C54813"/>
    <w:rsid w:val="00C548E4"/>
    <w:rsid w:val="00C54D85"/>
    <w:rsid w:val="00C552C7"/>
    <w:rsid w:val="00C55428"/>
    <w:rsid w:val="00C556E5"/>
    <w:rsid w:val="00C55D05"/>
    <w:rsid w:val="00C56095"/>
    <w:rsid w:val="00C563B8"/>
    <w:rsid w:val="00C56571"/>
    <w:rsid w:val="00C5682E"/>
    <w:rsid w:val="00C569B8"/>
    <w:rsid w:val="00C56D03"/>
    <w:rsid w:val="00C56DD0"/>
    <w:rsid w:val="00C57018"/>
    <w:rsid w:val="00C57086"/>
    <w:rsid w:val="00C5764F"/>
    <w:rsid w:val="00C57BA0"/>
    <w:rsid w:val="00C57C0E"/>
    <w:rsid w:val="00C57DE1"/>
    <w:rsid w:val="00C57F74"/>
    <w:rsid w:val="00C6024D"/>
    <w:rsid w:val="00C6055D"/>
    <w:rsid w:val="00C609A5"/>
    <w:rsid w:val="00C60B61"/>
    <w:rsid w:val="00C60F49"/>
    <w:rsid w:val="00C610EF"/>
    <w:rsid w:val="00C613B4"/>
    <w:rsid w:val="00C613EE"/>
    <w:rsid w:val="00C616BC"/>
    <w:rsid w:val="00C6176E"/>
    <w:rsid w:val="00C61807"/>
    <w:rsid w:val="00C61888"/>
    <w:rsid w:val="00C6198D"/>
    <w:rsid w:val="00C61F65"/>
    <w:rsid w:val="00C61FFD"/>
    <w:rsid w:val="00C621E3"/>
    <w:rsid w:val="00C6285E"/>
    <w:rsid w:val="00C62930"/>
    <w:rsid w:val="00C6297A"/>
    <w:rsid w:val="00C6392C"/>
    <w:rsid w:val="00C639DD"/>
    <w:rsid w:val="00C63AB5"/>
    <w:rsid w:val="00C63C0F"/>
    <w:rsid w:val="00C640AE"/>
    <w:rsid w:val="00C64404"/>
    <w:rsid w:val="00C647D4"/>
    <w:rsid w:val="00C64B0E"/>
    <w:rsid w:val="00C64F6F"/>
    <w:rsid w:val="00C65801"/>
    <w:rsid w:val="00C65916"/>
    <w:rsid w:val="00C65918"/>
    <w:rsid w:val="00C65AF2"/>
    <w:rsid w:val="00C65B19"/>
    <w:rsid w:val="00C66247"/>
    <w:rsid w:val="00C667CC"/>
    <w:rsid w:val="00C66821"/>
    <w:rsid w:val="00C668ED"/>
    <w:rsid w:val="00C66E5D"/>
    <w:rsid w:val="00C67340"/>
    <w:rsid w:val="00C6765F"/>
    <w:rsid w:val="00C676B4"/>
    <w:rsid w:val="00C6776F"/>
    <w:rsid w:val="00C67857"/>
    <w:rsid w:val="00C67883"/>
    <w:rsid w:val="00C6799B"/>
    <w:rsid w:val="00C679CB"/>
    <w:rsid w:val="00C67A46"/>
    <w:rsid w:val="00C67B80"/>
    <w:rsid w:val="00C67BC4"/>
    <w:rsid w:val="00C702A1"/>
    <w:rsid w:val="00C704FE"/>
    <w:rsid w:val="00C70A32"/>
    <w:rsid w:val="00C70BC2"/>
    <w:rsid w:val="00C70C18"/>
    <w:rsid w:val="00C70C5B"/>
    <w:rsid w:val="00C70E06"/>
    <w:rsid w:val="00C70E2E"/>
    <w:rsid w:val="00C70ED9"/>
    <w:rsid w:val="00C70F6E"/>
    <w:rsid w:val="00C714DF"/>
    <w:rsid w:val="00C717B0"/>
    <w:rsid w:val="00C71818"/>
    <w:rsid w:val="00C7183B"/>
    <w:rsid w:val="00C71C54"/>
    <w:rsid w:val="00C71CF2"/>
    <w:rsid w:val="00C727AE"/>
    <w:rsid w:val="00C72AC3"/>
    <w:rsid w:val="00C72BAA"/>
    <w:rsid w:val="00C72DB5"/>
    <w:rsid w:val="00C72FFA"/>
    <w:rsid w:val="00C73050"/>
    <w:rsid w:val="00C735A5"/>
    <w:rsid w:val="00C738C8"/>
    <w:rsid w:val="00C73F6C"/>
    <w:rsid w:val="00C74298"/>
    <w:rsid w:val="00C74392"/>
    <w:rsid w:val="00C7458C"/>
    <w:rsid w:val="00C7490F"/>
    <w:rsid w:val="00C749A1"/>
    <w:rsid w:val="00C74C73"/>
    <w:rsid w:val="00C74FD4"/>
    <w:rsid w:val="00C75034"/>
    <w:rsid w:val="00C7504D"/>
    <w:rsid w:val="00C751D7"/>
    <w:rsid w:val="00C753A6"/>
    <w:rsid w:val="00C7564F"/>
    <w:rsid w:val="00C75B06"/>
    <w:rsid w:val="00C75D6B"/>
    <w:rsid w:val="00C75FD6"/>
    <w:rsid w:val="00C760AA"/>
    <w:rsid w:val="00C761B2"/>
    <w:rsid w:val="00C7698E"/>
    <w:rsid w:val="00C76FA1"/>
    <w:rsid w:val="00C76FBC"/>
    <w:rsid w:val="00C7711F"/>
    <w:rsid w:val="00C77A06"/>
    <w:rsid w:val="00C77AE8"/>
    <w:rsid w:val="00C77AF4"/>
    <w:rsid w:val="00C77BD5"/>
    <w:rsid w:val="00C8018A"/>
    <w:rsid w:val="00C80473"/>
    <w:rsid w:val="00C808D8"/>
    <w:rsid w:val="00C80BB7"/>
    <w:rsid w:val="00C80DEB"/>
    <w:rsid w:val="00C80E56"/>
    <w:rsid w:val="00C81098"/>
    <w:rsid w:val="00C81328"/>
    <w:rsid w:val="00C81359"/>
    <w:rsid w:val="00C81626"/>
    <w:rsid w:val="00C81835"/>
    <w:rsid w:val="00C81CD9"/>
    <w:rsid w:val="00C81F3B"/>
    <w:rsid w:val="00C81FC1"/>
    <w:rsid w:val="00C820D1"/>
    <w:rsid w:val="00C82484"/>
    <w:rsid w:val="00C825FF"/>
    <w:rsid w:val="00C828FF"/>
    <w:rsid w:val="00C8295A"/>
    <w:rsid w:val="00C82E33"/>
    <w:rsid w:val="00C82ED8"/>
    <w:rsid w:val="00C8325D"/>
    <w:rsid w:val="00C835D0"/>
    <w:rsid w:val="00C8362E"/>
    <w:rsid w:val="00C83677"/>
    <w:rsid w:val="00C83963"/>
    <w:rsid w:val="00C83B4D"/>
    <w:rsid w:val="00C83CCE"/>
    <w:rsid w:val="00C84198"/>
    <w:rsid w:val="00C84572"/>
    <w:rsid w:val="00C8474A"/>
    <w:rsid w:val="00C84921"/>
    <w:rsid w:val="00C84A3E"/>
    <w:rsid w:val="00C84E64"/>
    <w:rsid w:val="00C84FE2"/>
    <w:rsid w:val="00C85036"/>
    <w:rsid w:val="00C8529E"/>
    <w:rsid w:val="00C8575E"/>
    <w:rsid w:val="00C857A1"/>
    <w:rsid w:val="00C8589B"/>
    <w:rsid w:val="00C858B8"/>
    <w:rsid w:val="00C85EA5"/>
    <w:rsid w:val="00C86004"/>
    <w:rsid w:val="00C86366"/>
    <w:rsid w:val="00C866B0"/>
    <w:rsid w:val="00C867E8"/>
    <w:rsid w:val="00C86817"/>
    <w:rsid w:val="00C86CA9"/>
    <w:rsid w:val="00C86D98"/>
    <w:rsid w:val="00C874C3"/>
    <w:rsid w:val="00C87555"/>
    <w:rsid w:val="00C87AE1"/>
    <w:rsid w:val="00C87F36"/>
    <w:rsid w:val="00C87F3D"/>
    <w:rsid w:val="00C90587"/>
    <w:rsid w:val="00C90722"/>
    <w:rsid w:val="00C9079F"/>
    <w:rsid w:val="00C90C0A"/>
    <w:rsid w:val="00C90E4C"/>
    <w:rsid w:val="00C9134E"/>
    <w:rsid w:val="00C91420"/>
    <w:rsid w:val="00C91ABA"/>
    <w:rsid w:val="00C91E1F"/>
    <w:rsid w:val="00C923D6"/>
    <w:rsid w:val="00C92B40"/>
    <w:rsid w:val="00C92D41"/>
    <w:rsid w:val="00C92ECC"/>
    <w:rsid w:val="00C931B6"/>
    <w:rsid w:val="00C93737"/>
    <w:rsid w:val="00C93830"/>
    <w:rsid w:val="00C93CD6"/>
    <w:rsid w:val="00C93CE4"/>
    <w:rsid w:val="00C9453F"/>
    <w:rsid w:val="00C945DC"/>
    <w:rsid w:val="00C94835"/>
    <w:rsid w:val="00C94BB2"/>
    <w:rsid w:val="00C94DE5"/>
    <w:rsid w:val="00C94F80"/>
    <w:rsid w:val="00C95622"/>
    <w:rsid w:val="00C9564C"/>
    <w:rsid w:val="00C95690"/>
    <w:rsid w:val="00C95A17"/>
    <w:rsid w:val="00C95B8E"/>
    <w:rsid w:val="00C96018"/>
    <w:rsid w:val="00C96186"/>
    <w:rsid w:val="00C968E7"/>
    <w:rsid w:val="00C96B04"/>
    <w:rsid w:val="00C96BC5"/>
    <w:rsid w:val="00C96E9B"/>
    <w:rsid w:val="00C9700B"/>
    <w:rsid w:val="00C9716A"/>
    <w:rsid w:val="00C97C54"/>
    <w:rsid w:val="00C97F02"/>
    <w:rsid w:val="00CA013E"/>
    <w:rsid w:val="00CA04A3"/>
    <w:rsid w:val="00CA053F"/>
    <w:rsid w:val="00CA05CD"/>
    <w:rsid w:val="00CA073E"/>
    <w:rsid w:val="00CA0BE6"/>
    <w:rsid w:val="00CA0DA7"/>
    <w:rsid w:val="00CA1351"/>
    <w:rsid w:val="00CA13F0"/>
    <w:rsid w:val="00CA1858"/>
    <w:rsid w:val="00CA1B64"/>
    <w:rsid w:val="00CA1F11"/>
    <w:rsid w:val="00CA205E"/>
    <w:rsid w:val="00CA2253"/>
    <w:rsid w:val="00CA237A"/>
    <w:rsid w:val="00CA24B8"/>
    <w:rsid w:val="00CA2572"/>
    <w:rsid w:val="00CA2958"/>
    <w:rsid w:val="00CA2E8E"/>
    <w:rsid w:val="00CA2F28"/>
    <w:rsid w:val="00CA35BF"/>
    <w:rsid w:val="00CA3696"/>
    <w:rsid w:val="00CA37F4"/>
    <w:rsid w:val="00CA38E2"/>
    <w:rsid w:val="00CA3A40"/>
    <w:rsid w:val="00CA3BE9"/>
    <w:rsid w:val="00CA3EA3"/>
    <w:rsid w:val="00CA4115"/>
    <w:rsid w:val="00CA419A"/>
    <w:rsid w:val="00CA4308"/>
    <w:rsid w:val="00CA4DF8"/>
    <w:rsid w:val="00CA5494"/>
    <w:rsid w:val="00CA5615"/>
    <w:rsid w:val="00CA5AA2"/>
    <w:rsid w:val="00CA5D40"/>
    <w:rsid w:val="00CA5FEE"/>
    <w:rsid w:val="00CA68F6"/>
    <w:rsid w:val="00CA6B48"/>
    <w:rsid w:val="00CA6D22"/>
    <w:rsid w:val="00CA6E04"/>
    <w:rsid w:val="00CA76EA"/>
    <w:rsid w:val="00CA7768"/>
    <w:rsid w:val="00CA778F"/>
    <w:rsid w:val="00CA78A7"/>
    <w:rsid w:val="00CA7975"/>
    <w:rsid w:val="00CA79F4"/>
    <w:rsid w:val="00CA7A72"/>
    <w:rsid w:val="00CA7BFD"/>
    <w:rsid w:val="00CB0034"/>
    <w:rsid w:val="00CB040B"/>
    <w:rsid w:val="00CB04FB"/>
    <w:rsid w:val="00CB0584"/>
    <w:rsid w:val="00CB0682"/>
    <w:rsid w:val="00CB09F9"/>
    <w:rsid w:val="00CB0A42"/>
    <w:rsid w:val="00CB0D38"/>
    <w:rsid w:val="00CB1090"/>
    <w:rsid w:val="00CB139B"/>
    <w:rsid w:val="00CB1450"/>
    <w:rsid w:val="00CB161C"/>
    <w:rsid w:val="00CB18A8"/>
    <w:rsid w:val="00CB19B1"/>
    <w:rsid w:val="00CB1BA9"/>
    <w:rsid w:val="00CB228B"/>
    <w:rsid w:val="00CB22A0"/>
    <w:rsid w:val="00CB2631"/>
    <w:rsid w:val="00CB2B66"/>
    <w:rsid w:val="00CB2D37"/>
    <w:rsid w:val="00CB2F67"/>
    <w:rsid w:val="00CB2FF7"/>
    <w:rsid w:val="00CB356C"/>
    <w:rsid w:val="00CB39B4"/>
    <w:rsid w:val="00CB3CA5"/>
    <w:rsid w:val="00CB3DF4"/>
    <w:rsid w:val="00CB4C31"/>
    <w:rsid w:val="00CB5170"/>
    <w:rsid w:val="00CB5602"/>
    <w:rsid w:val="00CB576B"/>
    <w:rsid w:val="00CB57AF"/>
    <w:rsid w:val="00CB598D"/>
    <w:rsid w:val="00CB5B03"/>
    <w:rsid w:val="00CB5CCB"/>
    <w:rsid w:val="00CB62C0"/>
    <w:rsid w:val="00CB63F7"/>
    <w:rsid w:val="00CB65E5"/>
    <w:rsid w:val="00CB675A"/>
    <w:rsid w:val="00CB7213"/>
    <w:rsid w:val="00CB73C3"/>
    <w:rsid w:val="00CB7449"/>
    <w:rsid w:val="00CB7606"/>
    <w:rsid w:val="00CC010A"/>
    <w:rsid w:val="00CC01C1"/>
    <w:rsid w:val="00CC0212"/>
    <w:rsid w:val="00CC0219"/>
    <w:rsid w:val="00CC04AA"/>
    <w:rsid w:val="00CC0518"/>
    <w:rsid w:val="00CC0827"/>
    <w:rsid w:val="00CC09E8"/>
    <w:rsid w:val="00CC0B75"/>
    <w:rsid w:val="00CC0E84"/>
    <w:rsid w:val="00CC16F0"/>
    <w:rsid w:val="00CC17A2"/>
    <w:rsid w:val="00CC1829"/>
    <w:rsid w:val="00CC193D"/>
    <w:rsid w:val="00CC1A6B"/>
    <w:rsid w:val="00CC1E82"/>
    <w:rsid w:val="00CC2068"/>
    <w:rsid w:val="00CC216E"/>
    <w:rsid w:val="00CC22CC"/>
    <w:rsid w:val="00CC265B"/>
    <w:rsid w:val="00CC296F"/>
    <w:rsid w:val="00CC2CEF"/>
    <w:rsid w:val="00CC3030"/>
    <w:rsid w:val="00CC3125"/>
    <w:rsid w:val="00CC31D4"/>
    <w:rsid w:val="00CC3663"/>
    <w:rsid w:val="00CC3686"/>
    <w:rsid w:val="00CC3860"/>
    <w:rsid w:val="00CC3F4F"/>
    <w:rsid w:val="00CC4058"/>
    <w:rsid w:val="00CC4111"/>
    <w:rsid w:val="00CC4643"/>
    <w:rsid w:val="00CC46FD"/>
    <w:rsid w:val="00CC492D"/>
    <w:rsid w:val="00CC4B02"/>
    <w:rsid w:val="00CC4BB5"/>
    <w:rsid w:val="00CC4D1E"/>
    <w:rsid w:val="00CC4D5C"/>
    <w:rsid w:val="00CC4D64"/>
    <w:rsid w:val="00CC4DCA"/>
    <w:rsid w:val="00CC4EC3"/>
    <w:rsid w:val="00CC5349"/>
    <w:rsid w:val="00CC548A"/>
    <w:rsid w:val="00CC57ED"/>
    <w:rsid w:val="00CC6035"/>
    <w:rsid w:val="00CC6256"/>
    <w:rsid w:val="00CC65C5"/>
    <w:rsid w:val="00CC6A48"/>
    <w:rsid w:val="00CC759E"/>
    <w:rsid w:val="00CC7EBF"/>
    <w:rsid w:val="00CC7FB4"/>
    <w:rsid w:val="00CD02E3"/>
    <w:rsid w:val="00CD0577"/>
    <w:rsid w:val="00CD09FE"/>
    <w:rsid w:val="00CD0B40"/>
    <w:rsid w:val="00CD0F44"/>
    <w:rsid w:val="00CD1211"/>
    <w:rsid w:val="00CD141C"/>
    <w:rsid w:val="00CD1626"/>
    <w:rsid w:val="00CD1884"/>
    <w:rsid w:val="00CD1BAF"/>
    <w:rsid w:val="00CD1DA3"/>
    <w:rsid w:val="00CD1EB7"/>
    <w:rsid w:val="00CD2060"/>
    <w:rsid w:val="00CD26DC"/>
    <w:rsid w:val="00CD273D"/>
    <w:rsid w:val="00CD2A7C"/>
    <w:rsid w:val="00CD2E2A"/>
    <w:rsid w:val="00CD310D"/>
    <w:rsid w:val="00CD313C"/>
    <w:rsid w:val="00CD3614"/>
    <w:rsid w:val="00CD3BD6"/>
    <w:rsid w:val="00CD3D4E"/>
    <w:rsid w:val="00CD419B"/>
    <w:rsid w:val="00CD41E8"/>
    <w:rsid w:val="00CD4514"/>
    <w:rsid w:val="00CD4C19"/>
    <w:rsid w:val="00CD4EB2"/>
    <w:rsid w:val="00CD51D6"/>
    <w:rsid w:val="00CD5285"/>
    <w:rsid w:val="00CD57C6"/>
    <w:rsid w:val="00CD59D0"/>
    <w:rsid w:val="00CD5F10"/>
    <w:rsid w:val="00CD5FB8"/>
    <w:rsid w:val="00CD6139"/>
    <w:rsid w:val="00CD6833"/>
    <w:rsid w:val="00CD6945"/>
    <w:rsid w:val="00CD695F"/>
    <w:rsid w:val="00CD6DE8"/>
    <w:rsid w:val="00CD7060"/>
    <w:rsid w:val="00CD7402"/>
    <w:rsid w:val="00CD75A2"/>
    <w:rsid w:val="00CD75A6"/>
    <w:rsid w:val="00CD75B1"/>
    <w:rsid w:val="00CD7604"/>
    <w:rsid w:val="00CD7B26"/>
    <w:rsid w:val="00CD7E0E"/>
    <w:rsid w:val="00CD7E2B"/>
    <w:rsid w:val="00CD7FB7"/>
    <w:rsid w:val="00CE0091"/>
    <w:rsid w:val="00CE0678"/>
    <w:rsid w:val="00CE0738"/>
    <w:rsid w:val="00CE07AC"/>
    <w:rsid w:val="00CE0CAF"/>
    <w:rsid w:val="00CE0E23"/>
    <w:rsid w:val="00CE0ED0"/>
    <w:rsid w:val="00CE125E"/>
    <w:rsid w:val="00CE136E"/>
    <w:rsid w:val="00CE1DBF"/>
    <w:rsid w:val="00CE1F7B"/>
    <w:rsid w:val="00CE236A"/>
    <w:rsid w:val="00CE26BB"/>
    <w:rsid w:val="00CE28CC"/>
    <w:rsid w:val="00CE2C77"/>
    <w:rsid w:val="00CE2F7B"/>
    <w:rsid w:val="00CE3088"/>
    <w:rsid w:val="00CE369E"/>
    <w:rsid w:val="00CE39C5"/>
    <w:rsid w:val="00CE3E16"/>
    <w:rsid w:val="00CE4B18"/>
    <w:rsid w:val="00CE4D9E"/>
    <w:rsid w:val="00CE517E"/>
    <w:rsid w:val="00CE571F"/>
    <w:rsid w:val="00CE592B"/>
    <w:rsid w:val="00CE5AD7"/>
    <w:rsid w:val="00CE5FB5"/>
    <w:rsid w:val="00CE604D"/>
    <w:rsid w:val="00CE64E4"/>
    <w:rsid w:val="00CE674C"/>
    <w:rsid w:val="00CE6994"/>
    <w:rsid w:val="00CE6B09"/>
    <w:rsid w:val="00CE6D4A"/>
    <w:rsid w:val="00CE6DB7"/>
    <w:rsid w:val="00CE7249"/>
    <w:rsid w:val="00CE79B1"/>
    <w:rsid w:val="00CE7C99"/>
    <w:rsid w:val="00CE7E90"/>
    <w:rsid w:val="00CF0AAF"/>
    <w:rsid w:val="00CF0B74"/>
    <w:rsid w:val="00CF0DA3"/>
    <w:rsid w:val="00CF12E9"/>
    <w:rsid w:val="00CF1613"/>
    <w:rsid w:val="00CF1842"/>
    <w:rsid w:val="00CF18FA"/>
    <w:rsid w:val="00CF19B3"/>
    <w:rsid w:val="00CF1C60"/>
    <w:rsid w:val="00CF1DB7"/>
    <w:rsid w:val="00CF1FFB"/>
    <w:rsid w:val="00CF2113"/>
    <w:rsid w:val="00CF2B6E"/>
    <w:rsid w:val="00CF3434"/>
    <w:rsid w:val="00CF35F0"/>
    <w:rsid w:val="00CF384F"/>
    <w:rsid w:val="00CF3920"/>
    <w:rsid w:val="00CF3FB4"/>
    <w:rsid w:val="00CF406E"/>
    <w:rsid w:val="00CF40A0"/>
    <w:rsid w:val="00CF4577"/>
    <w:rsid w:val="00CF4FEC"/>
    <w:rsid w:val="00CF514A"/>
    <w:rsid w:val="00CF55A4"/>
    <w:rsid w:val="00CF564F"/>
    <w:rsid w:val="00CF5798"/>
    <w:rsid w:val="00CF5AC0"/>
    <w:rsid w:val="00CF5CC7"/>
    <w:rsid w:val="00CF6212"/>
    <w:rsid w:val="00CF6249"/>
    <w:rsid w:val="00CF6366"/>
    <w:rsid w:val="00CF663E"/>
    <w:rsid w:val="00CF6C43"/>
    <w:rsid w:val="00CF6D77"/>
    <w:rsid w:val="00CF6E7B"/>
    <w:rsid w:val="00CF7017"/>
    <w:rsid w:val="00CF70E6"/>
    <w:rsid w:val="00CF72A0"/>
    <w:rsid w:val="00CF7754"/>
    <w:rsid w:val="00CF7875"/>
    <w:rsid w:val="00CF7C8A"/>
    <w:rsid w:val="00CF7E6A"/>
    <w:rsid w:val="00CF7F61"/>
    <w:rsid w:val="00D00380"/>
    <w:rsid w:val="00D003B8"/>
    <w:rsid w:val="00D00974"/>
    <w:rsid w:val="00D01165"/>
    <w:rsid w:val="00D01628"/>
    <w:rsid w:val="00D01DD8"/>
    <w:rsid w:val="00D02395"/>
    <w:rsid w:val="00D026A0"/>
    <w:rsid w:val="00D02BE7"/>
    <w:rsid w:val="00D02EC5"/>
    <w:rsid w:val="00D03087"/>
    <w:rsid w:val="00D0340B"/>
    <w:rsid w:val="00D035D3"/>
    <w:rsid w:val="00D03696"/>
    <w:rsid w:val="00D03A15"/>
    <w:rsid w:val="00D03BB4"/>
    <w:rsid w:val="00D03D78"/>
    <w:rsid w:val="00D03DC9"/>
    <w:rsid w:val="00D03EC3"/>
    <w:rsid w:val="00D03F67"/>
    <w:rsid w:val="00D042CD"/>
    <w:rsid w:val="00D047B6"/>
    <w:rsid w:val="00D0481C"/>
    <w:rsid w:val="00D04F40"/>
    <w:rsid w:val="00D0595A"/>
    <w:rsid w:val="00D05C62"/>
    <w:rsid w:val="00D06452"/>
    <w:rsid w:val="00D064E2"/>
    <w:rsid w:val="00D069DD"/>
    <w:rsid w:val="00D06B53"/>
    <w:rsid w:val="00D06C56"/>
    <w:rsid w:val="00D0702C"/>
    <w:rsid w:val="00D07048"/>
    <w:rsid w:val="00D071FE"/>
    <w:rsid w:val="00D0733D"/>
    <w:rsid w:val="00D07AF1"/>
    <w:rsid w:val="00D07CA2"/>
    <w:rsid w:val="00D07E73"/>
    <w:rsid w:val="00D101D5"/>
    <w:rsid w:val="00D1022E"/>
    <w:rsid w:val="00D10236"/>
    <w:rsid w:val="00D103A0"/>
    <w:rsid w:val="00D107F1"/>
    <w:rsid w:val="00D10A6F"/>
    <w:rsid w:val="00D10B90"/>
    <w:rsid w:val="00D10E1B"/>
    <w:rsid w:val="00D10E53"/>
    <w:rsid w:val="00D10EDE"/>
    <w:rsid w:val="00D1124F"/>
    <w:rsid w:val="00D112FD"/>
    <w:rsid w:val="00D11337"/>
    <w:rsid w:val="00D11421"/>
    <w:rsid w:val="00D1143C"/>
    <w:rsid w:val="00D11595"/>
    <w:rsid w:val="00D11710"/>
    <w:rsid w:val="00D118F6"/>
    <w:rsid w:val="00D11993"/>
    <w:rsid w:val="00D11999"/>
    <w:rsid w:val="00D11E59"/>
    <w:rsid w:val="00D12387"/>
    <w:rsid w:val="00D123B3"/>
    <w:rsid w:val="00D12522"/>
    <w:rsid w:val="00D12725"/>
    <w:rsid w:val="00D12958"/>
    <w:rsid w:val="00D12965"/>
    <w:rsid w:val="00D129FF"/>
    <w:rsid w:val="00D12E08"/>
    <w:rsid w:val="00D13114"/>
    <w:rsid w:val="00D13117"/>
    <w:rsid w:val="00D13146"/>
    <w:rsid w:val="00D1318D"/>
    <w:rsid w:val="00D13271"/>
    <w:rsid w:val="00D13613"/>
    <w:rsid w:val="00D13B1F"/>
    <w:rsid w:val="00D13EAA"/>
    <w:rsid w:val="00D141B4"/>
    <w:rsid w:val="00D14948"/>
    <w:rsid w:val="00D149CB"/>
    <w:rsid w:val="00D14D9B"/>
    <w:rsid w:val="00D14E8D"/>
    <w:rsid w:val="00D15495"/>
    <w:rsid w:val="00D155D2"/>
    <w:rsid w:val="00D15620"/>
    <w:rsid w:val="00D1562F"/>
    <w:rsid w:val="00D15E17"/>
    <w:rsid w:val="00D162FF"/>
    <w:rsid w:val="00D167B3"/>
    <w:rsid w:val="00D16B3F"/>
    <w:rsid w:val="00D16C6B"/>
    <w:rsid w:val="00D16D9A"/>
    <w:rsid w:val="00D174D1"/>
    <w:rsid w:val="00D177A2"/>
    <w:rsid w:val="00D178EA"/>
    <w:rsid w:val="00D17B77"/>
    <w:rsid w:val="00D17C04"/>
    <w:rsid w:val="00D17F1E"/>
    <w:rsid w:val="00D20443"/>
    <w:rsid w:val="00D20868"/>
    <w:rsid w:val="00D209B1"/>
    <w:rsid w:val="00D20F28"/>
    <w:rsid w:val="00D21021"/>
    <w:rsid w:val="00D21342"/>
    <w:rsid w:val="00D215DE"/>
    <w:rsid w:val="00D216F9"/>
    <w:rsid w:val="00D2173F"/>
    <w:rsid w:val="00D21752"/>
    <w:rsid w:val="00D217B4"/>
    <w:rsid w:val="00D21C19"/>
    <w:rsid w:val="00D21FB8"/>
    <w:rsid w:val="00D21FEF"/>
    <w:rsid w:val="00D22363"/>
    <w:rsid w:val="00D223E6"/>
    <w:rsid w:val="00D22441"/>
    <w:rsid w:val="00D2253B"/>
    <w:rsid w:val="00D22746"/>
    <w:rsid w:val="00D2282A"/>
    <w:rsid w:val="00D22917"/>
    <w:rsid w:val="00D22B48"/>
    <w:rsid w:val="00D22E33"/>
    <w:rsid w:val="00D22E56"/>
    <w:rsid w:val="00D232AB"/>
    <w:rsid w:val="00D232E2"/>
    <w:rsid w:val="00D23391"/>
    <w:rsid w:val="00D237A0"/>
    <w:rsid w:val="00D23D1E"/>
    <w:rsid w:val="00D23FA3"/>
    <w:rsid w:val="00D242B0"/>
    <w:rsid w:val="00D24512"/>
    <w:rsid w:val="00D24895"/>
    <w:rsid w:val="00D24E95"/>
    <w:rsid w:val="00D24EEA"/>
    <w:rsid w:val="00D2524C"/>
    <w:rsid w:val="00D25523"/>
    <w:rsid w:val="00D255CB"/>
    <w:rsid w:val="00D256B8"/>
    <w:rsid w:val="00D25B12"/>
    <w:rsid w:val="00D25F76"/>
    <w:rsid w:val="00D26541"/>
    <w:rsid w:val="00D2690F"/>
    <w:rsid w:val="00D26E45"/>
    <w:rsid w:val="00D27069"/>
    <w:rsid w:val="00D2723E"/>
    <w:rsid w:val="00D2768B"/>
    <w:rsid w:val="00D276C3"/>
    <w:rsid w:val="00D277E8"/>
    <w:rsid w:val="00D278A5"/>
    <w:rsid w:val="00D27B57"/>
    <w:rsid w:val="00D3004D"/>
    <w:rsid w:val="00D3064F"/>
    <w:rsid w:val="00D30C45"/>
    <w:rsid w:val="00D30DD4"/>
    <w:rsid w:val="00D30F9D"/>
    <w:rsid w:val="00D312B8"/>
    <w:rsid w:val="00D314B6"/>
    <w:rsid w:val="00D31DC6"/>
    <w:rsid w:val="00D3242F"/>
    <w:rsid w:val="00D325D4"/>
    <w:rsid w:val="00D32936"/>
    <w:rsid w:val="00D32A11"/>
    <w:rsid w:val="00D32F8E"/>
    <w:rsid w:val="00D33061"/>
    <w:rsid w:val="00D33EED"/>
    <w:rsid w:val="00D34048"/>
    <w:rsid w:val="00D3446B"/>
    <w:rsid w:val="00D34C0D"/>
    <w:rsid w:val="00D34D5C"/>
    <w:rsid w:val="00D34DDE"/>
    <w:rsid w:val="00D35144"/>
    <w:rsid w:val="00D351B7"/>
    <w:rsid w:val="00D35B6D"/>
    <w:rsid w:val="00D35C17"/>
    <w:rsid w:val="00D36197"/>
    <w:rsid w:val="00D36500"/>
    <w:rsid w:val="00D3663C"/>
    <w:rsid w:val="00D3665F"/>
    <w:rsid w:val="00D36684"/>
    <w:rsid w:val="00D36723"/>
    <w:rsid w:val="00D36855"/>
    <w:rsid w:val="00D36B8D"/>
    <w:rsid w:val="00D36D1D"/>
    <w:rsid w:val="00D36EA5"/>
    <w:rsid w:val="00D36EFD"/>
    <w:rsid w:val="00D3755E"/>
    <w:rsid w:val="00D375E8"/>
    <w:rsid w:val="00D3767C"/>
    <w:rsid w:val="00D3767E"/>
    <w:rsid w:val="00D378D9"/>
    <w:rsid w:val="00D37A50"/>
    <w:rsid w:val="00D37A87"/>
    <w:rsid w:val="00D37DDB"/>
    <w:rsid w:val="00D37F0C"/>
    <w:rsid w:val="00D40090"/>
    <w:rsid w:val="00D402CA"/>
    <w:rsid w:val="00D40BA4"/>
    <w:rsid w:val="00D40C50"/>
    <w:rsid w:val="00D41022"/>
    <w:rsid w:val="00D4150F"/>
    <w:rsid w:val="00D421E4"/>
    <w:rsid w:val="00D42DB3"/>
    <w:rsid w:val="00D42F86"/>
    <w:rsid w:val="00D43016"/>
    <w:rsid w:val="00D430B7"/>
    <w:rsid w:val="00D43397"/>
    <w:rsid w:val="00D439B1"/>
    <w:rsid w:val="00D43BBA"/>
    <w:rsid w:val="00D43C47"/>
    <w:rsid w:val="00D43D00"/>
    <w:rsid w:val="00D43F7C"/>
    <w:rsid w:val="00D44219"/>
    <w:rsid w:val="00D4442C"/>
    <w:rsid w:val="00D44622"/>
    <w:rsid w:val="00D446D5"/>
    <w:rsid w:val="00D44F51"/>
    <w:rsid w:val="00D4578A"/>
    <w:rsid w:val="00D45B02"/>
    <w:rsid w:val="00D45C8F"/>
    <w:rsid w:val="00D46070"/>
    <w:rsid w:val="00D463F1"/>
    <w:rsid w:val="00D464AE"/>
    <w:rsid w:val="00D46E8B"/>
    <w:rsid w:val="00D47486"/>
    <w:rsid w:val="00D47807"/>
    <w:rsid w:val="00D500C9"/>
    <w:rsid w:val="00D507DD"/>
    <w:rsid w:val="00D50917"/>
    <w:rsid w:val="00D50A85"/>
    <w:rsid w:val="00D50B69"/>
    <w:rsid w:val="00D50C84"/>
    <w:rsid w:val="00D512AD"/>
    <w:rsid w:val="00D51406"/>
    <w:rsid w:val="00D5145A"/>
    <w:rsid w:val="00D515C9"/>
    <w:rsid w:val="00D51788"/>
    <w:rsid w:val="00D5184E"/>
    <w:rsid w:val="00D5189B"/>
    <w:rsid w:val="00D519F8"/>
    <w:rsid w:val="00D51A37"/>
    <w:rsid w:val="00D5260B"/>
    <w:rsid w:val="00D52680"/>
    <w:rsid w:val="00D526B4"/>
    <w:rsid w:val="00D52A3E"/>
    <w:rsid w:val="00D52A6C"/>
    <w:rsid w:val="00D52C5D"/>
    <w:rsid w:val="00D52D4A"/>
    <w:rsid w:val="00D53068"/>
    <w:rsid w:val="00D536D6"/>
    <w:rsid w:val="00D5398A"/>
    <w:rsid w:val="00D53D30"/>
    <w:rsid w:val="00D53E6F"/>
    <w:rsid w:val="00D54119"/>
    <w:rsid w:val="00D5442F"/>
    <w:rsid w:val="00D54450"/>
    <w:rsid w:val="00D545E9"/>
    <w:rsid w:val="00D546F9"/>
    <w:rsid w:val="00D54884"/>
    <w:rsid w:val="00D5509B"/>
    <w:rsid w:val="00D55428"/>
    <w:rsid w:val="00D5549E"/>
    <w:rsid w:val="00D55977"/>
    <w:rsid w:val="00D55E11"/>
    <w:rsid w:val="00D55EF3"/>
    <w:rsid w:val="00D5617D"/>
    <w:rsid w:val="00D56211"/>
    <w:rsid w:val="00D568D7"/>
    <w:rsid w:val="00D56DC4"/>
    <w:rsid w:val="00D5729A"/>
    <w:rsid w:val="00D57765"/>
    <w:rsid w:val="00D579A9"/>
    <w:rsid w:val="00D60404"/>
    <w:rsid w:val="00D60443"/>
    <w:rsid w:val="00D604D7"/>
    <w:rsid w:val="00D6076C"/>
    <w:rsid w:val="00D6089B"/>
    <w:rsid w:val="00D60A4C"/>
    <w:rsid w:val="00D60AA7"/>
    <w:rsid w:val="00D60B01"/>
    <w:rsid w:val="00D60EFC"/>
    <w:rsid w:val="00D6148D"/>
    <w:rsid w:val="00D6155B"/>
    <w:rsid w:val="00D619E9"/>
    <w:rsid w:val="00D61C87"/>
    <w:rsid w:val="00D61F17"/>
    <w:rsid w:val="00D61F2B"/>
    <w:rsid w:val="00D61F66"/>
    <w:rsid w:val="00D620C7"/>
    <w:rsid w:val="00D62111"/>
    <w:rsid w:val="00D62354"/>
    <w:rsid w:val="00D623AD"/>
    <w:rsid w:val="00D62524"/>
    <w:rsid w:val="00D6255D"/>
    <w:rsid w:val="00D625C1"/>
    <w:rsid w:val="00D626B8"/>
    <w:rsid w:val="00D6359D"/>
    <w:rsid w:val="00D63783"/>
    <w:rsid w:val="00D63915"/>
    <w:rsid w:val="00D64195"/>
    <w:rsid w:val="00D64513"/>
    <w:rsid w:val="00D64553"/>
    <w:rsid w:val="00D645EF"/>
    <w:rsid w:val="00D646E9"/>
    <w:rsid w:val="00D649AB"/>
    <w:rsid w:val="00D64A13"/>
    <w:rsid w:val="00D64C3B"/>
    <w:rsid w:val="00D65360"/>
    <w:rsid w:val="00D653CD"/>
    <w:rsid w:val="00D65475"/>
    <w:rsid w:val="00D65B40"/>
    <w:rsid w:val="00D6603F"/>
    <w:rsid w:val="00D6608F"/>
    <w:rsid w:val="00D66305"/>
    <w:rsid w:val="00D6643C"/>
    <w:rsid w:val="00D664C7"/>
    <w:rsid w:val="00D665DD"/>
    <w:rsid w:val="00D66DA2"/>
    <w:rsid w:val="00D674A0"/>
    <w:rsid w:val="00D675F0"/>
    <w:rsid w:val="00D67A0C"/>
    <w:rsid w:val="00D67BCC"/>
    <w:rsid w:val="00D67C80"/>
    <w:rsid w:val="00D7027A"/>
    <w:rsid w:val="00D7072B"/>
    <w:rsid w:val="00D70B85"/>
    <w:rsid w:val="00D71078"/>
    <w:rsid w:val="00D71407"/>
    <w:rsid w:val="00D7166E"/>
    <w:rsid w:val="00D72230"/>
    <w:rsid w:val="00D722EB"/>
    <w:rsid w:val="00D72341"/>
    <w:rsid w:val="00D72363"/>
    <w:rsid w:val="00D72689"/>
    <w:rsid w:val="00D728BF"/>
    <w:rsid w:val="00D72A31"/>
    <w:rsid w:val="00D72CCC"/>
    <w:rsid w:val="00D730A5"/>
    <w:rsid w:val="00D7312E"/>
    <w:rsid w:val="00D735B2"/>
    <w:rsid w:val="00D7384A"/>
    <w:rsid w:val="00D73929"/>
    <w:rsid w:val="00D73B4D"/>
    <w:rsid w:val="00D73C45"/>
    <w:rsid w:val="00D73CE8"/>
    <w:rsid w:val="00D742A9"/>
    <w:rsid w:val="00D74574"/>
    <w:rsid w:val="00D746B7"/>
    <w:rsid w:val="00D746D8"/>
    <w:rsid w:val="00D74A5F"/>
    <w:rsid w:val="00D74CBE"/>
    <w:rsid w:val="00D74D0C"/>
    <w:rsid w:val="00D74E4D"/>
    <w:rsid w:val="00D74F0B"/>
    <w:rsid w:val="00D74F16"/>
    <w:rsid w:val="00D75432"/>
    <w:rsid w:val="00D754B6"/>
    <w:rsid w:val="00D75AA0"/>
    <w:rsid w:val="00D75F13"/>
    <w:rsid w:val="00D75F34"/>
    <w:rsid w:val="00D762BC"/>
    <w:rsid w:val="00D76F3D"/>
    <w:rsid w:val="00D77025"/>
    <w:rsid w:val="00D771F5"/>
    <w:rsid w:val="00D77332"/>
    <w:rsid w:val="00D77446"/>
    <w:rsid w:val="00D774D8"/>
    <w:rsid w:val="00D77B0E"/>
    <w:rsid w:val="00D77C94"/>
    <w:rsid w:val="00D77EB8"/>
    <w:rsid w:val="00D80500"/>
    <w:rsid w:val="00D80C2F"/>
    <w:rsid w:val="00D80E21"/>
    <w:rsid w:val="00D811AD"/>
    <w:rsid w:val="00D81254"/>
    <w:rsid w:val="00D8140C"/>
    <w:rsid w:val="00D81681"/>
    <w:rsid w:val="00D81E7E"/>
    <w:rsid w:val="00D82077"/>
    <w:rsid w:val="00D82078"/>
    <w:rsid w:val="00D82171"/>
    <w:rsid w:val="00D822E6"/>
    <w:rsid w:val="00D823A2"/>
    <w:rsid w:val="00D82656"/>
    <w:rsid w:val="00D82B84"/>
    <w:rsid w:val="00D82C43"/>
    <w:rsid w:val="00D830E6"/>
    <w:rsid w:val="00D830F2"/>
    <w:rsid w:val="00D8321A"/>
    <w:rsid w:val="00D83860"/>
    <w:rsid w:val="00D838B7"/>
    <w:rsid w:val="00D83B8D"/>
    <w:rsid w:val="00D8484D"/>
    <w:rsid w:val="00D84B9B"/>
    <w:rsid w:val="00D84CFA"/>
    <w:rsid w:val="00D84F43"/>
    <w:rsid w:val="00D85044"/>
    <w:rsid w:val="00D855F5"/>
    <w:rsid w:val="00D8575A"/>
    <w:rsid w:val="00D85778"/>
    <w:rsid w:val="00D86089"/>
    <w:rsid w:val="00D861B9"/>
    <w:rsid w:val="00D861E0"/>
    <w:rsid w:val="00D862CE"/>
    <w:rsid w:val="00D8682E"/>
    <w:rsid w:val="00D86C4D"/>
    <w:rsid w:val="00D86FD7"/>
    <w:rsid w:val="00D873F5"/>
    <w:rsid w:val="00D9015D"/>
    <w:rsid w:val="00D901AA"/>
    <w:rsid w:val="00D901CD"/>
    <w:rsid w:val="00D9035E"/>
    <w:rsid w:val="00D90707"/>
    <w:rsid w:val="00D91076"/>
    <w:rsid w:val="00D9133F"/>
    <w:rsid w:val="00D9139E"/>
    <w:rsid w:val="00D9175D"/>
    <w:rsid w:val="00D91E88"/>
    <w:rsid w:val="00D91EF8"/>
    <w:rsid w:val="00D91F8C"/>
    <w:rsid w:val="00D921AE"/>
    <w:rsid w:val="00D9239C"/>
    <w:rsid w:val="00D92B28"/>
    <w:rsid w:val="00D92BFE"/>
    <w:rsid w:val="00D932C8"/>
    <w:rsid w:val="00D9354B"/>
    <w:rsid w:val="00D93839"/>
    <w:rsid w:val="00D93E86"/>
    <w:rsid w:val="00D94533"/>
    <w:rsid w:val="00D94880"/>
    <w:rsid w:val="00D948DB"/>
    <w:rsid w:val="00D94CCE"/>
    <w:rsid w:val="00D94D0F"/>
    <w:rsid w:val="00D95654"/>
    <w:rsid w:val="00D957A1"/>
    <w:rsid w:val="00D95F6B"/>
    <w:rsid w:val="00D961EE"/>
    <w:rsid w:val="00D963BD"/>
    <w:rsid w:val="00D96513"/>
    <w:rsid w:val="00D96637"/>
    <w:rsid w:val="00D96906"/>
    <w:rsid w:val="00D96D42"/>
    <w:rsid w:val="00D97521"/>
    <w:rsid w:val="00D97569"/>
    <w:rsid w:val="00D9758D"/>
    <w:rsid w:val="00D975E3"/>
    <w:rsid w:val="00D976C3"/>
    <w:rsid w:val="00D977CB"/>
    <w:rsid w:val="00D97AEF"/>
    <w:rsid w:val="00D97B94"/>
    <w:rsid w:val="00D97CDC"/>
    <w:rsid w:val="00DA0203"/>
    <w:rsid w:val="00DA0346"/>
    <w:rsid w:val="00DA0385"/>
    <w:rsid w:val="00DA0532"/>
    <w:rsid w:val="00DA0A17"/>
    <w:rsid w:val="00DA0C24"/>
    <w:rsid w:val="00DA1000"/>
    <w:rsid w:val="00DA1917"/>
    <w:rsid w:val="00DA1923"/>
    <w:rsid w:val="00DA1C72"/>
    <w:rsid w:val="00DA1E39"/>
    <w:rsid w:val="00DA1E53"/>
    <w:rsid w:val="00DA1E5E"/>
    <w:rsid w:val="00DA20F6"/>
    <w:rsid w:val="00DA22E6"/>
    <w:rsid w:val="00DA2478"/>
    <w:rsid w:val="00DA270A"/>
    <w:rsid w:val="00DA2932"/>
    <w:rsid w:val="00DA2B6A"/>
    <w:rsid w:val="00DA2C02"/>
    <w:rsid w:val="00DA30B2"/>
    <w:rsid w:val="00DA32A3"/>
    <w:rsid w:val="00DA33D7"/>
    <w:rsid w:val="00DA3499"/>
    <w:rsid w:val="00DA371E"/>
    <w:rsid w:val="00DA38BE"/>
    <w:rsid w:val="00DA38F2"/>
    <w:rsid w:val="00DA3B66"/>
    <w:rsid w:val="00DA3FFA"/>
    <w:rsid w:val="00DA4016"/>
    <w:rsid w:val="00DA41E3"/>
    <w:rsid w:val="00DA433C"/>
    <w:rsid w:val="00DA4636"/>
    <w:rsid w:val="00DA46B2"/>
    <w:rsid w:val="00DA47FC"/>
    <w:rsid w:val="00DA4B91"/>
    <w:rsid w:val="00DA52D0"/>
    <w:rsid w:val="00DA5868"/>
    <w:rsid w:val="00DA59AF"/>
    <w:rsid w:val="00DA5A41"/>
    <w:rsid w:val="00DA5F00"/>
    <w:rsid w:val="00DA5FCC"/>
    <w:rsid w:val="00DA5FF6"/>
    <w:rsid w:val="00DA67DE"/>
    <w:rsid w:val="00DA6967"/>
    <w:rsid w:val="00DA6ABF"/>
    <w:rsid w:val="00DA6ACE"/>
    <w:rsid w:val="00DA6BB3"/>
    <w:rsid w:val="00DA6ED0"/>
    <w:rsid w:val="00DA7159"/>
    <w:rsid w:val="00DA7310"/>
    <w:rsid w:val="00DA73D4"/>
    <w:rsid w:val="00DA74F8"/>
    <w:rsid w:val="00DA78AF"/>
    <w:rsid w:val="00DA79B5"/>
    <w:rsid w:val="00DA7B6E"/>
    <w:rsid w:val="00DB030F"/>
    <w:rsid w:val="00DB0363"/>
    <w:rsid w:val="00DB03F5"/>
    <w:rsid w:val="00DB05C5"/>
    <w:rsid w:val="00DB0C8E"/>
    <w:rsid w:val="00DB0ECE"/>
    <w:rsid w:val="00DB1160"/>
    <w:rsid w:val="00DB1271"/>
    <w:rsid w:val="00DB1320"/>
    <w:rsid w:val="00DB18C8"/>
    <w:rsid w:val="00DB1914"/>
    <w:rsid w:val="00DB1C0F"/>
    <w:rsid w:val="00DB2667"/>
    <w:rsid w:val="00DB2900"/>
    <w:rsid w:val="00DB2943"/>
    <w:rsid w:val="00DB2AA0"/>
    <w:rsid w:val="00DB2B9F"/>
    <w:rsid w:val="00DB3186"/>
    <w:rsid w:val="00DB38BE"/>
    <w:rsid w:val="00DB3B6D"/>
    <w:rsid w:val="00DB3D87"/>
    <w:rsid w:val="00DB414F"/>
    <w:rsid w:val="00DB43EF"/>
    <w:rsid w:val="00DB4650"/>
    <w:rsid w:val="00DB46F9"/>
    <w:rsid w:val="00DB4B61"/>
    <w:rsid w:val="00DB4C8C"/>
    <w:rsid w:val="00DB5117"/>
    <w:rsid w:val="00DB535E"/>
    <w:rsid w:val="00DB5FCA"/>
    <w:rsid w:val="00DB5FEA"/>
    <w:rsid w:val="00DB608C"/>
    <w:rsid w:val="00DB6156"/>
    <w:rsid w:val="00DB62E1"/>
    <w:rsid w:val="00DB62EA"/>
    <w:rsid w:val="00DB630B"/>
    <w:rsid w:val="00DB631E"/>
    <w:rsid w:val="00DB6465"/>
    <w:rsid w:val="00DB651B"/>
    <w:rsid w:val="00DB6680"/>
    <w:rsid w:val="00DB6B60"/>
    <w:rsid w:val="00DB6DA8"/>
    <w:rsid w:val="00DB71C0"/>
    <w:rsid w:val="00DB7269"/>
    <w:rsid w:val="00DB79F5"/>
    <w:rsid w:val="00DB7C05"/>
    <w:rsid w:val="00DB7C31"/>
    <w:rsid w:val="00DB7FE0"/>
    <w:rsid w:val="00DC005A"/>
    <w:rsid w:val="00DC025C"/>
    <w:rsid w:val="00DC0310"/>
    <w:rsid w:val="00DC04F0"/>
    <w:rsid w:val="00DC05EA"/>
    <w:rsid w:val="00DC0672"/>
    <w:rsid w:val="00DC0780"/>
    <w:rsid w:val="00DC0B8E"/>
    <w:rsid w:val="00DC0D9C"/>
    <w:rsid w:val="00DC0EDC"/>
    <w:rsid w:val="00DC1796"/>
    <w:rsid w:val="00DC18CE"/>
    <w:rsid w:val="00DC1915"/>
    <w:rsid w:val="00DC1947"/>
    <w:rsid w:val="00DC1B02"/>
    <w:rsid w:val="00DC1D82"/>
    <w:rsid w:val="00DC1DF7"/>
    <w:rsid w:val="00DC1F64"/>
    <w:rsid w:val="00DC1FC7"/>
    <w:rsid w:val="00DC22D8"/>
    <w:rsid w:val="00DC2A54"/>
    <w:rsid w:val="00DC2D72"/>
    <w:rsid w:val="00DC2F55"/>
    <w:rsid w:val="00DC3343"/>
    <w:rsid w:val="00DC34C6"/>
    <w:rsid w:val="00DC37E1"/>
    <w:rsid w:val="00DC3B05"/>
    <w:rsid w:val="00DC3E76"/>
    <w:rsid w:val="00DC3F2B"/>
    <w:rsid w:val="00DC3F5A"/>
    <w:rsid w:val="00DC3FB4"/>
    <w:rsid w:val="00DC42E7"/>
    <w:rsid w:val="00DC4537"/>
    <w:rsid w:val="00DC49BD"/>
    <w:rsid w:val="00DC4A0B"/>
    <w:rsid w:val="00DC4C19"/>
    <w:rsid w:val="00DC4E83"/>
    <w:rsid w:val="00DC4EAA"/>
    <w:rsid w:val="00DC50CE"/>
    <w:rsid w:val="00DC577F"/>
    <w:rsid w:val="00DC5856"/>
    <w:rsid w:val="00DC5AE0"/>
    <w:rsid w:val="00DC5C08"/>
    <w:rsid w:val="00DC674C"/>
    <w:rsid w:val="00DC67EB"/>
    <w:rsid w:val="00DC6B67"/>
    <w:rsid w:val="00DC6E3F"/>
    <w:rsid w:val="00DC6E9F"/>
    <w:rsid w:val="00DC71D5"/>
    <w:rsid w:val="00DC74B3"/>
    <w:rsid w:val="00DC7673"/>
    <w:rsid w:val="00DC7741"/>
    <w:rsid w:val="00DC7BF0"/>
    <w:rsid w:val="00DC7D3D"/>
    <w:rsid w:val="00DD00B1"/>
    <w:rsid w:val="00DD0123"/>
    <w:rsid w:val="00DD030B"/>
    <w:rsid w:val="00DD0395"/>
    <w:rsid w:val="00DD03C4"/>
    <w:rsid w:val="00DD0BE4"/>
    <w:rsid w:val="00DD0D45"/>
    <w:rsid w:val="00DD0E7A"/>
    <w:rsid w:val="00DD12F2"/>
    <w:rsid w:val="00DD149E"/>
    <w:rsid w:val="00DD1956"/>
    <w:rsid w:val="00DD1A22"/>
    <w:rsid w:val="00DD1C2B"/>
    <w:rsid w:val="00DD1F63"/>
    <w:rsid w:val="00DD2292"/>
    <w:rsid w:val="00DD2350"/>
    <w:rsid w:val="00DD25A1"/>
    <w:rsid w:val="00DD25DD"/>
    <w:rsid w:val="00DD27F3"/>
    <w:rsid w:val="00DD2925"/>
    <w:rsid w:val="00DD2A2E"/>
    <w:rsid w:val="00DD3258"/>
    <w:rsid w:val="00DD32CE"/>
    <w:rsid w:val="00DD340B"/>
    <w:rsid w:val="00DD370D"/>
    <w:rsid w:val="00DD3AC7"/>
    <w:rsid w:val="00DD3EF5"/>
    <w:rsid w:val="00DD3F1B"/>
    <w:rsid w:val="00DD4383"/>
    <w:rsid w:val="00DD48AA"/>
    <w:rsid w:val="00DD49F3"/>
    <w:rsid w:val="00DD4B7F"/>
    <w:rsid w:val="00DD4C2E"/>
    <w:rsid w:val="00DD4D58"/>
    <w:rsid w:val="00DD4FA0"/>
    <w:rsid w:val="00DD520D"/>
    <w:rsid w:val="00DD5330"/>
    <w:rsid w:val="00DD5BFA"/>
    <w:rsid w:val="00DD602A"/>
    <w:rsid w:val="00DD6099"/>
    <w:rsid w:val="00DD6613"/>
    <w:rsid w:val="00DD67F4"/>
    <w:rsid w:val="00DD6BCB"/>
    <w:rsid w:val="00DD6DA2"/>
    <w:rsid w:val="00DD75B2"/>
    <w:rsid w:val="00DD760D"/>
    <w:rsid w:val="00DD79FA"/>
    <w:rsid w:val="00DD7C20"/>
    <w:rsid w:val="00DD7DD0"/>
    <w:rsid w:val="00DD7FBC"/>
    <w:rsid w:val="00DE0043"/>
    <w:rsid w:val="00DE014A"/>
    <w:rsid w:val="00DE0206"/>
    <w:rsid w:val="00DE022B"/>
    <w:rsid w:val="00DE09CF"/>
    <w:rsid w:val="00DE0AB7"/>
    <w:rsid w:val="00DE0EDF"/>
    <w:rsid w:val="00DE0F85"/>
    <w:rsid w:val="00DE11EC"/>
    <w:rsid w:val="00DE13D9"/>
    <w:rsid w:val="00DE14CF"/>
    <w:rsid w:val="00DE1AAB"/>
    <w:rsid w:val="00DE1E82"/>
    <w:rsid w:val="00DE206C"/>
    <w:rsid w:val="00DE21D9"/>
    <w:rsid w:val="00DE24C5"/>
    <w:rsid w:val="00DE24FD"/>
    <w:rsid w:val="00DE2EFC"/>
    <w:rsid w:val="00DE335C"/>
    <w:rsid w:val="00DE3864"/>
    <w:rsid w:val="00DE3DCD"/>
    <w:rsid w:val="00DE3F01"/>
    <w:rsid w:val="00DE416A"/>
    <w:rsid w:val="00DE44E4"/>
    <w:rsid w:val="00DE477C"/>
    <w:rsid w:val="00DE4868"/>
    <w:rsid w:val="00DE4A3E"/>
    <w:rsid w:val="00DE4B53"/>
    <w:rsid w:val="00DE4DC6"/>
    <w:rsid w:val="00DE5136"/>
    <w:rsid w:val="00DE52AB"/>
    <w:rsid w:val="00DE532E"/>
    <w:rsid w:val="00DE54C6"/>
    <w:rsid w:val="00DE563A"/>
    <w:rsid w:val="00DE57D6"/>
    <w:rsid w:val="00DE5B91"/>
    <w:rsid w:val="00DE5BB4"/>
    <w:rsid w:val="00DE6B85"/>
    <w:rsid w:val="00DE6E74"/>
    <w:rsid w:val="00DE6EBB"/>
    <w:rsid w:val="00DE6F0F"/>
    <w:rsid w:val="00DE6F2E"/>
    <w:rsid w:val="00DE7652"/>
    <w:rsid w:val="00DE7843"/>
    <w:rsid w:val="00DE7C97"/>
    <w:rsid w:val="00DE7F61"/>
    <w:rsid w:val="00DF0904"/>
    <w:rsid w:val="00DF0984"/>
    <w:rsid w:val="00DF0BED"/>
    <w:rsid w:val="00DF0CAD"/>
    <w:rsid w:val="00DF124A"/>
    <w:rsid w:val="00DF1377"/>
    <w:rsid w:val="00DF13AE"/>
    <w:rsid w:val="00DF1434"/>
    <w:rsid w:val="00DF1819"/>
    <w:rsid w:val="00DF1BC0"/>
    <w:rsid w:val="00DF1EF3"/>
    <w:rsid w:val="00DF1F24"/>
    <w:rsid w:val="00DF216B"/>
    <w:rsid w:val="00DF2431"/>
    <w:rsid w:val="00DF2462"/>
    <w:rsid w:val="00DF268C"/>
    <w:rsid w:val="00DF26D0"/>
    <w:rsid w:val="00DF27D9"/>
    <w:rsid w:val="00DF2E04"/>
    <w:rsid w:val="00DF2F71"/>
    <w:rsid w:val="00DF33BB"/>
    <w:rsid w:val="00DF349E"/>
    <w:rsid w:val="00DF3688"/>
    <w:rsid w:val="00DF3883"/>
    <w:rsid w:val="00DF3B99"/>
    <w:rsid w:val="00DF3D62"/>
    <w:rsid w:val="00DF458D"/>
    <w:rsid w:val="00DF4E2D"/>
    <w:rsid w:val="00DF4F84"/>
    <w:rsid w:val="00DF4F9C"/>
    <w:rsid w:val="00DF532B"/>
    <w:rsid w:val="00DF54D0"/>
    <w:rsid w:val="00DF5527"/>
    <w:rsid w:val="00DF57B7"/>
    <w:rsid w:val="00DF57D4"/>
    <w:rsid w:val="00DF5816"/>
    <w:rsid w:val="00DF5986"/>
    <w:rsid w:val="00DF5B33"/>
    <w:rsid w:val="00DF5B8E"/>
    <w:rsid w:val="00DF5C8D"/>
    <w:rsid w:val="00DF5D54"/>
    <w:rsid w:val="00DF5E85"/>
    <w:rsid w:val="00DF6C85"/>
    <w:rsid w:val="00DF6E3D"/>
    <w:rsid w:val="00DF701D"/>
    <w:rsid w:val="00DF717F"/>
    <w:rsid w:val="00DF730A"/>
    <w:rsid w:val="00DF735D"/>
    <w:rsid w:val="00DF7E3C"/>
    <w:rsid w:val="00DF7FAA"/>
    <w:rsid w:val="00E00788"/>
    <w:rsid w:val="00E00C01"/>
    <w:rsid w:val="00E00DD2"/>
    <w:rsid w:val="00E00F48"/>
    <w:rsid w:val="00E01063"/>
    <w:rsid w:val="00E011E6"/>
    <w:rsid w:val="00E01841"/>
    <w:rsid w:val="00E018B5"/>
    <w:rsid w:val="00E0199F"/>
    <w:rsid w:val="00E01B30"/>
    <w:rsid w:val="00E01C4C"/>
    <w:rsid w:val="00E01F24"/>
    <w:rsid w:val="00E01F35"/>
    <w:rsid w:val="00E02200"/>
    <w:rsid w:val="00E022EB"/>
    <w:rsid w:val="00E023BC"/>
    <w:rsid w:val="00E0293C"/>
    <w:rsid w:val="00E02982"/>
    <w:rsid w:val="00E0301C"/>
    <w:rsid w:val="00E03683"/>
    <w:rsid w:val="00E03778"/>
    <w:rsid w:val="00E03905"/>
    <w:rsid w:val="00E0395D"/>
    <w:rsid w:val="00E03A02"/>
    <w:rsid w:val="00E03DCF"/>
    <w:rsid w:val="00E042DF"/>
    <w:rsid w:val="00E042EE"/>
    <w:rsid w:val="00E045C6"/>
    <w:rsid w:val="00E0464D"/>
    <w:rsid w:val="00E04A2B"/>
    <w:rsid w:val="00E04B67"/>
    <w:rsid w:val="00E04C58"/>
    <w:rsid w:val="00E04C90"/>
    <w:rsid w:val="00E05038"/>
    <w:rsid w:val="00E05207"/>
    <w:rsid w:val="00E05B8E"/>
    <w:rsid w:val="00E05C6E"/>
    <w:rsid w:val="00E05DF7"/>
    <w:rsid w:val="00E06176"/>
    <w:rsid w:val="00E0673F"/>
    <w:rsid w:val="00E067BA"/>
    <w:rsid w:val="00E06CAD"/>
    <w:rsid w:val="00E06DD6"/>
    <w:rsid w:val="00E06E4E"/>
    <w:rsid w:val="00E07A7C"/>
    <w:rsid w:val="00E07B2D"/>
    <w:rsid w:val="00E07D7E"/>
    <w:rsid w:val="00E07DB6"/>
    <w:rsid w:val="00E07E19"/>
    <w:rsid w:val="00E07EFF"/>
    <w:rsid w:val="00E1006E"/>
    <w:rsid w:val="00E108EE"/>
    <w:rsid w:val="00E10C58"/>
    <w:rsid w:val="00E10EC3"/>
    <w:rsid w:val="00E11106"/>
    <w:rsid w:val="00E11120"/>
    <w:rsid w:val="00E1118C"/>
    <w:rsid w:val="00E115CC"/>
    <w:rsid w:val="00E11D41"/>
    <w:rsid w:val="00E1216A"/>
    <w:rsid w:val="00E12A76"/>
    <w:rsid w:val="00E12D22"/>
    <w:rsid w:val="00E12E12"/>
    <w:rsid w:val="00E12ED7"/>
    <w:rsid w:val="00E13088"/>
    <w:rsid w:val="00E131F3"/>
    <w:rsid w:val="00E132CB"/>
    <w:rsid w:val="00E137DA"/>
    <w:rsid w:val="00E137E3"/>
    <w:rsid w:val="00E137E5"/>
    <w:rsid w:val="00E137FD"/>
    <w:rsid w:val="00E13B17"/>
    <w:rsid w:val="00E13E19"/>
    <w:rsid w:val="00E13EC8"/>
    <w:rsid w:val="00E13F3E"/>
    <w:rsid w:val="00E13FCE"/>
    <w:rsid w:val="00E14442"/>
    <w:rsid w:val="00E1455B"/>
    <w:rsid w:val="00E1491F"/>
    <w:rsid w:val="00E149AF"/>
    <w:rsid w:val="00E14BB8"/>
    <w:rsid w:val="00E14C12"/>
    <w:rsid w:val="00E14DA7"/>
    <w:rsid w:val="00E15147"/>
    <w:rsid w:val="00E15444"/>
    <w:rsid w:val="00E154F8"/>
    <w:rsid w:val="00E15C2A"/>
    <w:rsid w:val="00E15F30"/>
    <w:rsid w:val="00E1605E"/>
    <w:rsid w:val="00E16239"/>
    <w:rsid w:val="00E1654F"/>
    <w:rsid w:val="00E1659F"/>
    <w:rsid w:val="00E165B5"/>
    <w:rsid w:val="00E166F4"/>
    <w:rsid w:val="00E167B7"/>
    <w:rsid w:val="00E16835"/>
    <w:rsid w:val="00E16894"/>
    <w:rsid w:val="00E168D8"/>
    <w:rsid w:val="00E16BDD"/>
    <w:rsid w:val="00E16D12"/>
    <w:rsid w:val="00E16D2D"/>
    <w:rsid w:val="00E173F0"/>
    <w:rsid w:val="00E1753C"/>
    <w:rsid w:val="00E1754D"/>
    <w:rsid w:val="00E175F7"/>
    <w:rsid w:val="00E17627"/>
    <w:rsid w:val="00E1793F"/>
    <w:rsid w:val="00E17B1D"/>
    <w:rsid w:val="00E17C11"/>
    <w:rsid w:val="00E17C8A"/>
    <w:rsid w:val="00E17C9C"/>
    <w:rsid w:val="00E17D85"/>
    <w:rsid w:val="00E17E0E"/>
    <w:rsid w:val="00E17E16"/>
    <w:rsid w:val="00E17F3A"/>
    <w:rsid w:val="00E205C1"/>
    <w:rsid w:val="00E207DB"/>
    <w:rsid w:val="00E20976"/>
    <w:rsid w:val="00E20FCB"/>
    <w:rsid w:val="00E215A5"/>
    <w:rsid w:val="00E2173F"/>
    <w:rsid w:val="00E21B83"/>
    <w:rsid w:val="00E22424"/>
    <w:rsid w:val="00E224F2"/>
    <w:rsid w:val="00E225A8"/>
    <w:rsid w:val="00E22659"/>
    <w:rsid w:val="00E22985"/>
    <w:rsid w:val="00E230DE"/>
    <w:rsid w:val="00E2314A"/>
    <w:rsid w:val="00E231C6"/>
    <w:rsid w:val="00E2399B"/>
    <w:rsid w:val="00E239C6"/>
    <w:rsid w:val="00E23A11"/>
    <w:rsid w:val="00E23E76"/>
    <w:rsid w:val="00E242E2"/>
    <w:rsid w:val="00E24459"/>
    <w:rsid w:val="00E24C5C"/>
    <w:rsid w:val="00E251E3"/>
    <w:rsid w:val="00E25616"/>
    <w:rsid w:val="00E256ED"/>
    <w:rsid w:val="00E25D28"/>
    <w:rsid w:val="00E25D3B"/>
    <w:rsid w:val="00E25F00"/>
    <w:rsid w:val="00E26148"/>
    <w:rsid w:val="00E261DB"/>
    <w:rsid w:val="00E261DE"/>
    <w:rsid w:val="00E2650D"/>
    <w:rsid w:val="00E265D3"/>
    <w:rsid w:val="00E26D08"/>
    <w:rsid w:val="00E26F9A"/>
    <w:rsid w:val="00E27170"/>
    <w:rsid w:val="00E271CA"/>
    <w:rsid w:val="00E27D4F"/>
    <w:rsid w:val="00E27E57"/>
    <w:rsid w:val="00E30464"/>
    <w:rsid w:val="00E304B6"/>
    <w:rsid w:val="00E305FF"/>
    <w:rsid w:val="00E307EC"/>
    <w:rsid w:val="00E3080D"/>
    <w:rsid w:val="00E30882"/>
    <w:rsid w:val="00E30B75"/>
    <w:rsid w:val="00E30DB7"/>
    <w:rsid w:val="00E31090"/>
    <w:rsid w:val="00E31993"/>
    <w:rsid w:val="00E31A96"/>
    <w:rsid w:val="00E31ADA"/>
    <w:rsid w:val="00E31E00"/>
    <w:rsid w:val="00E321B2"/>
    <w:rsid w:val="00E32217"/>
    <w:rsid w:val="00E32647"/>
    <w:rsid w:val="00E32F07"/>
    <w:rsid w:val="00E33779"/>
    <w:rsid w:val="00E33C7B"/>
    <w:rsid w:val="00E33DAE"/>
    <w:rsid w:val="00E3441F"/>
    <w:rsid w:val="00E34680"/>
    <w:rsid w:val="00E34979"/>
    <w:rsid w:val="00E34D04"/>
    <w:rsid w:val="00E353CD"/>
    <w:rsid w:val="00E354E2"/>
    <w:rsid w:val="00E35B86"/>
    <w:rsid w:val="00E36223"/>
    <w:rsid w:val="00E365A4"/>
    <w:rsid w:val="00E36A73"/>
    <w:rsid w:val="00E36C06"/>
    <w:rsid w:val="00E37470"/>
    <w:rsid w:val="00E375A5"/>
    <w:rsid w:val="00E3769C"/>
    <w:rsid w:val="00E377DD"/>
    <w:rsid w:val="00E378DC"/>
    <w:rsid w:val="00E37A2E"/>
    <w:rsid w:val="00E37DD8"/>
    <w:rsid w:val="00E40052"/>
    <w:rsid w:val="00E4036D"/>
    <w:rsid w:val="00E40818"/>
    <w:rsid w:val="00E40AFE"/>
    <w:rsid w:val="00E40CC9"/>
    <w:rsid w:val="00E41019"/>
    <w:rsid w:val="00E4143C"/>
    <w:rsid w:val="00E419C4"/>
    <w:rsid w:val="00E41A3D"/>
    <w:rsid w:val="00E4220C"/>
    <w:rsid w:val="00E4281E"/>
    <w:rsid w:val="00E42937"/>
    <w:rsid w:val="00E42CC9"/>
    <w:rsid w:val="00E43052"/>
    <w:rsid w:val="00E430B9"/>
    <w:rsid w:val="00E43680"/>
    <w:rsid w:val="00E43A8A"/>
    <w:rsid w:val="00E43F08"/>
    <w:rsid w:val="00E44350"/>
    <w:rsid w:val="00E4463A"/>
    <w:rsid w:val="00E45141"/>
    <w:rsid w:val="00E45192"/>
    <w:rsid w:val="00E4532C"/>
    <w:rsid w:val="00E45399"/>
    <w:rsid w:val="00E4542D"/>
    <w:rsid w:val="00E457BF"/>
    <w:rsid w:val="00E45892"/>
    <w:rsid w:val="00E45B6A"/>
    <w:rsid w:val="00E45C4F"/>
    <w:rsid w:val="00E45F76"/>
    <w:rsid w:val="00E464C6"/>
    <w:rsid w:val="00E46702"/>
    <w:rsid w:val="00E46CC1"/>
    <w:rsid w:val="00E46CFE"/>
    <w:rsid w:val="00E46E2E"/>
    <w:rsid w:val="00E46F0C"/>
    <w:rsid w:val="00E47553"/>
    <w:rsid w:val="00E47635"/>
    <w:rsid w:val="00E47CC9"/>
    <w:rsid w:val="00E47EFC"/>
    <w:rsid w:val="00E500EF"/>
    <w:rsid w:val="00E502A6"/>
    <w:rsid w:val="00E50473"/>
    <w:rsid w:val="00E507F8"/>
    <w:rsid w:val="00E5099D"/>
    <w:rsid w:val="00E50A18"/>
    <w:rsid w:val="00E50B41"/>
    <w:rsid w:val="00E50B57"/>
    <w:rsid w:val="00E511D1"/>
    <w:rsid w:val="00E51B9E"/>
    <w:rsid w:val="00E52223"/>
    <w:rsid w:val="00E5231A"/>
    <w:rsid w:val="00E5231B"/>
    <w:rsid w:val="00E5236E"/>
    <w:rsid w:val="00E52710"/>
    <w:rsid w:val="00E52883"/>
    <w:rsid w:val="00E52CB6"/>
    <w:rsid w:val="00E530D3"/>
    <w:rsid w:val="00E53121"/>
    <w:rsid w:val="00E53726"/>
    <w:rsid w:val="00E537E8"/>
    <w:rsid w:val="00E53D12"/>
    <w:rsid w:val="00E53D5E"/>
    <w:rsid w:val="00E543D7"/>
    <w:rsid w:val="00E5444F"/>
    <w:rsid w:val="00E54963"/>
    <w:rsid w:val="00E54D2C"/>
    <w:rsid w:val="00E550FB"/>
    <w:rsid w:val="00E5587A"/>
    <w:rsid w:val="00E558C1"/>
    <w:rsid w:val="00E55AE7"/>
    <w:rsid w:val="00E55B47"/>
    <w:rsid w:val="00E55D5E"/>
    <w:rsid w:val="00E55E0D"/>
    <w:rsid w:val="00E55F24"/>
    <w:rsid w:val="00E56215"/>
    <w:rsid w:val="00E563B2"/>
    <w:rsid w:val="00E564C0"/>
    <w:rsid w:val="00E56627"/>
    <w:rsid w:val="00E56844"/>
    <w:rsid w:val="00E569DC"/>
    <w:rsid w:val="00E56A77"/>
    <w:rsid w:val="00E56D41"/>
    <w:rsid w:val="00E57085"/>
    <w:rsid w:val="00E570F6"/>
    <w:rsid w:val="00E57178"/>
    <w:rsid w:val="00E57359"/>
    <w:rsid w:val="00E57C6B"/>
    <w:rsid w:val="00E57C79"/>
    <w:rsid w:val="00E57F4D"/>
    <w:rsid w:val="00E6002A"/>
    <w:rsid w:val="00E6020C"/>
    <w:rsid w:val="00E602A5"/>
    <w:rsid w:val="00E602FC"/>
    <w:rsid w:val="00E60789"/>
    <w:rsid w:val="00E60847"/>
    <w:rsid w:val="00E608F7"/>
    <w:rsid w:val="00E609DB"/>
    <w:rsid w:val="00E60FE8"/>
    <w:rsid w:val="00E611DD"/>
    <w:rsid w:val="00E6121D"/>
    <w:rsid w:val="00E616EC"/>
    <w:rsid w:val="00E61CE7"/>
    <w:rsid w:val="00E61E43"/>
    <w:rsid w:val="00E61F2B"/>
    <w:rsid w:val="00E6216F"/>
    <w:rsid w:val="00E624EC"/>
    <w:rsid w:val="00E62681"/>
    <w:rsid w:val="00E62BD5"/>
    <w:rsid w:val="00E62D45"/>
    <w:rsid w:val="00E62DEF"/>
    <w:rsid w:val="00E62EEE"/>
    <w:rsid w:val="00E62F40"/>
    <w:rsid w:val="00E6322D"/>
    <w:rsid w:val="00E63274"/>
    <w:rsid w:val="00E63342"/>
    <w:rsid w:val="00E637E8"/>
    <w:rsid w:val="00E6385C"/>
    <w:rsid w:val="00E63C06"/>
    <w:rsid w:val="00E63D08"/>
    <w:rsid w:val="00E644D5"/>
    <w:rsid w:val="00E6460F"/>
    <w:rsid w:val="00E64C60"/>
    <w:rsid w:val="00E64D3E"/>
    <w:rsid w:val="00E64D72"/>
    <w:rsid w:val="00E65377"/>
    <w:rsid w:val="00E653F2"/>
    <w:rsid w:val="00E65635"/>
    <w:rsid w:val="00E656B3"/>
    <w:rsid w:val="00E65AB8"/>
    <w:rsid w:val="00E65F03"/>
    <w:rsid w:val="00E65FB0"/>
    <w:rsid w:val="00E661EA"/>
    <w:rsid w:val="00E66295"/>
    <w:rsid w:val="00E6632C"/>
    <w:rsid w:val="00E666DC"/>
    <w:rsid w:val="00E66802"/>
    <w:rsid w:val="00E67048"/>
    <w:rsid w:val="00E674FF"/>
    <w:rsid w:val="00E6750D"/>
    <w:rsid w:val="00E67527"/>
    <w:rsid w:val="00E678DA"/>
    <w:rsid w:val="00E6792A"/>
    <w:rsid w:val="00E67DAB"/>
    <w:rsid w:val="00E67F56"/>
    <w:rsid w:val="00E701B6"/>
    <w:rsid w:val="00E702FB"/>
    <w:rsid w:val="00E70678"/>
    <w:rsid w:val="00E707EC"/>
    <w:rsid w:val="00E70949"/>
    <w:rsid w:val="00E70980"/>
    <w:rsid w:val="00E71004"/>
    <w:rsid w:val="00E72017"/>
    <w:rsid w:val="00E727A8"/>
    <w:rsid w:val="00E72D41"/>
    <w:rsid w:val="00E72DD4"/>
    <w:rsid w:val="00E734B9"/>
    <w:rsid w:val="00E7385C"/>
    <w:rsid w:val="00E739AD"/>
    <w:rsid w:val="00E73A5C"/>
    <w:rsid w:val="00E74095"/>
    <w:rsid w:val="00E7428C"/>
    <w:rsid w:val="00E74596"/>
    <w:rsid w:val="00E74876"/>
    <w:rsid w:val="00E74ACF"/>
    <w:rsid w:val="00E74FEE"/>
    <w:rsid w:val="00E75176"/>
    <w:rsid w:val="00E75543"/>
    <w:rsid w:val="00E75656"/>
    <w:rsid w:val="00E75C3D"/>
    <w:rsid w:val="00E75D68"/>
    <w:rsid w:val="00E75F3C"/>
    <w:rsid w:val="00E76051"/>
    <w:rsid w:val="00E76398"/>
    <w:rsid w:val="00E76AB3"/>
    <w:rsid w:val="00E76AC5"/>
    <w:rsid w:val="00E76B37"/>
    <w:rsid w:val="00E76FA5"/>
    <w:rsid w:val="00E77347"/>
    <w:rsid w:val="00E773AC"/>
    <w:rsid w:val="00E801C3"/>
    <w:rsid w:val="00E8031F"/>
    <w:rsid w:val="00E80377"/>
    <w:rsid w:val="00E804E5"/>
    <w:rsid w:val="00E804EC"/>
    <w:rsid w:val="00E80808"/>
    <w:rsid w:val="00E80D97"/>
    <w:rsid w:val="00E8129A"/>
    <w:rsid w:val="00E812A1"/>
    <w:rsid w:val="00E818C1"/>
    <w:rsid w:val="00E81970"/>
    <w:rsid w:val="00E81F72"/>
    <w:rsid w:val="00E8241C"/>
    <w:rsid w:val="00E82939"/>
    <w:rsid w:val="00E82AF0"/>
    <w:rsid w:val="00E82C94"/>
    <w:rsid w:val="00E83117"/>
    <w:rsid w:val="00E83940"/>
    <w:rsid w:val="00E83E3B"/>
    <w:rsid w:val="00E83E54"/>
    <w:rsid w:val="00E842A6"/>
    <w:rsid w:val="00E84320"/>
    <w:rsid w:val="00E84708"/>
    <w:rsid w:val="00E84717"/>
    <w:rsid w:val="00E848A6"/>
    <w:rsid w:val="00E84953"/>
    <w:rsid w:val="00E84A04"/>
    <w:rsid w:val="00E84D43"/>
    <w:rsid w:val="00E84E2E"/>
    <w:rsid w:val="00E85524"/>
    <w:rsid w:val="00E8571B"/>
    <w:rsid w:val="00E85785"/>
    <w:rsid w:val="00E857AB"/>
    <w:rsid w:val="00E85AC2"/>
    <w:rsid w:val="00E85F50"/>
    <w:rsid w:val="00E86051"/>
    <w:rsid w:val="00E86073"/>
    <w:rsid w:val="00E862EC"/>
    <w:rsid w:val="00E864D9"/>
    <w:rsid w:val="00E864DE"/>
    <w:rsid w:val="00E8652F"/>
    <w:rsid w:val="00E867B2"/>
    <w:rsid w:val="00E86815"/>
    <w:rsid w:val="00E86AB9"/>
    <w:rsid w:val="00E86BBF"/>
    <w:rsid w:val="00E86D57"/>
    <w:rsid w:val="00E8708C"/>
    <w:rsid w:val="00E87343"/>
    <w:rsid w:val="00E87A4E"/>
    <w:rsid w:val="00E87D85"/>
    <w:rsid w:val="00E900D6"/>
    <w:rsid w:val="00E901B0"/>
    <w:rsid w:val="00E90522"/>
    <w:rsid w:val="00E90B05"/>
    <w:rsid w:val="00E910F4"/>
    <w:rsid w:val="00E91446"/>
    <w:rsid w:val="00E917D1"/>
    <w:rsid w:val="00E91833"/>
    <w:rsid w:val="00E91D45"/>
    <w:rsid w:val="00E91D4B"/>
    <w:rsid w:val="00E91F88"/>
    <w:rsid w:val="00E92012"/>
    <w:rsid w:val="00E923F0"/>
    <w:rsid w:val="00E929D6"/>
    <w:rsid w:val="00E92B0F"/>
    <w:rsid w:val="00E92CFF"/>
    <w:rsid w:val="00E92E38"/>
    <w:rsid w:val="00E92F0C"/>
    <w:rsid w:val="00E93171"/>
    <w:rsid w:val="00E9344D"/>
    <w:rsid w:val="00E9381A"/>
    <w:rsid w:val="00E9391A"/>
    <w:rsid w:val="00E93962"/>
    <w:rsid w:val="00E93A5E"/>
    <w:rsid w:val="00E93BBE"/>
    <w:rsid w:val="00E93D71"/>
    <w:rsid w:val="00E944D3"/>
    <w:rsid w:val="00E9464C"/>
    <w:rsid w:val="00E94A5D"/>
    <w:rsid w:val="00E94C22"/>
    <w:rsid w:val="00E9556D"/>
    <w:rsid w:val="00E959B3"/>
    <w:rsid w:val="00E95B60"/>
    <w:rsid w:val="00E95F44"/>
    <w:rsid w:val="00E961DE"/>
    <w:rsid w:val="00E96552"/>
    <w:rsid w:val="00E966D3"/>
    <w:rsid w:val="00E96895"/>
    <w:rsid w:val="00E97AA3"/>
    <w:rsid w:val="00EA013A"/>
    <w:rsid w:val="00EA03C1"/>
    <w:rsid w:val="00EA040F"/>
    <w:rsid w:val="00EA0764"/>
    <w:rsid w:val="00EA0B0D"/>
    <w:rsid w:val="00EA0BAE"/>
    <w:rsid w:val="00EA0FCE"/>
    <w:rsid w:val="00EA10BD"/>
    <w:rsid w:val="00EA1224"/>
    <w:rsid w:val="00EA12D0"/>
    <w:rsid w:val="00EA14E1"/>
    <w:rsid w:val="00EA1BAA"/>
    <w:rsid w:val="00EA202C"/>
    <w:rsid w:val="00EA276C"/>
    <w:rsid w:val="00EA2DDE"/>
    <w:rsid w:val="00EA3280"/>
    <w:rsid w:val="00EA3671"/>
    <w:rsid w:val="00EA3AE1"/>
    <w:rsid w:val="00EA43C2"/>
    <w:rsid w:val="00EA4402"/>
    <w:rsid w:val="00EA4417"/>
    <w:rsid w:val="00EA4472"/>
    <w:rsid w:val="00EA4504"/>
    <w:rsid w:val="00EA46AE"/>
    <w:rsid w:val="00EA46E1"/>
    <w:rsid w:val="00EA4B58"/>
    <w:rsid w:val="00EA574F"/>
    <w:rsid w:val="00EA588D"/>
    <w:rsid w:val="00EA5AC0"/>
    <w:rsid w:val="00EA5D5D"/>
    <w:rsid w:val="00EA6068"/>
    <w:rsid w:val="00EA6111"/>
    <w:rsid w:val="00EA62A6"/>
    <w:rsid w:val="00EA65EC"/>
    <w:rsid w:val="00EA6733"/>
    <w:rsid w:val="00EA67B7"/>
    <w:rsid w:val="00EA67DB"/>
    <w:rsid w:val="00EA6894"/>
    <w:rsid w:val="00EA6A05"/>
    <w:rsid w:val="00EA6A52"/>
    <w:rsid w:val="00EA6E8E"/>
    <w:rsid w:val="00EA7743"/>
    <w:rsid w:val="00EA7BB5"/>
    <w:rsid w:val="00EA7EE2"/>
    <w:rsid w:val="00EB0002"/>
    <w:rsid w:val="00EB0217"/>
    <w:rsid w:val="00EB032E"/>
    <w:rsid w:val="00EB03E2"/>
    <w:rsid w:val="00EB097C"/>
    <w:rsid w:val="00EB09A2"/>
    <w:rsid w:val="00EB0B8E"/>
    <w:rsid w:val="00EB1237"/>
    <w:rsid w:val="00EB1507"/>
    <w:rsid w:val="00EB16A0"/>
    <w:rsid w:val="00EB180C"/>
    <w:rsid w:val="00EB1819"/>
    <w:rsid w:val="00EB1A0B"/>
    <w:rsid w:val="00EB1A67"/>
    <w:rsid w:val="00EB1D8C"/>
    <w:rsid w:val="00EB29BD"/>
    <w:rsid w:val="00EB2A53"/>
    <w:rsid w:val="00EB2A8E"/>
    <w:rsid w:val="00EB2ECE"/>
    <w:rsid w:val="00EB3103"/>
    <w:rsid w:val="00EB32D4"/>
    <w:rsid w:val="00EB3858"/>
    <w:rsid w:val="00EB3C72"/>
    <w:rsid w:val="00EB404E"/>
    <w:rsid w:val="00EB4815"/>
    <w:rsid w:val="00EB48DE"/>
    <w:rsid w:val="00EB498A"/>
    <w:rsid w:val="00EB4FD6"/>
    <w:rsid w:val="00EB505A"/>
    <w:rsid w:val="00EB50A7"/>
    <w:rsid w:val="00EB54B7"/>
    <w:rsid w:val="00EB5501"/>
    <w:rsid w:val="00EB5603"/>
    <w:rsid w:val="00EB5BED"/>
    <w:rsid w:val="00EB5BFC"/>
    <w:rsid w:val="00EB5CD9"/>
    <w:rsid w:val="00EB60FF"/>
    <w:rsid w:val="00EB6510"/>
    <w:rsid w:val="00EB6635"/>
    <w:rsid w:val="00EB69CC"/>
    <w:rsid w:val="00EB6AA6"/>
    <w:rsid w:val="00EB6F6B"/>
    <w:rsid w:val="00EB7186"/>
    <w:rsid w:val="00EB7236"/>
    <w:rsid w:val="00EB73E4"/>
    <w:rsid w:val="00EB74D1"/>
    <w:rsid w:val="00EB75DA"/>
    <w:rsid w:val="00EB76CC"/>
    <w:rsid w:val="00EB7AC0"/>
    <w:rsid w:val="00EB7B6F"/>
    <w:rsid w:val="00EB7E64"/>
    <w:rsid w:val="00EB7F1A"/>
    <w:rsid w:val="00EC0518"/>
    <w:rsid w:val="00EC08C6"/>
    <w:rsid w:val="00EC0A10"/>
    <w:rsid w:val="00EC0ACE"/>
    <w:rsid w:val="00EC0AE2"/>
    <w:rsid w:val="00EC1262"/>
    <w:rsid w:val="00EC12F0"/>
    <w:rsid w:val="00EC1D27"/>
    <w:rsid w:val="00EC21AC"/>
    <w:rsid w:val="00EC2361"/>
    <w:rsid w:val="00EC299C"/>
    <w:rsid w:val="00EC2CBE"/>
    <w:rsid w:val="00EC2F53"/>
    <w:rsid w:val="00EC2F61"/>
    <w:rsid w:val="00EC343F"/>
    <w:rsid w:val="00EC361D"/>
    <w:rsid w:val="00EC3C56"/>
    <w:rsid w:val="00EC3F6C"/>
    <w:rsid w:val="00EC4037"/>
    <w:rsid w:val="00EC46BC"/>
    <w:rsid w:val="00EC485D"/>
    <w:rsid w:val="00EC48B8"/>
    <w:rsid w:val="00EC4E06"/>
    <w:rsid w:val="00EC4F2A"/>
    <w:rsid w:val="00EC51A3"/>
    <w:rsid w:val="00EC565F"/>
    <w:rsid w:val="00EC5728"/>
    <w:rsid w:val="00EC5731"/>
    <w:rsid w:val="00EC5CD3"/>
    <w:rsid w:val="00EC6027"/>
    <w:rsid w:val="00EC66A4"/>
    <w:rsid w:val="00EC69FA"/>
    <w:rsid w:val="00EC6F1A"/>
    <w:rsid w:val="00EC6F6A"/>
    <w:rsid w:val="00EC709E"/>
    <w:rsid w:val="00EC738B"/>
    <w:rsid w:val="00EC73E7"/>
    <w:rsid w:val="00EC7BBE"/>
    <w:rsid w:val="00EC7E90"/>
    <w:rsid w:val="00ED0170"/>
    <w:rsid w:val="00ED0515"/>
    <w:rsid w:val="00ED07D1"/>
    <w:rsid w:val="00ED1082"/>
    <w:rsid w:val="00ED141E"/>
    <w:rsid w:val="00ED15F5"/>
    <w:rsid w:val="00ED17E6"/>
    <w:rsid w:val="00ED1830"/>
    <w:rsid w:val="00ED18B9"/>
    <w:rsid w:val="00ED198F"/>
    <w:rsid w:val="00ED1A81"/>
    <w:rsid w:val="00ED1AA1"/>
    <w:rsid w:val="00ED1B2B"/>
    <w:rsid w:val="00ED1D68"/>
    <w:rsid w:val="00ED201A"/>
    <w:rsid w:val="00ED2214"/>
    <w:rsid w:val="00ED2285"/>
    <w:rsid w:val="00ED24E2"/>
    <w:rsid w:val="00ED274F"/>
    <w:rsid w:val="00ED2F4E"/>
    <w:rsid w:val="00ED2F74"/>
    <w:rsid w:val="00ED2FBC"/>
    <w:rsid w:val="00ED3071"/>
    <w:rsid w:val="00ED35D7"/>
    <w:rsid w:val="00ED380B"/>
    <w:rsid w:val="00ED3D23"/>
    <w:rsid w:val="00ED44ED"/>
    <w:rsid w:val="00ED4630"/>
    <w:rsid w:val="00ED4750"/>
    <w:rsid w:val="00ED4827"/>
    <w:rsid w:val="00ED4838"/>
    <w:rsid w:val="00ED497E"/>
    <w:rsid w:val="00ED4A5A"/>
    <w:rsid w:val="00ED4D80"/>
    <w:rsid w:val="00ED5188"/>
    <w:rsid w:val="00ED54DB"/>
    <w:rsid w:val="00ED5A15"/>
    <w:rsid w:val="00ED5DA4"/>
    <w:rsid w:val="00ED61FD"/>
    <w:rsid w:val="00ED628B"/>
    <w:rsid w:val="00ED628D"/>
    <w:rsid w:val="00ED6D75"/>
    <w:rsid w:val="00ED6F94"/>
    <w:rsid w:val="00ED6FDA"/>
    <w:rsid w:val="00ED7863"/>
    <w:rsid w:val="00ED7ABC"/>
    <w:rsid w:val="00EE0812"/>
    <w:rsid w:val="00EE08CF"/>
    <w:rsid w:val="00EE0E05"/>
    <w:rsid w:val="00EE0EBF"/>
    <w:rsid w:val="00EE0F3E"/>
    <w:rsid w:val="00EE10E1"/>
    <w:rsid w:val="00EE116E"/>
    <w:rsid w:val="00EE1210"/>
    <w:rsid w:val="00EE168B"/>
    <w:rsid w:val="00EE1B5A"/>
    <w:rsid w:val="00EE1CB5"/>
    <w:rsid w:val="00EE1D2A"/>
    <w:rsid w:val="00EE1E18"/>
    <w:rsid w:val="00EE201C"/>
    <w:rsid w:val="00EE2A9E"/>
    <w:rsid w:val="00EE30A3"/>
    <w:rsid w:val="00EE31A5"/>
    <w:rsid w:val="00EE321D"/>
    <w:rsid w:val="00EE33FF"/>
    <w:rsid w:val="00EE375F"/>
    <w:rsid w:val="00EE3887"/>
    <w:rsid w:val="00EE3ED5"/>
    <w:rsid w:val="00EE3F0B"/>
    <w:rsid w:val="00EE4317"/>
    <w:rsid w:val="00EE483D"/>
    <w:rsid w:val="00EE488F"/>
    <w:rsid w:val="00EE4AA6"/>
    <w:rsid w:val="00EE4BC2"/>
    <w:rsid w:val="00EE4CBF"/>
    <w:rsid w:val="00EE4CDF"/>
    <w:rsid w:val="00EE4EAD"/>
    <w:rsid w:val="00EE5026"/>
    <w:rsid w:val="00EE59C0"/>
    <w:rsid w:val="00EE5A52"/>
    <w:rsid w:val="00EE5F5E"/>
    <w:rsid w:val="00EE6867"/>
    <w:rsid w:val="00EE69CF"/>
    <w:rsid w:val="00EE6D9F"/>
    <w:rsid w:val="00EE701A"/>
    <w:rsid w:val="00EE78AF"/>
    <w:rsid w:val="00EE7BCE"/>
    <w:rsid w:val="00EF031C"/>
    <w:rsid w:val="00EF09DB"/>
    <w:rsid w:val="00EF0D9A"/>
    <w:rsid w:val="00EF0E51"/>
    <w:rsid w:val="00EF1903"/>
    <w:rsid w:val="00EF1917"/>
    <w:rsid w:val="00EF1D2D"/>
    <w:rsid w:val="00EF1DC6"/>
    <w:rsid w:val="00EF26B7"/>
    <w:rsid w:val="00EF378D"/>
    <w:rsid w:val="00EF3B28"/>
    <w:rsid w:val="00EF3DA3"/>
    <w:rsid w:val="00EF47F5"/>
    <w:rsid w:val="00EF48ED"/>
    <w:rsid w:val="00EF4D25"/>
    <w:rsid w:val="00EF4E8E"/>
    <w:rsid w:val="00EF4F04"/>
    <w:rsid w:val="00EF51BF"/>
    <w:rsid w:val="00EF5484"/>
    <w:rsid w:val="00EF561D"/>
    <w:rsid w:val="00EF563D"/>
    <w:rsid w:val="00EF567A"/>
    <w:rsid w:val="00EF56E6"/>
    <w:rsid w:val="00EF5A72"/>
    <w:rsid w:val="00EF6474"/>
    <w:rsid w:val="00EF649B"/>
    <w:rsid w:val="00EF64D0"/>
    <w:rsid w:val="00EF6539"/>
    <w:rsid w:val="00EF65EE"/>
    <w:rsid w:val="00EF6A6D"/>
    <w:rsid w:val="00EF6BDC"/>
    <w:rsid w:val="00EF7062"/>
    <w:rsid w:val="00EF7334"/>
    <w:rsid w:val="00EF7366"/>
    <w:rsid w:val="00EF76FB"/>
    <w:rsid w:val="00EF78CD"/>
    <w:rsid w:val="00EF78FD"/>
    <w:rsid w:val="00EF7B51"/>
    <w:rsid w:val="00F0017B"/>
    <w:rsid w:val="00F003E6"/>
    <w:rsid w:val="00F008AE"/>
    <w:rsid w:val="00F011E0"/>
    <w:rsid w:val="00F01251"/>
    <w:rsid w:val="00F01B56"/>
    <w:rsid w:val="00F01BEF"/>
    <w:rsid w:val="00F01F91"/>
    <w:rsid w:val="00F02D5A"/>
    <w:rsid w:val="00F0308B"/>
    <w:rsid w:val="00F0350C"/>
    <w:rsid w:val="00F03663"/>
    <w:rsid w:val="00F0384D"/>
    <w:rsid w:val="00F03B17"/>
    <w:rsid w:val="00F04048"/>
    <w:rsid w:val="00F04139"/>
    <w:rsid w:val="00F046D3"/>
    <w:rsid w:val="00F04DCD"/>
    <w:rsid w:val="00F04FFB"/>
    <w:rsid w:val="00F05390"/>
    <w:rsid w:val="00F0544F"/>
    <w:rsid w:val="00F05644"/>
    <w:rsid w:val="00F0588F"/>
    <w:rsid w:val="00F058A0"/>
    <w:rsid w:val="00F05BEC"/>
    <w:rsid w:val="00F063C9"/>
    <w:rsid w:val="00F06581"/>
    <w:rsid w:val="00F066C6"/>
    <w:rsid w:val="00F066E8"/>
    <w:rsid w:val="00F067DC"/>
    <w:rsid w:val="00F067FB"/>
    <w:rsid w:val="00F06B80"/>
    <w:rsid w:val="00F0707B"/>
    <w:rsid w:val="00F0738C"/>
    <w:rsid w:val="00F075B9"/>
    <w:rsid w:val="00F075F8"/>
    <w:rsid w:val="00F076F9"/>
    <w:rsid w:val="00F07756"/>
    <w:rsid w:val="00F079D3"/>
    <w:rsid w:val="00F07FDA"/>
    <w:rsid w:val="00F10476"/>
    <w:rsid w:val="00F1078C"/>
    <w:rsid w:val="00F10E03"/>
    <w:rsid w:val="00F10E26"/>
    <w:rsid w:val="00F10E93"/>
    <w:rsid w:val="00F1104F"/>
    <w:rsid w:val="00F11085"/>
    <w:rsid w:val="00F114ED"/>
    <w:rsid w:val="00F1151E"/>
    <w:rsid w:val="00F1197D"/>
    <w:rsid w:val="00F11998"/>
    <w:rsid w:val="00F119B9"/>
    <w:rsid w:val="00F11A54"/>
    <w:rsid w:val="00F11B7F"/>
    <w:rsid w:val="00F1233F"/>
    <w:rsid w:val="00F1238C"/>
    <w:rsid w:val="00F1285B"/>
    <w:rsid w:val="00F12883"/>
    <w:rsid w:val="00F129C4"/>
    <w:rsid w:val="00F12B9C"/>
    <w:rsid w:val="00F132A3"/>
    <w:rsid w:val="00F1358E"/>
    <w:rsid w:val="00F135D4"/>
    <w:rsid w:val="00F13B10"/>
    <w:rsid w:val="00F13D1D"/>
    <w:rsid w:val="00F13F20"/>
    <w:rsid w:val="00F14197"/>
    <w:rsid w:val="00F14410"/>
    <w:rsid w:val="00F1466D"/>
    <w:rsid w:val="00F14B48"/>
    <w:rsid w:val="00F14C87"/>
    <w:rsid w:val="00F14DBB"/>
    <w:rsid w:val="00F14F94"/>
    <w:rsid w:val="00F15227"/>
    <w:rsid w:val="00F1542F"/>
    <w:rsid w:val="00F1595E"/>
    <w:rsid w:val="00F15A31"/>
    <w:rsid w:val="00F161FD"/>
    <w:rsid w:val="00F1638C"/>
    <w:rsid w:val="00F167E0"/>
    <w:rsid w:val="00F1681F"/>
    <w:rsid w:val="00F1696C"/>
    <w:rsid w:val="00F169A6"/>
    <w:rsid w:val="00F16A1E"/>
    <w:rsid w:val="00F16B25"/>
    <w:rsid w:val="00F16D05"/>
    <w:rsid w:val="00F174F1"/>
    <w:rsid w:val="00F1759F"/>
    <w:rsid w:val="00F17916"/>
    <w:rsid w:val="00F17A12"/>
    <w:rsid w:val="00F17BE2"/>
    <w:rsid w:val="00F20313"/>
    <w:rsid w:val="00F20724"/>
    <w:rsid w:val="00F20880"/>
    <w:rsid w:val="00F20B46"/>
    <w:rsid w:val="00F20F8D"/>
    <w:rsid w:val="00F2100D"/>
    <w:rsid w:val="00F21116"/>
    <w:rsid w:val="00F21557"/>
    <w:rsid w:val="00F216E6"/>
    <w:rsid w:val="00F218D1"/>
    <w:rsid w:val="00F21975"/>
    <w:rsid w:val="00F21B4C"/>
    <w:rsid w:val="00F21F8B"/>
    <w:rsid w:val="00F22117"/>
    <w:rsid w:val="00F2213D"/>
    <w:rsid w:val="00F2230D"/>
    <w:rsid w:val="00F2247A"/>
    <w:rsid w:val="00F224AA"/>
    <w:rsid w:val="00F22AAB"/>
    <w:rsid w:val="00F22ACC"/>
    <w:rsid w:val="00F22BF8"/>
    <w:rsid w:val="00F22D99"/>
    <w:rsid w:val="00F23213"/>
    <w:rsid w:val="00F23487"/>
    <w:rsid w:val="00F23583"/>
    <w:rsid w:val="00F23802"/>
    <w:rsid w:val="00F239FC"/>
    <w:rsid w:val="00F23D34"/>
    <w:rsid w:val="00F23D85"/>
    <w:rsid w:val="00F24166"/>
    <w:rsid w:val="00F241B1"/>
    <w:rsid w:val="00F24517"/>
    <w:rsid w:val="00F24871"/>
    <w:rsid w:val="00F249CE"/>
    <w:rsid w:val="00F24BAA"/>
    <w:rsid w:val="00F24CBF"/>
    <w:rsid w:val="00F2531F"/>
    <w:rsid w:val="00F254ED"/>
    <w:rsid w:val="00F25729"/>
    <w:rsid w:val="00F25779"/>
    <w:rsid w:val="00F257C7"/>
    <w:rsid w:val="00F258C8"/>
    <w:rsid w:val="00F259A0"/>
    <w:rsid w:val="00F25D46"/>
    <w:rsid w:val="00F25E44"/>
    <w:rsid w:val="00F26203"/>
    <w:rsid w:val="00F263E6"/>
    <w:rsid w:val="00F2667E"/>
    <w:rsid w:val="00F26EFF"/>
    <w:rsid w:val="00F26F80"/>
    <w:rsid w:val="00F275DF"/>
    <w:rsid w:val="00F27DB1"/>
    <w:rsid w:val="00F27F0A"/>
    <w:rsid w:val="00F30B76"/>
    <w:rsid w:val="00F31099"/>
    <w:rsid w:val="00F310B6"/>
    <w:rsid w:val="00F3113B"/>
    <w:rsid w:val="00F31170"/>
    <w:rsid w:val="00F311DF"/>
    <w:rsid w:val="00F31576"/>
    <w:rsid w:val="00F316F4"/>
    <w:rsid w:val="00F3170B"/>
    <w:rsid w:val="00F31940"/>
    <w:rsid w:val="00F31A23"/>
    <w:rsid w:val="00F31A7C"/>
    <w:rsid w:val="00F31C05"/>
    <w:rsid w:val="00F31C6A"/>
    <w:rsid w:val="00F328D8"/>
    <w:rsid w:val="00F32A7A"/>
    <w:rsid w:val="00F32E64"/>
    <w:rsid w:val="00F32FDD"/>
    <w:rsid w:val="00F33354"/>
    <w:rsid w:val="00F335AF"/>
    <w:rsid w:val="00F3368B"/>
    <w:rsid w:val="00F33750"/>
    <w:rsid w:val="00F3381E"/>
    <w:rsid w:val="00F33C28"/>
    <w:rsid w:val="00F33EF9"/>
    <w:rsid w:val="00F33FC3"/>
    <w:rsid w:val="00F3417C"/>
    <w:rsid w:val="00F34282"/>
    <w:rsid w:val="00F34456"/>
    <w:rsid w:val="00F3453B"/>
    <w:rsid w:val="00F34A94"/>
    <w:rsid w:val="00F355DD"/>
    <w:rsid w:val="00F35923"/>
    <w:rsid w:val="00F359A1"/>
    <w:rsid w:val="00F359F1"/>
    <w:rsid w:val="00F35ABF"/>
    <w:rsid w:val="00F36049"/>
    <w:rsid w:val="00F360A1"/>
    <w:rsid w:val="00F3610F"/>
    <w:rsid w:val="00F3636C"/>
    <w:rsid w:val="00F3677B"/>
    <w:rsid w:val="00F36D62"/>
    <w:rsid w:val="00F3722B"/>
    <w:rsid w:val="00F40318"/>
    <w:rsid w:val="00F40505"/>
    <w:rsid w:val="00F40BFF"/>
    <w:rsid w:val="00F410BA"/>
    <w:rsid w:val="00F414F3"/>
    <w:rsid w:val="00F41BEB"/>
    <w:rsid w:val="00F41CCD"/>
    <w:rsid w:val="00F42098"/>
    <w:rsid w:val="00F437A2"/>
    <w:rsid w:val="00F4388F"/>
    <w:rsid w:val="00F43B25"/>
    <w:rsid w:val="00F43E07"/>
    <w:rsid w:val="00F44482"/>
    <w:rsid w:val="00F44A65"/>
    <w:rsid w:val="00F44D5B"/>
    <w:rsid w:val="00F45309"/>
    <w:rsid w:val="00F45812"/>
    <w:rsid w:val="00F45860"/>
    <w:rsid w:val="00F45EF7"/>
    <w:rsid w:val="00F45F1F"/>
    <w:rsid w:val="00F462E3"/>
    <w:rsid w:val="00F4693E"/>
    <w:rsid w:val="00F47175"/>
    <w:rsid w:val="00F473EB"/>
    <w:rsid w:val="00F4768C"/>
    <w:rsid w:val="00F477E5"/>
    <w:rsid w:val="00F47BC3"/>
    <w:rsid w:val="00F47EDE"/>
    <w:rsid w:val="00F47FBB"/>
    <w:rsid w:val="00F5008D"/>
    <w:rsid w:val="00F50142"/>
    <w:rsid w:val="00F50546"/>
    <w:rsid w:val="00F50798"/>
    <w:rsid w:val="00F50B29"/>
    <w:rsid w:val="00F50D72"/>
    <w:rsid w:val="00F50DF3"/>
    <w:rsid w:val="00F50FAB"/>
    <w:rsid w:val="00F51265"/>
    <w:rsid w:val="00F51349"/>
    <w:rsid w:val="00F5135D"/>
    <w:rsid w:val="00F51492"/>
    <w:rsid w:val="00F5157F"/>
    <w:rsid w:val="00F5188E"/>
    <w:rsid w:val="00F51D6D"/>
    <w:rsid w:val="00F52623"/>
    <w:rsid w:val="00F52730"/>
    <w:rsid w:val="00F5274C"/>
    <w:rsid w:val="00F5281A"/>
    <w:rsid w:val="00F52AD4"/>
    <w:rsid w:val="00F52B38"/>
    <w:rsid w:val="00F52FC0"/>
    <w:rsid w:val="00F53324"/>
    <w:rsid w:val="00F534C5"/>
    <w:rsid w:val="00F5354C"/>
    <w:rsid w:val="00F53B56"/>
    <w:rsid w:val="00F53CBE"/>
    <w:rsid w:val="00F5434E"/>
    <w:rsid w:val="00F546F3"/>
    <w:rsid w:val="00F54B0C"/>
    <w:rsid w:val="00F54F4D"/>
    <w:rsid w:val="00F55048"/>
    <w:rsid w:val="00F55171"/>
    <w:rsid w:val="00F5577A"/>
    <w:rsid w:val="00F558F1"/>
    <w:rsid w:val="00F55D19"/>
    <w:rsid w:val="00F55DD8"/>
    <w:rsid w:val="00F56008"/>
    <w:rsid w:val="00F56120"/>
    <w:rsid w:val="00F567D8"/>
    <w:rsid w:val="00F56BAC"/>
    <w:rsid w:val="00F56DE1"/>
    <w:rsid w:val="00F57051"/>
    <w:rsid w:val="00F57228"/>
    <w:rsid w:val="00F5724A"/>
    <w:rsid w:val="00F57289"/>
    <w:rsid w:val="00F5728B"/>
    <w:rsid w:val="00F573FE"/>
    <w:rsid w:val="00F57421"/>
    <w:rsid w:val="00F576BE"/>
    <w:rsid w:val="00F5797D"/>
    <w:rsid w:val="00F57BD4"/>
    <w:rsid w:val="00F57CB2"/>
    <w:rsid w:val="00F60252"/>
    <w:rsid w:val="00F608DE"/>
    <w:rsid w:val="00F60920"/>
    <w:rsid w:val="00F60B6D"/>
    <w:rsid w:val="00F60BF6"/>
    <w:rsid w:val="00F60CF3"/>
    <w:rsid w:val="00F6101A"/>
    <w:rsid w:val="00F617E4"/>
    <w:rsid w:val="00F61F25"/>
    <w:rsid w:val="00F61F2B"/>
    <w:rsid w:val="00F61F5C"/>
    <w:rsid w:val="00F62370"/>
    <w:rsid w:val="00F6286D"/>
    <w:rsid w:val="00F6292C"/>
    <w:rsid w:val="00F62A60"/>
    <w:rsid w:val="00F638EF"/>
    <w:rsid w:val="00F63D8A"/>
    <w:rsid w:val="00F63E81"/>
    <w:rsid w:val="00F640B6"/>
    <w:rsid w:val="00F64371"/>
    <w:rsid w:val="00F645DA"/>
    <w:rsid w:val="00F645DD"/>
    <w:rsid w:val="00F64FB6"/>
    <w:rsid w:val="00F64FFD"/>
    <w:rsid w:val="00F65017"/>
    <w:rsid w:val="00F6508D"/>
    <w:rsid w:val="00F650E7"/>
    <w:rsid w:val="00F65BCA"/>
    <w:rsid w:val="00F65C4C"/>
    <w:rsid w:val="00F6688C"/>
    <w:rsid w:val="00F66C54"/>
    <w:rsid w:val="00F66FC5"/>
    <w:rsid w:val="00F67041"/>
    <w:rsid w:val="00F67C2A"/>
    <w:rsid w:val="00F70002"/>
    <w:rsid w:val="00F70C2E"/>
    <w:rsid w:val="00F70E3A"/>
    <w:rsid w:val="00F71565"/>
    <w:rsid w:val="00F71651"/>
    <w:rsid w:val="00F71703"/>
    <w:rsid w:val="00F71978"/>
    <w:rsid w:val="00F71B43"/>
    <w:rsid w:val="00F71BC5"/>
    <w:rsid w:val="00F720BC"/>
    <w:rsid w:val="00F72172"/>
    <w:rsid w:val="00F72278"/>
    <w:rsid w:val="00F72912"/>
    <w:rsid w:val="00F72950"/>
    <w:rsid w:val="00F72D06"/>
    <w:rsid w:val="00F72D8C"/>
    <w:rsid w:val="00F72EDA"/>
    <w:rsid w:val="00F72F3A"/>
    <w:rsid w:val="00F73020"/>
    <w:rsid w:val="00F73024"/>
    <w:rsid w:val="00F73030"/>
    <w:rsid w:val="00F73138"/>
    <w:rsid w:val="00F731FA"/>
    <w:rsid w:val="00F7350C"/>
    <w:rsid w:val="00F73666"/>
    <w:rsid w:val="00F736FB"/>
    <w:rsid w:val="00F738A8"/>
    <w:rsid w:val="00F73907"/>
    <w:rsid w:val="00F7394D"/>
    <w:rsid w:val="00F73BC2"/>
    <w:rsid w:val="00F73C13"/>
    <w:rsid w:val="00F73F85"/>
    <w:rsid w:val="00F740A2"/>
    <w:rsid w:val="00F74AD7"/>
    <w:rsid w:val="00F750A4"/>
    <w:rsid w:val="00F7530B"/>
    <w:rsid w:val="00F7579F"/>
    <w:rsid w:val="00F75A19"/>
    <w:rsid w:val="00F75AB1"/>
    <w:rsid w:val="00F75C88"/>
    <w:rsid w:val="00F75EFD"/>
    <w:rsid w:val="00F764A5"/>
    <w:rsid w:val="00F76925"/>
    <w:rsid w:val="00F76990"/>
    <w:rsid w:val="00F76A0A"/>
    <w:rsid w:val="00F76A74"/>
    <w:rsid w:val="00F76E42"/>
    <w:rsid w:val="00F76EB3"/>
    <w:rsid w:val="00F76EEE"/>
    <w:rsid w:val="00F773F9"/>
    <w:rsid w:val="00F77749"/>
    <w:rsid w:val="00F779D9"/>
    <w:rsid w:val="00F77A67"/>
    <w:rsid w:val="00F77B13"/>
    <w:rsid w:val="00F77ED1"/>
    <w:rsid w:val="00F806F8"/>
    <w:rsid w:val="00F80EFD"/>
    <w:rsid w:val="00F80F3B"/>
    <w:rsid w:val="00F80F48"/>
    <w:rsid w:val="00F81258"/>
    <w:rsid w:val="00F8185C"/>
    <w:rsid w:val="00F819ED"/>
    <w:rsid w:val="00F819F6"/>
    <w:rsid w:val="00F81B3D"/>
    <w:rsid w:val="00F81CB6"/>
    <w:rsid w:val="00F81E45"/>
    <w:rsid w:val="00F82164"/>
    <w:rsid w:val="00F82275"/>
    <w:rsid w:val="00F824D3"/>
    <w:rsid w:val="00F82762"/>
    <w:rsid w:val="00F82A17"/>
    <w:rsid w:val="00F83142"/>
    <w:rsid w:val="00F83221"/>
    <w:rsid w:val="00F8335F"/>
    <w:rsid w:val="00F83423"/>
    <w:rsid w:val="00F8378F"/>
    <w:rsid w:val="00F83A3C"/>
    <w:rsid w:val="00F83A93"/>
    <w:rsid w:val="00F83DF5"/>
    <w:rsid w:val="00F83F7D"/>
    <w:rsid w:val="00F84763"/>
    <w:rsid w:val="00F8494A"/>
    <w:rsid w:val="00F84C7A"/>
    <w:rsid w:val="00F84CB4"/>
    <w:rsid w:val="00F84CB8"/>
    <w:rsid w:val="00F84DF9"/>
    <w:rsid w:val="00F84EAB"/>
    <w:rsid w:val="00F84F4E"/>
    <w:rsid w:val="00F851AB"/>
    <w:rsid w:val="00F854E3"/>
    <w:rsid w:val="00F85563"/>
    <w:rsid w:val="00F858A0"/>
    <w:rsid w:val="00F85BC5"/>
    <w:rsid w:val="00F85C00"/>
    <w:rsid w:val="00F85CF6"/>
    <w:rsid w:val="00F85FA1"/>
    <w:rsid w:val="00F8634E"/>
    <w:rsid w:val="00F86375"/>
    <w:rsid w:val="00F86A73"/>
    <w:rsid w:val="00F86CDD"/>
    <w:rsid w:val="00F874AA"/>
    <w:rsid w:val="00F878F1"/>
    <w:rsid w:val="00F87C0C"/>
    <w:rsid w:val="00F87C73"/>
    <w:rsid w:val="00F87D69"/>
    <w:rsid w:val="00F87E7C"/>
    <w:rsid w:val="00F87EBD"/>
    <w:rsid w:val="00F90219"/>
    <w:rsid w:val="00F9022E"/>
    <w:rsid w:val="00F90429"/>
    <w:rsid w:val="00F90456"/>
    <w:rsid w:val="00F9048D"/>
    <w:rsid w:val="00F906D9"/>
    <w:rsid w:val="00F90D48"/>
    <w:rsid w:val="00F90DB2"/>
    <w:rsid w:val="00F911EC"/>
    <w:rsid w:val="00F91A59"/>
    <w:rsid w:val="00F91C18"/>
    <w:rsid w:val="00F921BB"/>
    <w:rsid w:val="00F923CD"/>
    <w:rsid w:val="00F923EE"/>
    <w:rsid w:val="00F92441"/>
    <w:rsid w:val="00F925CB"/>
    <w:rsid w:val="00F92687"/>
    <w:rsid w:val="00F92792"/>
    <w:rsid w:val="00F92E67"/>
    <w:rsid w:val="00F92E77"/>
    <w:rsid w:val="00F92F6C"/>
    <w:rsid w:val="00F93217"/>
    <w:rsid w:val="00F939C2"/>
    <w:rsid w:val="00F93A5F"/>
    <w:rsid w:val="00F93EF5"/>
    <w:rsid w:val="00F9517F"/>
    <w:rsid w:val="00F953AB"/>
    <w:rsid w:val="00F954DA"/>
    <w:rsid w:val="00F95522"/>
    <w:rsid w:val="00F95572"/>
    <w:rsid w:val="00F957BA"/>
    <w:rsid w:val="00F95A57"/>
    <w:rsid w:val="00F95AC1"/>
    <w:rsid w:val="00F95B8F"/>
    <w:rsid w:val="00F9655E"/>
    <w:rsid w:val="00F96A42"/>
    <w:rsid w:val="00F96FD3"/>
    <w:rsid w:val="00F977AC"/>
    <w:rsid w:val="00F978B9"/>
    <w:rsid w:val="00F9799C"/>
    <w:rsid w:val="00F979CD"/>
    <w:rsid w:val="00F97D63"/>
    <w:rsid w:val="00F97E00"/>
    <w:rsid w:val="00F97F80"/>
    <w:rsid w:val="00FA02D2"/>
    <w:rsid w:val="00FA04F8"/>
    <w:rsid w:val="00FA0808"/>
    <w:rsid w:val="00FA0BAD"/>
    <w:rsid w:val="00FA0F38"/>
    <w:rsid w:val="00FA1361"/>
    <w:rsid w:val="00FA13EC"/>
    <w:rsid w:val="00FA1410"/>
    <w:rsid w:val="00FA1713"/>
    <w:rsid w:val="00FA1717"/>
    <w:rsid w:val="00FA1833"/>
    <w:rsid w:val="00FA1E70"/>
    <w:rsid w:val="00FA2320"/>
    <w:rsid w:val="00FA2400"/>
    <w:rsid w:val="00FA2643"/>
    <w:rsid w:val="00FA2C51"/>
    <w:rsid w:val="00FA2E05"/>
    <w:rsid w:val="00FA2E39"/>
    <w:rsid w:val="00FA2E67"/>
    <w:rsid w:val="00FA3E8E"/>
    <w:rsid w:val="00FA3F76"/>
    <w:rsid w:val="00FA45B5"/>
    <w:rsid w:val="00FA4770"/>
    <w:rsid w:val="00FA4877"/>
    <w:rsid w:val="00FA49C8"/>
    <w:rsid w:val="00FA4B4C"/>
    <w:rsid w:val="00FA5657"/>
    <w:rsid w:val="00FA56FE"/>
    <w:rsid w:val="00FA5AE9"/>
    <w:rsid w:val="00FA5F12"/>
    <w:rsid w:val="00FA6025"/>
    <w:rsid w:val="00FA626F"/>
    <w:rsid w:val="00FA643F"/>
    <w:rsid w:val="00FA65DF"/>
    <w:rsid w:val="00FA66F6"/>
    <w:rsid w:val="00FA687C"/>
    <w:rsid w:val="00FA694E"/>
    <w:rsid w:val="00FA6999"/>
    <w:rsid w:val="00FA6ACA"/>
    <w:rsid w:val="00FA6C24"/>
    <w:rsid w:val="00FA6E4A"/>
    <w:rsid w:val="00FA70E3"/>
    <w:rsid w:val="00FA714A"/>
    <w:rsid w:val="00FA741B"/>
    <w:rsid w:val="00FA7464"/>
    <w:rsid w:val="00FA75B6"/>
    <w:rsid w:val="00FA7A30"/>
    <w:rsid w:val="00FA7D72"/>
    <w:rsid w:val="00FB019C"/>
    <w:rsid w:val="00FB04F4"/>
    <w:rsid w:val="00FB06DB"/>
    <w:rsid w:val="00FB083E"/>
    <w:rsid w:val="00FB0CCC"/>
    <w:rsid w:val="00FB11F0"/>
    <w:rsid w:val="00FB1714"/>
    <w:rsid w:val="00FB17D1"/>
    <w:rsid w:val="00FB1E89"/>
    <w:rsid w:val="00FB1E9F"/>
    <w:rsid w:val="00FB1EE6"/>
    <w:rsid w:val="00FB20FD"/>
    <w:rsid w:val="00FB2469"/>
    <w:rsid w:val="00FB25D0"/>
    <w:rsid w:val="00FB2944"/>
    <w:rsid w:val="00FB2EEF"/>
    <w:rsid w:val="00FB3049"/>
    <w:rsid w:val="00FB3194"/>
    <w:rsid w:val="00FB32D7"/>
    <w:rsid w:val="00FB35ED"/>
    <w:rsid w:val="00FB37F6"/>
    <w:rsid w:val="00FB3873"/>
    <w:rsid w:val="00FB38DC"/>
    <w:rsid w:val="00FB38F7"/>
    <w:rsid w:val="00FB3DA7"/>
    <w:rsid w:val="00FB486C"/>
    <w:rsid w:val="00FB48BA"/>
    <w:rsid w:val="00FB48F2"/>
    <w:rsid w:val="00FB496E"/>
    <w:rsid w:val="00FB4C53"/>
    <w:rsid w:val="00FB5564"/>
    <w:rsid w:val="00FB5959"/>
    <w:rsid w:val="00FB5A74"/>
    <w:rsid w:val="00FB5C71"/>
    <w:rsid w:val="00FB5E32"/>
    <w:rsid w:val="00FB5ED6"/>
    <w:rsid w:val="00FB626D"/>
    <w:rsid w:val="00FB6310"/>
    <w:rsid w:val="00FB6780"/>
    <w:rsid w:val="00FB68E5"/>
    <w:rsid w:val="00FB690A"/>
    <w:rsid w:val="00FB6AC8"/>
    <w:rsid w:val="00FB7236"/>
    <w:rsid w:val="00FB7637"/>
    <w:rsid w:val="00FB7B02"/>
    <w:rsid w:val="00FB7F2A"/>
    <w:rsid w:val="00FC01AC"/>
    <w:rsid w:val="00FC035C"/>
    <w:rsid w:val="00FC0389"/>
    <w:rsid w:val="00FC056D"/>
    <w:rsid w:val="00FC06FF"/>
    <w:rsid w:val="00FC0937"/>
    <w:rsid w:val="00FC094C"/>
    <w:rsid w:val="00FC0F5E"/>
    <w:rsid w:val="00FC0F66"/>
    <w:rsid w:val="00FC16FB"/>
    <w:rsid w:val="00FC1A52"/>
    <w:rsid w:val="00FC1ED1"/>
    <w:rsid w:val="00FC2092"/>
    <w:rsid w:val="00FC2322"/>
    <w:rsid w:val="00FC24E1"/>
    <w:rsid w:val="00FC24EF"/>
    <w:rsid w:val="00FC26F6"/>
    <w:rsid w:val="00FC2D02"/>
    <w:rsid w:val="00FC2D69"/>
    <w:rsid w:val="00FC317C"/>
    <w:rsid w:val="00FC31B7"/>
    <w:rsid w:val="00FC33C4"/>
    <w:rsid w:val="00FC3625"/>
    <w:rsid w:val="00FC366D"/>
    <w:rsid w:val="00FC394D"/>
    <w:rsid w:val="00FC3B87"/>
    <w:rsid w:val="00FC3DC9"/>
    <w:rsid w:val="00FC4347"/>
    <w:rsid w:val="00FC43D7"/>
    <w:rsid w:val="00FC43EC"/>
    <w:rsid w:val="00FC4A60"/>
    <w:rsid w:val="00FC4F9C"/>
    <w:rsid w:val="00FC533C"/>
    <w:rsid w:val="00FC5406"/>
    <w:rsid w:val="00FC5A8A"/>
    <w:rsid w:val="00FC5E1B"/>
    <w:rsid w:val="00FC6875"/>
    <w:rsid w:val="00FC72A8"/>
    <w:rsid w:val="00FC7427"/>
    <w:rsid w:val="00FC79A5"/>
    <w:rsid w:val="00FC7A39"/>
    <w:rsid w:val="00FC7B22"/>
    <w:rsid w:val="00FD0329"/>
    <w:rsid w:val="00FD0564"/>
    <w:rsid w:val="00FD0626"/>
    <w:rsid w:val="00FD07B0"/>
    <w:rsid w:val="00FD08CA"/>
    <w:rsid w:val="00FD0BAC"/>
    <w:rsid w:val="00FD0E3F"/>
    <w:rsid w:val="00FD1846"/>
    <w:rsid w:val="00FD1F5F"/>
    <w:rsid w:val="00FD1F60"/>
    <w:rsid w:val="00FD23D0"/>
    <w:rsid w:val="00FD2B4A"/>
    <w:rsid w:val="00FD2B99"/>
    <w:rsid w:val="00FD336C"/>
    <w:rsid w:val="00FD35DF"/>
    <w:rsid w:val="00FD3A42"/>
    <w:rsid w:val="00FD3D10"/>
    <w:rsid w:val="00FD3EC3"/>
    <w:rsid w:val="00FD3F47"/>
    <w:rsid w:val="00FD3FEA"/>
    <w:rsid w:val="00FD41D7"/>
    <w:rsid w:val="00FD4276"/>
    <w:rsid w:val="00FD4413"/>
    <w:rsid w:val="00FD44FF"/>
    <w:rsid w:val="00FD497B"/>
    <w:rsid w:val="00FD49C6"/>
    <w:rsid w:val="00FD4A8C"/>
    <w:rsid w:val="00FD4C63"/>
    <w:rsid w:val="00FD5503"/>
    <w:rsid w:val="00FD5A3E"/>
    <w:rsid w:val="00FD5F0E"/>
    <w:rsid w:val="00FD5F69"/>
    <w:rsid w:val="00FD60F6"/>
    <w:rsid w:val="00FD6132"/>
    <w:rsid w:val="00FD616F"/>
    <w:rsid w:val="00FD6645"/>
    <w:rsid w:val="00FD667B"/>
    <w:rsid w:val="00FD67D2"/>
    <w:rsid w:val="00FD6886"/>
    <w:rsid w:val="00FD6AB7"/>
    <w:rsid w:val="00FD6C41"/>
    <w:rsid w:val="00FD6D38"/>
    <w:rsid w:val="00FD7000"/>
    <w:rsid w:val="00FD7133"/>
    <w:rsid w:val="00FD72C9"/>
    <w:rsid w:val="00FD755C"/>
    <w:rsid w:val="00FD7592"/>
    <w:rsid w:val="00FD7662"/>
    <w:rsid w:val="00FD78AA"/>
    <w:rsid w:val="00FD79C0"/>
    <w:rsid w:val="00FD7A8E"/>
    <w:rsid w:val="00FD7BD8"/>
    <w:rsid w:val="00FD7DF2"/>
    <w:rsid w:val="00FD7F29"/>
    <w:rsid w:val="00FE024B"/>
    <w:rsid w:val="00FE0D59"/>
    <w:rsid w:val="00FE1014"/>
    <w:rsid w:val="00FE1038"/>
    <w:rsid w:val="00FE105D"/>
    <w:rsid w:val="00FE1238"/>
    <w:rsid w:val="00FE150A"/>
    <w:rsid w:val="00FE1710"/>
    <w:rsid w:val="00FE171B"/>
    <w:rsid w:val="00FE2031"/>
    <w:rsid w:val="00FE2320"/>
    <w:rsid w:val="00FE255D"/>
    <w:rsid w:val="00FE267E"/>
    <w:rsid w:val="00FE2FCA"/>
    <w:rsid w:val="00FE316E"/>
    <w:rsid w:val="00FE3263"/>
    <w:rsid w:val="00FE3438"/>
    <w:rsid w:val="00FE396B"/>
    <w:rsid w:val="00FE3D9D"/>
    <w:rsid w:val="00FE3F59"/>
    <w:rsid w:val="00FE449D"/>
    <w:rsid w:val="00FE49CF"/>
    <w:rsid w:val="00FE4D05"/>
    <w:rsid w:val="00FE4E3D"/>
    <w:rsid w:val="00FE5283"/>
    <w:rsid w:val="00FE5A4C"/>
    <w:rsid w:val="00FE5C32"/>
    <w:rsid w:val="00FE5C71"/>
    <w:rsid w:val="00FE5F71"/>
    <w:rsid w:val="00FE69F8"/>
    <w:rsid w:val="00FE6DF9"/>
    <w:rsid w:val="00FE75CE"/>
    <w:rsid w:val="00FE7B32"/>
    <w:rsid w:val="00FE7F3B"/>
    <w:rsid w:val="00FF037E"/>
    <w:rsid w:val="00FF050E"/>
    <w:rsid w:val="00FF0714"/>
    <w:rsid w:val="00FF0B3B"/>
    <w:rsid w:val="00FF0DC0"/>
    <w:rsid w:val="00FF0EEC"/>
    <w:rsid w:val="00FF0F34"/>
    <w:rsid w:val="00FF12EF"/>
    <w:rsid w:val="00FF1475"/>
    <w:rsid w:val="00FF1E22"/>
    <w:rsid w:val="00FF1EEF"/>
    <w:rsid w:val="00FF20EF"/>
    <w:rsid w:val="00FF23C7"/>
    <w:rsid w:val="00FF267C"/>
    <w:rsid w:val="00FF2854"/>
    <w:rsid w:val="00FF296C"/>
    <w:rsid w:val="00FF2A8B"/>
    <w:rsid w:val="00FF2B5F"/>
    <w:rsid w:val="00FF318E"/>
    <w:rsid w:val="00FF32FC"/>
    <w:rsid w:val="00FF338A"/>
    <w:rsid w:val="00FF342A"/>
    <w:rsid w:val="00FF3463"/>
    <w:rsid w:val="00FF3668"/>
    <w:rsid w:val="00FF36A4"/>
    <w:rsid w:val="00FF3797"/>
    <w:rsid w:val="00FF3954"/>
    <w:rsid w:val="00FF3C16"/>
    <w:rsid w:val="00FF3E66"/>
    <w:rsid w:val="00FF3FDA"/>
    <w:rsid w:val="00FF40C5"/>
    <w:rsid w:val="00FF44AB"/>
    <w:rsid w:val="00FF45C0"/>
    <w:rsid w:val="00FF48A8"/>
    <w:rsid w:val="00FF49B0"/>
    <w:rsid w:val="00FF4B0E"/>
    <w:rsid w:val="00FF5B5D"/>
    <w:rsid w:val="00FF5F84"/>
    <w:rsid w:val="00FF63BA"/>
    <w:rsid w:val="00FF65D5"/>
    <w:rsid w:val="00FF6979"/>
    <w:rsid w:val="00FF6F65"/>
    <w:rsid w:val="00FF724E"/>
    <w:rsid w:val="00FF7566"/>
    <w:rsid w:val="00FF795D"/>
    <w:rsid w:val="00FF7FBC"/>
    <w:rsid w:val="021850B8"/>
    <w:rsid w:val="02393B8D"/>
    <w:rsid w:val="02C88B97"/>
    <w:rsid w:val="031CDCA4"/>
    <w:rsid w:val="05464F29"/>
    <w:rsid w:val="070D697E"/>
    <w:rsid w:val="07FCDCC1"/>
    <w:rsid w:val="083C7678"/>
    <w:rsid w:val="08619BA9"/>
    <w:rsid w:val="0A7625BC"/>
    <w:rsid w:val="0CC85CB7"/>
    <w:rsid w:val="0D7605F2"/>
    <w:rsid w:val="0D7B2CCB"/>
    <w:rsid w:val="0E2A7448"/>
    <w:rsid w:val="0E3B258B"/>
    <w:rsid w:val="0F80BAB8"/>
    <w:rsid w:val="107B6050"/>
    <w:rsid w:val="113F49AA"/>
    <w:rsid w:val="11814466"/>
    <w:rsid w:val="120D157E"/>
    <w:rsid w:val="126D314C"/>
    <w:rsid w:val="1300C146"/>
    <w:rsid w:val="131AD534"/>
    <w:rsid w:val="133F165F"/>
    <w:rsid w:val="135C4A6E"/>
    <w:rsid w:val="1385A50B"/>
    <w:rsid w:val="13B4C2B4"/>
    <w:rsid w:val="144D123F"/>
    <w:rsid w:val="15D44918"/>
    <w:rsid w:val="17397F29"/>
    <w:rsid w:val="1775212D"/>
    <w:rsid w:val="177EBB76"/>
    <w:rsid w:val="18314281"/>
    <w:rsid w:val="1887F87B"/>
    <w:rsid w:val="19B76049"/>
    <w:rsid w:val="1AEC9D61"/>
    <w:rsid w:val="1B3847A7"/>
    <w:rsid w:val="1BBC8FDE"/>
    <w:rsid w:val="1BFAADBF"/>
    <w:rsid w:val="1C08715E"/>
    <w:rsid w:val="1DABE732"/>
    <w:rsid w:val="1E432913"/>
    <w:rsid w:val="1FD5A6E7"/>
    <w:rsid w:val="20260B9C"/>
    <w:rsid w:val="2046FB98"/>
    <w:rsid w:val="21B4EAD6"/>
    <w:rsid w:val="21E152BD"/>
    <w:rsid w:val="232A12AE"/>
    <w:rsid w:val="23988AB0"/>
    <w:rsid w:val="244AD8B8"/>
    <w:rsid w:val="24580545"/>
    <w:rsid w:val="253DAA90"/>
    <w:rsid w:val="2603B2D5"/>
    <w:rsid w:val="279E5EEB"/>
    <w:rsid w:val="291ED306"/>
    <w:rsid w:val="29F769B8"/>
    <w:rsid w:val="2A6B1995"/>
    <w:rsid w:val="2A78F09E"/>
    <w:rsid w:val="2B3FED54"/>
    <w:rsid w:val="2C89FFB5"/>
    <w:rsid w:val="2CA8AE92"/>
    <w:rsid w:val="2D0E4735"/>
    <w:rsid w:val="2DFFC567"/>
    <w:rsid w:val="2EB5F48C"/>
    <w:rsid w:val="2EBFE99A"/>
    <w:rsid w:val="312293A1"/>
    <w:rsid w:val="31AB2DEF"/>
    <w:rsid w:val="31C84D54"/>
    <w:rsid w:val="32769C71"/>
    <w:rsid w:val="32C2E16D"/>
    <w:rsid w:val="33B403C1"/>
    <w:rsid w:val="34C91938"/>
    <w:rsid w:val="367FEB42"/>
    <w:rsid w:val="3680168E"/>
    <w:rsid w:val="3698D9F5"/>
    <w:rsid w:val="36D8C895"/>
    <w:rsid w:val="37ADDF30"/>
    <w:rsid w:val="3843DEA5"/>
    <w:rsid w:val="38977189"/>
    <w:rsid w:val="3A85FCEA"/>
    <w:rsid w:val="3AF07B63"/>
    <w:rsid w:val="3C124F25"/>
    <w:rsid w:val="3C75A95F"/>
    <w:rsid w:val="3E234EFE"/>
    <w:rsid w:val="3EE5F094"/>
    <w:rsid w:val="41EFBA30"/>
    <w:rsid w:val="42093897"/>
    <w:rsid w:val="42616E94"/>
    <w:rsid w:val="42A5D703"/>
    <w:rsid w:val="42E338F7"/>
    <w:rsid w:val="4319CD91"/>
    <w:rsid w:val="4371AD80"/>
    <w:rsid w:val="4381FCC0"/>
    <w:rsid w:val="448DA1FA"/>
    <w:rsid w:val="4511B55F"/>
    <w:rsid w:val="46BB50A0"/>
    <w:rsid w:val="477937D3"/>
    <w:rsid w:val="483157AD"/>
    <w:rsid w:val="486D518B"/>
    <w:rsid w:val="48C72AA4"/>
    <w:rsid w:val="49438035"/>
    <w:rsid w:val="4948B1C5"/>
    <w:rsid w:val="4A089048"/>
    <w:rsid w:val="4A98C602"/>
    <w:rsid w:val="4AA0E23E"/>
    <w:rsid w:val="4AA9D8A8"/>
    <w:rsid w:val="4BD0AB14"/>
    <w:rsid w:val="4D1E86D2"/>
    <w:rsid w:val="4E72C23A"/>
    <w:rsid w:val="50401937"/>
    <w:rsid w:val="50738276"/>
    <w:rsid w:val="5086D6F1"/>
    <w:rsid w:val="508CCC86"/>
    <w:rsid w:val="5185F21F"/>
    <w:rsid w:val="51D7C49D"/>
    <w:rsid w:val="521A3823"/>
    <w:rsid w:val="52464A51"/>
    <w:rsid w:val="5431E930"/>
    <w:rsid w:val="54A1AAEC"/>
    <w:rsid w:val="54C6CA14"/>
    <w:rsid w:val="555C0E00"/>
    <w:rsid w:val="5562AE5E"/>
    <w:rsid w:val="55993027"/>
    <w:rsid w:val="559F14FB"/>
    <w:rsid w:val="55D9E213"/>
    <w:rsid w:val="55EAD81D"/>
    <w:rsid w:val="55F3417D"/>
    <w:rsid w:val="566B2173"/>
    <w:rsid w:val="5900349D"/>
    <w:rsid w:val="5901288C"/>
    <w:rsid w:val="5AFD7E93"/>
    <w:rsid w:val="5B8A47BB"/>
    <w:rsid w:val="5BB7629A"/>
    <w:rsid w:val="5C2375CE"/>
    <w:rsid w:val="5DC69F14"/>
    <w:rsid w:val="5DE58904"/>
    <w:rsid w:val="5DF0BEAE"/>
    <w:rsid w:val="5E48A4FF"/>
    <w:rsid w:val="5EAA588F"/>
    <w:rsid w:val="5EDB0954"/>
    <w:rsid w:val="5F8A63DB"/>
    <w:rsid w:val="601168F8"/>
    <w:rsid w:val="606EFDDF"/>
    <w:rsid w:val="61CF11EB"/>
    <w:rsid w:val="626369CD"/>
    <w:rsid w:val="62C821E4"/>
    <w:rsid w:val="6307EEA5"/>
    <w:rsid w:val="636C2F76"/>
    <w:rsid w:val="655FEC7A"/>
    <w:rsid w:val="65905128"/>
    <w:rsid w:val="65A94BA9"/>
    <w:rsid w:val="666D7C8B"/>
    <w:rsid w:val="68798616"/>
    <w:rsid w:val="6A3F1F02"/>
    <w:rsid w:val="6BA4349F"/>
    <w:rsid w:val="6BD4541D"/>
    <w:rsid w:val="6C2A9AAD"/>
    <w:rsid w:val="6C89C1DE"/>
    <w:rsid w:val="6CED787A"/>
    <w:rsid w:val="6E2CC6A1"/>
    <w:rsid w:val="6E34B958"/>
    <w:rsid w:val="6EB8A812"/>
    <w:rsid w:val="70379BD4"/>
    <w:rsid w:val="7053E4D8"/>
    <w:rsid w:val="7178AF06"/>
    <w:rsid w:val="720DD346"/>
    <w:rsid w:val="74F849D5"/>
    <w:rsid w:val="757FEA2E"/>
    <w:rsid w:val="7632D043"/>
    <w:rsid w:val="764AE63B"/>
    <w:rsid w:val="77AA5139"/>
    <w:rsid w:val="79D31554"/>
    <w:rsid w:val="7BCE0880"/>
    <w:rsid w:val="7BDB8691"/>
    <w:rsid w:val="7E460CBB"/>
    <w:rsid w:val="7EF29228"/>
    <w:rsid w:val="7FB9CCE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7B273"/>
  <w15:chartTrackingRefBased/>
  <w15:docId w15:val="{B60741D3-C661-423F-87F8-D4931B69B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AU"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350549"/>
    <w:pPr>
      <w:spacing w:before="0" w:after="0"/>
    </w:pPr>
    <w:rPr>
      <w:rFonts w:ascii="Arial" w:hAnsi="Arial"/>
      <w:sz w:val="20"/>
    </w:rPr>
  </w:style>
  <w:style w:type="paragraph" w:styleId="Heading1">
    <w:name w:val="heading 1"/>
    <w:basedOn w:val="Normal"/>
    <w:next w:val="Body"/>
    <w:link w:val="Heading1Char"/>
    <w:uiPriority w:val="3"/>
    <w:qFormat/>
    <w:rsid w:val="007836FA"/>
    <w:pPr>
      <w:pageBreakBefore/>
      <w:numPr>
        <w:numId w:val="4"/>
      </w:numPr>
      <w:spacing w:after="240"/>
      <w:outlineLvl w:val="0"/>
    </w:pPr>
    <w:rPr>
      <w:color w:val="5D6C16" w:themeColor="accent1" w:themeShade="80"/>
      <w:sz w:val="40"/>
      <w:szCs w:val="40"/>
    </w:rPr>
  </w:style>
  <w:style w:type="paragraph" w:styleId="Heading2">
    <w:name w:val="heading 2"/>
    <w:basedOn w:val="Normal"/>
    <w:next w:val="Body"/>
    <w:link w:val="Heading2Char"/>
    <w:uiPriority w:val="3"/>
    <w:qFormat/>
    <w:rsid w:val="00CF1842"/>
    <w:pPr>
      <w:keepNext/>
      <w:keepLines/>
      <w:numPr>
        <w:ilvl w:val="1"/>
        <w:numId w:val="4"/>
      </w:numPr>
      <w:spacing w:before="240" w:after="160"/>
      <w:outlineLvl w:val="1"/>
    </w:pPr>
    <w:rPr>
      <w:rFonts w:eastAsiaTheme="majorEastAsia" w:cs="Arial"/>
      <w:color w:val="5D6C16" w:themeColor="accent1" w:themeShade="80"/>
      <w:sz w:val="32"/>
      <w:szCs w:val="32"/>
    </w:rPr>
  </w:style>
  <w:style w:type="paragraph" w:styleId="Heading3">
    <w:name w:val="heading 3"/>
    <w:basedOn w:val="Normal"/>
    <w:next w:val="Body"/>
    <w:link w:val="Heading3Char"/>
    <w:uiPriority w:val="3"/>
    <w:qFormat/>
    <w:rsid w:val="005B46AF"/>
    <w:pPr>
      <w:keepNext/>
      <w:keepLines/>
      <w:numPr>
        <w:ilvl w:val="2"/>
        <w:numId w:val="4"/>
      </w:numPr>
      <w:spacing w:before="240" w:after="160"/>
      <w:outlineLvl w:val="2"/>
    </w:pPr>
    <w:rPr>
      <w:rFonts w:eastAsiaTheme="majorEastAsia" w:cs="Arial"/>
      <w:color w:val="5D6C16" w:themeColor="accent1" w:themeShade="80"/>
      <w:sz w:val="28"/>
      <w:szCs w:val="28"/>
    </w:rPr>
  </w:style>
  <w:style w:type="paragraph" w:styleId="Heading4">
    <w:name w:val="heading 4"/>
    <w:basedOn w:val="Normal"/>
    <w:next w:val="Body"/>
    <w:link w:val="Heading4Char"/>
    <w:uiPriority w:val="3"/>
    <w:qFormat/>
    <w:rsid w:val="00820F84"/>
    <w:pPr>
      <w:keepNext/>
      <w:spacing w:before="240" w:after="120"/>
      <w:outlineLvl w:val="3"/>
    </w:pPr>
    <w:rPr>
      <w:color w:val="CB530B"/>
      <w:sz w:val="24"/>
      <w:szCs w:val="21"/>
    </w:rPr>
  </w:style>
  <w:style w:type="paragraph" w:styleId="Heading5">
    <w:name w:val="heading 5"/>
    <w:basedOn w:val="Normal"/>
    <w:next w:val="Body"/>
    <w:link w:val="Heading5Char"/>
    <w:autoRedefine/>
    <w:uiPriority w:val="3"/>
    <w:qFormat/>
    <w:rsid w:val="002A2D85"/>
    <w:pPr>
      <w:keepNext/>
      <w:spacing w:before="240" w:after="120"/>
      <w:outlineLvl w:val="4"/>
    </w:pPr>
    <w:rPr>
      <w:color w:val="5D6C16" w:themeColor="accent1" w:themeShade="80"/>
      <w:szCs w:val="20"/>
    </w:rPr>
  </w:style>
  <w:style w:type="paragraph" w:styleId="Heading6">
    <w:name w:val="heading 6"/>
    <w:basedOn w:val="Normal"/>
    <w:next w:val="Normal"/>
    <w:link w:val="Heading6Char"/>
    <w:uiPriority w:val="9"/>
    <w:unhideWhenUsed/>
    <w:rsid w:val="00350549"/>
    <w:pPr>
      <w:keepNext/>
      <w:keepLines/>
      <w:spacing w:before="40"/>
      <w:outlineLvl w:val="5"/>
    </w:pPr>
    <w:rPr>
      <w:rFonts w:asciiTheme="majorHAnsi" w:eastAsiaTheme="majorEastAsia" w:hAnsiTheme="majorHAnsi" w:cstheme="majorBidi"/>
      <w:i/>
      <w:iCs/>
      <w:caps/>
      <w:color w:val="5D6C16" w:themeColor="accent1" w:themeShade="80"/>
    </w:rPr>
  </w:style>
  <w:style w:type="paragraph" w:styleId="Heading7">
    <w:name w:val="heading 7"/>
    <w:basedOn w:val="Normal"/>
    <w:next w:val="Normal"/>
    <w:link w:val="Heading7Char"/>
    <w:uiPriority w:val="9"/>
    <w:unhideWhenUsed/>
    <w:rsid w:val="00350549"/>
    <w:pPr>
      <w:keepNext/>
      <w:keepLines/>
      <w:spacing w:before="40"/>
      <w:outlineLvl w:val="6"/>
    </w:pPr>
    <w:rPr>
      <w:rFonts w:asciiTheme="majorHAnsi" w:eastAsiaTheme="majorEastAsia" w:hAnsiTheme="majorHAnsi" w:cstheme="majorBidi"/>
      <w:b/>
      <w:bCs/>
      <w:color w:val="5D6C16" w:themeColor="accent1" w:themeShade="80"/>
    </w:rPr>
  </w:style>
  <w:style w:type="paragraph" w:styleId="Heading8">
    <w:name w:val="heading 8"/>
    <w:basedOn w:val="Normal"/>
    <w:next w:val="Normal"/>
    <w:link w:val="Heading8Char"/>
    <w:uiPriority w:val="9"/>
    <w:semiHidden/>
    <w:unhideWhenUsed/>
    <w:rsid w:val="00350549"/>
    <w:pPr>
      <w:keepNext/>
      <w:keepLines/>
      <w:spacing w:before="40"/>
      <w:outlineLvl w:val="7"/>
    </w:pPr>
    <w:rPr>
      <w:rFonts w:asciiTheme="majorHAnsi" w:eastAsiaTheme="majorEastAsia" w:hAnsiTheme="majorHAnsi" w:cstheme="majorBidi"/>
      <w:b/>
      <w:bCs/>
      <w:i/>
      <w:iCs/>
      <w:color w:val="5D6C16" w:themeColor="accent1" w:themeShade="80"/>
    </w:rPr>
  </w:style>
  <w:style w:type="paragraph" w:styleId="Heading9">
    <w:name w:val="heading 9"/>
    <w:basedOn w:val="Normal"/>
    <w:next w:val="Normal"/>
    <w:link w:val="Heading9Char"/>
    <w:uiPriority w:val="9"/>
    <w:semiHidden/>
    <w:unhideWhenUsed/>
    <w:qFormat/>
    <w:rsid w:val="00350549"/>
    <w:pPr>
      <w:keepNext/>
      <w:keepLines/>
      <w:spacing w:before="40"/>
      <w:outlineLvl w:val="8"/>
    </w:pPr>
    <w:rPr>
      <w:rFonts w:asciiTheme="majorHAnsi" w:eastAsiaTheme="majorEastAsia" w:hAnsiTheme="majorHAnsi" w:cstheme="majorBidi"/>
      <w:i/>
      <w:iCs/>
      <w:color w:val="5D6C1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
    <w:name w:val="Body Indent"/>
    <w:basedOn w:val="Body"/>
    <w:next w:val="Body"/>
    <w:qFormat/>
    <w:rsid w:val="00350549"/>
    <w:pPr>
      <w:ind w:left="851"/>
    </w:pPr>
  </w:style>
  <w:style w:type="paragraph" w:styleId="BodyText">
    <w:name w:val="Body Text"/>
    <w:basedOn w:val="Normal"/>
    <w:link w:val="BodyTextChar"/>
    <w:rsid w:val="007D08A9"/>
    <w:pPr>
      <w:spacing w:before="140" w:after="140" w:line="276" w:lineRule="auto"/>
    </w:pPr>
  </w:style>
  <w:style w:type="paragraph" w:styleId="Title">
    <w:name w:val="Title"/>
    <w:basedOn w:val="Body"/>
    <w:next w:val="Body"/>
    <w:link w:val="TitleChar"/>
    <w:uiPriority w:val="9"/>
    <w:qFormat/>
    <w:rsid w:val="00350549"/>
    <w:pPr>
      <w:spacing w:before="0" w:after="0" w:line="240" w:lineRule="auto"/>
      <w:ind w:left="397"/>
    </w:pPr>
    <w:rPr>
      <w:color w:val="B7D432" w:themeColor="accent1"/>
      <w:sz w:val="76"/>
      <w:szCs w:val="76"/>
    </w:rPr>
  </w:style>
  <w:style w:type="character" w:customStyle="1" w:styleId="TitleChar">
    <w:name w:val="Title Char"/>
    <w:basedOn w:val="DefaultParagraphFont"/>
    <w:link w:val="Title"/>
    <w:uiPriority w:val="9"/>
    <w:rsid w:val="00350549"/>
    <w:rPr>
      <w:rFonts w:ascii="Arial" w:eastAsia="Times New Roman" w:hAnsi="Arial" w:cs="Times New Roman"/>
      <w:color w:val="B7D432" w:themeColor="accent1"/>
      <w:sz w:val="76"/>
      <w:szCs w:val="76"/>
    </w:rPr>
  </w:style>
  <w:style w:type="paragraph" w:customStyle="1" w:styleId="MajorHeading">
    <w:name w:val="Major Heading"/>
    <w:basedOn w:val="Normal"/>
    <w:next w:val="Normal"/>
    <w:link w:val="MajorHeadingChar"/>
    <w:uiPriority w:val="3"/>
    <w:qFormat/>
    <w:rsid w:val="0001697E"/>
    <w:pPr>
      <w:pageBreakBefore/>
      <w:spacing w:after="240"/>
      <w:outlineLvl w:val="0"/>
    </w:pPr>
    <w:rPr>
      <w:color w:val="5D6C16" w:themeColor="accent1" w:themeShade="80"/>
      <w:sz w:val="40"/>
      <w:szCs w:val="40"/>
    </w:rPr>
  </w:style>
  <w:style w:type="character" w:customStyle="1" w:styleId="MajorHeadingChar">
    <w:name w:val="Major Heading Char"/>
    <w:basedOn w:val="DefaultParagraphFont"/>
    <w:link w:val="MajorHeading"/>
    <w:uiPriority w:val="3"/>
    <w:rsid w:val="0001697E"/>
    <w:rPr>
      <w:rFonts w:ascii="Arial" w:hAnsi="Arial"/>
      <w:color w:val="5D6C16" w:themeColor="accent1" w:themeShade="80"/>
      <w:sz w:val="40"/>
      <w:szCs w:val="40"/>
    </w:rPr>
  </w:style>
  <w:style w:type="paragraph" w:styleId="NoSpacing">
    <w:name w:val="No Spacing"/>
    <w:uiPriority w:val="4"/>
    <w:rsid w:val="00350549"/>
    <w:pPr>
      <w:spacing w:before="0" w:after="0"/>
    </w:pPr>
    <w:rPr>
      <w:rFonts w:ascii="Arial" w:hAnsi="Arial"/>
      <w:sz w:val="20"/>
    </w:rPr>
  </w:style>
  <w:style w:type="paragraph" w:styleId="Header">
    <w:name w:val="header"/>
    <w:basedOn w:val="Normal"/>
    <w:link w:val="HeaderChar"/>
    <w:uiPriority w:val="99"/>
    <w:unhideWhenUsed/>
    <w:rsid w:val="00350549"/>
    <w:pPr>
      <w:tabs>
        <w:tab w:val="center" w:pos="4513"/>
        <w:tab w:val="right" w:pos="9026"/>
      </w:tabs>
    </w:pPr>
  </w:style>
  <w:style w:type="character" w:customStyle="1" w:styleId="HeaderChar">
    <w:name w:val="Header Char"/>
    <w:basedOn w:val="DefaultParagraphFont"/>
    <w:link w:val="Header"/>
    <w:uiPriority w:val="99"/>
    <w:rsid w:val="00350549"/>
    <w:rPr>
      <w:rFonts w:ascii="Arial" w:hAnsi="Arial"/>
      <w:sz w:val="20"/>
    </w:rPr>
  </w:style>
  <w:style w:type="paragraph" w:styleId="Footer">
    <w:name w:val="footer"/>
    <w:basedOn w:val="Normal"/>
    <w:link w:val="FooterChar"/>
    <w:uiPriority w:val="99"/>
    <w:unhideWhenUsed/>
    <w:rsid w:val="00350549"/>
    <w:pPr>
      <w:tabs>
        <w:tab w:val="center" w:pos="4513"/>
        <w:tab w:val="right" w:pos="9026"/>
      </w:tabs>
    </w:pPr>
  </w:style>
  <w:style w:type="character" w:customStyle="1" w:styleId="FooterChar">
    <w:name w:val="Footer Char"/>
    <w:basedOn w:val="DefaultParagraphFont"/>
    <w:link w:val="Footer"/>
    <w:uiPriority w:val="99"/>
    <w:rsid w:val="00350549"/>
    <w:rPr>
      <w:rFonts w:ascii="Arial" w:hAnsi="Arial"/>
      <w:sz w:val="20"/>
    </w:rPr>
  </w:style>
  <w:style w:type="paragraph" w:customStyle="1" w:styleId="SubHeading1">
    <w:name w:val="Sub Heading 1"/>
    <w:basedOn w:val="Normal"/>
    <w:next w:val="Body"/>
    <w:link w:val="SubHeading1Char"/>
    <w:autoRedefine/>
    <w:uiPriority w:val="3"/>
    <w:qFormat/>
    <w:rsid w:val="00AC0A20"/>
    <w:pPr>
      <w:keepNext/>
      <w:spacing w:before="240" w:after="160"/>
    </w:pPr>
    <w:rPr>
      <w:bCs/>
      <w:color w:val="5D6C16" w:themeColor="accent1" w:themeShade="80"/>
      <w:sz w:val="32"/>
      <w:szCs w:val="32"/>
    </w:rPr>
  </w:style>
  <w:style w:type="character" w:customStyle="1" w:styleId="SubHeading1Char">
    <w:name w:val="Sub Heading 1 Char"/>
    <w:basedOn w:val="DefaultParagraphFont"/>
    <w:link w:val="SubHeading1"/>
    <w:uiPriority w:val="3"/>
    <w:rsid w:val="00AC0A20"/>
    <w:rPr>
      <w:rFonts w:ascii="Arial" w:hAnsi="Arial"/>
      <w:bCs/>
      <w:color w:val="5D6C16" w:themeColor="accent1" w:themeShade="80"/>
      <w:sz w:val="32"/>
      <w:szCs w:val="32"/>
    </w:rPr>
  </w:style>
  <w:style w:type="paragraph" w:styleId="TOC1">
    <w:name w:val="toc 1"/>
    <w:basedOn w:val="Normal"/>
    <w:next w:val="Normal"/>
    <w:autoRedefine/>
    <w:uiPriority w:val="39"/>
    <w:unhideWhenUsed/>
    <w:qFormat/>
    <w:rsid w:val="008B7910"/>
    <w:pPr>
      <w:tabs>
        <w:tab w:val="left" w:pos="1134"/>
        <w:tab w:val="left" w:pos="1843"/>
        <w:tab w:val="right" w:leader="dot" w:pos="10482"/>
      </w:tabs>
      <w:spacing w:before="120" w:after="120"/>
      <w:ind w:left="567" w:hanging="567"/>
    </w:pPr>
    <w:rPr>
      <w:rFonts w:eastAsia="Times New Roman" w:cs="Times New Roman"/>
      <w:b/>
      <w:noProof/>
      <w:szCs w:val="20"/>
    </w:rPr>
  </w:style>
  <w:style w:type="paragraph" w:styleId="TOC2">
    <w:name w:val="toc 2"/>
    <w:basedOn w:val="Normal"/>
    <w:next w:val="Normal"/>
    <w:link w:val="TOC2Char"/>
    <w:uiPriority w:val="39"/>
    <w:unhideWhenUsed/>
    <w:qFormat/>
    <w:rsid w:val="00350549"/>
    <w:pPr>
      <w:tabs>
        <w:tab w:val="left" w:pos="1134"/>
        <w:tab w:val="right" w:leader="dot" w:pos="9638"/>
      </w:tabs>
      <w:spacing w:before="60" w:after="60"/>
      <w:ind w:left="1134" w:hanging="567"/>
    </w:pPr>
    <w:rPr>
      <w:rFonts w:eastAsia="Times New Roman" w:cs="Times New Roman"/>
      <w:noProof/>
      <w:szCs w:val="20"/>
    </w:rPr>
  </w:style>
  <w:style w:type="character" w:customStyle="1" w:styleId="TOC2Char">
    <w:name w:val="TOC 2 Char"/>
    <w:basedOn w:val="DefaultParagraphFont"/>
    <w:link w:val="TOC2"/>
    <w:uiPriority w:val="39"/>
    <w:rsid w:val="00350549"/>
    <w:rPr>
      <w:rFonts w:ascii="Arial" w:eastAsia="Times New Roman" w:hAnsi="Arial" w:cs="Times New Roman"/>
      <w:noProof/>
      <w:sz w:val="20"/>
      <w:szCs w:val="20"/>
    </w:rPr>
  </w:style>
  <w:style w:type="paragraph" w:styleId="TOC3">
    <w:name w:val="toc 3"/>
    <w:basedOn w:val="Normal"/>
    <w:next w:val="Normal"/>
    <w:uiPriority w:val="39"/>
    <w:unhideWhenUsed/>
    <w:qFormat/>
    <w:rsid w:val="00350549"/>
    <w:pPr>
      <w:tabs>
        <w:tab w:val="left" w:pos="1843"/>
        <w:tab w:val="right" w:leader="dot" w:pos="9638"/>
      </w:tabs>
      <w:spacing w:before="60" w:after="60"/>
      <w:ind w:left="1843" w:hanging="709"/>
    </w:pPr>
    <w:rPr>
      <w:rFonts w:eastAsia="Times New Roman" w:cs="Times New Roman"/>
      <w:noProof/>
      <w:szCs w:val="20"/>
    </w:rPr>
  </w:style>
  <w:style w:type="character" w:styleId="Hyperlink">
    <w:name w:val="Hyperlink"/>
    <w:basedOn w:val="DefaultParagraphFont"/>
    <w:uiPriority w:val="99"/>
    <w:unhideWhenUsed/>
    <w:rsid w:val="00350549"/>
    <w:rPr>
      <w:color w:val="000000" w:themeColor="text1"/>
      <w:u w:val="single"/>
    </w:rPr>
  </w:style>
  <w:style w:type="paragraph" w:styleId="TableofFigures">
    <w:name w:val="table of figures"/>
    <w:basedOn w:val="Normal"/>
    <w:next w:val="Normal"/>
    <w:uiPriority w:val="99"/>
    <w:unhideWhenUsed/>
    <w:rsid w:val="00350549"/>
    <w:pPr>
      <w:spacing w:before="60" w:after="60"/>
      <w:ind w:left="1134" w:right="567" w:hanging="1134"/>
    </w:pPr>
    <w:rPr>
      <w:color w:val="000000" w:themeColor="text1"/>
    </w:rPr>
  </w:style>
  <w:style w:type="paragraph" w:customStyle="1" w:styleId="Subheading2">
    <w:name w:val="Sub heading 2"/>
    <w:basedOn w:val="SubHeading1"/>
    <w:next w:val="Body"/>
    <w:link w:val="Subheading2Char"/>
    <w:uiPriority w:val="3"/>
    <w:qFormat/>
    <w:rsid w:val="00350549"/>
    <w:rPr>
      <w:sz w:val="24"/>
      <w:szCs w:val="24"/>
    </w:rPr>
  </w:style>
  <w:style w:type="character" w:customStyle="1" w:styleId="Subheading2Char">
    <w:name w:val="Sub heading 2 Char"/>
    <w:basedOn w:val="SubHeading1Char"/>
    <w:link w:val="Subheading2"/>
    <w:uiPriority w:val="3"/>
    <w:rsid w:val="00350549"/>
    <w:rPr>
      <w:rFonts w:ascii="Arial" w:hAnsi="Arial"/>
      <w:bCs/>
      <w:color w:val="B7D432" w:themeColor="accent1"/>
      <w:sz w:val="24"/>
      <w:szCs w:val="24"/>
    </w:rPr>
  </w:style>
  <w:style w:type="paragraph" w:styleId="Subtitle">
    <w:name w:val="Subtitle"/>
    <w:basedOn w:val="Body"/>
    <w:next w:val="Body"/>
    <w:link w:val="SubtitleChar"/>
    <w:uiPriority w:val="10"/>
    <w:qFormat/>
    <w:rsid w:val="00350549"/>
    <w:pPr>
      <w:spacing w:before="0" w:after="0" w:line="240" w:lineRule="auto"/>
      <w:ind w:left="397"/>
    </w:pPr>
    <w:rPr>
      <w:color w:val="B7D432" w:themeColor="accent1"/>
      <w:sz w:val="36"/>
      <w:szCs w:val="36"/>
    </w:rPr>
  </w:style>
  <w:style w:type="character" w:customStyle="1" w:styleId="SubtitleChar">
    <w:name w:val="Subtitle Char"/>
    <w:basedOn w:val="DefaultParagraphFont"/>
    <w:link w:val="Subtitle"/>
    <w:uiPriority w:val="10"/>
    <w:rsid w:val="00350549"/>
    <w:rPr>
      <w:rFonts w:ascii="Arial" w:eastAsia="Times New Roman" w:hAnsi="Arial" w:cs="Times New Roman"/>
      <w:color w:val="B7D432" w:themeColor="accent1"/>
      <w:sz w:val="36"/>
      <w:szCs w:val="36"/>
    </w:rPr>
  </w:style>
  <w:style w:type="paragraph" w:customStyle="1" w:styleId="BaseFigureNotes">
    <w:name w:val="Base Figure Notes"/>
    <w:basedOn w:val="Normal"/>
    <w:next w:val="Normal"/>
    <w:uiPriority w:val="2"/>
    <w:qFormat/>
    <w:rsid w:val="00350549"/>
    <w:pPr>
      <w:spacing w:before="60"/>
    </w:pPr>
    <w:rPr>
      <w:sz w:val="18"/>
    </w:rPr>
  </w:style>
  <w:style w:type="character" w:customStyle="1" w:styleId="Heading1Char">
    <w:name w:val="Heading 1 Char"/>
    <w:basedOn w:val="DefaultParagraphFont"/>
    <w:link w:val="Heading1"/>
    <w:uiPriority w:val="3"/>
    <w:rsid w:val="007836FA"/>
    <w:rPr>
      <w:rFonts w:ascii="Arial" w:hAnsi="Arial"/>
      <w:color w:val="5D6C16" w:themeColor="accent1" w:themeShade="80"/>
      <w:sz w:val="40"/>
      <w:szCs w:val="40"/>
    </w:rPr>
  </w:style>
  <w:style w:type="character" w:customStyle="1" w:styleId="Heading2Char">
    <w:name w:val="Heading 2 Char"/>
    <w:basedOn w:val="DefaultParagraphFont"/>
    <w:link w:val="Heading2"/>
    <w:uiPriority w:val="3"/>
    <w:rsid w:val="00CF1842"/>
    <w:rPr>
      <w:rFonts w:ascii="Arial" w:eastAsiaTheme="majorEastAsia" w:hAnsi="Arial" w:cs="Arial"/>
      <w:color w:val="5D6C16" w:themeColor="accent1" w:themeShade="80"/>
      <w:sz w:val="32"/>
      <w:szCs w:val="32"/>
    </w:rPr>
  </w:style>
  <w:style w:type="character" w:customStyle="1" w:styleId="Heading3Char">
    <w:name w:val="Heading 3 Char"/>
    <w:basedOn w:val="DefaultParagraphFont"/>
    <w:link w:val="Heading3"/>
    <w:uiPriority w:val="3"/>
    <w:rsid w:val="005B46AF"/>
    <w:rPr>
      <w:rFonts w:ascii="Arial" w:eastAsiaTheme="majorEastAsia" w:hAnsi="Arial" w:cs="Arial"/>
      <w:color w:val="5D6C16" w:themeColor="accent1" w:themeShade="80"/>
      <w:sz w:val="28"/>
      <w:szCs w:val="28"/>
    </w:rPr>
  </w:style>
  <w:style w:type="paragraph" w:styleId="Caption">
    <w:name w:val="caption"/>
    <w:basedOn w:val="Quote2"/>
    <w:next w:val="Body"/>
    <w:link w:val="CaptionChar"/>
    <w:uiPriority w:val="8"/>
    <w:qFormat/>
    <w:rsid w:val="002A1577"/>
    <w:pPr>
      <w:keepNext/>
      <w:tabs>
        <w:tab w:val="left" w:pos="1134"/>
      </w:tabs>
      <w:spacing w:after="120"/>
      <w:ind w:right="0" w:hanging="1134"/>
      <w:jc w:val="left"/>
    </w:pPr>
    <w:rPr>
      <w:rFonts w:ascii="Arial" w:hAnsi="Arial"/>
      <w:b/>
      <w:color w:val="005A5D" w:themeColor="text2" w:themeShade="BF"/>
      <w:szCs w:val="21"/>
    </w:rPr>
  </w:style>
  <w:style w:type="table" w:styleId="GridTable2-Accent1">
    <w:name w:val="Grid Table 2 Accent 1"/>
    <w:basedOn w:val="TableNormal"/>
    <w:uiPriority w:val="47"/>
    <w:locked/>
    <w:rsid w:val="00350549"/>
    <w:pPr>
      <w:spacing w:before="0" w:after="0"/>
    </w:pPr>
    <w:rPr>
      <w:rFonts w:ascii="Arial" w:hAnsi="Arial"/>
      <w:sz w:val="22"/>
      <w:szCs w:val="22"/>
    </w:rPr>
    <w:tblPr>
      <w:tblStyleRowBandSize w:val="1"/>
      <w:tblStyleColBandSize w:val="1"/>
      <w:tblBorders>
        <w:top w:val="single" w:sz="2" w:space="0" w:color="D3E583" w:themeColor="accent1" w:themeTint="99"/>
        <w:bottom w:val="single" w:sz="2" w:space="0" w:color="D3E583" w:themeColor="accent1" w:themeTint="99"/>
        <w:insideH w:val="single" w:sz="2" w:space="0" w:color="D3E583" w:themeColor="accent1" w:themeTint="99"/>
        <w:insideV w:val="single" w:sz="2" w:space="0" w:color="D3E583" w:themeColor="accent1" w:themeTint="99"/>
      </w:tblBorders>
    </w:tblPr>
    <w:tblStylePr w:type="firstRow">
      <w:pPr>
        <w:jc w:val="left"/>
      </w:pPr>
      <w:rPr>
        <w:b/>
        <w:bCs/>
      </w:rPr>
      <w:tblPr/>
      <w:tcPr>
        <w:tcBorders>
          <w:top w:val="nil"/>
          <w:bottom w:val="single" w:sz="12" w:space="0" w:color="D3E583" w:themeColor="accent1" w:themeTint="99"/>
          <w:insideH w:val="nil"/>
          <w:insideV w:val="nil"/>
        </w:tcBorders>
        <w:shd w:val="clear" w:color="auto" w:fill="FFFFFF" w:themeFill="background1"/>
        <w:vAlign w:val="bottom"/>
      </w:tcPr>
    </w:tblStylePr>
    <w:tblStylePr w:type="lastRow">
      <w:rPr>
        <w:b/>
        <w:bCs/>
      </w:rPr>
      <w:tblPr/>
      <w:tcPr>
        <w:tcBorders>
          <w:top w:val="double" w:sz="2" w:space="0" w:color="D3E58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paragraph" w:styleId="FootnoteText">
    <w:name w:val="footnote text"/>
    <w:aliases w:val="Char"/>
    <w:basedOn w:val="Normal"/>
    <w:link w:val="FootnoteTextChar"/>
    <w:uiPriority w:val="99"/>
    <w:rsid w:val="00F275DF"/>
    <w:pPr>
      <w:spacing w:before="120" w:after="60"/>
      <w:ind w:left="227" w:hanging="227"/>
    </w:pPr>
    <w:rPr>
      <w:rFonts w:eastAsiaTheme="majorEastAsia" w:cs="Times New Roman"/>
      <w:spacing w:val="-2"/>
      <w:sz w:val="18"/>
      <w:lang w:val="en-US"/>
    </w:rPr>
  </w:style>
  <w:style w:type="character" w:customStyle="1" w:styleId="FootnoteTextChar">
    <w:name w:val="Footnote Text Char"/>
    <w:aliases w:val="Char Char"/>
    <w:basedOn w:val="DefaultParagraphFont"/>
    <w:link w:val="FootnoteText"/>
    <w:uiPriority w:val="99"/>
    <w:rsid w:val="00F275DF"/>
    <w:rPr>
      <w:rFonts w:ascii="Arial" w:eastAsiaTheme="majorEastAsia" w:hAnsi="Arial" w:cs="Times New Roman"/>
      <w:spacing w:val="-2"/>
      <w:lang w:val="en-US"/>
    </w:rPr>
  </w:style>
  <w:style w:type="character" w:styleId="FootnoteReference">
    <w:name w:val="footnote reference"/>
    <w:uiPriority w:val="99"/>
    <w:rsid w:val="007D08A9"/>
    <w:rPr>
      <w:rFonts w:ascii="Arial" w:hAnsi="Arial"/>
      <w:sz w:val="18"/>
      <w:vertAlign w:val="superscript"/>
    </w:rPr>
  </w:style>
  <w:style w:type="table" w:styleId="GridTable2-Accent2">
    <w:name w:val="Grid Table 2 Accent 2"/>
    <w:basedOn w:val="TableNormal"/>
    <w:uiPriority w:val="47"/>
    <w:locked/>
    <w:rsid w:val="00350549"/>
    <w:pPr>
      <w:spacing w:before="0" w:after="0"/>
    </w:pPr>
    <w:rPr>
      <w:rFonts w:ascii="Arial" w:hAnsi="Arial"/>
      <w:szCs w:val="22"/>
    </w:rPr>
    <w:tblPr>
      <w:tblStyleRowBandSize w:val="1"/>
      <w:tblStyleColBandSize w:val="1"/>
      <w:tblBorders>
        <w:top w:val="single" w:sz="2" w:space="0" w:color="95D8D7" w:themeColor="accent2" w:themeTint="99"/>
        <w:bottom w:val="single" w:sz="2" w:space="0" w:color="95D8D7" w:themeColor="accent2" w:themeTint="99"/>
        <w:insideH w:val="single" w:sz="2" w:space="0" w:color="95D8D7" w:themeColor="accent2" w:themeTint="99"/>
        <w:insideV w:val="single" w:sz="2" w:space="0" w:color="95D8D7" w:themeColor="accent2" w:themeTint="99"/>
      </w:tblBorders>
    </w:tblPr>
    <w:tblStylePr w:type="firstRow">
      <w:pPr>
        <w:jc w:val="left"/>
      </w:pPr>
      <w:rPr>
        <w:b/>
        <w:bCs/>
      </w:rPr>
      <w:tblPr/>
      <w:tcPr>
        <w:tcBorders>
          <w:top w:val="nil"/>
          <w:bottom w:val="single" w:sz="12" w:space="0" w:color="95D8D7" w:themeColor="accent2" w:themeTint="99"/>
          <w:insideH w:val="nil"/>
          <w:insideV w:val="nil"/>
        </w:tcBorders>
        <w:shd w:val="clear" w:color="auto" w:fill="FFFFFF" w:themeFill="background1"/>
        <w:vAlign w:val="bottom"/>
      </w:tcPr>
    </w:tblStylePr>
    <w:tblStylePr w:type="lastRow">
      <w:rPr>
        <w:b/>
        <w:bCs/>
      </w:rPr>
      <w:tblPr/>
      <w:tcPr>
        <w:tcBorders>
          <w:top w:val="double" w:sz="2" w:space="0" w:color="95D8D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character" w:customStyle="1" w:styleId="CaptionChar">
    <w:name w:val="Caption Char"/>
    <w:basedOn w:val="DefaultParagraphFont"/>
    <w:link w:val="Caption"/>
    <w:uiPriority w:val="8"/>
    <w:rsid w:val="002A1577"/>
    <w:rPr>
      <w:rFonts w:ascii="Arial" w:eastAsia="Times New Roman" w:hAnsi="Arial" w:cs="Arial"/>
      <w:b/>
      <w:bCs/>
      <w:color w:val="005A5D" w:themeColor="text2" w:themeShade="BF"/>
      <w:sz w:val="20"/>
      <w:szCs w:val="21"/>
      <w:lang w:eastAsia="en-AU"/>
    </w:rPr>
  </w:style>
  <w:style w:type="table" w:styleId="GridTable2-Accent3">
    <w:name w:val="Grid Table 2 Accent 3"/>
    <w:basedOn w:val="TableNormal"/>
    <w:uiPriority w:val="47"/>
    <w:locked/>
    <w:rsid w:val="00350549"/>
    <w:pPr>
      <w:spacing w:before="0" w:after="0"/>
    </w:pPr>
    <w:rPr>
      <w:rFonts w:ascii="Arial" w:hAnsi="Arial"/>
      <w:szCs w:val="22"/>
    </w:rPr>
    <w:tblPr>
      <w:tblStyleRowBandSize w:val="1"/>
      <w:tblStyleColBandSize w:val="1"/>
      <w:tblBorders>
        <w:top w:val="single" w:sz="2" w:space="0" w:color="F7AD80" w:themeColor="accent3" w:themeTint="99"/>
        <w:bottom w:val="single" w:sz="2" w:space="0" w:color="F7AD80" w:themeColor="accent3" w:themeTint="99"/>
        <w:insideH w:val="single" w:sz="2" w:space="0" w:color="F7AD80" w:themeColor="accent3" w:themeTint="99"/>
        <w:insideV w:val="single" w:sz="2" w:space="0" w:color="F7AD80" w:themeColor="accent3" w:themeTint="99"/>
      </w:tblBorders>
    </w:tblPr>
    <w:tblStylePr w:type="firstRow">
      <w:pPr>
        <w:jc w:val="left"/>
      </w:pPr>
      <w:rPr>
        <w:b/>
        <w:bCs/>
      </w:rPr>
      <w:tblPr/>
      <w:tcPr>
        <w:tcBorders>
          <w:top w:val="nil"/>
          <w:bottom w:val="single" w:sz="12" w:space="0" w:color="F7AD80" w:themeColor="accent3" w:themeTint="99"/>
          <w:insideH w:val="nil"/>
          <w:insideV w:val="nil"/>
        </w:tcBorders>
        <w:shd w:val="clear" w:color="auto" w:fill="FFFFFF" w:themeFill="background1"/>
        <w:vAlign w:val="bottom"/>
      </w:tcPr>
    </w:tblStylePr>
    <w:tblStylePr w:type="lastRow">
      <w:rPr>
        <w:b/>
        <w:bCs/>
      </w:rPr>
      <w:tblPr/>
      <w:tcPr>
        <w:tcBorders>
          <w:top w:val="double" w:sz="2" w:space="0" w:color="F7AD8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character" w:customStyle="1" w:styleId="Heading4Char">
    <w:name w:val="Heading 4 Char"/>
    <w:basedOn w:val="DefaultParagraphFont"/>
    <w:link w:val="Heading4"/>
    <w:uiPriority w:val="3"/>
    <w:rsid w:val="00820F84"/>
    <w:rPr>
      <w:rFonts w:ascii="Arial" w:hAnsi="Arial"/>
      <w:color w:val="CB530B"/>
      <w:sz w:val="24"/>
      <w:szCs w:val="21"/>
    </w:rPr>
  </w:style>
  <w:style w:type="character" w:customStyle="1" w:styleId="Heading5Char">
    <w:name w:val="Heading 5 Char"/>
    <w:basedOn w:val="DefaultParagraphFont"/>
    <w:link w:val="Heading5"/>
    <w:uiPriority w:val="3"/>
    <w:rsid w:val="002A2D85"/>
    <w:rPr>
      <w:rFonts w:ascii="Arial" w:hAnsi="Arial"/>
      <w:color w:val="5D6C16" w:themeColor="accent1" w:themeShade="80"/>
      <w:sz w:val="20"/>
      <w:szCs w:val="20"/>
    </w:rPr>
  </w:style>
  <w:style w:type="table" w:styleId="GridTable3-Accent1">
    <w:name w:val="Grid Table 3 Accent 1"/>
    <w:basedOn w:val="TableNormal"/>
    <w:uiPriority w:val="48"/>
    <w:locked/>
    <w:rsid w:val="00350549"/>
    <w:pPr>
      <w:spacing w:before="0" w:after="0"/>
    </w:pPr>
    <w:rPr>
      <w:rFonts w:ascii="Arial" w:hAnsi="Arial"/>
      <w:szCs w:val="22"/>
    </w:rPr>
    <w:tblPr>
      <w:tblStyleRowBandSize w:val="1"/>
      <w:tblStyleColBandSize w:val="1"/>
      <w:tblBorders>
        <w:top w:val="single" w:sz="4" w:space="0" w:color="D3E583" w:themeColor="accent1" w:themeTint="99"/>
        <w:left w:val="single" w:sz="4" w:space="0" w:color="D3E583" w:themeColor="accent1" w:themeTint="99"/>
        <w:bottom w:val="single" w:sz="4" w:space="0" w:color="D3E583" w:themeColor="accent1" w:themeTint="99"/>
        <w:right w:val="single" w:sz="4" w:space="0" w:color="D3E583" w:themeColor="accent1" w:themeTint="99"/>
        <w:insideH w:val="single" w:sz="4" w:space="0" w:color="D3E583" w:themeColor="accent1" w:themeTint="99"/>
        <w:insideV w:val="single" w:sz="4" w:space="0" w:color="D3E583" w:themeColor="accent1"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6D5" w:themeFill="accent1" w:themeFillTint="33"/>
      </w:tcPr>
    </w:tblStylePr>
    <w:tblStylePr w:type="band1Horz">
      <w:tblPr/>
      <w:tcPr>
        <w:shd w:val="clear" w:color="auto" w:fill="F0F6D5" w:themeFill="accent1" w:themeFillTint="33"/>
      </w:tcPr>
    </w:tblStylePr>
    <w:tblStylePr w:type="neCell">
      <w:tblPr/>
      <w:tcPr>
        <w:tcBorders>
          <w:bottom w:val="single" w:sz="4" w:space="0" w:color="D3E583" w:themeColor="accent1" w:themeTint="99"/>
        </w:tcBorders>
      </w:tcPr>
    </w:tblStylePr>
    <w:tblStylePr w:type="nwCell">
      <w:tblPr/>
      <w:tcPr>
        <w:tcBorders>
          <w:bottom w:val="single" w:sz="4" w:space="0" w:color="D3E583" w:themeColor="accent1" w:themeTint="99"/>
        </w:tcBorders>
      </w:tcPr>
    </w:tblStylePr>
    <w:tblStylePr w:type="seCell">
      <w:tblPr/>
      <w:tcPr>
        <w:tcBorders>
          <w:top w:val="single" w:sz="4" w:space="0" w:color="D3E583" w:themeColor="accent1" w:themeTint="99"/>
        </w:tcBorders>
      </w:tcPr>
    </w:tblStylePr>
    <w:tblStylePr w:type="swCell">
      <w:tblPr/>
      <w:tcPr>
        <w:tcBorders>
          <w:top w:val="single" w:sz="4" w:space="0" w:color="D3E583" w:themeColor="accent1" w:themeTint="99"/>
        </w:tcBorders>
      </w:tcPr>
    </w:tblStylePr>
  </w:style>
  <w:style w:type="table" w:styleId="GridTable3-Accent2">
    <w:name w:val="Grid Table 3 Accent 2"/>
    <w:basedOn w:val="TableNormal"/>
    <w:uiPriority w:val="48"/>
    <w:locked/>
    <w:rsid w:val="00350549"/>
    <w:pPr>
      <w:spacing w:before="0" w:after="0"/>
    </w:pPr>
    <w:rPr>
      <w:rFonts w:ascii="Arial" w:hAnsi="Arial"/>
      <w:szCs w:val="22"/>
    </w:rPr>
    <w:tblPr>
      <w:tblStyleRowBandSize w:val="1"/>
      <w:tblStyleColBandSize w:val="1"/>
      <w:tblBorders>
        <w:top w:val="single" w:sz="4" w:space="0" w:color="95D8D7" w:themeColor="accent2" w:themeTint="99"/>
        <w:left w:val="single" w:sz="4" w:space="0" w:color="95D8D7" w:themeColor="accent2" w:themeTint="99"/>
        <w:bottom w:val="single" w:sz="4" w:space="0" w:color="95D8D7" w:themeColor="accent2" w:themeTint="99"/>
        <w:right w:val="single" w:sz="4" w:space="0" w:color="95D8D7" w:themeColor="accent2" w:themeTint="99"/>
        <w:insideH w:val="single" w:sz="4" w:space="0" w:color="95D8D7" w:themeColor="accent2" w:themeTint="99"/>
        <w:insideV w:val="single" w:sz="4" w:space="0" w:color="95D8D7" w:themeColor="accent2"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F2" w:themeFill="accent2" w:themeFillTint="33"/>
      </w:tcPr>
    </w:tblStylePr>
    <w:tblStylePr w:type="band1Horz">
      <w:tblPr/>
      <w:tcPr>
        <w:shd w:val="clear" w:color="auto" w:fill="DBF2F2" w:themeFill="accent2" w:themeFillTint="33"/>
      </w:tcPr>
    </w:tblStylePr>
    <w:tblStylePr w:type="neCell">
      <w:tblPr/>
      <w:tcPr>
        <w:tcBorders>
          <w:bottom w:val="single" w:sz="4" w:space="0" w:color="95D8D7" w:themeColor="accent2" w:themeTint="99"/>
        </w:tcBorders>
      </w:tcPr>
    </w:tblStylePr>
    <w:tblStylePr w:type="nwCell">
      <w:tblPr/>
      <w:tcPr>
        <w:tcBorders>
          <w:bottom w:val="single" w:sz="4" w:space="0" w:color="95D8D7" w:themeColor="accent2" w:themeTint="99"/>
        </w:tcBorders>
      </w:tcPr>
    </w:tblStylePr>
    <w:tblStylePr w:type="seCell">
      <w:tblPr/>
      <w:tcPr>
        <w:tcBorders>
          <w:top w:val="single" w:sz="4" w:space="0" w:color="95D8D7" w:themeColor="accent2" w:themeTint="99"/>
        </w:tcBorders>
      </w:tcPr>
    </w:tblStylePr>
    <w:tblStylePr w:type="swCell">
      <w:tblPr/>
      <w:tcPr>
        <w:tcBorders>
          <w:top w:val="single" w:sz="4" w:space="0" w:color="95D8D7" w:themeColor="accent2" w:themeTint="99"/>
        </w:tcBorders>
      </w:tcPr>
    </w:tblStylePr>
  </w:style>
  <w:style w:type="table" w:styleId="GridTable3-Accent6">
    <w:name w:val="Grid Table 3 Accent 6"/>
    <w:basedOn w:val="TableNormal"/>
    <w:uiPriority w:val="48"/>
    <w:locked/>
    <w:rsid w:val="00350549"/>
    <w:pPr>
      <w:spacing w:before="0" w:after="0"/>
    </w:pPr>
    <w:rPr>
      <w:rFonts w:ascii="Arial" w:hAnsi="Arial"/>
      <w:szCs w:val="22"/>
    </w:rPr>
    <w:tblPr>
      <w:tblStyleRowBandSize w:val="1"/>
      <w:tblStyleColBandSize w:val="1"/>
      <w:tblBorders>
        <w:top w:val="single" w:sz="4" w:space="0" w:color="DBCBBF" w:themeColor="accent6" w:themeTint="99"/>
        <w:left w:val="single" w:sz="4" w:space="0" w:color="DBCBBF" w:themeColor="accent6" w:themeTint="99"/>
        <w:bottom w:val="single" w:sz="4" w:space="0" w:color="DBCBBF" w:themeColor="accent6" w:themeTint="99"/>
        <w:right w:val="single" w:sz="4" w:space="0" w:color="DBCBBF" w:themeColor="accent6" w:themeTint="99"/>
        <w:insideH w:val="single" w:sz="4" w:space="0" w:color="DBCBBF" w:themeColor="accent6" w:themeTint="99"/>
        <w:insideV w:val="single" w:sz="4" w:space="0" w:color="DBCBBF" w:themeColor="accent6"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DE9" w:themeFill="accent6" w:themeFillTint="33"/>
      </w:tcPr>
    </w:tblStylePr>
    <w:tblStylePr w:type="band1Horz">
      <w:tblPr/>
      <w:tcPr>
        <w:shd w:val="clear" w:color="auto" w:fill="F3EDE9" w:themeFill="accent6" w:themeFillTint="33"/>
      </w:tcPr>
    </w:tblStylePr>
    <w:tblStylePr w:type="neCell">
      <w:tblPr/>
      <w:tcPr>
        <w:tcBorders>
          <w:bottom w:val="single" w:sz="4" w:space="0" w:color="DBCBBF" w:themeColor="accent6" w:themeTint="99"/>
        </w:tcBorders>
      </w:tcPr>
    </w:tblStylePr>
    <w:tblStylePr w:type="nwCell">
      <w:tblPr/>
      <w:tcPr>
        <w:tcBorders>
          <w:bottom w:val="single" w:sz="4" w:space="0" w:color="DBCBBF" w:themeColor="accent6" w:themeTint="99"/>
        </w:tcBorders>
      </w:tcPr>
    </w:tblStylePr>
    <w:tblStylePr w:type="seCell">
      <w:tblPr/>
      <w:tcPr>
        <w:tcBorders>
          <w:top w:val="single" w:sz="4" w:space="0" w:color="DBCBBF" w:themeColor="accent6" w:themeTint="99"/>
        </w:tcBorders>
      </w:tcPr>
    </w:tblStylePr>
    <w:tblStylePr w:type="swCell">
      <w:tblPr/>
      <w:tcPr>
        <w:tcBorders>
          <w:top w:val="single" w:sz="4" w:space="0" w:color="DBCBBF" w:themeColor="accent6" w:themeTint="99"/>
        </w:tcBorders>
      </w:tcPr>
    </w:tblStylePr>
  </w:style>
  <w:style w:type="character" w:styleId="BookTitle">
    <w:name w:val="Book Title"/>
    <w:basedOn w:val="DefaultParagraphFont"/>
    <w:uiPriority w:val="33"/>
    <w:qFormat/>
    <w:rsid w:val="00350549"/>
    <w:rPr>
      <w:rFonts w:ascii="Arial" w:hAnsi="Arial"/>
      <w:iCs/>
      <w:color w:val="auto"/>
      <w:spacing w:val="5"/>
      <w:sz w:val="20"/>
      <w:szCs w:val="20"/>
    </w:rPr>
  </w:style>
  <w:style w:type="paragraph" w:styleId="ListBullet">
    <w:name w:val="List Bullet"/>
    <w:basedOn w:val="Normal"/>
    <w:uiPriority w:val="99"/>
    <w:qFormat/>
    <w:rsid w:val="00350549"/>
    <w:pPr>
      <w:numPr>
        <w:numId w:val="5"/>
      </w:numPr>
      <w:spacing w:before="60" w:after="60" w:line="300" w:lineRule="auto"/>
    </w:pPr>
  </w:style>
  <w:style w:type="paragraph" w:styleId="ListBullet2">
    <w:name w:val="List Bullet 2"/>
    <w:basedOn w:val="Normal"/>
    <w:uiPriority w:val="1"/>
    <w:qFormat/>
    <w:rsid w:val="00350549"/>
    <w:pPr>
      <w:numPr>
        <w:numId w:val="6"/>
      </w:numPr>
      <w:spacing w:before="60" w:after="60" w:line="300" w:lineRule="auto"/>
    </w:pPr>
  </w:style>
  <w:style w:type="table" w:styleId="GridTable4">
    <w:name w:val="Grid Table 4"/>
    <w:basedOn w:val="TableNormal"/>
    <w:uiPriority w:val="49"/>
    <w:rsid w:val="00350549"/>
    <w:pPr>
      <w:spacing w:before="0" w:after="0"/>
    </w:pPr>
    <w:rPr>
      <w:rFonts w:ascii="Arial" w:hAnsi="Arial"/>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pPr>
        <w:jc w:val="left"/>
      </w:pPr>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vAlign w:val="bottom"/>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3">
    <w:name w:val="List Bullet 3"/>
    <w:basedOn w:val="Normal"/>
    <w:uiPriority w:val="1"/>
    <w:qFormat/>
    <w:rsid w:val="00350549"/>
    <w:pPr>
      <w:numPr>
        <w:numId w:val="7"/>
      </w:numPr>
      <w:spacing w:before="60" w:after="60" w:line="300" w:lineRule="auto"/>
    </w:pPr>
  </w:style>
  <w:style w:type="table" w:styleId="GridTable4-Accent1">
    <w:name w:val="Grid Table 4 Accent 1"/>
    <w:basedOn w:val="TableNormal"/>
    <w:uiPriority w:val="49"/>
    <w:locked/>
    <w:rsid w:val="00350549"/>
    <w:pPr>
      <w:spacing w:before="0" w:after="0"/>
    </w:pPr>
    <w:rPr>
      <w:rFonts w:ascii="Arial" w:hAnsi="Arial"/>
      <w:szCs w:val="22"/>
    </w:rPr>
    <w:tblPr>
      <w:tblStyleRowBandSize w:val="1"/>
      <w:tblStyleColBandSize w:val="1"/>
      <w:tblBorders>
        <w:top w:val="single" w:sz="4" w:space="0" w:color="E2EDAC" w:themeColor="accent1" w:themeTint="66"/>
        <w:left w:val="single" w:sz="4" w:space="0" w:color="E2EDAC" w:themeColor="accent1" w:themeTint="66"/>
        <w:bottom w:val="single" w:sz="4" w:space="0" w:color="E2EDAC" w:themeColor="accent1" w:themeTint="66"/>
        <w:right w:val="single" w:sz="4" w:space="0" w:color="E2EDAC" w:themeColor="accent1" w:themeTint="66"/>
        <w:insideH w:val="single" w:sz="4" w:space="0" w:color="E2EDAC" w:themeColor="accent1" w:themeTint="66"/>
        <w:insideV w:val="single" w:sz="4" w:space="0" w:color="E2EDAC" w:themeColor="accent1" w:themeTint="66"/>
      </w:tblBorders>
    </w:tblPr>
    <w:tcPr>
      <w:vAlign w:val="bottom"/>
    </w:tcPr>
    <w:tblStylePr w:type="firstRow">
      <w:pPr>
        <w:jc w:val="left"/>
      </w:pPr>
      <w:rPr>
        <w:b/>
        <w:bCs/>
        <w:color w:val="FFFFFF" w:themeColor="background1"/>
      </w:rPr>
      <w:tblPr/>
      <w:tcPr>
        <w:shd w:val="clear" w:color="auto" w:fill="B7D432" w:themeFill="accent1"/>
      </w:tcPr>
    </w:tblStylePr>
    <w:tblStylePr w:type="lastRow">
      <w:rPr>
        <w:b/>
        <w:bCs/>
      </w:rPr>
      <w:tblPr/>
      <w:tcPr>
        <w:tcBorders>
          <w:top w:val="double" w:sz="4" w:space="0" w:color="B7D432" w:themeColor="accent1"/>
        </w:tcBorders>
      </w:tc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table" w:styleId="GridTable4-Accent2">
    <w:name w:val="Grid Table 4 Accent 2"/>
    <w:basedOn w:val="TableNormal"/>
    <w:uiPriority w:val="49"/>
    <w:locked/>
    <w:rsid w:val="00350549"/>
    <w:pPr>
      <w:spacing w:before="0" w:after="0"/>
    </w:pPr>
    <w:rPr>
      <w:rFonts w:ascii="Arial" w:hAnsi="Arial"/>
      <w:szCs w:val="22"/>
    </w:rPr>
    <w:tblPr>
      <w:tblStyleRowBandSize w:val="1"/>
      <w:tblStyleColBandSize w:val="1"/>
      <w:tblBorders>
        <w:top w:val="single" w:sz="4" w:space="0" w:color="95D8D7" w:themeColor="accent2" w:themeTint="99"/>
        <w:left w:val="single" w:sz="4" w:space="0" w:color="95D8D7" w:themeColor="accent2" w:themeTint="99"/>
        <w:bottom w:val="single" w:sz="4" w:space="0" w:color="95D8D7" w:themeColor="accent2" w:themeTint="99"/>
        <w:right w:val="single" w:sz="4" w:space="0" w:color="95D8D7" w:themeColor="accent2" w:themeTint="99"/>
        <w:insideH w:val="single" w:sz="4" w:space="0" w:color="95D8D7" w:themeColor="accent2" w:themeTint="99"/>
        <w:insideV w:val="single" w:sz="4" w:space="0" w:color="95D8D7" w:themeColor="accent2" w:themeTint="99"/>
      </w:tblBorders>
    </w:tblPr>
    <w:tblStylePr w:type="firstRow">
      <w:pPr>
        <w:jc w:val="left"/>
      </w:pPr>
      <w:rPr>
        <w:b/>
        <w:bCs/>
        <w:color w:val="FFFFFF" w:themeColor="background1"/>
      </w:rPr>
      <w:tblPr/>
      <w:tcPr>
        <w:tcBorders>
          <w:top w:val="single" w:sz="4" w:space="0" w:color="4FBFBE" w:themeColor="accent2"/>
          <w:left w:val="single" w:sz="4" w:space="0" w:color="4FBFBE" w:themeColor="accent2"/>
          <w:bottom w:val="single" w:sz="4" w:space="0" w:color="4FBFBE" w:themeColor="accent2"/>
          <w:right w:val="single" w:sz="4" w:space="0" w:color="4FBFBE" w:themeColor="accent2"/>
          <w:insideH w:val="nil"/>
          <w:insideV w:val="nil"/>
        </w:tcBorders>
        <w:shd w:val="clear" w:color="auto" w:fill="4FBFBE" w:themeFill="accent2"/>
        <w:vAlign w:val="bottom"/>
      </w:tcPr>
    </w:tblStylePr>
    <w:tblStylePr w:type="lastRow">
      <w:rPr>
        <w:b/>
        <w:bCs/>
      </w:rPr>
      <w:tblPr/>
      <w:tcPr>
        <w:tcBorders>
          <w:top w:val="double" w:sz="4" w:space="0" w:color="4FBFBE" w:themeColor="accent2"/>
        </w:tcBorders>
      </w:tc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table" w:styleId="GridTable4-Accent3">
    <w:name w:val="Grid Table 4 Accent 3"/>
    <w:basedOn w:val="TableNormal"/>
    <w:uiPriority w:val="49"/>
    <w:locked/>
    <w:rsid w:val="00350549"/>
    <w:pPr>
      <w:spacing w:before="0" w:after="0"/>
    </w:pPr>
    <w:rPr>
      <w:rFonts w:ascii="Arial" w:hAnsi="Arial"/>
      <w:szCs w:val="22"/>
    </w:rPr>
    <w:tblPr>
      <w:tblStyleRowBandSize w:val="1"/>
      <w:tblStyleColBandSize w:val="1"/>
      <w:tblBorders>
        <w:top w:val="single" w:sz="4" w:space="0" w:color="F7AD80" w:themeColor="accent3" w:themeTint="99"/>
        <w:left w:val="single" w:sz="4" w:space="0" w:color="F7AD80" w:themeColor="accent3" w:themeTint="99"/>
        <w:bottom w:val="single" w:sz="4" w:space="0" w:color="F7AD80" w:themeColor="accent3" w:themeTint="99"/>
        <w:right w:val="single" w:sz="4" w:space="0" w:color="F7AD80" w:themeColor="accent3" w:themeTint="99"/>
        <w:insideH w:val="single" w:sz="4" w:space="0" w:color="F7AD80" w:themeColor="accent3" w:themeTint="99"/>
        <w:insideV w:val="single" w:sz="4" w:space="0" w:color="F7AD80" w:themeColor="accent3" w:themeTint="99"/>
      </w:tblBorders>
    </w:tblPr>
    <w:tblStylePr w:type="firstRow">
      <w:pPr>
        <w:jc w:val="left"/>
      </w:pPr>
      <w:rPr>
        <w:b/>
        <w:bCs/>
        <w:color w:val="FFFFFF" w:themeColor="background1"/>
      </w:rPr>
      <w:tblPr/>
      <w:tcPr>
        <w:tcBorders>
          <w:top w:val="single" w:sz="4" w:space="0" w:color="F3772C" w:themeColor="accent3"/>
          <w:left w:val="single" w:sz="4" w:space="0" w:color="F3772C" w:themeColor="accent3"/>
          <w:bottom w:val="single" w:sz="4" w:space="0" w:color="F3772C" w:themeColor="accent3"/>
          <w:right w:val="single" w:sz="4" w:space="0" w:color="F3772C" w:themeColor="accent3"/>
          <w:insideH w:val="nil"/>
          <w:insideV w:val="nil"/>
        </w:tcBorders>
        <w:shd w:val="clear" w:color="auto" w:fill="F3772C" w:themeFill="accent3"/>
        <w:vAlign w:val="bottom"/>
      </w:tcPr>
    </w:tblStylePr>
    <w:tblStylePr w:type="lastRow">
      <w:rPr>
        <w:b/>
        <w:bCs/>
      </w:rPr>
      <w:tblPr/>
      <w:tcPr>
        <w:tcBorders>
          <w:top w:val="double" w:sz="4" w:space="0" w:color="F3772C" w:themeColor="accent3"/>
        </w:tcBorders>
      </w:tc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table" w:styleId="GridTable4-Accent4">
    <w:name w:val="Grid Table 4 Accent 4"/>
    <w:basedOn w:val="TableNormal"/>
    <w:uiPriority w:val="49"/>
    <w:locked/>
    <w:rsid w:val="00350549"/>
    <w:pPr>
      <w:spacing w:before="0" w:after="0"/>
    </w:pPr>
    <w:rPr>
      <w:rFonts w:ascii="Arial" w:hAnsi="Arial"/>
      <w:szCs w:val="22"/>
    </w:rPr>
    <w:tblPr>
      <w:tblStyleRowBandSize w:val="1"/>
      <w:tblStyleColBandSize w:val="1"/>
      <w:tblBorders>
        <w:top w:val="single" w:sz="4" w:space="0" w:color="F489A8" w:themeColor="accent4" w:themeTint="99"/>
        <w:left w:val="single" w:sz="4" w:space="0" w:color="F489A8" w:themeColor="accent4" w:themeTint="99"/>
        <w:bottom w:val="single" w:sz="4" w:space="0" w:color="F489A8" w:themeColor="accent4" w:themeTint="99"/>
        <w:right w:val="single" w:sz="4" w:space="0" w:color="F489A8" w:themeColor="accent4" w:themeTint="99"/>
        <w:insideH w:val="single" w:sz="4" w:space="0" w:color="F489A8" w:themeColor="accent4" w:themeTint="99"/>
        <w:insideV w:val="single" w:sz="4" w:space="0" w:color="F489A8" w:themeColor="accent4" w:themeTint="99"/>
      </w:tblBorders>
    </w:tblPr>
    <w:tblStylePr w:type="firstRow">
      <w:pPr>
        <w:jc w:val="left"/>
      </w:pPr>
      <w:rPr>
        <w:b/>
        <w:bCs/>
        <w:color w:val="FFFFFF" w:themeColor="background1"/>
      </w:rPr>
      <w:tblPr/>
      <w:tcPr>
        <w:tcBorders>
          <w:top w:val="single" w:sz="4" w:space="0" w:color="EE3B6F" w:themeColor="accent4"/>
          <w:left w:val="single" w:sz="4" w:space="0" w:color="EE3B6F" w:themeColor="accent4"/>
          <w:bottom w:val="single" w:sz="4" w:space="0" w:color="EE3B6F" w:themeColor="accent4"/>
          <w:right w:val="single" w:sz="4" w:space="0" w:color="EE3B6F" w:themeColor="accent4"/>
          <w:insideH w:val="nil"/>
          <w:insideV w:val="nil"/>
        </w:tcBorders>
        <w:shd w:val="clear" w:color="auto" w:fill="EE3B6F" w:themeFill="accent4"/>
        <w:vAlign w:val="bottom"/>
      </w:tcPr>
    </w:tblStylePr>
    <w:tblStylePr w:type="lastRow">
      <w:rPr>
        <w:b/>
        <w:bCs/>
      </w:rPr>
      <w:tblPr/>
      <w:tcPr>
        <w:tcBorders>
          <w:top w:val="double" w:sz="4" w:space="0" w:color="EE3B6F" w:themeColor="accent4"/>
        </w:tcBorders>
      </w:tc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GridTable4-Accent5">
    <w:name w:val="Grid Table 4 Accent 5"/>
    <w:basedOn w:val="TableNormal"/>
    <w:uiPriority w:val="49"/>
    <w:rsid w:val="00350549"/>
    <w:pPr>
      <w:spacing w:before="0" w:after="0"/>
    </w:pPr>
    <w:rPr>
      <w:rFonts w:ascii="Arial" w:hAnsi="Arial"/>
      <w:szCs w:val="22"/>
    </w:rPr>
    <w:tblPr>
      <w:tblStyleRowBandSize w:val="1"/>
      <w:tblStyleColBandSize w:val="1"/>
      <w:tblBorders>
        <w:top w:val="single" w:sz="4" w:space="0" w:color="FDD48D" w:themeColor="accent5" w:themeTint="99"/>
        <w:left w:val="single" w:sz="4" w:space="0" w:color="FDD48D" w:themeColor="accent5" w:themeTint="99"/>
        <w:bottom w:val="single" w:sz="4" w:space="0" w:color="FDD48D" w:themeColor="accent5" w:themeTint="99"/>
        <w:right w:val="single" w:sz="4" w:space="0" w:color="FDD48D" w:themeColor="accent5" w:themeTint="99"/>
        <w:insideH w:val="single" w:sz="4" w:space="0" w:color="FDD48D" w:themeColor="accent5" w:themeTint="99"/>
        <w:insideV w:val="single" w:sz="4" w:space="0" w:color="FDD48D" w:themeColor="accent5" w:themeTint="99"/>
      </w:tblBorders>
    </w:tblPr>
    <w:tblStylePr w:type="firstRow">
      <w:pPr>
        <w:jc w:val="left"/>
      </w:pPr>
      <w:rPr>
        <w:b/>
        <w:bCs/>
        <w:color w:val="FFFFFF" w:themeColor="background1"/>
      </w:rPr>
      <w:tblPr/>
      <w:tcPr>
        <w:tcBorders>
          <w:top w:val="single" w:sz="4" w:space="0" w:color="FCB942" w:themeColor="accent5"/>
          <w:left w:val="single" w:sz="4" w:space="0" w:color="FCB942" w:themeColor="accent5"/>
          <w:bottom w:val="single" w:sz="4" w:space="0" w:color="FCB942" w:themeColor="accent5"/>
          <w:right w:val="single" w:sz="4" w:space="0" w:color="FCB942" w:themeColor="accent5"/>
          <w:insideH w:val="nil"/>
          <w:insideV w:val="nil"/>
        </w:tcBorders>
        <w:shd w:val="clear" w:color="auto" w:fill="FCB942" w:themeFill="accent5"/>
        <w:vAlign w:val="bottom"/>
      </w:tcPr>
    </w:tblStylePr>
    <w:tblStylePr w:type="lastRow">
      <w:rPr>
        <w:b/>
        <w:bCs/>
      </w:rPr>
      <w:tblPr/>
      <w:tcPr>
        <w:tcBorders>
          <w:top w:val="double" w:sz="4" w:space="0" w:color="FCB942" w:themeColor="accent5"/>
        </w:tcBorders>
      </w:tc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table" w:styleId="GridTable4-Accent6">
    <w:name w:val="Grid Table 4 Accent 6"/>
    <w:basedOn w:val="TableNormal"/>
    <w:uiPriority w:val="49"/>
    <w:locked/>
    <w:rsid w:val="00350549"/>
    <w:pPr>
      <w:spacing w:before="0" w:after="0"/>
    </w:pPr>
    <w:rPr>
      <w:rFonts w:ascii="Arial" w:hAnsi="Arial"/>
      <w:szCs w:val="22"/>
    </w:rPr>
    <w:tblPr>
      <w:tblStyleRowBandSize w:val="1"/>
      <w:tblStyleColBandSize w:val="1"/>
      <w:tblBorders>
        <w:top w:val="single" w:sz="4" w:space="0" w:color="DBCBBF" w:themeColor="accent6" w:themeTint="99"/>
        <w:left w:val="single" w:sz="4" w:space="0" w:color="DBCBBF" w:themeColor="accent6" w:themeTint="99"/>
        <w:bottom w:val="single" w:sz="4" w:space="0" w:color="DBCBBF" w:themeColor="accent6" w:themeTint="99"/>
        <w:right w:val="single" w:sz="4" w:space="0" w:color="DBCBBF" w:themeColor="accent6" w:themeTint="99"/>
        <w:insideH w:val="single" w:sz="4" w:space="0" w:color="DBCBBF" w:themeColor="accent6" w:themeTint="99"/>
        <w:insideV w:val="single" w:sz="4" w:space="0" w:color="DBCBBF" w:themeColor="accent6" w:themeTint="99"/>
      </w:tblBorders>
    </w:tblPr>
    <w:tblStylePr w:type="firstRow">
      <w:pPr>
        <w:jc w:val="left"/>
      </w:pPr>
      <w:rPr>
        <w:b/>
        <w:bCs/>
        <w:color w:val="FFFFFF" w:themeColor="background1"/>
      </w:rPr>
      <w:tblPr/>
      <w:tcPr>
        <w:tcBorders>
          <w:top w:val="single" w:sz="4" w:space="0" w:color="C3AA95" w:themeColor="accent6"/>
          <w:left w:val="single" w:sz="4" w:space="0" w:color="C3AA95" w:themeColor="accent6"/>
          <w:bottom w:val="single" w:sz="4" w:space="0" w:color="C3AA95" w:themeColor="accent6"/>
          <w:right w:val="single" w:sz="4" w:space="0" w:color="C3AA95" w:themeColor="accent6"/>
          <w:insideH w:val="nil"/>
          <w:insideV w:val="nil"/>
        </w:tcBorders>
        <w:shd w:val="clear" w:color="auto" w:fill="C3AA95" w:themeFill="accent6"/>
        <w:vAlign w:val="bottom"/>
      </w:tcPr>
    </w:tblStylePr>
    <w:tblStylePr w:type="lastRow">
      <w:rPr>
        <w:b/>
        <w:bCs/>
      </w:rPr>
      <w:tblPr/>
      <w:tcPr>
        <w:tcBorders>
          <w:top w:val="double" w:sz="4" w:space="0" w:color="C3AA95" w:themeColor="accent6"/>
        </w:tcBorders>
      </w:tc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paragraph" w:styleId="NormalWeb">
    <w:name w:val="Normal (Web)"/>
    <w:basedOn w:val="Normal"/>
    <w:uiPriority w:val="99"/>
    <w:semiHidden/>
    <w:unhideWhenUsed/>
    <w:rsid w:val="007D08A9"/>
    <w:pPr>
      <w:spacing w:before="100" w:beforeAutospacing="1" w:after="100" w:afterAutospacing="1"/>
    </w:pPr>
    <w:rPr>
      <w:rFonts w:ascii="Times New Roman" w:eastAsia="Times New Roman" w:hAnsi="Times New Roman" w:cs="Times New Roman"/>
      <w:sz w:val="24"/>
      <w:szCs w:val="24"/>
      <w:lang w:eastAsia="en-AU"/>
    </w:rPr>
  </w:style>
  <w:style w:type="table" w:styleId="GridTable5Dark">
    <w:name w:val="Grid Table 5 Dark"/>
    <w:basedOn w:val="TableNormal"/>
    <w:uiPriority w:val="50"/>
    <w:rsid w:val="00350549"/>
    <w:pPr>
      <w:spacing w:before="0" w:after="0"/>
    </w:pPr>
    <w:rPr>
      <w:rFonts w:ascii="Arial" w:hAnsi="Arial"/>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pPr>
        <w:jc w:val="left"/>
      </w:pPr>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vAlign w:val="bottom"/>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FFFFFF" w:themeFill="background1"/>
      </w:tcPr>
    </w:tblStylePr>
    <w:tblStylePr w:type="band1Horz">
      <w:tblPr/>
      <w:tcPr>
        <w:shd w:val="clear" w:color="auto" w:fill="FFFFFF" w:themeFill="background1"/>
      </w:tcPr>
    </w:tblStylePr>
  </w:style>
  <w:style w:type="character" w:styleId="CommentReference">
    <w:name w:val="annotation reference"/>
    <w:basedOn w:val="DefaultParagraphFont"/>
    <w:uiPriority w:val="99"/>
    <w:semiHidden/>
    <w:unhideWhenUsed/>
    <w:rsid w:val="007D08A9"/>
    <w:rPr>
      <w:sz w:val="16"/>
      <w:szCs w:val="16"/>
    </w:rPr>
  </w:style>
  <w:style w:type="paragraph" w:styleId="CommentText">
    <w:name w:val="annotation text"/>
    <w:basedOn w:val="Normal"/>
    <w:link w:val="CommentTextChar"/>
    <w:uiPriority w:val="99"/>
    <w:unhideWhenUsed/>
    <w:rsid w:val="007D08A9"/>
    <w:rPr>
      <w:szCs w:val="20"/>
    </w:rPr>
  </w:style>
  <w:style w:type="character" w:customStyle="1" w:styleId="CommentTextChar">
    <w:name w:val="Comment Text Char"/>
    <w:basedOn w:val="DefaultParagraphFont"/>
    <w:link w:val="CommentText"/>
    <w:uiPriority w:val="99"/>
    <w:rsid w:val="007D08A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D08A9"/>
    <w:rPr>
      <w:b/>
      <w:bCs/>
    </w:rPr>
  </w:style>
  <w:style w:type="character" w:customStyle="1" w:styleId="CommentSubjectChar">
    <w:name w:val="Comment Subject Char"/>
    <w:basedOn w:val="CommentTextChar"/>
    <w:link w:val="CommentSubject"/>
    <w:uiPriority w:val="99"/>
    <w:semiHidden/>
    <w:rsid w:val="007D08A9"/>
    <w:rPr>
      <w:rFonts w:ascii="Arial" w:hAnsi="Arial"/>
      <w:b/>
      <w:bCs/>
      <w:sz w:val="20"/>
      <w:szCs w:val="20"/>
    </w:rPr>
  </w:style>
  <w:style w:type="table" w:styleId="GridTable5Dark-Accent2">
    <w:name w:val="Grid Table 5 Dark Accent 2"/>
    <w:basedOn w:val="TableNormal"/>
    <w:uiPriority w:val="50"/>
    <w:locked/>
    <w:rsid w:val="00350549"/>
    <w:pPr>
      <w:spacing w:before="0" w:after="0"/>
    </w:pPr>
    <w:rPr>
      <w:rFonts w:ascii="Arial" w:hAnsi="Arial"/>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F2" w:themeFill="accent2" w:themeFillTint="33"/>
      <w:vAlign w:val="bottom"/>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BFB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BFB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BFB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BFBE" w:themeFill="accent2"/>
      </w:tcPr>
    </w:tblStylePr>
    <w:tblStylePr w:type="band1Vert">
      <w:tblPr/>
      <w:tcPr>
        <w:shd w:val="clear" w:color="auto" w:fill="FFFFFF" w:themeFill="background1"/>
      </w:tcPr>
    </w:tblStylePr>
    <w:tblStylePr w:type="band1Horz">
      <w:tblPr/>
      <w:tcPr>
        <w:shd w:val="clear" w:color="auto" w:fill="FFFFFF" w:themeFill="background1"/>
      </w:tcPr>
    </w:tblStylePr>
  </w:style>
  <w:style w:type="table" w:styleId="GridTable5Dark-Accent3">
    <w:name w:val="Grid Table 5 Dark Accent 3"/>
    <w:basedOn w:val="TableNormal"/>
    <w:uiPriority w:val="50"/>
    <w:locked/>
    <w:rsid w:val="00350549"/>
    <w:pPr>
      <w:spacing w:before="0" w:after="0"/>
    </w:pPr>
    <w:rPr>
      <w:rFonts w:ascii="Arial" w:hAnsi="Arial"/>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3D4" w:themeFill="accent3" w:themeFillTint="33"/>
    </w:tcPr>
    <w:tblStylePr w:type="firstRow">
      <w:pPr>
        <w:jc w:val="left"/>
      </w:pPr>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772C" w:themeFill="accent3"/>
        <w:vAlign w:val="bottom"/>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772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772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772C" w:themeFill="accent3"/>
      </w:tcPr>
    </w:tblStylePr>
    <w:tblStylePr w:type="band1Vert">
      <w:tblPr/>
      <w:tcPr>
        <w:shd w:val="clear" w:color="auto" w:fill="FFFFFF" w:themeFill="background1"/>
      </w:tcPr>
    </w:tblStylePr>
    <w:tblStylePr w:type="band1Horz">
      <w:tblPr/>
      <w:tcPr>
        <w:shd w:val="clear" w:color="auto" w:fill="FFFFFF" w:themeFill="background1"/>
      </w:tcPr>
    </w:tblStylePr>
  </w:style>
  <w:style w:type="character" w:styleId="PlaceholderText">
    <w:name w:val="Placeholder Text"/>
    <w:basedOn w:val="DefaultParagraphFont"/>
    <w:uiPriority w:val="99"/>
    <w:semiHidden/>
    <w:rsid w:val="007D08A9"/>
    <w:rPr>
      <w:color w:val="808080"/>
    </w:rPr>
  </w:style>
  <w:style w:type="paragraph" w:styleId="ListParagraph">
    <w:name w:val="List Paragraph"/>
    <w:aliases w:val="0Bullet,Bullet point,Indented bullet,L,List Paragraph1,List Paragraph11,List Paragraph2,Recommendation,bullet point list"/>
    <w:basedOn w:val="Normal"/>
    <w:uiPriority w:val="34"/>
    <w:qFormat/>
    <w:rsid w:val="007D08A9"/>
    <w:pPr>
      <w:ind w:left="720"/>
      <w:contextualSpacing/>
    </w:pPr>
  </w:style>
  <w:style w:type="paragraph" w:styleId="Quote">
    <w:name w:val="Quote"/>
    <w:aliases w:val="Quote 1"/>
    <w:basedOn w:val="Normal"/>
    <w:next w:val="Body"/>
    <w:link w:val="QuoteChar"/>
    <w:uiPriority w:val="7"/>
    <w:qFormat/>
    <w:rsid w:val="00350549"/>
    <w:pPr>
      <w:spacing w:before="120" w:after="120" w:line="276" w:lineRule="auto"/>
      <w:ind w:left="1134" w:right="1134"/>
      <w:jc w:val="center"/>
    </w:pPr>
    <w:rPr>
      <w:rFonts w:asciiTheme="minorHAnsi" w:hAnsiTheme="minorHAnsi" w:cstheme="minorHAnsi"/>
      <w:sz w:val="22"/>
      <w:szCs w:val="22"/>
      <w:shd w:val="clear" w:color="auto" w:fill="FFFFFF"/>
    </w:rPr>
  </w:style>
  <w:style w:type="character" w:customStyle="1" w:styleId="QuoteChar">
    <w:name w:val="Quote Char"/>
    <w:aliases w:val="Quote 1 Char"/>
    <w:basedOn w:val="DefaultParagraphFont"/>
    <w:link w:val="Quote"/>
    <w:uiPriority w:val="7"/>
    <w:rsid w:val="00350549"/>
    <w:rPr>
      <w:rFonts w:cstheme="minorHAnsi"/>
      <w:sz w:val="22"/>
      <w:szCs w:val="22"/>
    </w:rPr>
  </w:style>
  <w:style w:type="table" w:styleId="GridTable5Dark-Accent4">
    <w:name w:val="Grid Table 5 Dark Accent 4"/>
    <w:basedOn w:val="TableNormal"/>
    <w:uiPriority w:val="50"/>
    <w:locked/>
    <w:rsid w:val="00350549"/>
    <w:pPr>
      <w:spacing w:before="0" w:after="0"/>
    </w:pPr>
    <w:rPr>
      <w:rFonts w:ascii="Arial" w:hAnsi="Arial"/>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7E2" w:themeFill="accent4" w:themeFillTint="33"/>
    </w:tcPr>
    <w:tblStylePr w:type="firstRow">
      <w:pPr>
        <w:jc w:val="left"/>
      </w:pPr>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E3B6F" w:themeFill="accent4"/>
        <w:vAlign w:val="bottom"/>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E3B6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E3B6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E3B6F" w:themeFill="accent4"/>
      </w:tcPr>
    </w:tblStylePr>
    <w:tblStylePr w:type="band1Vert">
      <w:tblPr/>
      <w:tcPr>
        <w:shd w:val="clear" w:color="auto" w:fill="FFFFFF" w:themeFill="background1"/>
      </w:tcPr>
    </w:tblStylePr>
    <w:tblStylePr w:type="band1Horz">
      <w:tblPr/>
      <w:tcPr>
        <w:shd w:val="clear" w:color="auto" w:fill="FFFFFF" w:themeFill="background1"/>
      </w:tcPr>
    </w:tblStylePr>
  </w:style>
  <w:style w:type="table" w:styleId="GridTable5Dark-Accent5">
    <w:name w:val="Grid Table 5 Dark Accent 5"/>
    <w:basedOn w:val="TableNormal"/>
    <w:uiPriority w:val="50"/>
    <w:rsid w:val="00350549"/>
    <w:pPr>
      <w:spacing w:before="0" w:after="0"/>
    </w:pPr>
    <w:rPr>
      <w:rFonts w:ascii="Arial" w:hAnsi="Arial"/>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0D8" w:themeFill="accent5" w:themeFillTint="33"/>
    </w:tcPr>
    <w:tblStylePr w:type="firstRow">
      <w:pPr>
        <w:jc w:val="left"/>
      </w:pPr>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CB942" w:themeFill="accent5"/>
        <w:vAlign w:val="bottom"/>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CB94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CB94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CB942" w:themeFill="accent5"/>
      </w:tcPr>
    </w:tblStylePr>
    <w:tblStylePr w:type="band1Vert">
      <w:tblPr/>
      <w:tcPr>
        <w:shd w:val="clear" w:color="auto" w:fill="FFFFFF" w:themeFill="background1"/>
      </w:tcPr>
    </w:tblStylePr>
    <w:tblStylePr w:type="band1Horz">
      <w:tblPr/>
      <w:tcPr>
        <w:shd w:val="clear" w:color="auto" w:fill="FFFFFF" w:themeFill="background1"/>
      </w:tcPr>
    </w:tblStylePr>
  </w:style>
  <w:style w:type="table" w:styleId="GridTable5Dark-Accent6">
    <w:name w:val="Grid Table 5 Dark Accent 6"/>
    <w:basedOn w:val="TableNormal"/>
    <w:uiPriority w:val="50"/>
    <w:locked/>
    <w:rsid w:val="00350549"/>
    <w:pPr>
      <w:spacing w:before="0" w:after="0"/>
    </w:pPr>
    <w:rPr>
      <w:rFonts w:ascii="Arial" w:hAnsi="Arial"/>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EDE9" w:themeFill="accent6" w:themeFillTint="33"/>
    </w:tcPr>
    <w:tblStylePr w:type="firstRow">
      <w:pPr>
        <w:jc w:val="left"/>
      </w:pPr>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AA95" w:themeFill="accent6"/>
        <w:vAlign w:val="bottom"/>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AA9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AA9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AA95" w:themeFill="accent6"/>
      </w:tcPr>
    </w:tblStylePr>
    <w:tblStylePr w:type="band1Vert">
      <w:tblPr/>
      <w:tcPr>
        <w:shd w:val="clear" w:color="auto" w:fill="E7DCD4" w:themeFill="accent6" w:themeFillTint="66"/>
      </w:tcPr>
    </w:tblStylePr>
    <w:tblStylePr w:type="band2Vert">
      <w:tblPr/>
      <w:tcPr>
        <w:shd w:val="clear" w:color="auto" w:fill="FFFFFF" w:themeFill="background1"/>
      </w:tcPr>
    </w:tblStylePr>
    <w:tblStylePr w:type="band1Horz">
      <w:tblPr/>
      <w:tcPr>
        <w:shd w:val="clear" w:color="auto" w:fill="FFFFFF" w:themeFill="background1"/>
      </w:tcPr>
    </w:tblStylePr>
  </w:style>
  <w:style w:type="table" w:styleId="GridTable6Colourful">
    <w:name w:val="Grid Table 6 Colorful"/>
    <w:basedOn w:val="TableNormal"/>
    <w:uiPriority w:val="51"/>
    <w:rsid w:val="00350549"/>
    <w:pPr>
      <w:spacing w:before="0" w:after="0"/>
    </w:pPr>
    <w:rPr>
      <w:rFonts w:ascii="Arial" w:hAnsi="Arial"/>
      <w:color w:val="000000" w:themeColor="text1"/>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pPr>
        <w:jc w:val="left"/>
      </w:pPr>
      <w:rPr>
        <w:b/>
        <w:bCs/>
      </w:rPr>
      <w:tblPr/>
      <w:tcPr>
        <w:tcBorders>
          <w:bottom w:val="single" w:sz="12" w:space="0" w:color="666666" w:themeColor="text1" w:themeTint="99"/>
        </w:tcBorders>
        <w:vAlign w:val="bottom"/>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locked/>
    <w:rsid w:val="00350549"/>
    <w:pPr>
      <w:spacing w:before="0" w:after="0"/>
    </w:pPr>
    <w:rPr>
      <w:rFonts w:ascii="Arial" w:hAnsi="Arial"/>
      <w:color w:val="8AA122" w:themeColor="accent1" w:themeShade="BF"/>
      <w:szCs w:val="22"/>
    </w:rPr>
    <w:tblPr>
      <w:tblStyleRowBandSize w:val="1"/>
      <w:tblStyleColBandSize w:val="1"/>
      <w:tblBorders>
        <w:top w:val="single" w:sz="4" w:space="0" w:color="D3E583" w:themeColor="accent1" w:themeTint="99"/>
        <w:left w:val="single" w:sz="4" w:space="0" w:color="D3E583" w:themeColor="accent1" w:themeTint="99"/>
        <w:bottom w:val="single" w:sz="4" w:space="0" w:color="D3E583" w:themeColor="accent1" w:themeTint="99"/>
        <w:right w:val="single" w:sz="4" w:space="0" w:color="D3E583" w:themeColor="accent1" w:themeTint="99"/>
        <w:insideH w:val="single" w:sz="4" w:space="0" w:color="D3E583" w:themeColor="accent1" w:themeTint="99"/>
        <w:insideV w:val="single" w:sz="4" w:space="0" w:color="D3E583" w:themeColor="accent1" w:themeTint="99"/>
      </w:tblBorders>
    </w:tblPr>
    <w:tblStylePr w:type="firstRow">
      <w:pPr>
        <w:jc w:val="left"/>
      </w:pPr>
      <w:rPr>
        <w:b/>
        <w:bCs/>
      </w:rPr>
      <w:tblPr/>
      <w:tcPr>
        <w:tcBorders>
          <w:bottom w:val="single" w:sz="12" w:space="0" w:color="D3E583" w:themeColor="accent1" w:themeTint="99"/>
        </w:tcBorders>
        <w:vAlign w:val="bottom"/>
      </w:tcPr>
    </w:tblStylePr>
    <w:tblStylePr w:type="lastRow">
      <w:rPr>
        <w:b/>
        <w:bCs/>
      </w:rPr>
      <w:tblPr/>
      <w:tcPr>
        <w:tcBorders>
          <w:top w:val="double" w:sz="4" w:space="0" w:color="D3E583" w:themeColor="accent1" w:themeTint="99"/>
        </w:tcBorders>
      </w:tc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table" w:styleId="GridTable6ColourfulAccent2">
    <w:name w:val="Grid Table 6 Colorful Accent 2"/>
    <w:basedOn w:val="TableNormal"/>
    <w:uiPriority w:val="51"/>
    <w:locked/>
    <w:rsid w:val="00350549"/>
    <w:pPr>
      <w:spacing w:before="0" w:after="0"/>
    </w:pPr>
    <w:rPr>
      <w:rFonts w:ascii="Arial" w:hAnsi="Arial"/>
      <w:color w:val="369492" w:themeColor="accent2" w:themeShade="BF"/>
      <w:szCs w:val="22"/>
    </w:rPr>
    <w:tblPr>
      <w:tblStyleRowBandSize w:val="1"/>
      <w:tblStyleColBandSize w:val="1"/>
      <w:tblBorders>
        <w:top w:val="single" w:sz="4" w:space="0" w:color="95D8D7" w:themeColor="accent2" w:themeTint="99"/>
        <w:left w:val="single" w:sz="4" w:space="0" w:color="95D8D7" w:themeColor="accent2" w:themeTint="99"/>
        <w:bottom w:val="single" w:sz="4" w:space="0" w:color="95D8D7" w:themeColor="accent2" w:themeTint="99"/>
        <w:right w:val="single" w:sz="4" w:space="0" w:color="95D8D7" w:themeColor="accent2" w:themeTint="99"/>
        <w:insideH w:val="single" w:sz="4" w:space="0" w:color="95D8D7" w:themeColor="accent2" w:themeTint="99"/>
        <w:insideV w:val="single" w:sz="4" w:space="0" w:color="95D8D7" w:themeColor="accent2" w:themeTint="99"/>
      </w:tblBorders>
    </w:tblPr>
    <w:tblStylePr w:type="firstRow">
      <w:pPr>
        <w:jc w:val="left"/>
      </w:pPr>
      <w:rPr>
        <w:b/>
        <w:bCs/>
      </w:rPr>
      <w:tblPr/>
      <w:tcPr>
        <w:tcBorders>
          <w:bottom w:val="single" w:sz="12" w:space="0" w:color="95D8D7" w:themeColor="accent2" w:themeTint="99"/>
        </w:tcBorders>
        <w:vAlign w:val="bottom"/>
      </w:tcPr>
    </w:tblStylePr>
    <w:tblStylePr w:type="lastRow">
      <w:rPr>
        <w:b/>
        <w:bCs/>
      </w:rPr>
      <w:tblPr/>
      <w:tcPr>
        <w:tcBorders>
          <w:top w:val="double" w:sz="4" w:space="0" w:color="95D8D7" w:themeColor="accent2" w:themeTint="99"/>
        </w:tcBorders>
      </w:tc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table" w:styleId="GridTable6ColourfulAccent3">
    <w:name w:val="Grid Table 6 Colorful Accent 3"/>
    <w:basedOn w:val="TableNormal"/>
    <w:uiPriority w:val="51"/>
    <w:locked/>
    <w:rsid w:val="00350549"/>
    <w:pPr>
      <w:spacing w:before="0" w:after="0"/>
    </w:pPr>
    <w:rPr>
      <w:rFonts w:ascii="Arial" w:hAnsi="Arial"/>
      <w:color w:val="CB530B" w:themeColor="accent3" w:themeShade="BF"/>
      <w:szCs w:val="22"/>
    </w:rPr>
    <w:tblPr>
      <w:tblStyleRowBandSize w:val="1"/>
      <w:tblStyleColBandSize w:val="1"/>
      <w:tblBorders>
        <w:top w:val="single" w:sz="4" w:space="0" w:color="F7AD80" w:themeColor="accent3" w:themeTint="99"/>
        <w:left w:val="single" w:sz="4" w:space="0" w:color="F7AD80" w:themeColor="accent3" w:themeTint="99"/>
        <w:bottom w:val="single" w:sz="4" w:space="0" w:color="F7AD80" w:themeColor="accent3" w:themeTint="99"/>
        <w:right w:val="single" w:sz="4" w:space="0" w:color="F7AD80" w:themeColor="accent3" w:themeTint="99"/>
        <w:insideH w:val="single" w:sz="4" w:space="0" w:color="F7AD80" w:themeColor="accent3" w:themeTint="99"/>
        <w:insideV w:val="single" w:sz="4" w:space="0" w:color="F7AD80" w:themeColor="accent3" w:themeTint="99"/>
      </w:tblBorders>
    </w:tblPr>
    <w:tblStylePr w:type="firstRow">
      <w:pPr>
        <w:jc w:val="left"/>
      </w:pPr>
      <w:rPr>
        <w:b/>
        <w:bCs/>
      </w:rPr>
      <w:tblPr/>
      <w:tcPr>
        <w:tcBorders>
          <w:bottom w:val="single" w:sz="12" w:space="0" w:color="F7AD80" w:themeColor="accent3" w:themeTint="99"/>
        </w:tcBorders>
        <w:vAlign w:val="bottom"/>
      </w:tcPr>
    </w:tblStylePr>
    <w:tblStylePr w:type="lastRow">
      <w:rPr>
        <w:b/>
        <w:bCs/>
      </w:rPr>
      <w:tblPr/>
      <w:tcPr>
        <w:tcBorders>
          <w:top w:val="double" w:sz="4" w:space="0" w:color="F7AD80" w:themeColor="accent3" w:themeTint="99"/>
        </w:tcBorders>
      </w:tc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table" w:styleId="GridTable6ColourfulAccent4">
    <w:name w:val="Grid Table 6 Colorful Accent 4"/>
    <w:basedOn w:val="TableNormal"/>
    <w:uiPriority w:val="51"/>
    <w:locked/>
    <w:rsid w:val="00350549"/>
    <w:pPr>
      <w:spacing w:before="0" w:after="0"/>
    </w:pPr>
    <w:rPr>
      <w:rFonts w:ascii="Arial" w:hAnsi="Arial"/>
      <w:color w:val="CC1148" w:themeColor="accent4" w:themeShade="BF"/>
      <w:szCs w:val="22"/>
    </w:rPr>
    <w:tblPr>
      <w:tblStyleRowBandSize w:val="1"/>
      <w:tblStyleColBandSize w:val="1"/>
      <w:tblBorders>
        <w:top w:val="single" w:sz="4" w:space="0" w:color="F489A8" w:themeColor="accent4" w:themeTint="99"/>
        <w:left w:val="single" w:sz="4" w:space="0" w:color="F489A8" w:themeColor="accent4" w:themeTint="99"/>
        <w:bottom w:val="single" w:sz="4" w:space="0" w:color="F489A8" w:themeColor="accent4" w:themeTint="99"/>
        <w:right w:val="single" w:sz="4" w:space="0" w:color="F489A8" w:themeColor="accent4" w:themeTint="99"/>
        <w:insideH w:val="single" w:sz="4" w:space="0" w:color="F489A8" w:themeColor="accent4" w:themeTint="99"/>
        <w:insideV w:val="single" w:sz="4" w:space="0" w:color="F489A8" w:themeColor="accent4" w:themeTint="99"/>
      </w:tblBorders>
    </w:tblPr>
    <w:tblStylePr w:type="firstRow">
      <w:pPr>
        <w:jc w:val="left"/>
      </w:pPr>
      <w:rPr>
        <w:b/>
        <w:bCs/>
      </w:rPr>
      <w:tblPr/>
      <w:tcPr>
        <w:tcBorders>
          <w:bottom w:val="single" w:sz="12" w:space="0" w:color="F489A8" w:themeColor="accent4" w:themeTint="99"/>
        </w:tcBorders>
        <w:vAlign w:val="bottom"/>
      </w:tcPr>
    </w:tblStylePr>
    <w:tblStylePr w:type="lastRow">
      <w:rPr>
        <w:b/>
        <w:bCs/>
      </w:rPr>
      <w:tblPr/>
      <w:tcPr>
        <w:tcBorders>
          <w:top w:val="double" w:sz="4" w:space="0" w:color="F489A8" w:themeColor="accent4" w:themeTint="99"/>
        </w:tcBorders>
      </w:tc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GridTable6ColourfulAccent5">
    <w:name w:val="Grid Table 6 Colorful Accent 5"/>
    <w:basedOn w:val="TableNormal"/>
    <w:uiPriority w:val="51"/>
    <w:rsid w:val="00350549"/>
    <w:pPr>
      <w:spacing w:before="0" w:after="0"/>
    </w:pPr>
    <w:rPr>
      <w:rFonts w:ascii="Arial" w:hAnsi="Arial"/>
      <w:color w:val="EA9703" w:themeColor="accent5" w:themeShade="BF"/>
      <w:szCs w:val="22"/>
    </w:rPr>
    <w:tblPr>
      <w:tblStyleRowBandSize w:val="1"/>
      <w:tblStyleColBandSize w:val="1"/>
      <w:tblBorders>
        <w:top w:val="single" w:sz="4" w:space="0" w:color="FDD48D" w:themeColor="accent5" w:themeTint="99"/>
        <w:left w:val="single" w:sz="4" w:space="0" w:color="FDD48D" w:themeColor="accent5" w:themeTint="99"/>
        <w:bottom w:val="single" w:sz="4" w:space="0" w:color="FDD48D" w:themeColor="accent5" w:themeTint="99"/>
        <w:right w:val="single" w:sz="4" w:space="0" w:color="FDD48D" w:themeColor="accent5" w:themeTint="99"/>
        <w:insideH w:val="single" w:sz="4" w:space="0" w:color="FDD48D" w:themeColor="accent5" w:themeTint="99"/>
        <w:insideV w:val="single" w:sz="4" w:space="0" w:color="FDD48D" w:themeColor="accent5" w:themeTint="99"/>
      </w:tblBorders>
    </w:tblPr>
    <w:tblStylePr w:type="firstRow">
      <w:pPr>
        <w:jc w:val="left"/>
      </w:pPr>
      <w:rPr>
        <w:b/>
        <w:bCs/>
      </w:rPr>
      <w:tblPr/>
      <w:tcPr>
        <w:tcBorders>
          <w:bottom w:val="single" w:sz="12" w:space="0" w:color="FDD48D" w:themeColor="accent5" w:themeTint="99"/>
        </w:tcBorders>
        <w:vAlign w:val="bottom"/>
      </w:tcPr>
    </w:tblStylePr>
    <w:tblStylePr w:type="lastRow">
      <w:rPr>
        <w:b/>
        <w:bCs/>
      </w:rPr>
      <w:tblPr/>
      <w:tcPr>
        <w:tcBorders>
          <w:top w:val="double" w:sz="4" w:space="0" w:color="FDD48D" w:themeColor="accent5" w:themeTint="99"/>
        </w:tcBorders>
      </w:tc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table" w:styleId="GridTable6ColourfulAccent6">
    <w:name w:val="Grid Table 6 Colorful Accent 6"/>
    <w:basedOn w:val="TableNormal"/>
    <w:uiPriority w:val="51"/>
    <w:locked/>
    <w:rsid w:val="00350549"/>
    <w:pPr>
      <w:spacing w:before="0" w:after="0"/>
    </w:pPr>
    <w:rPr>
      <w:color w:val="A37D5D" w:themeColor="accent6" w:themeShade="BF"/>
      <w:sz w:val="22"/>
      <w:szCs w:val="22"/>
    </w:rPr>
    <w:tblPr>
      <w:tblStyleRowBandSize w:val="1"/>
      <w:tblStyleColBandSize w:val="1"/>
      <w:tblBorders>
        <w:top w:val="single" w:sz="4" w:space="0" w:color="DBCBBF" w:themeColor="accent6" w:themeTint="99"/>
        <w:left w:val="single" w:sz="4" w:space="0" w:color="DBCBBF" w:themeColor="accent6" w:themeTint="99"/>
        <w:bottom w:val="single" w:sz="4" w:space="0" w:color="DBCBBF" w:themeColor="accent6" w:themeTint="99"/>
        <w:right w:val="single" w:sz="4" w:space="0" w:color="DBCBBF" w:themeColor="accent6" w:themeTint="99"/>
        <w:insideH w:val="single" w:sz="4" w:space="0" w:color="DBCBBF" w:themeColor="accent6" w:themeTint="99"/>
        <w:insideV w:val="single" w:sz="4" w:space="0" w:color="DBCBBF" w:themeColor="accent6" w:themeTint="99"/>
      </w:tblBorders>
    </w:tblPr>
    <w:tblStylePr w:type="firstRow">
      <w:pPr>
        <w:jc w:val="left"/>
      </w:pPr>
      <w:rPr>
        <w:b/>
        <w:bCs/>
      </w:rPr>
      <w:tblPr/>
      <w:tcPr>
        <w:tcBorders>
          <w:bottom w:val="single" w:sz="12" w:space="0" w:color="DBCBBF" w:themeColor="accent6" w:themeTint="99"/>
        </w:tcBorders>
        <w:vAlign w:val="bottom"/>
      </w:tcPr>
    </w:tblStylePr>
    <w:tblStylePr w:type="lastRow">
      <w:rPr>
        <w:b/>
        <w:bCs/>
      </w:rPr>
      <w:tblPr/>
      <w:tcPr>
        <w:tcBorders>
          <w:top w:val="double" w:sz="4" w:space="0" w:color="DBCBBF" w:themeColor="accent6" w:themeTint="99"/>
        </w:tcBorders>
      </w:tc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table" w:styleId="GridTable7Colourful">
    <w:name w:val="Grid Table 7 Colorful"/>
    <w:basedOn w:val="TableNormal"/>
    <w:uiPriority w:val="52"/>
    <w:rsid w:val="00350549"/>
    <w:pPr>
      <w:spacing w:before="0" w:after="0"/>
    </w:pPr>
    <w:rPr>
      <w:rFonts w:ascii="Arial" w:hAnsi="Arial"/>
      <w:color w:val="000000" w:themeColor="text1"/>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locked/>
    <w:rsid w:val="00350549"/>
    <w:pPr>
      <w:spacing w:before="0" w:after="0"/>
    </w:pPr>
    <w:rPr>
      <w:color w:val="8AA122" w:themeColor="accent1" w:themeShade="BF"/>
      <w:sz w:val="22"/>
      <w:szCs w:val="22"/>
    </w:rPr>
    <w:tblPr>
      <w:tblStyleRowBandSize w:val="1"/>
      <w:tblStyleColBandSize w:val="1"/>
      <w:tblBorders>
        <w:top w:val="single" w:sz="4" w:space="0" w:color="D3E583" w:themeColor="accent1" w:themeTint="99"/>
        <w:left w:val="single" w:sz="4" w:space="0" w:color="D3E583" w:themeColor="accent1" w:themeTint="99"/>
        <w:bottom w:val="single" w:sz="4" w:space="0" w:color="D3E583" w:themeColor="accent1" w:themeTint="99"/>
        <w:right w:val="single" w:sz="4" w:space="0" w:color="D3E583" w:themeColor="accent1" w:themeTint="99"/>
        <w:insideH w:val="single" w:sz="4" w:space="0" w:color="D3E583" w:themeColor="accent1" w:themeTint="99"/>
        <w:insideV w:val="single" w:sz="4" w:space="0" w:color="D3E583" w:themeColor="accent1"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6D5" w:themeFill="accent1" w:themeFillTint="33"/>
      </w:tcPr>
    </w:tblStylePr>
    <w:tblStylePr w:type="band1Horz">
      <w:tblPr/>
      <w:tcPr>
        <w:shd w:val="clear" w:color="auto" w:fill="F0F6D5" w:themeFill="accent1" w:themeFillTint="33"/>
      </w:tcPr>
    </w:tblStylePr>
    <w:tblStylePr w:type="neCell">
      <w:tblPr/>
      <w:tcPr>
        <w:tcBorders>
          <w:bottom w:val="single" w:sz="4" w:space="0" w:color="D3E583" w:themeColor="accent1" w:themeTint="99"/>
        </w:tcBorders>
      </w:tcPr>
    </w:tblStylePr>
    <w:tblStylePr w:type="nwCell">
      <w:tblPr/>
      <w:tcPr>
        <w:tcBorders>
          <w:bottom w:val="single" w:sz="4" w:space="0" w:color="D3E583" w:themeColor="accent1" w:themeTint="99"/>
        </w:tcBorders>
      </w:tcPr>
    </w:tblStylePr>
    <w:tblStylePr w:type="seCell">
      <w:tblPr/>
      <w:tcPr>
        <w:tcBorders>
          <w:top w:val="single" w:sz="4" w:space="0" w:color="D3E583" w:themeColor="accent1" w:themeTint="99"/>
        </w:tcBorders>
      </w:tcPr>
    </w:tblStylePr>
    <w:tblStylePr w:type="swCell">
      <w:tblPr/>
      <w:tcPr>
        <w:tcBorders>
          <w:top w:val="single" w:sz="4" w:space="0" w:color="D3E583" w:themeColor="accent1" w:themeTint="99"/>
        </w:tcBorders>
      </w:tcPr>
    </w:tblStylePr>
  </w:style>
  <w:style w:type="table" w:styleId="GridTable7ColourfulAccent2">
    <w:name w:val="Grid Table 7 Colorful Accent 2"/>
    <w:basedOn w:val="TableNormal"/>
    <w:uiPriority w:val="52"/>
    <w:locked/>
    <w:rsid w:val="00350549"/>
    <w:pPr>
      <w:spacing w:before="0" w:after="0"/>
    </w:pPr>
    <w:rPr>
      <w:color w:val="369492" w:themeColor="accent2" w:themeShade="BF"/>
      <w:sz w:val="22"/>
      <w:szCs w:val="22"/>
    </w:rPr>
    <w:tblPr>
      <w:tblStyleRowBandSize w:val="1"/>
      <w:tblStyleColBandSize w:val="1"/>
      <w:tblBorders>
        <w:top w:val="single" w:sz="4" w:space="0" w:color="95D8D7" w:themeColor="accent2" w:themeTint="99"/>
        <w:left w:val="single" w:sz="4" w:space="0" w:color="95D8D7" w:themeColor="accent2" w:themeTint="99"/>
        <w:bottom w:val="single" w:sz="4" w:space="0" w:color="95D8D7" w:themeColor="accent2" w:themeTint="99"/>
        <w:right w:val="single" w:sz="4" w:space="0" w:color="95D8D7" w:themeColor="accent2" w:themeTint="99"/>
        <w:insideH w:val="single" w:sz="4" w:space="0" w:color="95D8D7" w:themeColor="accent2" w:themeTint="99"/>
        <w:insideV w:val="single" w:sz="4" w:space="0" w:color="95D8D7" w:themeColor="accent2"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F2" w:themeFill="accent2" w:themeFillTint="33"/>
      </w:tcPr>
    </w:tblStylePr>
    <w:tblStylePr w:type="band1Horz">
      <w:tblPr/>
      <w:tcPr>
        <w:shd w:val="clear" w:color="auto" w:fill="DBF2F2" w:themeFill="accent2" w:themeFillTint="33"/>
      </w:tcPr>
    </w:tblStylePr>
    <w:tblStylePr w:type="neCell">
      <w:tblPr/>
      <w:tcPr>
        <w:tcBorders>
          <w:bottom w:val="single" w:sz="4" w:space="0" w:color="95D8D7" w:themeColor="accent2" w:themeTint="99"/>
        </w:tcBorders>
      </w:tcPr>
    </w:tblStylePr>
    <w:tblStylePr w:type="nwCell">
      <w:tblPr/>
      <w:tcPr>
        <w:tcBorders>
          <w:bottom w:val="single" w:sz="4" w:space="0" w:color="95D8D7" w:themeColor="accent2" w:themeTint="99"/>
        </w:tcBorders>
      </w:tcPr>
    </w:tblStylePr>
    <w:tblStylePr w:type="seCell">
      <w:tblPr/>
      <w:tcPr>
        <w:tcBorders>
          <w:top w:val="single" w:sz="4" w:space="0" w:color="95D8D7" w:themeColor="accent2" w:themeTint="99"/>
        </w:tcBorders>
      </w:tcPr>
    </w:tblStylePr>
    <w:tblStylePr w:type="swCell">
      <w:tblPr/>
      <w:tcPr>
        <w:tcBorders>
          <w:top w:val="single" w:sz="4" w:space="0" w:color="95D8D7" w:themeColor="accent2" w:themeTint="99"/>
        </w:tcBorders>
      </w:tcPr>
    </w:tblStylePr>
  </w:style>
  <w:style w:type="table" w:styleId="GridTable7ColourfulAccent3">
    <w:name w:val="Grid Table 7 Colorful Accent 3"/>
    <w:basedOn w:val="TableNormal"/>
    <w:uiPriority w:val="52"/>
    <w:locked/>
    <w:rsid w:val="00350549"/>
    <w:pPr>
      <w:spacing w:before="0" w:after="0"/>
    </w:pPr>
    <w:rPr>
      <w:color w:val="CB530B" w:themeColor="accent3" w:themeShade="BF"/>
      <w:sz w:val="22"/>
      <w:szCs w:val="22"/>
    </w:rPr>
    <w:tblPr>
      <w:tblStyleRowBandSize w:val="1"/>
      <w:tblStyleColBandSize w:val="1"/>
      <w:tblBorders>
        <w:top w:val="single" w:sz="4" w:space="0" w:color="F7AD80" w:themeColor="accent3" w:themeTint="99"/>
        <w:left w:val="single" w:sz="4" w:space="0" w:color="F7AD80" w:themeColor="accent3" w:themeTint="99"/>
        <w:bottom w:val="single" w:sz="4" w:space="0" w:color="F7AD80" w:themeColor="accent3" w:themeTint="99"/>
        <w:right w:val="single" w:sz="4" w:space="0" w:color="F7AD80" w:themeColor="accent3" w:themeTint="99"/>
        <w:insideH w:val="single" w:sz="4" w:space="0" w:color="F7AD80" w:themeColor="accent3" w:themeTint="99"/>
        <w:insideV w:val="single" w:sz="4" w:space="0" w:color="F7AD80" w:themeColor="accent3"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3D4" w:themeFill="accent3" w:themeFillTint="33"/>
      </w:tcPr>
    </w:tblStylePr>
    <w:tblStylePr w:type="band1Horz">
      <w:tblPr/>
      <w:tcPr>
        <w:shd w:val="clear" w:color="auto" w:fill="FCE3D4" w:themeFill="accent3" w:themeFillTint="33"/>
      </w:tcPr>
    </w:tblStylePr>
    <w:tblStylePr w:type="neCell">
      <w:tblPr/>
      <w:tcPr>
        <w:tcBorders>
          <w:bottom w:val="single" w:sz="4" w:space="0" w:color="F7AD80" w:themeColor="accent3" w:themeTint="99"/>
        </w:tcBorders>
      </w:tcPr>
    </w:tblStylePr>
    <w:tblStylePr w:type="nwCell">
      <w:tblPr/>
      <w:tcPr>
        <w:tcBorders>
          <w:bottom w:val="single" w:sz="4" w:space="0" w:color="F7AD80" w:themeColor="accent3" w:themeTint="99"/>
        </w:tcBorders>
      </w:tcPr>
    </w:tblStylePr>
    <w:tblStylePr w:type="seCell">
      <w:tblPr/>
      <w:tcPr>
        <w:tcBorders>
          <w:top w:val="single" w:sz="4" w:space="0" w:color="F7AD80" w:themeColor="accent3" w:themeTint="99"/>
        </w:tcBorders>
      </w:tcPr>
    </w:tblStylePr>
    <w:tblStylePr w:type="swCell">
      <w:tblPr/>
      <w:tcPr>
        <w:tcBorders>
          <w:top w:val="single" w:sz="4" w:space="0" w:color="F7AD80" w:themeColor="accent3" w:themeTint="99"/>
        </w:tcBorders>
      </w:tcPr>
    </w:tblStylePr>
  </w:style>
  <w:style w:type="table" w:styleId="GridTable7ColourfulAccent4">
    <w:name w:val="Grid Table 7 Colorful Accent 4"/>
    <w:basedOn w:val="TableNormal"/>
    <w:uiPriority w:val="52"/>
    <w:locked/>
    <w:rsid w:val="00350549"/>
    <w:pPr>
      <w:spacing w:before="0" w:after="0"/>
    </w:pPr>
    <w:rPr>
      <w:color w:val="CC1148" w:themeColor="accent4" w:themeShade="BF"/>
      <w:sz w:val="22"/>
      <w:szCs w:val="22"/>
    </w:rPr>
    <w:tblPr>
      <w:tblStyleRowBandSize w:val="1"/>
      <w:tblStyleColBandSize w:val="1"/>
      <w:tblBorders>
        <w:top w:val="single" w:sz="4" w:space="0" w:color="F489A8" w:themeColor="accent4" w:themeTint="99"/>
        <w:left w:val="single" w:sz="4" w:space="0" w:color="F489A8" w:themeColor="accent4" w:themeTint="99"/>
        <w:bottom w:val="single" w:sz="4" w:space="0" w:color="F489A8" w:themeColor="accent4" w:themeTint="99"/>
        <w:right w:val="single" w:sz="4" w:space="0" w:color="F489A8" w:themeColor="accent4" w:themeTint="99"/>
        <w:insideH w:val="single" w:sz="4" w:space="0" w:color="F489A8" w:themeColor="accent4" w:themeTint="99"/>
        <w:insideV w:val="single" w:sz="4" w:space="0" w:color="F489A8" w:themeColor="accent4"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7E2" w:themeFill="accent4" w:themeFillTint="33"/>
      </w:tcPr>
    </w:tblStylePr>
    <w:tblStylePr w:type="band1Horz">
      <w:tblPr/>
      <w:tcPr>
        <w:shd w:val="clear" w:color="auto" w:fill="FBD7E2" w:themeFill="accent4" w:themeFillTint="33"/>
      </w:tcPr>
    </w:tblStylePr>
    <w:tblStylePr w:type="neCell">
      <w:tblPr/>
      <w:tcPr>
        <w:tcBorders>
          <w:bottom w:val="single" w:sz="4" w:space="0" w:color="F489A8" w:themeColor="accent4" w:themeTint="99"/>
        </w:tcBorders>
      </w:tcPr>
    </w:tblStylePr>
    <w:tblStylePr w:type="nwCell">
      <w:tblPr/>
      <w:tcPr>
        <w:tcBorders>
          <w:bottom w:val="single" w:sz="4" w:space="0" w:color="F489A8" w:themeColor="accent4" w:themeTint="99"/>
        </w:tcBorders>
      </w:tcPr>
    </w:tblStylePr>
    <w:tblStylePr w:type="seCell">
      <w:tblPr/>
      <w:tcPr>
        <w:tcBorders>
          <w:top w:val="single" w:sz="4" w:space="0" w:color="F489A8" w:themeColor="accent4" w:themeTint="99"/>
        </w:tcBorders>
      </w:tcPr>
    </w:tblStylePr>
    <w:tblStylePr w:type="swCell">
      <w:tblPr/>
      <w:tcPr>
        <w:tcBorders>
          <w:top w:val="single" w:sz="4" w:space="0" w:color="F489A8" w:themeColor="accent4" w:themeTint="99"/>
        </w:tcBorders>
      </w:tcPr>
    </w:tblStylePr>
  </w:style>
  <w:style w:type="table" w:styleId="GridTable7ColourfulAccent5">
    <w:name w:val="Grid Table 7 Colorful Accent 5"/>
    <w:basedOn w:val="TableNormal"/>
    <w:uiPriority w:val="52"/>
    <w:rsid w:val="00350549"/>
    <w:pPr>
      <w:spacing w:before="0" w:after="0"/>
    </w:pPr>
    <w:rPr>
      <w:color w:val="EA9703" w:themeColor="accent5" w:themeShade="BF"/>
      <w:sz w:val="22"/>
      <w:szCs w:val="22"/>
    </w:rPr>
    <w:tblPr>
      <w:tblStyleRowBandSize w:val="1"/>
      <w:tblStyleColBandSize w:val="1"/>
      <w:tblBorders>
        <w:top w:val="single" w:sz="4" w:space="0" w:color="FDD48D" w:themeColor="accent5" w:themeTint="99"/>
        <w:left w:val="single" w:sz="4" w:space="0" w:color="FDD48D" w:themeColor="accent5" w:themeTint="99"/>
        <w:bottom w:val="single" w:sz="4" w:space="0" w:color="FDD48D" w:themeColor="accent5" w:themeTint="99"/>
        <w:right w:val="single" w:sz="4" w:space="0" w:color="FDD48D" w:themeColor="accent5" w:themeTint="99"/>
        <w:insideH w:val="single" w:sz="4" w:space="0" w:color="FDD48D" w:themeColor="accent5" w:themeTint="99"/>
        <w:insideV w:val="single" w:sz="4" w:space="0" w:color="FDD48D" w:themeColor="accent5"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0D8" w:themeFill="accent5" w:themeFillTint="33"/>
      </w:tcPr>
    </w:tblStylePr>
    <w:tblStylePr w:type="band1Horz">
      <w:tblPr/>
      <w:tcPr>
        <w:shd w:val="clear" w:color="auto" w:fill="FEF0D8" w:themeFill="accent5" w:themeFillTint="33"/>
      </w:tcPr>
    </w:tblStylePr>
    <w:tblStylePr w:type="neCell">
      <w:tblPr/>
      <w:tcPr>
        <w:tcBorders>
          <w:bottom w:val="single" w:sz="4" w:space="0" w:color="FDD48D" w:themeColor="accent5" w:themeTint="99"/>
        </w:tcBorders>
      </w:tcPr>
    </w:tblStylePr>
    <w:tblStylePr w:type="nwCell">
      <w:tblPr/>
      <w:tcPr>
        <w:tcBorders>
          <w:bottom w:val="single" w:sz="4" w:space="0" w:color="FDD48D" w:themeColor="accent5" w:themeTint="99"/>
        </w:tcBorders>
      </w:tcPr>
    </w:tblStylePr>
    <w:tblStylePr w:type="seCell">
      <w:tblPr/>
      <w:tcPr>
        <w:tcBorders>
          <w:top w:val="single" w:sz="4" w:space="0" w:color="FDD48D" w:themeColor="accent5" w:themeTint="99"/>
        </w:tcBorders>
      </w:tcPr>
    </w:tblStylePr>
    <w:tblStylePr w:type="swCell">
      <w:tblPr/>
      <w:tcPr>
        <w:tcBorders>
          <w:top w:val="single" w:sz="4" w:space="0" w:color="FDD48D" w:themeColor="accent5" w:themeTint="99"/>
        </w:tcBorders>
      </w:tcPr>
    </w:tblStylePr>
  </w:style>
  <w:style w:type="table" w:styleId="ListTable4-Accent1">
    <w:name w:val="List Table 4 Accent 1"/>
    <w:basedOn w:val="TableNormal"/>
    <w:uiPriority w:val="49"/>
    <w:locked/>
    <w:rsid w:val="00350549"/>
    <w:pPr>
      <w:spacing w:before="0" w:after="0"/>
    </w:pPr>
    <w:rPr>
      <w:rFonts w:ascii="Arial" w:hAnsi="Arial"/>
      <w:szCs w:val="22"/>
    </w:rPr>
    <w:tblPr>
      <w:tblStyleRowBandSize w:val="1"/>
      <w:tblStyleColBandSize w:val="1"/>
      <w:tblBorders>
        <w:bottom w:val="single" w:sz="4" w:space="0" w:color="D3E583" w:themeColor="accent1" w:themeTint="99"/>
      </w:tblBorders>
    </w:tblPr>
    <w:tblStylePr w:type="firstRow">
      <w:pPr>
        <w:jc w:val="left"/>
      </w:pPr>
      <w:rPr>
        <w:b/>
        <w:bCs/>
        <w:color w:val="FFFFFF" w:themeColor="background1"/>
      </w:rPr>
      <w:tblPr/>
      <w:tcPr>
        <w:shd w:val="clear" w:color="auto" w:fill="B7D432" w:themeFill="accent1"/>
        <w:vAlign w:val="bottom"/>
      </w:tcPr>
    </w:tblStylePr>
    <w:tblStylePr w:type="lastRow">
      <w:rPr>
        <w:b/>
        <w:bCs/>
      </w:rPr>
      <w:tblPr/>
      <w:tcPr>
        <w:tcBorders>
          <w:top w:val="double" w:sz="4" w:space="0" w:color="D3E583" w:themeColor="accent1" w:themeTint="99"/>
        </w:tcBorders>
      </w:tc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table" w:styleId="ListTable4-Accent2">
    <w:name w:val="List Table 4 Accent 2"/>
    <w:basedOn w:val="TableNormal"/>
    <w:uiPriority w:val="49"/>
    <w:locked/>
    <w:rsid w:val="00350549"/>
    <w:pPr>
      <w:spacing w:before="0" w:after="0"/>
    </w:pPr>
    <w:rPr>
      <w:rFonts w:ascii="Arial" w:hAnsi="Arial"/>
      <w:szCs w:val="22"/>
    </w:rPr>
    <w:tblPr>
      <w:tblStyleRowBandSize w:val="1"/>
      <w:tblStyleColBandSize w:val="1"/>
      <w:tblBorders>
        <w:bottom w:val="single" w:sz="4" w:space="0" w:color="95D8D7" w:themeColor="accent2" w:themeTint="99"/>
      </w:tblBorders>
    </w:tblPr>
    <w:tblStylePr w:type="firstRow">
      <w:pPr>
        <w:jc w:val="left"/>
      </w:pPr>
      <w:rPr>
        <w:b/>
        <w:bCs/>
        <w:color w:val="FFFFFF" w:themeColor="background1"/>
      </w:rPr>
      <w:tblPr/>
      <w:tcPr>
        <w:tcBorders>
          <w:top w:val="single" w:sz="4" w:space="0" w:color="4FBFBE" w:themeColor="accent2"/>
          <w:left w:val="single" w:sz="4" w:space="0" w:color="4FBFBE" w:themeColor="accent2"/>
          <w:bottom w:val="single" w:sz="4" w:space="0" w:color="4FBFBE" w:themeColor="accent2"/>
          <w:right w:val="single" w:sz="4" w:space="0" w:color="4FBFBE" w:themeColor="accent2"/>
          <w:insideH w:val="nil"/>
        </w:tcBorders>
        <w:shd w:val="clear" w:color="auto" w:fill="4FBFBE" w:themeFill="accent2"/>
        <w:vAlign w:val="bottom"/>
      </w:tcPr>
    </w:tblStylePr>
    <w:tblStylePr w:type="lastRow">
      <w:rPr>
        <w:b/>
        <w:bCs/>
      </w:rPr>
      <w:tblPr/>
      <w:tcPr>
        <w:tcBorders>
          <w:top w:val="double" w:sz="4" w:space="0" w:color="95D8D7" w:themeColor="accent2" w:themeTint="99"/>
        </w:tcBorders>
      </w:tc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table" w:styleId="ListTable4-Accent5">
    <w:name w:val="List Table 4 Accent 5"/>
    <w:basedOn w:val="TableNormal"/>
    <w:uiPriority w:val="49"/>
    <w:rsid w:val="00350549"/>
    <w:pPr>
      <w:spacing w:before="0" w:after="0"/>
    </w:pPr>
    <w:rPr>
      <w:rFonts w:ascii="Arial" w:hAnsi="Arial"/>
      <w:szCs w:val="22"/>
    </w:rPr>
    <w:tblPr>
      <w:tblStyleRowBandSize w:val="1"/>
      <w:tblStyleColBandSize w:val="1"/>
      <w:tblBorders>
        <w:bottom w:val="single" w:sz="4" w:space="0" w:color="FDD48D" w:themeColor="accent5" w:themeTint="99"/>
      </w:tblBorders>
    </w:tblPr>
    <w:tblStylePr w:type="firstRow">
      <w:pPr>
        <w:jc w:val="left"/>
      </w:pPr>
      <w:rPr>
        <w:b/>
        <w:bCs/>
        <w:color w:val="FFFFFF" w:themeColor="background1"/>
      </w:rPr>
      <w:tblPr/>
      <w:tcPr>
        <w:tcBorders>
          <w:top w:val="single" w:sz="4" w:space="0" w:color="FCB942" w:themeColor="accent5"/>
          <w:left w:val="single" w:sz="4" w:space="0" w:color="FCB942" w:themeColor="accent5"/>
          <w:bottom w:val="single" w:sz="4" w:space="0" w:color="FCB942" w:themeColor="accent5"/>
          <w:right w:val="single" w:sz="4" w:space="0" w:color="FCB942" w:themeColor="accent5"/>
          <w:insideH w:val="nil"/>
        </w:tcBorders>
        <w:shd w:val="clear" w:color="auto" w:fill="FCB942" w:themeFill="accent5"/>
        <w:vAlign w:val="bottom"/>
      </w:tcPr>
    </w:tblStylePr>
    <w:tblStylePr w:type="lastRow">
      <w:rPr>
        <w:b/>
        <w:bCs/>
      </w:rPr>
      <w:tblPr/>
      <w:tcPr>
        <w:tcBorders>
          <w:top w:val="double" w:sz="4" w:space="0" w:color="FDD48D" w:themeColor="accent5" w:themeTint="99"/>
        </w:tcBorders>
      </w:tc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table" w:styleId="ListTable7ColourfulAccent3">
    <w:name w:val="List Table 7 Colorful Accent 3"/>
    <w:basedOn w:val="TableNormal"/>
    <w:uiPriority w:val="52"/>
    <w:locked/>
    <w:rsid w:val="00350549"/>
    <w:pPr>
      <w:spacing w:before="0" w:after="0"/>
    </w:pPr>
    <w:rPr>
      <w:color w:val="CB530B" w:themeColor="accent3" w:themeShade="BF"/>
      <w:sz w:val="22"/>
      <w:szCs w:val="22"/>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F3772C" w:themeColor="accent3"/>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F3772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772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772C" w:themeColor="accent3"/>
        </w:tcBorders>
        <w:shd w:val="clear" w:color="auto" w:fill="FFFFFF" w:themeFill="background1"/>
      </w:tcPr>
    </w:tblStylePr>
    <w:tblStylePr w:type="band1Vert">
      <w:tblPr/>
      <w:tcPr>
        <w:shd w:val="clear" w:color="auto" w:fill="FCE3D4" w:themeFill="accent3" w:themeFillTint="33"/>
      </w:tcPr>
    </w:tblStylePr>
    <w:tblStylePr w:type="band1Horz">
      <w:tblPr/>
      <w:tcPr>
        <w:shd w:val="clear" w:color="auto" w:fill="FCE3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locked/>
    <w:rsid w:val="00350549"/>
    <w:pPr>
      <w:spacing w:before="0" w:after="0"/>
    </w:pPr>
    <w:rPr>
      <w:color w:val="CC1148" w:themeColor="accent4" w:themeShade="BF"/>
      <w:sz w:val="22"/>
      <w:szCs w:val="22"/>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EE3B6F" w:themeColor="accent4"/>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EE3B6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E3B6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E3B6F" w:themeColor="accent4"/>
        </w:tcBorders>
        <w:shd w:val="clear" w:color="auto" w:fill="FFFFFF" w:themeFill="background1"/>
      </w:tcPr>
    </w:tblStylePr>
    <w:tblStylePr w:type="band1Vert">
      <w:tblPr/>
      <w:tcPr>
        <w:shd w:val="clear" w:color="auto" w:fill="FBD7E2" w:themeFill="accent4" w:themeFillTint="33"/>
      </w:tcPr>
    </w:tblStylePr>
    <w:tblStylePr w:type="band1Horz">
      <w:tblPr/>
      <w:tcPr>
        <w:shd w:val="clear" w:color="auto" w:fill="FBD7E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50549"/>
    <w:pPr>
      <w:spacing w:before="0" w:after="0"/>
    </w:pPr>
    <w:rPr>
      <w:color w:val="EA9703" w:themeColor="accent5" w:themeShade="BF"/>
      <w:sz w:val="22"/>
      <w:szCs w:val="22"/>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FCB942" w:themeColor="accent5"/>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FCB94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CB94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CB942" w:themeColor="accent5"/>
        </w:tcBorders>
        <w:shd w:val="clear" w:color="auto" w:fill="FFFFFF" w:themeFill="background1"/>
      </w:tcPr>
    </w:tblStylePr>
    <w:tblStylePr w:type="band1Vert">
      <w:tblPr/>
      <w:tcPr>
        <w:shd w:val="clear" w:color="auto" w:fill="FEF0D8" w:themeFill="accent5" w:themeFillTint="33"/>
      </w:tcPr>
    </w:tblStylePr>
    <w:tblStylePr w:type="band1Horz">
      <w:tblPr/>
      <w:tcPr>
        <w:shd w:val="clear" w:color="auto" w:fill="FEF0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locked/>
    <w:rsid w:val="00350549"/>
    <w:pPr>
      <w:spacing w:before="0" w:after="0"/>
    </w:pPr>
    <w:rPr>
      <w:color w:val="A37D5D" w:themeColor="accent6" w:themeShade="BF"/>
      <w:sz w:val="22"/>
      <w:szCs w:val="22"/>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C3AA95" w:themeColor="accent6"/>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C3AA9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AA9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AA95" w:themeColor="accent6"/>
        </w:tcBorders>
        <w:shd w:val="clear" w:color="auto" w:fill="FFFFFF" w:themeFill="background1"/>
      </w:tcPr>
    </w:tblStylePr>
    <w:tblStylePr w:type="band1Vert">
      <w:tblPr/>
      <w:tcPr>
        <w:shd w:val="clear" w:color="auto" w:fill="F3EDE9" w:themeFill="accent6" w:themeFillTint="33"/>
      </w:tcPr>
    </w:tblStylePr>
    <w:tblStylePr w:type="band1Horz">
      <w:tblPr/>
      <w:tcPr>
        <w:shd w:val="clear" w:color="auto" w:fill="F3ED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350549"/>
    <w:pPr>
      <w:spacing w:before="0" w:after="0"/>
    </w:pPr>
    <w:rPr>
      <w:rFonts w:ascii="Arial" w:hAnsi="Arial" w:cs="Times New Roman"/>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jc w:val="left"/>
      </w:pPr>
      <w:rPr>
        <w:b/>
        <w:bCs/>
      </w:rPr>
      <w:tblPr/>
      <w:tcPr>
        <w:vAlign w:val="bottom"/>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50549"/>
    <w:pPr>
      <w:spacing w:before="0" w:after="0"/>
    </w:pPr>
    <w:rPr>
      <w:rFonts w:ascii="Arial" w:hAnsi="Arial" w:cs="Times New Roman"/>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pPr>
        <w:jc w:val="left"/>
      </w:pPr>
      <w:rPr>
        <w:b/>
        <w:bCs/>
      </w:rPr>
      <w:tblPr/>
      <w:tcPr>
        <w:tcBorders>
          <w:bottom w:val="single" w:sz="4" w:space="0" w:color="7F7F7F" w:themeColor="text1" w:themeTint="80"/>
        </w:tcBorders>
        <w:vAlign w:val="bottom"/>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50549"/>
    <w:pPr>
      <w:spacing w:before="0" w:after="0"/>
    </w:pPr>
    <w:rPr>
      <w:rFonts w:ascii="Arial" w:hAnsi="Arial" w:cs="Times New Roman"/>
      <w:szCs w:val="20"/>
    </w:rPr>
    <w:tblPr>
      <w:tblStyleRowBandSize w:val="1"/>
      <w:tblStyleColBandSize w:val="1"/>
    </w:tblPr>
    <w:tblStylePr w:type="firstRow">
      <w:pPr>
        <w:jc w:val="left"/>
      </w:pPr>
      <w:rPr>
        <w:b/>
        <w:bCs/>
        <w:caps/>
      </w:rPr>
      <w:tblPr/>
      <w:tcPr>
        <w:tcBorders>
          <w:bottom w:val="single" w:sz="4" w:space="0" w:color="7F7F7F" w:themeColor="text1" w:themeTint="80"/>
        </w:tcBorders>
        <w:vAlign w:val="bottom"/>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50549"/>
    <w:pPr>
      <w:spacing w:before="0" w:after="0"/>
    </w:pPr>
    <w:rPr>
      <w:rFonts w:ascii="Arial" w:hAnsi="Arial" w:cs="Times New Roman"/>
      <w:szCs w:val="20"/>
    </w:rPr>
    <w:tblPr>
      <w:tblStyleRowBandSize w:val="1"/>
      <w:tblStyleColBandSize w:val="1"/>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50549"/>
    <w:pPr>
      <w:spacing w:before="0" w:after="0"/>
    </w:pPr>
    <w:rPr>
      <w:rFonts w:ascii="Arial" w:hAnsi="Arial"/>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jc w:val="left"/>
      </w:pPr>
      <w:tblPr/>
      <w:tcPr>
        <w:vAlign w:val="bottom"/>
      </w:tcPr>
    </w:tblStylePr>
  </w:style>
  <w:style w:type="table" w:styleId="TableGrid">
    <w:name w:val="Table Grid"/>
    <w:aliases w:val="SRC 2,DPS Table Grid"/>
    <w:basedOn w:val="TableNormal"/>
    <w:uiPriority w:val="39"/>
    <w:rsid w:val="00350549"/>
    <w:pPr>
      <w:spacing w:before="0" w:after="0"/>
    </w:pPr>
    <w:rPr>
      <w:rFonts w:ascii="Arial" w:hAnsi="Arial"/>
      <w:color w:val="0D0D0D" w:themeColor="text1" w:themeTint="F2"/>
      <w:szCs w:val="22"/>
    </w:r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jc w:val="left"/>
      </w:pPr>
      <w:rPr>
        <w:b/>
        <w:color w:val="000000" w:themeColor="text1"/>
      </w:rPr>
      <w:tblPr/>
      <w:tcPr>
        <w:vAlign w:val="bottom"/>
      </w:tcPr>
    </w:tblStylePr>
  </w:style>
  <w:style w:type="table" w:styleId="GridTable5Dark-Accent1">
    <w:name w:val="Grid Table 5 Dark Accent 1"/>
    <w:basedOn w:val="TableNormal"/>
    <w:uiPriority w:val="50"/>
    <w:locked/>
    <w:rsid w:val="00350549"/>
    <w:pPr>
      <w:spacing w:after="0"/>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6D5" w:themeFill="accent1" w:themeFillTint="33"/>
    </w:tcPr>
    <w:tblStylePr w:type="firstRow">
      <w:pPr>
        <w:jc w:val="left"/>
      </w:pPr>
      <w:rPr>
        <w:b/>
        <w:bCs/>
        <w:color w:val="FFFFFF" w:themeColor="background1"/>
      </w:rPr>
      <w:tblPr/>
      <w:tcPr>
        <w:shd w:val="clear" w:color="auto" w:fill="B7D432" w:themeFill="accent1"/>
        <w:vAlign w:val="bottom"/>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7D432" w:themeFill="accent1"/>
      </w:tcPr>
    </w:tblStylePr>
    <w:tblStylePr w:type="firstCol">
      <w:rPr>
        <w:b/>
        <w:bCs/>
        <w:color w:val="FFFFFF" w:themeColor="background1"/>
      </w:rPr>
      <w:tblPr/>
      <w:tcPr>
        <w:shd w:val="clear" w:color="auto" w:fill="B7D432" w:themeFill="accent1"/>
      </w:tcPr>
    </w:tblStylePr>
    <w:tblStylePr w:type="lastCol">
      <w:rPr>
        <w:b/>
        <w:bCs/>
        <w:color w:val="FFFFFF" w:themeColor="background1"/>
      </w:rPr>
      <w:tblPr/>
      <w:tcPr>
        <w:shd w:val="clear" w:color="auto" w:fill="FFFFFF" w:themeFill="background1"/>
      </w:tcPr>
    </w:tblStylePr>
    <w:tblStylePr w:type="band1Vert">
      <w:tblPr/>
      <w:tcPr>
        <w:shd w:val="clear" w:color="auto" w:fill="F0F6D5" w:themeFill="accent1" w:themeFillTint="33"/>
      </w:tcPr>
    </w:tblStylePr>
    <w:tblStylePr w:type="band2Vert">
      <w:tblPr/>
      <w:tcPr>
        <w:shd w:val="clear" w:color="auto" w:fill="FFFFFF" w:themeFill="background1"/>
      </w:tcPr>
    </w:tblStylePr>
    <w:tblStylePr w:type="band1Horz">
      <w:tblPr/>
      <w:tcPr>
        <w:shd w:val="clear" w:color="auto" w:fill="F0F6D5" w:themeFill="accent1" w:themeFillTint="33"/>
      </w:tcPr>
    </w:tblStylePr>
    <w:tblStylePr w:type="band2Horz">
      <w:tblPr/>
      <w:tcPr>
        <w:shd w:val="clear" w:color="auto" w:fill="FFFFFF" w:themeFill="background1"/>
      </w:tcPr>
    </w:tblStylePr>
  </w:style>
  <w:style w:type="table" w:styleId="ListTable3">
    <w:name w:val="List Table 3"/>
    <w:basedOn w:val="TableNormal"/>
    <w:uiPriority w:val="48"/>
    <w:rsid w:val="0035054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jc w:val="left"/>
      </w:pPr>
      <w:rPr>
        <w:b/>
        <w:bCs/>
        <w:color w:val="FFFFFF" w:themeColor="background1"/>
      </w:rPr>
      <w:tblPr/>
      <w:tcPr>
        <w:shd w:val="clear" w:color="auto" w:fill="000000" w:themeFill="text1"/>
        <w:vAlign w:val="bottom"/>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locked/>
    <w:rsid w:val="00350549"/>
    <w:pPr>
      <w:spacing w:after="0"/>
    </w:pPr>
    <w:rPr>
      <w:rFonts w:ascii="Arial" w:hAnsi="Arial"/>
    </w:rPr>
    <w:tblPr>
      <w:tblStyleRowBandSize w:val="1"/>
      <w:tblStyleColBandSize w:val="1"/>
      <w:tblBorders>
        <w:top w:val="single" w:sz="4" w:space="0" w:color="B7D432" w:themeColor="accent1"/>
        <w:left w:val="single" w:sz="4" w:space="0" w:color="B7D432" w:themeColor="accent1"/>
        <w:bottom w:val="single" w:sz="4" w:space="0" w:color="B7D432" w:themeColor="accent1"/>
        <w:right w:val="single" w:sz="4" w:space="0" w:color="B7D432" w:themeColor="accent1"/>
      </w:tblBorders>
    </w:tblPr>
    <w:tcPr>
      <w:vAlign w:val="bottom"/>
    </w:tcPr>
    <w:tblStylePr w:type="firstRow">
      <w:pPr>
        <w:jc w:val="left"/>
      </w:pPr>
      <w:rPr>
        <w:b/>
        <w:bCs/>
        <w:color w:val="FFFFFF" w:themeColor="background1"/>
      </w:rPr>
      <w:tblPr/>
      <w:tcPr>
        <w:shd w:val="clear" w:color="auto" w:fill="B7D432" w:themeFill="accent1"/>
      </w:tcPr>
    </w:tblStylePr>
    <w:tblStylePr w:type="lastRow">
      <w:rPr>
        <w:b/>
        <w:bCs/>
      </w:rPr>
      <w:tblPr/>
      <w:tcPr>
        <w:tcBorders>
          <w:top w:val="double" w:sz="4" w:space="0" w:color="B7D43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7D432" w:themeColor="accent1"/>
          <w:right w:val="single" w:sz="4" w:space="0" w:color="B7D432" w:themeColor="accent1"/>
        </w:tcBorders>
      </w:tcPr>
    </w:tblStylePr>
    <w:tblStylePr w:type="band1Horz">
      <w:tblPr/>
      <w:tcPr>
        <w:tcBorders>
          <w:top w:val="single" w:sz="4" w:space="0" w:color="B7D432" w:themeColor="accent1"/>
          <w:bottom w:val="single" w:sz="4" w:space="0" w:color="B7D43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7D432" w:themeColor="accent1"/>
          <w:left w:val="nil"/>
        </w:tcBorders>
      </w:tcPr>
    </w:tblStylePr>
    <w:tblStylePr w:type="swCell">
      <w:tblPr/>
      <w:tcPr>
        <w:tcBorders>
          <w:top w:val="double" w:sz="4" w:space="0" w:color="B7D432" w:themeColor="accent1"/>
          <w:right w:val="nil"/>
        </w:tcBorders>
      </w:tcPr>
    </w:tblStylePr>
  </w:style>
  <w:style w:type="table" w:styleId="ListTable3-Accent2">
    <w:name w:val="List Table 3 Accent 2"/>
    <w:basedOn w:val="TableNormal"/>
    <w:uiPriority w:val="48"/>
    <w:locked/>
    <w:rsid w:val="00350549"/>
    <w:pPr>
      <w:spacing w:after="0"/>
    </w:pPr>
    <w:tblPr>
      <w:tblStyleRowBandSize w:val="1"/>
      <w:tblStyleColBandSize w:val="1"/>
      <w:tblBorders>
        <w:top w:val="single" w:sz="4" w:space="0" w:color="4FBFBE" w:themeColor="accent2"/>
        <w:left w:val="single" w:sz="4" w:space="0" w:color="4FBFBE" w:themeColor="accent2"/>
        <w:bottom w:val="single" w:sz="4" w:space="0" w:color="4FBFBE" w:themeColor="accent2"/>
        <w:right w:val="single" w:sz="4" w:space="0" w:color="4FBFBE" w:themeColor="accent2"/>
      </w:tblBorders>
    </w:tblPr>
    <w:tblStylePr w:type="firstRow">
      <w:pPr>
        <w:jc w:val="left"/>
      </w:pPr>
      <w:rPr>
        <w:b/>
        <w:bCs/>
        <w:color w:val="FFFFFF" w:themeColor="background1"/>
      </w:rPr>
      <w:tblPr/>
      <w:tcPr>
        <w:shd w:val="clear" w:color="auto" w:fill="4FBFBE" w:themeFill="accent2"/>
        <w:vAlign w:val="bottom"/>
      </w:tcPr>
    </w:tblStylePr>
    <w:tblStylePr w:type="lastRow">
      <w:rPr>
        <w:b/>
        <w:bCs/>
      </w:rPr>
      <w:tblPr/>
      <w:tcPr>
        <w:tcBorders>
          <w:top w:val="double" w:sz="4" w:space="0" w:color="4FBFB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BFBE" w:themeColor="accent2"/>
          <w:right w:val="single" w:sz="4" w:space="0" w:color="4FBFBE" w:themeColor="accent2"/>
        </w:tcBorders>
      </w:tcPr>
    </w:tblStylePr>
    <w:tblStylePr w:type="band1Horz">
      <w:tblPr/>
      <w:tcPr>
        <w:tcBorders>
          <w:top w:val="single" w:sz="4" w:space="0" w:color="4FBFBE" w:themeColor="accent2"/>
          <w:bottom w:val="single" w:sz="4" w:space="0" w:color="4FBFB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BFBE" w:themeColor="accent2"/>
          <w:left w:val="nil"/>
        </w:tcBorders>
      </w:tcPr>
    </w:tblStylePr>
    <w:tblStylePr w:type="swCell">
      <w:tblPr/>
      <w:tcPr>
        <w:tcBorders>
          <w:top w:val="double" w:sz="4" w:space="0" w:color="4FBFBE" w:themeColor="accent2"/>
          <w:right w:val="nil"/>
        </w:tcBorders>
      </w:tcPr>
    </w:tblStylePr>
  </w:style>
  <w:style w:type="table" w:styleId="ListTable3-Accent3">
    <w:name w:val="List Table 3 Accent 3"/>
    <w:basedOn w:val="TableNormal"/>
    <w:uiPriority w:val="48"/>
    <w:locked/>
    <w:rsid w:val="00350549"/>
    <w:pPr>
      <w:spacing w:after="0"/>
    </w:pPr>
    <w:tblPr>
      <w:tblStyleRowBandSize w:val="1"/>
      <w:tblStyleColBandSize w:val="1"/>
      <w:tblBorders>
        <w:top w:val="single" w:sz="4" w:space="0" w:color="F3772C" w:themeColor="accent3"/>
        <w:left w:val="single" w:sz="4" w:space="0" w:color="F3772C" w:themeColor="accent3"/>
        <w:bottom w:val="single" w:sz="4" w:space="0" w:color="F3772C" w:themeColor="accent3"/>
        <w:right w:val="single" w:sz="4" w:space="0" w:color="F3772C" w:themeColor="accent3"/>
      </w:tblBorders>
    </w:tblPr>
    <w:tblStylePr w:type="firstRow">
      <w:pPr>
        <w:jc w:val="left"/>
      </w:pPr>
      <w:rPr>
        <w:b/>
        <w:bCs/>
        <w:color w:val="FFFFFF" w:themeColor="background1"/>
      </w:rPr>
      <w:tblPr/>
      <w:tcPr>
        <w:shd w:val="clear" w:color="auto" w:fill="F3772C" w:themeFill="accent3"/>
        <w:vAlign w:val="bottom"/>
      </w:tcPr>
    </w:tblStylePr>
    <w:tblStylePr w:type="lastRow">
      <w:rPr>
        <w:b/>
        <w:bCs/>
      </w:rPr>
      <w:tblPr/>
      <w:tcPr>
        <w:tcBorders>
          <w:top w:val="double" w:sz="4" w:space="0" w:color="F3772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72C" w:themeColor="accent3"/>
          <w:right w:val="single" w:sz="4" w:space="0" w:color="F3772C" w:themeColor="accent3"/>
        </w:tcBorders>
      </w:tcPr>
    </w:tblStylePr>
    <w:tblStylePr w:type="band1Horz">
      <w:tblPr/>
      <w:tcPr>
        <w:tcBorders>
          <w:top w:val="single" w:sz="4" w:space="0" w:color="F3772C" w:themeColor="accent3"/>
          <w:bottom w:val="single" w:sz="4" w:space="0" w:color="F3772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72C" w:themeColor="accent3"/>
          <w:left w:val="nil"/>
        </w:tcBorders>
      </w:tcPr>
    </w:tblStylePr>
    <w:tblStylePr w:type="swCell">
      <w:tblPr/>
      <w:tcPr>
        <w:tcBorders>
          <w:top w:val="double" w:sz="4" w:space="0" w:color="F3772C" w:themeColor="accent3"/>
          <w:right w:val="nil"/>
        </w:tcBorders>
      </w:tcPr>
    </w:tblStylePr>
  </w:style>
  <w:style w:type="table" w:styleId="ListTable3-Accent4">
    <w:name w:val="List Table 3 Accent 4"/>
    <w:basedOn w:val="TableNormal"/>
    <w:uiPriority w:val="48"/>
    <w:locked/>
    <w:rsid w:val="00350549"/>
    <w:pPr>
      <w:spacing w:after="0"/>
    </w:pPr>
    <w:tblPr>
      <w:tblStyleRowBandSize w:val="1"/>
      <w:tblStyleColBandSize w:val="1"/>
      <w:tblBorders>
        <w:top w:val="single" w:sz="4" w:space="0" w:color="EE3B6F" w:themeColor="accent4"/>
        <w:left w:val="single" w:sz="4" w:space="0" w:color="EE3B6F" w:themeColor="accent4"/>
        <w:bottom w:val="single" w:sz="4" w:space="0" w:color="EE3B6F" w:themeColor="accent4"/>
        <w:right w:val="single" w:sz="4" w:space="0" w:color="EE3B6F" w:themeColor="accent4"/>
      </w:tblBorders>
    </w:tblPr>
    <w:tblStylePr w:type="firstRow">
      <w:pPr>
        <w:jc w:val="left"/>
      </w:pPr>
      <w:rPr>
        <w:b/>
        <w:bCs/>
        <w:color w:val="FFFFFF" w:themeColor="background1"/>
      </w:rPr>
      <w:tblPr/>
      <w:tcPr>
        <w:shd w:val="clear" w:color="auto" w:fill="EE3B6F" w:themeFill="accent4"/>
        <w:vAlign w:val="bottom"/>
      </w:tcPr>
    </w:tblStylePr>
    <w:tblStylePr w:type="lastRow">
      <w:rPr>
        <w:b/>
        <w:bCs/>
      </w:rPr>
      <w:tblPr/>
      <w:tcPr>
        <w:tcBorders>
          <w:top w:val="double" w:sz="4" w:space="0" w:color="EE3B6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E3B6F" w:themeColor="accent4"/>
          <w:right w:val="single" w:sz="4" w:space="0" w:color="EE3B6F" w:themeColor="accent4"/>
        </w:tcBorders>
      </w:tcPr>
    </w:tblStylePr>
    <w:tblStylePr w:type="band1Horz">
      <w:tblPr/>
      <w:tcPr>
        <w:tcBorders>
          <w:top w:val="single" w:sz="4" w:space="0" w:color="EE3B6F" w:themeColor="accent4"/>
          <w:bottom w:val="single" w:sz="4" w:space="0" w:color="EE3B6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E3B6F" w:themeColor="accent4"/>
          <w:left w:val="nil"/>
        </w:tcBorders>
      </w:tcPr>
    </w:tblStylePr>
    <w:tblStylePr w:type="swCell">
      <w:tblPr/>
      <w:tcPr>
        <w:tcBorders>
          <w:top w:val="double" w:sz="4" w:space="0" w:color="EE3B6F" w:themeColor="accent4"/>
          <w:right w:val="nil"/>
        </w:tcBorders>
      </w:tcPr>
    </w:tblStylePr>
  </w:style>
  <w:style w:type="table" w:styleId="ListTable3-Accent5">
    <w:name w:val="List Table 3 Accent 5"/>
    <w:basedOn w:val="TableNormal"/>
    <w:uiPriority w:val="48"/>
    <w:rsid w:val="00350549"/>
    <w:pPr>
      <w:spacing w:after="0"/>
    </w:pPr>
    <w:tblPr>
      <w:tblStyleRowBandSize w:val="1"/>
      <w:tblStyleColBandSize w:val="1"/>
      <w:tblBorders>
        <w:top w:val="single" w:sz="4" w:space="0" w:color="FCB942" w:themeColor="accent5"/>
        <w:left w:val="single" w:sz="4" w:space="0" w:color="FCB942" w:themeColor="accent5"/>
        <w:bottom w:val="single" w:sz="4" w:space="0" w:color="FCB942" w:themeColor="accent5"/>
        <w:right w:val="single" w:sz="4" w:space="0" w:color="FCB942" w:themeColor="accent5"/>
      </w:tblBorders>
    </w:tblPr>
    <w:tblStylePr w:type="firstRow">
      <w:pPr>
        <w:jc w:val="left"/>
      </w:pPr>
      <w:rPr>
        <w:b/>
        <w:bCs/>
        <w:color w:val="FFFFFF" w:themeColor="background1"/>
      </w:rPr>
      <w:tblPr/>
      <w:tcPr>
        <w:shd w:val="clear" w:color="auto" w:fill="FCB942" w:themeFill="accent5"/>
        <w:vAlign w:val="bottom"/>
      </w:tcPr>
    </w:tblStylePr>
    <w:tblStylePr w:type="lastRow">
      <w:rPr>
        <w:b/>
        <w:bCs/>
      </w:rPr>
      <w:tblPr/>
      <w:tcPr>
        <w:tcBorders>
          <w:top w:val="double" w:sz="4" w:space="0" w:color="FCB94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CB942" w:themeColor="accent5"/>
          <w:right w:val="single" w:sz="4" w:space="0" w:color="FCB942" w:themeColor="accent5"/>
        </w:tcBorders>
      </w:tcPr>
    </w:tblStylePr>
    <w:tblStylePr w:type="band1Horz">
      <w:tblPr/>
      <w:tcPr>
        <w:tcBorders>
          <w:top w:val="single" w:sz="4" w:space="0" w:color="FCB942" w:themeColor="accent5"/>
          <w:bottom w:val="single" w:sz="4" w:space="0" w:color="FCB94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CB942" w:themeColor="accent5"/>
          <w:left w:val="nil"/>
        </w:tcBorders>
      </w:tcPr>
    </w:tblStylePr>
    <w:tblStylePr w:type="swCell">
      <w:tblPr/>
      <w:tcPr>
        <w:tcBorders>
          <w:top w:val="double" w:sz="4" w:space="0" w:color="FCB942" w:themeColor="accent5"/>
          <w:right w:val="nil"/>
        </w:tcBorders>
      </w:tcPr>
    </w:tblStylePr>
  </w:style>
  <w:style w:type="table" w:styleId="ListTable3-Accent6">
    <w:name w:val="List Table 3 Accent 6"/>
    <w:basedOn w:val="TableNormal"/>
    <w:uiPriority w:val="48"/>
    <w:locked/>
    <w:rsid w:val="00350549"/>
    <w:pPr>
      <w:spacing w:after="0"/>
    </w:pPr>
    <w:tblPr>
      <w:tblStyleRowBandSize w:val="1"/>
      <w:tblStyleColBandSize w:val="1"/>
      <w:tblBorders>
        <w:top w:val="single" w:sz="4" w:space="0" w:color="C3AA95" w:themeColor="accent6"/>
        <w:left w:val="single" w:sz="4" w:space="0" w:color="C3AA95" w:themeColor="accent6"/>
        <w:bottom w:val="single" w:sz="4" w:space="0" w:color="C3AA95" w:themeColor="accent6"/>
        <w:right w:val="single" w:sz="4" w:space="0" w:color="C3AA95" w:themeColor="accent6"/>
      </w:tblBorders>
    </w:tblPr>
    <w:tblStylePr w:type="firstRow">
      <w:pPr>
        <w:jc w:val="left"/>
      </w:pPr>
      <w:rPr>
        <w:b/>
        <w:bCs/>
        <w:color w:val="FFFFFF" w:themeColor="background1"/>
      </w:rPr>
      <w:tblPr/>
      <w:tcPr>
        <w:shd w:val="clear" w:color="auto" w:fill="C3AA95" w:themeFill="accent6"/>
        <w:vAlign w:val="bottom"/>
      </w:tcPr>
    </w:tblStylePr>
    <w:tblStylePr w:type="lastRow">
      <w:rPr>
        <w:b/>
        <w:bCs/>
      </w:rPr>
      <w:tblPr/>
      <w:tcPr>
        <w:tcBorders>
          <w:top w:val="double" w:sz="4" w:space="0" w:color="C3AA9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AA95" w:themeColor="accent6"/>
          <w:right w:val="single" w:sz="4" w:space="0" w:color="C3AA95" w:themeColor="accent6"/>
        </w:tcBorders>
      </w:tcPr>
    </w:tblStylePr>
    <w:tblStylePr w:type="band1Horz">
      <w:tblPr/>
      <w:tcPr>
        <w:tcBorders>
          <w:top w:val="single" w:sz="4" w:space="0" w:color="C3AA95" w:themeColor="accent6"/>
          <w:bottom w:val="single" w:sz="4" w:space="0" w:color="C3AA9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AA95" w:themeColor="accent6"/>
          <w:left w:val="nil"/>
        </w:tcBorders>
      </w:tcPr>
    </w:tblStylePr>
    <w:tblStylePr w:type="swCell">
      <w:tblPr/>
      <w:tcPr>
        <w:tcBorders>
          <w:top w:val="double" w:sz="4" w:space="0" w:color="C3AA95" w:themeColor="accent6"/>
          <w:right w:val="nil"/>
        </w:tcBorders>
      </w:tcPr>
    </w:tblStylePr>
  </w:style>
  <w:style w:type="table" w:styleId="ListTable4">
    <w:name w:val="List Table 4"/>
    <w:basedOn w:val="TableNormal"/>
    <w:uiPriority w:val="49"/>
    <w:rsid w:val="00350549"/>
    <w:pPr>
      <w:spacing w:after="0"/>
    </w:pPr>
    <w:rPr>
      <w:rFonts w:ascii="Arial" w:hAnsi="Arial"/>
    </w:rPr>
    <w:tblPr>
      <w:tblStyleRowBandSize w:val="1"/>
      <w:tblStyleColBandSize w:val="1"/>
      <w:tblBorders>
        <w:bottom w:val="single" w:sz="4" w:space="0" w:color="666666" w:themeColor="text1" w:themeTint="99"/>
      </w:tblBorders>
    </w:tblPr>
    <w:tblStylePr w:type="firstRow">
      <w:pPr>
        <w:jc w:val="left"/>
      </w:pPr>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vAlign w:val="bottom"/>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3">
    <w:name w:val="List Table 4 Accent 3"/>
    <w:basedOn w:val="TableNormal"/>
    <w:uiPriority w:val="49"/>
    <w:locked/>
    <w:rsid w:val="00350549"/>
    <w:pPr>
      <w:spacing w:after="0"/>
    </w:pPr>
    <w:rPr>
      <w:rFonts w:ascii="Arial" w:hAnsi="Arial"/>
    </w:rPr>
    <w:tblPr>
      <w:tblStyleRowBandSize w:val="1"/>
      <w:tblStyleColBandSize w:val="1"/>
      <w:tblBorders>
        <w:bottom w:val="single" w:sz="4" w:space="0" w:color="F7AD80" w:themeColor="accent3" w:themeTint="99"/>
      </w:tblBorders>
    </w:tblPr>
    <w:tblStylePr w:type="firstRow">
      <w:pPr>
        <w:jc w:val="left"/>
      </w:pPr>
      <w:rPr>
        <w:b/>
        <w:bCs/>
        <w:color w:val="FFFFFF" w:themeColor="background1"/>
      </w:rPr>
      <w:tblPr/>
      <w:tcPr>
        <w:tcBorders>
          <w:top w:val="single" w:sz="4" w:space="0" w:color="F3772C" w:themeColor="accent3"/>
          <w:left w:val="single" w:sz="4" w:space="0" w:color="F3772C" w:themeColor="accent3"/>
          <w:bottom w:val="single" w:sz="4" w:space="0" w:color="F3772C" w:themeColor="accent3"/>
          <w:right w:val="single" w:sz="4" w:space="0" w:color="F3772C" w:themeColor="accent3"/>
          <w:insideH w:val="nil"/>
        </w:tcBorders>
        <w:shd w:val="clear" w:color="auto" w:fill="F3772C" w:themeFill="accent3"/>
        <w:vAlign w:val="bottom"/>
      </w:tcPr>
    </w:tblStylePr>
    <w:tblStylePr w:type="lastRow">
      <w:rPr>
        <w:b/>
        <w:bCs/>
      </w:rPr>
      <w:tblPr/>
      <w:tcPr>
        <w:tcBorders>
          <w:top w:val="double" w:sz="4" w:space="0" w:color="F7AD80" w:themeColor="accent3" w:themeTint="99"/>
        </w:tcBorders>
      </w:tc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table" w:styleId="ListTable4-Accent4">
    <w:name w:val="List Table 4 Accent 4"/>
    <w:basedOn w:val="TableNormal"/>
    <w:uiPriority w:val="49"/>
    <w:locked/>
    <w:rsid w:val="00350549"/>
    <w:pPr>
      <w:spacing w:after="0"/>
    </w:pPr>
    <w:rPr>
      <w:rFonts w:ascii="Arial" w:hAnsi="Arial"/>
    </w:rPr>
    <w:tblPr>
      <w:tblStyleRowBandSize w:val="1"/>
      <w:tblStyleColBandSize w:val="1"/>
      <w:tblBorders>
        <w:bottom w:val="single" w:sz="4" w:space="0" w:color="F489A8" w:themeColor="accent4" w:themeTint="99"/>
      </w:tblBorders>
    </w:tblPr>
    <w:tblStylePr w:type="firstRow">
      <w:pPr>
        <w:jc w:val="left"/>
      </w:pPr>
      <w:rPr>
        <w:b/>
        <w:bCs/>
        <w:color w:val="FFFFFF" w:themeColor="background1"/>
      </w:rPr>
      <w:tblPr/>
      <w:tcPr>
        <w:tcBorders>
          <w:top w:val="single" w:sz="4" w:space="0" w:color="EE3B6F" w:themeColor="accent4"/>
          <w:left w:val="single" w:sz="4" w:space="0" w:color="EE3B6F" w:themeColor="accent4"/>
          <w:bottom w:val="single" w:sz="4" w:space="0" w:color="EE3B6F" w:themeColor="accent4"/>
          <w:right w:val="single" w:sz="4" w:space="0" w:color="EE3B6F" w:themeColor="accent4"/>
          <w:insideH w:val="nil"/>
        </w:tcBorders>
        <w:shd w:val="clear" w:color="auto" w:fill="EE3B6F" w:themeFill="accent4"/>
        <w:vAlign w:val="bottom"/>
      </w:tcPr>
    </w:tblStylePr>
    <w:tblStylePr w:type="lastRow">
      <w:rPr>
        <w:b/>
        <w:bCs/>
      </w:rPr>
      <w:tblPr/>
      <w:tcPr>
        <w:tcBorders>
          <w:top w:val="double" w:sz="4" w:space="0" w:color="F489A8" w:themeColor="accent4" w:themeTint="99"/>
        </w:tcBorders>
      </w:tc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ListTable4-Accent6">
    <w:name w:val="List Table 4 Accent 6"/>
    <w:basedOn w:val="TableNormal"/>
    <w:uiPriority w:val="49"/>
    <w:locked/>
    <w:rsid w:val="00350549"/>
    <w:pPr>
      <w:spacing w:after="0"/>
    </w:pPr>
    <w:rPr>
      <w:rFonts w:ascii="Arial" w:hAnsi="Arial"/>
    </w:rPr>
    <w:tblPr>
      <w:tblStyleRowBandSize w:val="1"/>
      <w:tblStyleColBandSize w:val="1"/>
      <w:tblBorders>
        <w:bottom w:val="single" w:sz="4" w:space="0" w:color="DBCBBF" w:themeColor="accent6" w:themeTint="99"/>
      </w:tblBorders>
    </w:tblPr>
    <w:tblStylePr w:type="firstRow">
      <w:pPr>
        <w:jc w:val="left"/>
      </w:pPr>
      <w:rPr>
        <w:b/>
        <w:bCs/>
        <w:color w:val="FFFFFF" w:themeColor="background1"/>
      </w:rPr>
      <w:tblPr/>
      <w:tcPr>
        <w:tcBorders>
          <w:top w:val="single" w:sz="4" w:space="0" w:color="C3AA95" w:themeColor="accent6"/>
          <w:left w:val="single" w:sz="4" w:space="0" w:color="C3AA95" w:themeColor="accent6"/>
          <w:bottom w:val="single" w:sz="4" w:space="0" w:color="C3AA95" w:themeColor="accent6"/>
          <w:right w:val="single" w:sz="4" w:space="0" w:color="C3AA95" w:themeColor="accent6"/>
          <w:insideH w:val="nil"/>
        </w:tcBorders>
        <w:shd w:val="clear" w:color="auto" w:fill="C3AA95" w:themeFill="accent6"/>
        <w:vAlign w:val="bottom"/>
      </w:tcPr>
    </w:tblStylePr>
    <w:tblStylePr w:type="lastRow">
      <w:rPr>
        <w:b/>
        <w:bCs/>
      </w:rPr>
      <w:tblPr/>
      <w:tcPr>
        <w:tcBorders>
          <w:top w:val="double" w:sz="4" w:space="0" w:color="DBCBBF" w:themeColor="accent6" w:themeTint="99"/>
        </w:tcBorders>
      </w:tc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table" w:styleId="ListTable5Dark">
    <w:name w:val="List Table 5 Dark"/>
    <w:basedOn w:val="TableNormal"/>
    <w:uiPriority w:val="50"/>
    <w:rsid w:val="00350549"/>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350549"/>
    <w:pPr>
      <w:spacing w:after="0"/>
    </w:pPr>
    <w:rPr>
      <w:color w:val="FFFFFF" w:themeColor="background1"/>
    </w:rPr>
    <w:tblPr>
      <w:tblStyleRowBandSize w:val="1"/>
      <w:tblStyleColBandSize w:val="1"/>
      <w:tblBorders>
        <w:top w:val="single" w:sz="24" w:space="0" w:color="B7D432" w:themeColor="accent1"/>
        <w:left w:val="single" w:sz="24" w:space="0" w:color="B7D432" w:themeColor="accent1"/>
        <w:bottom w:val="single" w:sz="24" w:space="0" w:color="B7D432" w:themeColor="accent1"/>
        <w:right w:val="single" w:sz="24" w:space="0" w:color="B7D432" w:themeColor="accent1"/>
      </w:tblBorders>
    </w:tblPr>
    <w:tcPr>
      <w:shd w:val="clear" w:color="auto" w:fill="B7D432" w:themeFill="accent1"/>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350549"/>
    <w:pPr>
      <w:spacing w:after="0"/>
    </w:pPr>
    <w:rPr>
      <w:color w:val="FFFFFF" w:themeColor="background1"/>
    </w:rPr>
    <w:tblPr>
      <w:tblStyleRowBandSize w:val="1"/>
      <w:tblStyleColBandSize w:val="1"/>
      <w:tblBorders>
        <w:top w:val="single" w:sz="24" w:space="0" w:color="4FBFBE" w:themeColor="accent2"/>
        <w:left w:val="single" w:sz="24" w:space="0" w:color="4FBFBE" w:themeColor="accent2"/>
        <w:bottom w:val="single" w:sz="24" w:space="0" w:color="4FBFBE" w:themeColor="accent2"/>
        <w:right w:val="single" w:sz="24" w:space="0" w:color="4FBFBE" w:themeColor="accent2"/>
      </w:tblBorders>
    </w:tblPr>
    <w:tcPr>
      <w:shd w:val="clear" w:color="auto" w:fill="4FBFBE" w:themeFill="accent2"/>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350549"/>
    <w:pPr>
      <w:spacing w:after="0"/>
    </w:pPr>
    <w:rPr>
      <w:color w:val="FFFFFF" w:themeColor="background1"/>
    </w:rPr>
    <w:tblPr>
      <w:tblStyleRowBandSize w:val="1"/>
      <w:tblStyleColBandSize w:val="1"/>
      <w:tblBorders>
        <w:top w:val="single" w:sz="24" w:space="0" w:color="F3772C" w:themeColor="accent3"/>
        <w:left w:val="single" w:sz="24" w:space="0" w:color="F3772C" w:themeColor="accent3"/>
        <w:bottom w:val="single" w:sz="24" w:space="0" w:color="F3772C" w:themeColor="accent3"/>
        <w:right w:val="single" w:sz="24" w:space="0" w:color="F3772C" w:themeColor="accent3"/>
      </w:tblBorders>
    </w:tblPr>
    <w:tcPr>
      <w:shd w:val="clear" w:color="auto" w:fill="F3772C" w:themeFill="accent3"/>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350549"/>
    <w:pPr>
      <w:spacing w:after="0"/>
    </w:pPr>
    <w:rPr>
      <w:color w:val="FFFFFF" w:themeColor="background1"/>
    </w:rPr>
    <w:tblPr>
      <w:tblStyleRowBandSize w:val="1"/>
      <w:tblStyleColBandSize w:val="1"/>
      <w:tblBorders>
        <w:top w:val="single" w:sz="24" w:space="0" w:color="EE3B6F" w:themeColor="accent4"/>
        <w:left w:val="single" w:sz="24" w:space="0" w:color="EE3B6F" w:themeColor="accent4"/>
        <w:bottom w:val="single" w:sz="24" w:space="0" w:color="EE3B6F" w:themeColor="accent4"/>
        <w:right w:val="single" w:sz="24" w:space="0" w:color="EE3B6F" w:themeColor="accent4"/>
      </w:tblBorders>
    </w:tblPr>
    <w:tcPr>
      <w:shd w:val="clear" w:color="auto" w:fill="EE3B6F" w:themeFill="accent4"/>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50549"/>
    <w:pPr>
      <w:spacing w:after="0"/>
    </w:pPr>
    <w:rPr>
      <w:color w:val="FFFFFF" w:themeColor="background1"/>
    </w:rPr>
    <w:tblPr>
      <w:tblStyleRowBandSize w:val="1"/>
      <w:tblStyleColBandSize w:val="1"/>
      <w:tblBorders>
        <w:top w:val="single" w:sz="24" w:space="0" w:color="FCB942" w:themeColor="accent5"/>
        <w:left w:val="single" w:sz="24" w:space="0" w:color="FCB942" w:themeColor="accent5"/>
        <w:bottom w:val="single" w:sz="24" w:space="0" w:color="FCB942" w:themeColor="accent5"/>
        <w:right w:val="single" w:sz="24" w:space="0" w:color="FCB942" w:themeColor="accent5"/>
      </w:tblBorders>
    </w:tblPr>
    <w:tcPr>
      <w:shd w:val="clear" w:color="auto" w:fill="FCB942" w:themeFill="accent5"/>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350549"/>
    <w:pPr>
      <w:spacing w:after="0"/>
    </w:pPr>
    <w:rPr>
      <w:color w:val="FFFFFF" w:themeColor="background1"/>
    </w:rPr>
    <w:tblPr>
      <w:tblStyleRowBandSize w:val="1"/>
      <w:tblStyleColBandSize w:val="1"/>
      <w:tblBorders>
        <w:top w:val="single" w:sz="24" w:space="0" w:color="C3AA95" w:themeColor="accent6"/>
        <w:left w:val="single" w:sz="24" w:space="0" w:color="C3AA95" w:themeColor="accent6"/>
        <w:bottom w:val="single" w:sz="24" w:space="0" w:color="C3AA95" w:themeColor="accent6"/>
        <w:right w:val="single" w:sz="24" w:space="0" w:color="C3AA95" w:themeColor="accent6"/>
      </w:tblBorders>
    </w:tblPr>
    <w:tcPr>
      <w:shd w:val="clear" w:color="auto" w:fill="C3AA95" w:themeFill="accent6"/>
    </w:tcPr>
    <w:tblStylePr w:type="firstRow">
      <w:pPr>
        <w:jc w:val="left"/>
      </w:pPr>
      <w:rPr>
        <w:b/>
        <w:bCs/>
      </w:rPr>
      <w:tblPr/>
      <w:tcPr>
        <w:tcBorders>
          <w:bottom w:val="single" w:sz="18" w:space="0" w:color="FFFFFF" w:themeColor="background1"/>
        </w:tcBorders>
        <w:vAlign w:val="bottom"/>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50549"/>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pPr>
        <w:jc w:val="left"/>
      </w:pPr>
      <w:rPr>
        <w:b/>
        <w:bCs/>
      </w:rPr>
      <w:tblPr/>
      <w:tcPr>
        <w:tcBorders>
          <w:bottom w:val="single" w:sz="4" w:space="0" w:color="000000" w:themeColor="text1"/>
        </w:tcBorders>
        <w:vAlign w:val="bottom"/>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locked/>
    <w:rsid w:val="00350549"/>
    <w:pPr>
      <w:spacing w:after="0"/>
    </w:pPr>
    <w:rPr>
      <w:color w:val="8AA122" w:themeColor="accent1" w:themeShade="BF"/>
    </w:rPr>
    <w:tblPr>
      <w:tblStyleRowBandSize w:val="1"/>
      <w:tblStyleColBandSize w:val="1"/>
      <w:tblBorders>
        <w:top w:val="single" w:sz="4" w:space="0" w:color="B7D432" w:themeColor="accent1"/>
        <w:bottom w:val="single" w:sz="4" w:space="0" w:color="B7D432" w:themeColor="accent1"/>
      </w:tblBorders>
    </w:tblPr>
    <w:tblStylePr w:type="firstRow">
      <w:pPr>
        <w:jc w:val="left"/>
      </w:pPr>
      <w:rPr>
        <w:b/>
        <w:bCs/>
      </w:rPr>
      <w:tblPr/>
      <w:tcPr>
        <w:tcBorders>
          <w:bottom w:val="single" w:sz="4" w:space="0" w:color="B7D432" w:themeColor="accent1"/>
        </w:tcBorders>
        <w:vAlign w:val="bottom"/>
      </w:tcPr>
    </w:tblStylePr>
    <w:tblStylePr w:type="lastRow">
      <w:rPr>
        <w:b/>
        <w:bCs/>
      </w:rPr>
      <w:tblPr/>
      <w:tcPr>
        <w:tcBorders>
          <w:top w:val="double" w:sz="4" w:space="0" w:color="B7D432" w:themeColor="accent1"/>
        </w:tcBorders>
      </w:tc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table" w:styleId="ListTable6ColourfulAccent2">
    <w:name w:val="List Table 6 Colorful Accent 2"/>
    <w:basedOn w:val="TableNormal"/>
    <w:uiPriority w:val="51"/>
    <w:locked/>
    <w:rsid w:val="00350549"/>
    <w:pPr>
      <w:spacing w:after="0"/>
    </w:pPr>
    <w:rPr>
      <w:color w:val="369492" w:themeColor="accent2" w:themeShade="BF"/>
    </w:rPr>
    <w:tblPr>
      <w:tblStyleRowBandSize w:val="1"/>
      <w:tblStyleColBandSize w:val="1"/>
      <w:tblBorders>
        <w:top w:val="single" w:sz="4" w:space="0" w:color="4FBFBE" w:themeColor="accent2"/>
        <w:bottom w:val="single" w:sz="4" w:space="0" w:color="4FBFBE" w:themeColor="accent2"/>
      </w:tblBorders>
    </w:tblPr>
    <w:tblStylePr w:type="firstRow">
      <w:pPr>
        <w:jc w:val="left"/>
      </w:pPr>
      <w:rPr>
        <w:b/>
        <w:bCs/>
      </w:rPr>
      <w:tblPr/>
      <w:tcPr>
        <w:tcBorders>
          <w:bottom w:val="single" w:sz="4" w:space="0" w:color="4FBFBE" w:themeColor="accent2"/>
        </w:tcBorders>
        <w:vAlign w:val="bottom"/>
      </w:tcPr>
    </w:tblStylePr>
    <w:tblStylePr w:type="lastRow">
      <w:rPr>
        <w:b/>
        <w:bCs/>
      </w:rPr>
      <w:tblPr/>
      <w:tcPr>
        <w:tcBorders>
          <w:top w:val="double" w:sz="4" w:space="0" w:color="4FBFBE" w:themeColor="accent2"/>
        </w:tcBorders>
      </w:tc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table" w:styleId="ListTable6ColourfulAccent3">
    <w:name w:val="List Table 6 Colorful Accent 3"/>
    <w:basedOn w:val="TableNormal"/>
    <w:uiPriority w:val="51"/>
    <w:locked/>
    <w:rsid w:val="00350549"/>
    <w:pPr>
      <w:spacing w:after="0"/>
    </w:pPr>
    <w:rPr>
      <w:color w:val="CB530B" w:themeColor="accent3" w:themeShade="BF"/>
    </w:rPr>
    <w:tblPr>
      <w:tblStyleRowBandSize w:val="1"/>
      <w:tblStyleColBandSize w:val="1"/>
      <w:tblBorders>
        <w:top w:val="single" w:sz="4" w:space="0" w:color="F3772C" w:themeColor="accent3"/>
        <w:bottom w:val="single" w:sz="4" w:space="0" w:color="F3772C" w:themeColor="accent3"/>
      </w:tblBorders>
    </w:tblPr>
    <w:tblStylePr w:type="firstRow">
      <w:pPr>
        <w:jc w:val="left"/>
      </w:pPr>
      <w:rPr>
        <w:b/>
        <w:bCs/>
      </w:rPr>
      <w:tblPr/>
      <w:tcPr>
        <w:tcBorders>
          <w:bottom w:val="single" w:sz="4" w:space="0" w:color="F3772C" w:themeColor="accent3"/>
        </w:tcBorders>
        <w:vAlign w:val="bottom"/>
      </w:tcPr>
    </w:tblStylePr>
    <w:tblStylePr w:type="lastRow">
      <w:rPr>
        <w:b/>
        <w:bCs/>
      </w:rPr>
      <w:tblPr/>
      <w:tcPr>
        <w:tcBorders>
          <w:top w:val="double" w:sz="4" w:space="0" w:color="F3772C" w:themeColor="accent3"/>
        </w:tcBorders>
      </w:tc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table" w:styleId="ListTable6ColourfulAccent4">
    <w:name w:val="List Table 6 Colorful Accent 4"/>
    <w:basedOn w:val="TableNormal"/>
    <w:uiPriority w:val="51"/>
    <w:locked/>
    <w:rsid w:val="00350549"/>
    <w:pPr>
      <w:spacing w:after="0"/>
    </w:pPr>
    <w:rPr>
      <w:color w:val="CC1148" w:themeColor="accent4" w:themeShade="BF"/>
    </w:rPr>
    <w:tblPr>
      <w:tblStyleRowBandSize w:val="1"/>
      <w:tblStyleColBandSize w:val="1"/>
      <w:tblBorders>
        <w:top w:val="single" w:sz="4" w:space="0" w:color="EE3B6F" w:themeColor="accent4"/>
        <w:bottom w:val="single" w:sz="4" w:space="0" w:color="EE3B6F" w:themeColor="accent4"/>
      </w:tblBorders>
    </w:tblPr>
    <w:tblStylePr w:type="firstRow">
      <w:pPr>
        <w:jc w:val="left"/>
      </w:pPr>
      <w:rPr>
        <w:b/>
        <w:bCs/>
      </w:rPr>
      <w:tblPr/>
      <w:tcPr>
        <w:tcBorders>
          <w:bottom w:val="single" w:sz="4" w:space="0" w:color="EE3B6F" w:themeColor="accent4"/>
        </w:tcBorders>
        <w:vAlign w:val="bottom"/>
      </w:tcPr>
    </w:tblStylePr>
    <w:tblStylePr w:type="lastRow">
      <w:rPr>
        <w:b/>
        <w:bCs/>
      </w:rPr>
      <w:tblPr/>
      <w:tcPr>
        <w:tcBorders>
          <w:top w:val="double" w:sz="4" w:space="0" w:color="EE3B6F" w:themeColor="accent4"/>
        </w:tcBorders>
      </w:tc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ListTable6ColourfulAccent5">
    <w:name w:val="List Table 6 Colorful Accent 5"/>
    <w:basedOn w:val="TableNormal"/>
    <w:uiPriority w:val="51"/>
    <w:rsid w:val="00350549"/>
    <w:pPr>
      <w:spacing w:after="0"/>
    </w:pPr>
    <w:rPr>
      <w:color w:val="EA9703" w:themeColor="accent5" w:themeShade="BF"/>
    </w:rPr>
    <w:tblPr>
      <w:tblStyleRowBandSize w:val="1"/>
      <w:tblStyleColBandSize w:val="1"/>
      <w:tblBorders>
        <w:top w:val="single" w:sz="4" w:space="0" w:color="FCB942" w:themeColor="accent5"/>
        <w:bottom w:val="single" w:sz="4" w:space="0" w:color="FCB942" w:themeColor="accent5"/>
      </w:tblBorders>
    </w:tblPr>
    <w:tblStylePr w:type="firstRow">
      <w:pPr>
        <w:jc w:val="left"/>
      </w:pPr>
      <w:rPr>
        <w:b/>
        <w:bCs/>
      </w:rPr>
      <w:tblPr/>
      <w:tcPr>
        <w:tcBorders>
          <w:bottom w:val="single" w:sz="4" w:space="0" w:color="FCB942" w:themeColor="accent5"/>
        </w:tcBorders>
        <w:vAlign w:val="bottom"/>
      </w:tcPr>
    </w:tblStylePr>
    <w:tblStylePr w:type="lastRow">
      <w:rPr>
        <w:b/>
        <w:bCs/>
      </w:rPr>
      <w:tblPr/>
      <w:tcPr>
        <w:tcBorders>
          <w:top w:val="double" w:sz="4" w:space="0" w:color="FCB942" w:themeColor="accent5"/>
        </w:tcBorders>
      </w:tc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table" w:styleId="ListTable6ColourfulAccent6">
    <w:name w:val="List Table 6 Colorful Accent 6"/>
    <w:basedOn w:val="TableNormal"/>
    <w:uiPriority w:val="51"/>
    <w:locked/>
    <w:rsid w:val="00350549"/>
    <w:pPr>
      <w:spacing w:after="0"/>
    </w:pPr>
    <w:rPr>
      <w:color w:val="A37D5D" w:themeColor="accent6" w:themeShade="BF"/>
    </w:rPr>
    <w:tblPr>
      <w:tblStyleRowBandSize w:val="1"/>
      <w:tblStyleColBandSize w:val="1"/>
      <w:tblBorders>
        <w:top w:val="single" w:sz="4" w:space="0" w:color="C3AA95" w:themeColor="accent6"/>
        <w:bottom w:val="single" w:sz="4" w:space="0" w:color="C3AA95" w:themeColor="accent6"/>
      </w:tblBorders>
    </w:tblPr>
    <w:tblStylePr w:type="firstRow">
      <w:pPr>
        <w:jc w:val="left"/>
      </w:pPr>
      <w:rPr>
        <w:b/>
        <w:bCs/>
      </w:rPr>
      <w:tblPr/>
      <w:tcPr>
        <w:tcBorders>
          <w:bottom w:val="single" w:sz="4" w:space="0" w:color="C3AA95" w:themeColor="accent6"/>
        </w:tcBorders>
        <w:vAlign w:val="bottom"/>
      </w:tcPr>
    </w:tblStylePr>
    <w:tblStylePr w:type="lastRow">
      <w:rPr>
        <w:b/>
        <w:bCs/>
      </w:rPr>
      <w:tblPr/>
      <w:tcPr>
        <w:tcBorders>
          <w:top w:val="double" w:sz="4" w:space="0" w:color="C3AA95" w:themeColor="accent6"/>
        </w:tcBorders>
      </w:tc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table" w:styleId="ListTable7Colourful">
    <w:name w:val="List Table 7 Colorful"/>
    <w:basedOn w:val="TableNormal"/>
    <w:uiPriority w:val="52"/>
    <w:rsid w:val="00350549"/>
    <w:pPr>
      <w:spacing w:after="0"/>
    </w:pPr>
    <w:rPr>
      <w:color w:val="000000" w:themeColor="text1"/>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locked/>
    <w:rsid w:val="00350549"/>
    <w:pPr>
      <w:spacing w:after="0"/>
    </w:pPr>
    <w:rPr>
      <w:color w:val="8AA122" w:themeColor="accent1" w:themeShade="BF"/>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B7D432" w:themeColor="accent1"/>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B7D43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7D43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7D432" w:themeColor="accent1"/>
        </w:tcBorders>
        <w:shd w:val="clear" w:color="auto" w:fill="FFFFFF" w:themeFill="background1"/>
      </w:tcPr>
    </w:tblStylePr>
    <w:tblStylePr w:type="band1Vert">
      <w:tblPr/>
      <w:tcPr>
        <w:shd w:val="clear" w:color="auto" w:fill="F0F6D5" w:themeFill="accent1" w:themeFillTint="33"/>
      </w:tcPr>
    </w:tblStylePr>
    <w:tblStylePr w:type="band1Horz">
      <w:tblPr/>
      <w:tcPr>
        <w:shd w:val="clear" w:color="auto" w:fill="F0F6D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locked/>
    <w:rsid w:val="00350549"/>
    <w:pPr>
      <w:spacing w:after="0"/>
    </w:pPr>
    <w:rPr>
      <w:color w:val="369492" w:themeColor="accent2" w:themeShade="BF"/>
    </w:rPr>
    <w:tblPr>
      <w:tblStyleRowBandSize w:val="1"/>
      <w:tblStyleColBandSize w:val="1"/>
    </w:tblPr>
    <w:tblStylePr w:type="firstRow">
      <w:pPr>
        <w:jc w:val="left"/>
      </w:pPr>
      <w:rPr>
        <w:rFonts w:asciiTheme="majorHAnsi" w:eastAsiaTheme="majorEastAsia" w:hAnsiTheme="majorHAnsi" w:cstheme="majorBidi"/>
        <w:i/>
        <w:iCs/>
        <w:sz w:val="26"/>
      </w:rPr>
      <w:tblPr/>
      <w:tcPr>
        <w:tcBorders>
          <w:bottom w:val="single" w:sz="4" w:space="0" w:color="4FBFBE" w:themeColor="accent2"/>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4FBFB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BFB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BFBE" w:themeColor="accent2"/>
        </w:tcBorders>
        <w:shd w:val="clear" w:color="auto" w:fill="FFFFFF" w:themeFill="background1"/>
      </w:tcPr>
    </w:tblStylePr>
    <w:tblStylePr w:type="band1Vert">
      <w:tblPr/>
      <w:tcPr>
        <w:shd w:val="clear" w:color="auto" w:fill="DBF2F2" w:themeFill="accent2" w:themeFillTint="33"/>
      </w:tcPr>
    </w:tblStylePr>
    <w:tblStylePr w:type="band1Horz">
      <w:tblPr/>
      <w:tcPr>
        <w:shd w:val="clear" w:color="auto" w:fill="DBF2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350549"/>
    <w:pPr>
      <w:spacing w:after="0"/>
    </w:pPr>
    <w:rPr>
      <w:rFonts w:ascii="Arial" w:hAnsi="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pPr>
        <w:jc w:val="left"/>
      </w:pPr>
      <w:rPr>
        <w:b/>
        <w:bCs/>
      </w:rPr>
      <w:tblPr/>
      <w:tcPr>
        <w:tcBorders>
          <w:bottom w:val="single" w:sz="12" w:space="0" w:color="666666" w:themeColor="text1" w:themeTint="99"/>
        </w:tcBorders>
        <w:vAlign w:val="bottom"/>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350549"/>
    <w:pPr>
      <w:spacing w:after="0"/>
    </w:pPr>
    <w:rPr>
      <w:rFonts w:ascii="Arial" w:hAnsi="Arial"/>
    </w:rPr>
    <w:tblPr>
      <w:tblStyleRowBandSize w:val="1"/>
      <w:tblStyleColBandSize w:val="1"/>
      <w:tblBorders>
        <w:top w:val="single" w:sz="4" w:space="0" w:color="65FAFF" w:themeColor="text2" w:themeTint="66"/>
        <w:left w:val="single" w:sz="4" w:space="0" w:color="65FAFF" w:themeColor="text2" w:themeTint="66"/>
        <w:bottom w:val="single" w:sz="4" w:space="0" w:color="65FAFF" w:themeColor="text2" w:themeTint="66"/>
        <w:right w:val="single" w:sz="4" w:space="0" w:color="65FAFF" w:themeColor="text2" w:themeTint="66"/>
        <w:insideH w:val="single" w:sz="4" w:space="0" w:color="65FAFF" w:themeColor="text2" w:themeTint="66"/>
        <w:insideV w:val="single" w:sz="4" w:space="0" w:color="65FAFF" w:themeColor="text2" w:themeTint="66"/>
      </w:tblBorders>
    </w:tblPr>
    <w:tblStylePr w:type="firstRow">
      <w:pPr>
        <w:jc w:val="left"/>
      </w:pPr>
      <w:rPr>
        <w:b/>
        <w:bCs/>
      </w:rPr>
      <w:tblPr/>
      <w:tcPr>
        <w:tcBorders>
          <w:bottom w:val="single" w:sz="12" w:space="0" w:color="B7D432" w:themeColor="accent1"/>
        </w:tcBorders>
      </w:tcPr>
    </w:tblStylePr>
    <w:tblStylePr w:type="lastRow">
      <w:rPr>
        <w:b/>
        <w:bCs/>
      </w:rPr>
      <w:tblPr/>
      <w:tcPr>
        <w:tcBorders>
          <w:top w:val="double" w:sz="2" w:space="0" w:color="18F8FF" w:themeColor="text2" w:themeTint="99"/>
        </w:tcBorders>
      </w:tcPr>
    </w:tblStylePr>
    <w:tblStylePr w:type="firstCol">
      <w:rPr>
        <w:b/>
        <w:bCs/>
      </w:rPr>
    </w:tblStylePr>
    <w:tblStylePr w:type="lastCol">
      <w:rPr>
        <w:b/>
        <w:bCs/>
      </w:rPr>
    </w:tblStylePr>
    <w:tblStylePr w:type="band1Horz">
      <w:tblPr/>
      <w:tcPr>
        <w:tcBorders>
          <w:top w:val="single" w:sz="2" w:space="0" w:color="18F8FF" w:themeColor="text2" w:themeTint="99"/>
          <w:left w:val="single" w:sz="2" w:space="0" w:color="18F8FF" w:themeColor="text2" w:themeTint="99"/>
          <w:bottom w:val="single" w:sz="2" w:space="0" w:color="18F8FF" w:themeColor="text2" w:themeTint="99"/>
          <w:right w:val="single" w:sz="2" w:space="0" w:color="18F8FF" w:themeColor="text2" w:themeTint="99"/>
          <w:insideH w:val="single" w:sz="2" w:space="0" w:color="18F8FF" w:themeColor="text2" w:themeTint="99"/>
          <w:insideV w:val="single" w:sz="2" w:space="0" w:color="18F8FF" w:themeColor="text2" w:themeTint="99"/>
          <w:tl2br w:val="nil"/>
          <w:tr2bl w:val="nil"/>
        </w:tcBorders>
      </w:tcPr>
    </w:tblStylePr>
    <w:tblStylePr w:type="band2Horz">
      <w:tblPr/>
      <w:tcPr>
        <w:tcBorders>
          <w:top w:val="single" w:sz="4" w:space="0" w:color="18F8FF" w:themeColor="text2" w:themeTint="99"/>
          <w:left w:val="single" w:sz="4" w:space="0" w:color="18F8FF" w:themeColor="text2" w:themeTint="99"/>
          <w:bottom w:val="single" w:sz="4" w:space="0" w:color="18F8FF" w:themeColor="text2" w:themeTint="99"/>
          <w:right w:val="single" w:sz="4" w:space="0" w:color="18F8FF" w:themeColor="text2" w:themeTint="99"/>
          <w:insideH w:val="single" w:sz="4" w:space="0" w:color="18F8FF" w:themeColor="text2" w:themeTint="99"/>
          <w:insideV w:val="single" w:sz="4" w:space="0" w:color="18F8FF" w:themeColor="text2" w:themeTint="99"/>
          <w:tl2br w:val="nil"/>
          <w:tr2bl w:val="nil"/>
        </w:tcBorders>
      </w:tcPr>
    </w:tblStylePr>
  </w:style>
  <w:style w:type="table" w:styleId="GridTable1LightAccent2">
    <w:name w:val="Grid Table 1 Light Accent 2"/>
    <w:basedOn w:val="TableNormal"/>
    <w:uiPriority w:val="46"/>
    <w:locked/>
    <w:rsid w:val="00350549"/>
    <w:pPr>
      <w:spacing w:after="0"/>
    </w:pPr>
    <w:rPr>
      <w:rFonts w:ascii="Arial" w:hAnsi="Arial"/>
    </w:rPr>
    <w:tblPr>
      <w:tblStyleRowBandSize w:val="1"/>
      <w:tblStyleColBandSize w:val="1"/>
      <w:tblBorders>
        <w:top w:val="single" w:sz="4" w:space="0" w:color="B8E5E4" w:themeColor="accent2" w:themeTint="66"/>
        <w:left w:val="single" w:sz="4" w:space="0" w:color="B8E5E4" w:themeColor="accent2" w:themeTint="66"/>
        <w:bottom w:val="single" w:sz="4" w:space="0" w:color="B8E5E4" w:themeColor="accent2" w:themeTint="66"/>
        <w:right w:val="single" w:sz="4" w:space="0" w:color="B8E5E4" w:themeColor="accent2" w:themeTint="66"/>
        <w:insideH w:val="single" w:sz="4" w:space="0" w:color="B8E5E4" w:themeColor="accent2" w:themeTint="66"/>
        <w:insideV w:val="single" w:sz="4" w:space="0" w:color="B8E5E4" w:themeColor="accent2" w:themeTint="66"/>
      </w:tblBorders>
    </w:tblPr>
    <w:tblStylePr w:type="firstRow">
      <w:pPr>
        <w:jc w:val="left"/>
      </w:pPr>
      <w:rPr>
        <w:b/>
        <w:bCs/>
      </w:rPr>
      <w:tblPr/>
      <w:tcPr>
        <w:tcBorders>
          <w:bottom w:val="single" w:sz="12" w:space="0" w:color="95D8D7" w:themeColor="accent2" w:themeTint="99"/>
        </w:tcBorders>
        <w:vAlign w:val="bottom"/>
      </w:tcPr>
    </w:tblStylePr>
    <w:tblStylePr w:type="lastRow">
      <w:rPr>
        <w:b/>
        <w:bCs/>
      </w:rPr>
      <w:tblPr/>
      <w:tcPr>
        <w:tcBorders>
          <w:top w:val="double" w:sz="2" w:space="0" w:color="95D8D7"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350549"/>
    <w:pPr>
      <w:spacing w:after="0"/>
    </w:pPr>
    <w:rPr>
      <w:rFonts w:ascii="Arial" w:hAnsi="Arial"/>
    </w:rPr>
    <w:tblPr>
      <w:tblStyleRowBandSize w:val="1"/>
      <w:tblStyleColBandSize w:val="1"/>
      <w:tblBorders>
        <w:top w:val="single" w:sz="4" w:space="0" w:color="FAC8AA" w:themeColor="accent3" w:themeTint="66"/>
        <w:left w:val="single" w:sz="4" w:space="0" w:color="FAC8AA" w:themeColor="accent3" w:themeTint="66"/>
        <w:bottom w:val="single" w:sz="4" w:space="0" w:color="FAC8AA" w:themeColor="accent3" w:themeTint="66"/>
        <w:right w:val="single" w:sz="4" w:space="0" w:color="FAC8AA" w:themeColor="accent3" w:themeTint="66"/>
        <w:insideH w:val="single" w:sz="4" w:space="0" w:color="FAC8AA" w:themeColor="accent3" w:themeTint="66"/>
        <w:insideV w:val="single" w:sz="4" w:space="0" w:color="FAC8AA" w:themeColor="accent3" w:themeTint="66"/>
      </w:tblBorders>
    </w:tblPr>
    <w:tblStylePr w:type="firstRow">
      <w:pPr>
        <w:jc w:val="left"/>
      </w:pPr>
      <w:rPr>
        <w:b/>
        <w:bCs/>
      </w:rPr>
      <w:tblPr/>
      <w:tcPr>
        <w:tcBorders>
          <w:bottom w:val="single" w:sz="12" w:space="0" w:color="F7AD80" w:themeColor="accent3" w:themeTint="99"/>
        </w:tcBorders>
        <w:vAlign w:val="bottom"/>
      </w:tcPr>
    </w:tblStylePr>
    <w:tblStylePr w:type="lastRow">
      <w:rPr>
        <w:b/>
        <w:bCs/>
      </w:rPr>
      <w:tblPr/>
      <w:tcPr>
        <w:tcBorders>
          <w:top w:val="double" w:sz="2" w:space="0" w:color="F7AD8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350549"/>
    <w:pPr>
      <w:spacing w:after="0"/>
    </w:pPr>
    <w:rPr>
      <w:rFonts w:ascii="Arial" w:hAnsi="Arial"/>
    </w:rPr>
    <w:tblPr>
      <w:tblStyleRowBandSize w:val="1"/>
      <w:tblStyleColBandSize w:val="1"/>
      <w:tblBorders>
        <w:top w:val="single" w:sz="4" w:space="0" w:color="F8B0C5" w:themeColor="accent4" w:themeTint="66"/>
        <w:left w:val="single" w:sz="4" w:space="0" w:color="F8B0C5" w:themeColor="accent4" w:themeTint="66"/>
        <w:bottom w:val="single" w:sz="4" w:space="0" w:color="F8B0C5" w:themeColor="accent4" w:themeTint="66"/>
        <w:right w:val="single" w:sz="4" w:space="0" w:color="F8B0C5" w:themeColor="accent4" w:themeTint="66"/>
        <w:insideH w:val="single" w:sz="4" w:space="0" w:color="F8B0C5" w:themeColor="accent4" w:themeTint="66"/>
        <w:insideV w:val="single" w:sz="4" w:space="0" w:color="F8B0C5" w:themeColor="accent4" w:themeTint="66"/>
      </w:tblBorders>
    </w:tblPr>
    <w:tblStylePr w:type="firstRow">
      <w:pPr>
        <w:jc w:val="left"/>
      </w:pPr>
      <w:rPr>
        <w:b/>
        <w:bCs/>
      </w:rPr>
      <w:tblPr/>
      <w:tcPr>
        <w:tcBorders>
          <w:bottom w:val="single" w:sz="12" w:space="0" w:color="F489A8" w:themeColor="accent4" w:themeTint="99"/>
        </w:tcBorders>
        <w:vAlign w:val="bottom"/>
      </w:tcPr>
    </w:tblStylePr>
    <w:tblStylePr w:type="lastRow">
      <w:rPr>
        <w:b/>
        <w:bCs/>
      </w:rPr>
      <w:tblPr/>
      <w:tcPr>
        <w:tcBorders>
          <w:top w:val="double" w:sz="2" w:space="0" w:color="F489A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50549"/>
    <w:pPr>
      <w:spacing w:after="0"/>
    </w:pPr>
    <w:rPr>
      <w:rFonts w:ascii="Arial" w:hAnsi="Arial"/>
    </w:rPr>
    <w:tblPr>
      <w:tblStyleRowBandSize w:val="1"/>
      <w:tblStyleColBandSize w:val="1"/>
      <w:tblBorders>
        <w:top w:val="single" w:sz="4" w:space="0" w:color="FDE2B3" w:themeColor="accent5" w:themeTint="66"/>
        <w:left w:val="single" w:sz="4" w:space="0" w:color="FDE2B3" w:themeColor="accent5" w:themeTint="66"/>
        <w:bottom w:val="single" w:sz="4" w:space="0" w:color="FDE2B3" w:themeColor="accent5" w:themeTint="66"/>
        <w:right w:val="single" w:sz="4" w:space="0" w:color="FDE2B3" w:themeColor="accent5" w:themeTint="66"/>
        <w:insideH w:val="single" w:sz="4" w:space="0" w:color="FDE2B3" w:themeColor="accent5" w:themeTint="66"/>
        <w:insideV w:val="single" w:sz="4" w:space="0" w:color="FDE2B3" w:themeColor="accent5" w:themeTint="66"/>
      </w:tblBorders>
    </w:tblPr>
    <w:tblStylePr w:type="firstRow">
      <w:pPr>
        <w:jc w:val="left"/>
      </w:pPr>
      <w:rPr>
        <w:b/>
        <w:bCs/>
      </w:rPr>
      <w:tblPr/>
      <w:tcPr>
        <w:tcBorders>
          <w:bottom w:val="single" w:sz="12" w:space="0" w:color="FDD48D" w:themeColor="accent5" w:themeTint="99"/>
        </w:tcBorders>
        <w:vAlign w:val="bottom"/>
      </w:tcPr>
    </w:tblStylePr>
    <w:tblStylePr w:type="lastRow">
      <w:rPr>
        <w:b/>
        <w:bCs/>
      </w:rPr>
      <w:tblPr/>
      <w:tcPr>
        <w:tcBorders>
          <w:top w:val="double" w:sz="2" w:space="0" w:color="FDD4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350549"/>
    <w:pPr>
      <w:spacing w:after="0"/>
    </w:pPr>
    <w:rPr>
      <w:rFonts w:ascii="Arial" w:hAnsi="Arial"/>
    </w:rPr>
    <w:tblPr>
      <w:tblStyleRowBandSize w:val="1"/>
      <w:tblStyleColBandSize w:val="1"/>
      <w:tblBorders>
        <w:top w:val="single" w:sz="4" w:space="0" w:color="E7DCD4" w:themeColor="accent6" w:themeTint="66"/>
        <w:left w:val="single" w:sz="4" w:space="0" w:color="E7DCD4" w:themeColor="accent6" w:themeTint="66"/>
        <w:bottom w:val="single" w:sz="4" w:space="0" w:color="E7DCD4" w:themeColor="accent6" w:themeTint="66"/>
        <w:right w:val="single" w:sz="4" w:space="0" w:color="E7DCD4" w:themeColor="accent6" w:themeTint="66"/>
        <w:insideH w:val="single" w:sz="4" w:space="0" w:color="E7DCD4" w:themeColor="accent6" w:themeTint="66"/>
        <w:insideV w:val="single" w:sz="4" w:space="0" w:color="E7DCD4" w:themeColor="accent6" w:themeTint="66"/>
      </w:tblBorders>
    </w:tblPr>
    <w:tblStylePr w:type="firstRow">
      <w:pPr>
        <w:jc w:val="left"/>
      </w:pPr>
      <w:rPr>
        <w:b/>
        <w:bCs/>
      </w:rPr>
      <w:tblPr/>
      <w:tcPr>
        <w:tcBorders>
          <w:bottom w:val="single" w:sz="12" w:space="0" w:color="DBCBBF" w:themeColor="accent6" w:themeTint="99"/>
        </w:tcBorders>
        <w:vAlign w:val="bottom"/>
      </w:tcPr>
    </w:tblStylePr>
    <w:tblStylePr w:type="lastRow">
      <w:rPr>
        <w:b/>
        <w:bCs/>
      </w:rPr>
      <w:tblPr/>
      <w:tcPr>
        <w:tcBorders>
          <w:top w:val="double" w:sz="2" w:space="0" w:color="DBCBBF" w:themeColor="accent6" w:themeTint="99"/>
        </w:tcBorders>
      </w:tcPr>
    </w:tblStylePr>
    <w:tblStylePr w:type="firstCol">
      <w:rPr>
        <w:b/>
        <w:bCs/>
      </w:rPr>
    </w:tblStylePr>
    <w:tblStylePr w:type="lastCol">
      <w:rPr>
        <w:b/>
        <w:bCs/>
      </w:rPr>
    </w:tblStylePr>
  </w:style>
  <w:style w:type="table" w:styleId="GridTable3">
    <w:name w:val="Grid Table 3"/>
    <w:basedOn w:val="TableNormal"/>
    <w:uiPriority w:val="48"/>
    <w:rsid w:val="00350549"/>
    <w:pPr>
      <w:spacing w:after="0"/>
    </w:pPr>
    <w:rPr>
      <w:rFonts w:ascii="Arial" w:hAnsi="Ari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350549"/>
    <w:pPr>
      <w:spacing w:after="0"/>
    </w:pPr>
    <w:rPr>
      <w:rFonts w:ascii="Arial" w:hAnsi="Ari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pPr>
        <w:jc w:val="left"/>
      </w:pPr>
      <w:rPr>
        <w:b/>
        <w:bCs/>
      </w:rPr>
      <w:tblPr/>
      <w:tcPr>
        <w:tcBorders>
          <w:top w:val="nil"/>
          <w:bottom w:val="single" w:sz="12" w:space="0" w:color="666666" w:themeColor="text1" w:themeTint="99"/>
          <w:insideH w:val="nil"/>
          <w:insideV w:val="nil"/>
        </w:tcBorders>
        <w:shd w:val="clear" w:color="auto" w:fill="FFFFFF" w:themeFill="background1"/>
        <w:vAlign w:val="bottom"/>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4">
    <w:name w:val="Grid Table 2 Accent 4"/>
    <w:basedOn w:val="TableNormal"/>
    <w:uiPriority w:val="47"/>
    <w:locked/>
    <w:rsid w:val="00350549"/>
    <w:pPr>
      <w:spacing w:after="0"/>
    </w:pPr>
    <w:rPr>
      <w:rFonts w:ascii="Arial" w:hAnsi="Arial"/>
    </w:rPr>
    <w:tblPr>
      <w:tblStyleRowBandSize w:val="1"/>
      <w:tblStyleColBandSize w:val="1"/>
      <w:tblBorders>
        <w:top w:val="single" w:sz="2" w:space="0" w:color="F489A8" w:themeColor="accent4" w:themeTint="99"/>
        <w:bottom w:val="single" w:sz="2" w:space="0" w:color="F489A8" w:themeColor="accent4" w:themeTint="99"/>
        <w:insideH w:val="single" w:sz="2" w:space="0" w:color="F489A8" w:themeColor="accent4" w:themeTint="99"/>
        <w:insideV w:val="single" w:sz="2" w:space="0" w:color="F489A8" w:themeColor="accent4" w:themeTint="99"/>
      </w:tblBorders>
    </w:tblPr>
    <w:tblStylePr w:type="firstRow">
      <w:pPr>
        <w:jc w:val="left"/>
      </w:pPr>
      <w:rPr>
        <w:b/>
        <w:bCs/>
      </w:rPr>
      <w:tblPr/>
      <w:tcPr>
        <w:tcBorders>
          <w:top w:val="nil"/>
          <w:bottom w:val="single" w:sz="12" w:space="0" w:color="F489A8" w:themeColor="accent4" w:themeTint="99"/>
          <w:insideH w:val="nil"/>
          <w:insideV w:val="nil"/>
        </w:tcBorders>
        <w:shd w:val="clear" w:color="auto" w:fill="FFFFFF" w:themeFill="background1"/>
        <w:vAlign w:val="bottom"/>
      </w:tcPr>
    </w:tblStylePr>
    <w:tblStylePr w:type="lastRow">
      <w:rPr>
        <w:b/>
        <w:bCs/>
      </w:rPr>
      <w:tblPr/>
      <w:tcPr>
        <w:tcBorders>
          <w:top w:val="double" w:sz="2" w:space="0" w:color="F489A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GridTable2-Accent5">
    <w:name w:val="Grid Table 2 Accent 5"/>
    <w:basedOn w:val="TableNormal"/>
    <w:uiPriority w:val="47"/>
    <w:rsid w:val="00350549"/>
    <w:pPr>
      <w:spacing w:after="0"/>
    </w:pPr>
    <w:rPr>
      <w:rFonts w:ascii="Arial" w:hAnsi="Arial"/>
    </w:rPr>
    <w:tblPr>
      <w:tblStyleRowBandSize w:val="1"/>
      <w:tblStyleColBandSize w:val="1"/>
      <w:tblBorders>
        <w:top w:val="single" w:sz="2" w:space="0" w:color="FDD48D" w:themeColor="accent5" w:themeTint="99"/>
        <w:bottom w:val="single" w:sz="2" w:space="0" w:color="FDD48D" w:themeColor="accent5" w:themeTint="99"/>
        <w:insideH w:val="single" w:sz="2" w:space="0" w:color="FDD48D" w:themeColor="accent5" w:themeTint="99"/>
        <w:insideV w:val="single" w:sz="2" w:space="0" w:color="FDD48D" w:themeColor="accent5" w:themeTint="99"/>
      </w:tblBorders>
    </w:tblPr>
    <w:tblStylePr w:type="firstRow">
      <w:pPr>
        <w:jc w:val="left"/>
      </w:pPr>
      <w:rPr>
        <w:b/>
        <w:bCs/>
      </w:rPr>
      <w:tblPr/>
      <w:tcPr>
        <w:tcBorders>
          <w:top w:val="nil"/>
          <w:bottom w:val="single" w:sz="12" w:space="0" w:color="FDD48D" w:themeColor="accent5" w:themeTint="99"/>
          <w:insideH w:val="nil"/>
          <w:insideV w:val="nil"/>
        </w:tcBorders>
        <w:shd w:val="clear" w:color="auto" w:fill="FFFFFF" w:themeFill="background1"/>
        <w:vAlign w:val="bottom"/>
      </w:tcPr>
    </w:tblStylePr>
    <w:tblStylePr w:type="lastRow">
      <w:rPr>
        <w:b/>
        <w:bCs/>
      </w:rPr>
      <w:tblPr/>
      <w:tcPr>
        <w:tcBorders>
          <w:top w:val="double" w:sz="2" w:space="0" w:color="FDD4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table" w:styleId="GridTable2-Accent6">
    <w:name w:val="Grid Table 2 Accent 6"/>
    <w:basedOn w:val="TableNormal"/>
    <w:uiPriority w:val="47"/>
    <w:locked/>
    <w:rsid w:val="00350549"/>
    <w:pPr>
      <w:spacing w:after="0"/>
    </w:pPr>
    <w:rPr>
      <w:rFonts w:ascii="Arial" w:hAnsi="Arial"/>
    </w:rPr>
    <w:tblPr>
      <w:tblStyleRowBandSize w:val="1"/>
      <w:tblStyleColBandSize w:val="1"/>
      <w:tblBorders>
        <w:top w:val="single" w:sz="2" w:space="0" w:color="DBCBBF" w:themeColor="accent6" w:themeTint="99"/>
        <w:bottom w:val="single" w:sz="2" w:space="0" w:color="DBCBBF" w:themeColor="accent6" w:themeTint="99"/>
        <w:insideH w:val="single" w:sz="2" w:space="0" w:color="DBCBBF" w:themeColor="accent6" w:themeTint="99"/>
        <w:insideV w:val="single" w:sz="2" w:space="0" w:color="DBCBBF" w:themeColor="accent6" w:themeTint="99"/>
      </w:tblBorders>
    </w:tblPr>
    <w:tblStylePr w:type="firstRow">
      <w:pPr>
        <w:jc w:val="left"/>
      </w:pPr>
      <w:rPr>
        <w:b/>
        <w:bCs/>
      </w:rPr>
      <w:tblPr/>
      <w:tcPr>
        <w:tcBorders>
          <w:top w:val="nil"/>
          <w:bottom w:val="single" w:sz="12" w:space="0" w:color="DBCBBF" w:themeColor="accent6" w:themeTint="99"/>
          <w:insideH w:val="nil"/>
          <w:insideV w:val="nil"/>
        </w:tcBorders>
        <w:shd w:val="clear" w:color="auto" w:fill="FFFFFF" w:themeFill="background1"/>
        <w:vAlign w:val="bottom"/>
      </w:tcPr>
    </w:tblStylePr>
    <w:tblStylePr w:type="lastRow">
      <w:rPr>
        <w:b/>
        <w:bCs/>
      </w:rPr>
      <w:tblPr/>
      <w:tcPr>
        <w:tcBorders>
          <w:top w:val="double" w:sz="2" w:space="0" w:color="DBCB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table" w:styleId="GridTable3-Accent3">
    <w:name w:val="Grid Table 3 Accent 3"/>
    <w:basedOn w:val="TableNormal"/>
    <w:uiPriority w:val="48"/>
    <w:locked/>
    <w:rsid w:val="00350549"/>
    <w:pPr>
      <w:spacing w:after="0"/>
    </w:pPr>
    <w:rPr>
      <w:rFonts w:ascii="Arial" w:hAnsi="Arial"/>
    </w:rPr>
    <w:tblPr>
      <w:tblStyleRowBandSize w:val="1"/>
      <w:tblStyleColBandSize w:val="1"/>
      <w:tblBorders>
        <w:top w:val="single" w:sz="4" w:space="0" w:color="F7AD80" w:themeColor="accent3" w:themeTint="99"/>
        <w:left w:val="single" w:sz="4" w:space="0" w:color="F7AD80" w:themeColor="accent3" w:themeTint="99"/>
        <w:bottom w:val="single" w:sz="4" w:space="0" w:color="F7AD80" w:themeColor="accent3" w:themeTint="99"/>
        <w:right w:val="single" w:sz="4" w:space="0" w:color="F7AD80" w:themeColor="accent3" w:themeTint="99"/>
        <w:insideH w:val="single" w:sz="4" w:space="0" w:color="F7AD80" w:themeColor="accent3" w:themeTint="99"/>
        <w:insideV w:val="single" w:sz="4" w:space="0" w:color="F7AD80" w:themeColor="accent3"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3D4" w:themeFill="accent3" w:themeFillTint="33"/>
      </w:tcPr>
    </w:tblStylePr>
    <w:tblStylePr w:type="band1Horz">
      <w:tblPr/>
      <w:tcPr>
        <w:shd w:val="clear" w:color="auto" w:fill="FCE3D4" w:themeFill="accent3" w:themeFillTint="33"/>
      </w:tcPr>
    </w:tblStylePr>
    <w:tblStylePr w:type="neCell">
      <w:tblPr/>
      <w:tcPr>
        <w:tcBorders>
          <w:bottom w:val="single" w:sz="4" w:space="0" w:color="F7AD80" w:themeColor="accent3" w:themeTint="99"/>
        </w:tcBorders>
      </w:tcPr>
    </w:tblStylePr>
    <w:tblStylePr w:type="nwCell">
      <w:tblPr/>
      <w:tcPr>
        <w:tcBorders>
          <w:bottom w:val="single" w:sz="4" w:space="0" w:color="F7AD80" w:themeColor="accent3" w:themeTint="99"/>
        </w:tcBorders>
      </w:tcPr>
    </w:tblStylePr>
    <w:tblStylePr w:type="seCell">
      <w:tblPr/>
      <w:tcPr>
        <w:tcBorders>
          <w:top w:val="single" w:sz="4" w:space="0" w:color="F7AD80" w:themeColor="accent3" w:themeTint="99"/>
        </w:tcBorders>
      </w:tcPr>
    </w:tblStylePr>
    <w:tblStylePr w:type="swCell">
      <w:tblPr/>
      <w:tcPr>
        <w:tcBorders>
          <w:top w:val="single" w:sz="4" w:space="0" w:color="F7AD80" w:themeColor="accent3" w:themeTint="99"/>
        </w:tcBorders>
      </w:tcPr>
    </w:tblStylePr>
  </w:style>
  <w:style w:type="table" w:styleId="GridTable3-Accent4">
    <w:name w:val="Grid Table 3 Accent 4"/>
    <w:basedOn w:val="TableNormal"/>
    <w:uiPriority w:val="48"/>
    <w:locked/>
    <w:rsid w:val="00350549"/>
    <w:pPr>
      <w:spacing w:after="0"/>
    </w:pPr>
    <w:rPr>
      <w:rFonts w:ascii="Arial" w:hAnsi="Arial"/>
    </w:rPr>
    <w:tblPr>
      <w:tblStyleRowBandSize w:val="1"/>
      <w:tblStyleColBandSize w:val="1"/>
      <w:tblBorders>
        <w:top w:val="single" w:sz="4" w:space="0" w:color="F489A8" w:themeColor="accent4" w:themeTint="99"/>
        <w:left w:val="single" w:sz="4" w:space="0" w:color="F489A8" w:themeColor="accent4" w:themeTint="99"/>
        <w:bottom w:val="single" w:sz="4" w:space="0" w:color="F489A8" w:themeColor="accent4" w:themeTint="99"/>
        <w:right w:val="single" w:sz="4" w:space="0" w:color="F489A8" w:themeColor="accent4" w:themeTint="99"/>
        <w:insideH w:val="single" w:sz="4" w:space="0" w:color="F489A8" w:themeColor="accent4" w:themeTint="99"/>
        <w:insideV w:val="single" w:sz="4" w:space="0" w:color="F489A8" w:themeColor="accent4"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7E2" w:themeFill="accent4" w:themeFillTint="33"/>
      </w:tcPr>
    </w:tblStylePr>
    <w:tblStylePr w:type="band1Horz">
      <w:tblPr/>
      <w:tcPr>
        <w:shd w:val="clear" w:color="auto" w:fill="FBD7E2" w:themeFill="accent4" w:themeFillTint="33"/>
      </w:tcPr>
    </w:tblStylePr>
    <w:tblStylePr w:type="neCell">
      <w:tblPr/>
      <w:tcPr>
        <w:tcBorders>
          <w:bottom w:val="single" w:sz="4" w:space="0" w:color="F489A8" w:themeColor="accent4" w:themeTint="99"/>
        </w:tcBorders>
      </w:tcPr>
    </w:tblStylePr>
    <w:tblStylePr w:type="nwCell">
      <w:tblPr/>
      <w:tcPr>
        <w:tcBorders>
          <w:bottom w:val="single" w:sz="4" w:space="0" w:color="F489A8" w:themeColor="accent4" w:themeTint="99"/>
        </w:tcBorders>
      </w:tcPr>
    </w:tblStylePr>
    <w:tblStylePr w:type="seCell">
      <w:tblPr/>
      <w:tcPr>
        <w:tcBorders>
          <w:top w:val="single" w:sz="4" w:space="0" w:color="F489A8" w:themeColor="accent4" w:themeTint="99"/>
        </w:tcBorders>
      </w:tcPr>
    </w:tblStylePr>
    <w:tblStylePr w:type="swCell">
      <w:tblPr/>
      <w:tcPr>
        <w:tcBorders>
          <w:top w:val="single" w:sz="4" w:space="0" w:color="F489A8" w:themeColor="accent4" w:themeTint="99"/>
        </w:tcBorders>
      </w:tcPr>
    </w:tblStylePr>
  </w:style>
  <w:style w:type="table" w:styleId="GridTable3-Accent5">
    <w:name w:val="Grid Table 3 Accent 5"/>
    <w:basedOn w:val="TableNormal"/>
    <w:uiPriority w:val="48"/>
    <w:rsid w:val="00350549"/>
    <w:pPr>
      <w:spacing w:after="0"/>
    </w:pPr>
    <w:rPr>
      <w:rFonts w:ascii="Arial" w:hAnsi="Arial"/>
    </w:rPr>
    <w:tblPr>
      <w:tblStyleRowBandSize w:val="1"/>
      <w:tblStyleColBandSize w:val="1"/>
      <w:tblBorders>
        <w:top w:val="single" w:sz="4" w:space="0" w:color="FDD48D" w:themeColor="accent5" w:themeTint="99"/>
        <w:left w:val="single" w:sz="4" w:space="0" w:color="FDD48D" w:themeColor="accent5" w:themeTint="99"/>
        <w:bottom w:val="single" w:sz="4" w:space="0" w:color="FDD48D" w:themeColor="accent5" w:themeTint="99"/>
        <w:right w:val="single" w:sz="4" w:space="0" w:color="FDD48D" w:themeColor="accent5" w:themeTint="99"/>
        <w:insideH w:val="single" w:sz="4" w:space="0" w:color="FDD48D" w:themeColor="accent5" w:themeTint="99"/>
        <w:insideV w:val="single" w:sz="4" w:space="0" w:color="FDD48D" w:themeColor="accent5"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0D8" w:themeFill="accent5" w:themeFillTint="33"/>
      </w:tcPr>
    </w:tblStylePr>
    <w:tblStylePr w:type="band1Horz">
      <w:tblPr/>
      <w:tcPr>
        <w:shd w:val="clear" w:color="auto" w:fill="FEF0D8" w:themeFill="accent5" w:themeFillTint="33"/>
      </w:tcPr>
    </w:tblStylePr>
    <w:tblStylePr w:type="neCell">
      <w:tblPr/>
      <w:tcPr>
        <w:tcBorders>
          <w:bottom w:val="single" w:sz="4" w:space="0" w:color="FDD48D" w:themeColor="accent5" w:themeTint="99"/>
        </w:tcBorders>
      </w:tcPr>
    </w:tblStylePr>
    <w:tblStylePr w:type="nwCell">
      <w:tblPr/>
      <w:tcPr>
        <w:tcBorders>
          <w:bottom w:val="single" w:sz="4" w:space="0" w:color="FDD48D" w:themeColor="accent5" w:themeTint="99"/>
        </w:tcBorders>
      </w:tcPr>
    </w:tblStylePr>
    <w:tblStylePr w:type="seCell">
      <w:tblPr/>
      <w:tcPr>
        <w:tcBorders>
          <w:top w:val="single" w:sz="4" w:space="0" w:color="FDD48D" w:themeColor="accent5" w:themeTint="99"/>
        </w:tcBorders>
      </w:tcPr>
    </w:tblStylePr>
    <w:tblStylePr w:type="swCell">
      <w:tblPr/>
      <w:tcPr>
        <w:tcBorders>
          <w:top w:val="single" w:sz="4" w:space="0" w:color="FDD48D" w:themeColor="accent5" w:themeTint="99"/>
        </w:tcBorders>
      </w:tcPr>
    </w:tblStylePr>
  </w:style>
  <w:style w:type="table" w:styleId="PlainTable5">
    <w:name w:val="Plain Table 5"/>
    <w:basedOn w:val="TableNormal"/>
    <w:uiPriority w:val="45"/>
    <w:rsid w:val="00350549"/>
    <w:pPr>
      <w:spacing w:after="0"/>
    </w:pPr>
    <w:rPr>
      <w:rFonts w:ascii="Arial" w:hAnsi="Arial"/>
    </w:rPr>
    <w:tblPr>
      <w:tblStyleRowBandSize w:val="1"/>
      <w:tblStyleColBandSize w:val="1"/>
    </w:tblPr>
    <w:tblStylePr w:type="firstRow">
      <w:pPr>
        <w:jc w:val="left"/>
      </w:pPr>
      <w:rPr>
        <w:rFonts w:ascii="Arial" w:eastAsiaTheme="majorEastAsia" w:hAnsi="Arial" w:cstheme="majorBidi"/>
        <w:i w:val="0"/>
        <w:iCs/>
        <w:sz w:val="18"/>
      </w:rPr>
      <w:tblPr/>
      <w:tcPr>
        <w:tcBorders>
          <w:bottom w:val="single" w:sz="4" w:space="0" w:color="7F7F7F" w:themeColor="text1" w:themeTint="80"/>
        </w:tcBorders>
        <w:shd w:val="clear" w:color="auto" w:fill="FFFFFF" w:themeFill="background1"/>
        <w:vAlign w:val="bottom"/>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left"/>
      </w:pPr>
      <w:rPr>
        <w:rFonts w:ascii="Arial" w:eastAsiaTheme="majorEastAsia" w:hAnsi="Arial" w:cstheme="majorBidi"/>
        <w:i w:val="0"/>
        <w:iCs/>
        <w:sz w:val="18"/>
      </w:rPr>
      <w:tblPr/>
      <w:tcPr>
        <w:tcBorders>
          <w:right w:val="single" w:sz="4" w:space="0" w:color="7F7F7F" w:themeColor="text1" w:themeTint="80"/>
        </w:tcBorders>
        <w:shd w:val="clear" w:color="auto" w:fill="FFFFFF" w:themeFill="background1"/>
      </w:tcPr>
    </w:tblStylePr>
    <w:tblStylePr w:type="lastCol">
      <w:rPr>
        <w:rFonts w:ascii="Arial" w:eastAsiaTheme="majorEastAsia" w:hAnsi="Arial" w:cstheme="majorBidi"/>
        <w:i w:val="0"/>
        <w:iCs/>
        <w:sz w:val="18"/>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
    <w:name w:val="List Table 1 Light"/>
    <w:basedOn w:val="TableNormal"/>
    <w:uiPriority w:val="46"/>
    <w:rsid w:val="00350549"/>
    <w:pPr>
      <w:spacing w:after="0"/>
    </w:pPr>
    <w:tblPr>
      <w:tblStyleRowBandSize w:val="1"/>
      <w:tblStyleColBandSize w:val="1"/>
    </w:tblPr>
    <w:tblStylePr w:type="firstRow">
      <w:pPr>
        <w:jc w:val="left"/>
      </w:pPr>
      <w:rPr>
        <w:b/>
        <w:bCs/>
      </w:rPr>
      <w:tblPr/>
      <w:tcPr>
        <w:tcBorders>
          <w:bottom w:val="single" w:sz="4" w:space="0" w:color="666666" w:themeColor="text1" w:themeTint="99"/>
        </w:tcBorders>
        <w:vAlign w:val="bottom"/>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locked/>
    <w:rsid w:val="00350549"/>
    <w:pPr>
      <w:spacing w:after="0"/>
    </w:pPr>
    <w:tblPr>
      <w:tblStyleRowBandSize w:val="1"/>
      <w:tblStyleColBandSize w:val="1"/>
    </w:tblPr>
    <w:tblStylePr w:type="firstRow">
      <w:pPr>
        <w:jc w:val="left"/>
      </w:pPr>
      <w:rPr>
        <w:b/>
        <w:bCs/>
      </w:rPr>
      <w:tblPr/>
      <w:tcPr>
        <w:tcBorders>
          <w:bottom w:val="single" w:sz="4" w:space="0" w:color="D3E583" w:themeColor="accent1" w:themeTint="99"/>
        </w:tcBorders>
        <w:vAlign w:val="bottom"/>
      </w:tcPr>
    </w:tblStylePr>
    <w:tblStylePr w:type="lastRow">
      <w:rPr>
        <w:b/>
        <w:bCs/>
      </w:rPr>
      <w:tblPr/>
      <w:tcPr>
        <w:tcBorders>
          <w:top w:val="single" w:sz="4" w:space="0" w:color="D3E583" w:themeColor="accent1" w:themeTint="99"/>
        </w:tcBorders>
      </w:tc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table" w:styleId="ListTable1Light-Accent2">
    <w:name w:val="List Table 1 Light Accent 2"/>
    <w:basedOn w:val="TableNormal"/>
    <w:uiPriority w:val="46"/>
    <w:locked/>
    <w:rsid w:val="00350549"/>
    <w:pPr>
      <w:spacing w:after="0"/>
    </w:pPr>
    <w:tblPr>
      <w:tblStyleRowBandSize w:val="1"/>
      <w:tblStyleColBandSize w:val="1"/>
    </w:tblPr>
    <w:tblStylePr w:type="firstRow">
      <w:pPr>
        <w:jc w:val="left"/>
      </w:pPr>
      <w:rPr>
        <w:b/>
        <w:bCs/>
      </w:rPr>
      <w:tblPr/>
      <w:tcPr>
        <w:tcBorders>
          <w:bottom w:val="single" w:sz="4" w:space="0" w:color="95D8D7" w:themeColor="accent2" w:themeTint="99"/>
        </w:tcBorders>
        <w:vAlign w:val="bottom"/>
      </w:tcPr>
    </w:tblStylePr>
    <w:tblStylePr w:type="lastRow">
      <w:rPr>
        <w:b/>
        <w:bCs/>
      </w:rPr>
      <w:tblPr/>
      <w:tcPr>
        <w:tcBorders>
          <w:top w:val="single" w:sz="4" w:space="0" w:color="95D8D7" w:themeColor="accent2" w:themeTint="99"/>
        </w:tcBorders>
      </w:tc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table" w:styleId="ListTable1Light-Accent3">
    <w:name w:val="List Table 1 Light Accent 3"/>
    <w:basedOn w:val="TableNormal"/>
    <w:uiPriority w:val="46"/>
    <w:locked/>
    <w:rsid w:val="00350549"/>
    <w:pPr>
      <w:spacing w:after="0"/>
    </w:pPr>
    <w:tblPr>
      <w:tblStyleRowBandSize w:val="1"/>
      <w:tblStyleColBandSize w:val="1"/>
    </w:tblPr>
    <w:tblStylePr w:type="firstRow">
      <w:pPr>
        <w:jc w:val="left"/>
      </w:pPr>
      <w:rPr>
        <w:b/>
        <w:bCs/>
      </w:rPr>
      <w:tblPr/>
      <w:tcPr>
        <w:tcBorders>
          <w:bottom w:val="single" w:sz="4" w:space="0" w:color="F7AD80" w:themeColor="accent3" w:themeTint="99"/>
        </w:tcBorders>
        <w:vAlign w:val="bottom"/>
      </w:tcPr>
    </w:tblStylePr>
    <w:tblStylePr w:type="lastRow">
      <w:rPr>
        <w:b/>
        <w:bCs/>
      </w:rPr>
      <w:tblPr/>
      <w:tcPr>
        <w:tcBorders>
          <w:top w:val="single" w:sz="4" w:space="0" w:color="F7AD80" w:themeColor="accent3" w:themeTint="99"/>
        </w:tcBorders>
      </w:tc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table" w:styleId="ListTable1Light-Accent4">
    <w:name w:val="List Table 1 Light Accent 4"/>
    <w:basedOn w:val="TableNormal"/>
    <w:uiPriority w:val="46"/>
    <w:locked/>
    <w:rsid w:val="00350549"/>
    <w:pPr>
      <w:spacing w:after="0"/>
    </w:pPr>
    <w:tblPr>
      <w:tblStyleRowBandSize w:val="1"/>
      <w:tblStyleColBandSize w:val="1"/>
    </w:tblPr>
    <w:tblStylePr w:type="firstRow">
      <w:pPr>
        <w:jc w:val="left"/>
      </w:pPr>
      <w:rPr>
        <w:b/>
        <w:bCs/>
      </w:rPr>
      <w:tblPr/>
      <w:tcPr>
        <w:tcBorders>
          <w:bottom w:val="single" w:sz="4" w:space="0" w:color="F489A8" w:themeColor="accent4" w:themeTint="99"/>
        </w:tcBorders>
        <w:vAlign w:val="bottom"/>
      </w:tcPr>
    </w:tblStylePr>
    <w:tblStylePr w:type="lastRow">
      <w:rPr>
        <w:b/>
        <w:bCs/>
      </w:rPr>
      <w:tblPr/>
      <w:tcPr>
        <w:tcBorders>
          <w:top w:val="single" w:sz="4" w:space="0" w:color="F489A8" w:themeColor="accent4" w:themeTint="99"/>
        </w:tcBorders>
      </w:tc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ListTable1Light-Accent5">
    <w:name w:val="List Table 1 Light Accent 5"/>
    <w:basedOn w:val="TableNormal"/>
    <w:uiPriority w:val="46"/>
    <w:rsid w:val="00350549"/>
    <w:pPr>
      <w:spacing w:after="0"/>
    </w:pPr>
    <w:tblPr>
      <w:tblStyleRowBandSize w:val="1"/>
      <w:tblStyleColBandSize w:val="1"/>
    </w:tblPr>
    <w:tblStylePr w:type="firstRow">
      <w:pPr>
        <w:jc w:val="left"/>
      </w:pPr>
      <w:rPr>
        <w:b/>
        <w:bCs/>
      </w:rPr>
      <w:tblPr/>
      <w:tcPr>
        <w:tcBorders>
          <w:bottom w:val="single" w:sz="4" w:space="0" w:color="FDD48D" w:themeColor="accent5" w:themeTint="99"/>
        </w:tcBorders>
        <w:vAlign w:val="bottom"/>
      </w:tcPr>
    </w:tblStylePr>
    <w:tblStylePr w:type="lastRow">
      <w:rPr>
        <w:b/>
        <w:bCs/>
      </w:rPr>
      <w:tblPr/>
      <w:tcPr>
        <w:tcBorders>
          <w:top w:val="single" w:sz="4" w:space="0" w:color="FDD48D" w:themeColor="accent5" w:themeTint="99"/>
        </w:tcBorders>
      </w:tc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table" w:styleId="ListTable1Light-Accent6">
    <w:name w:val="List Table 1 Light Accent 6"/>
    <w:basedOn w:val="TableNormal"/>
    <w:uiPriority w:val="46"/>
    <w:locked/>
    <w:rsid w:val="00350549"/>
    <w:pPr>
      <w:spacing w:after="0"/>
    </w:pPr>
    <w:tblPr>
      <w:tblStyleRowBandSize w:val="1"/>
      <w:tblStyleColBandSize w:val="1"/>
    </w:tblPr>
    <w:tblStylePr w:type="firstRow">
      <w:pPr>
        <w:jc w:val="left"/>
      </w:pPr>
      <w:rPr>
        <w:b/>
        <w:bCs/>
      </w:rPr>
      <w:tblPr/>
      <w:tcPr>
        <w:tcBorders>
          <w:bottom w:val="single" w:sz="4" w:space="0" w:color="DBCBBF" w:themeColor="accent6" w:themeTint="99"/>
        </w:tcBorders>
        <w:vAlign w:val="bottom"/>
      </w:tcPr>
    </w:tblStylePr>
    <w:tblStylePr w:type="lastRow">
      <w:rPr>
        <w:b/>
        <w:bCs/>
      </w:rPr>
      <w:tblPr/>
      <w:tcPr>
        <w:tcBorders>
          <w:top w:val="single" w:sz="4" w:space="0" w:color="DBCBBF" w:themeColor="accent6" w:themeTint="99"/>
        </w:tcBorders>
      </w:tc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table" w:styleId="ListTable2">
    <w:name w:val="List Table 2"/>
    <w:basedOn w:val="TableNormal"/>
    <w:uiPriority w:val="47"/>
    <w:rsid w:val="00350549"/>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locked/>
    <w:rsid w:val="00350549"/>
    <w:pPr>
      <w:spacing w:after="0"/>
    </w:pPr>
    <w:tblPr>
      <w:tblStyleRowBandSize w:val="1"/>
      <w:tblStyleColBandSize w:val="1"/>
      <w:tblBorders>
        <w:top w:val="single" w:sz="4" w:space="0" w:color="D3E583" w:themeColor="accent1" w:themeTint="99"/>
        <w:bottom w:val="single" w:sz="4" w:space="0" w:color="D3E583" w:themeColor="accent1" w:themeTint="99"/>
        <w:insideH w:val="single" w:sz="4" w:space="0" w:color="D3E583" w:themeColor="accent1"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F0F6D5" w:themeFill="accent1" w:themeFillTint="33"/>
      </w:tcPr>
    </w:tblStylePr>
    <w:tblStylePr w:type="band1Horz">
      <w:tblPr/>
      <w:tcPr>
        <w:shd w:val="clear" w:color="auto" w:fill="F0F6D5" w:themeFill="accent1" w:themeFillTint="33"/>
      </w:tcPr>
    </w:tblStylePr>
  </w:style>
  <w:style w:type="table" w:styleId="ListTable2-Accent2">
    <w:name w:val="List Table 2 Accent 2"/>
    <w:basedOn w:val="TableNormal"/>
    <w:uiPriority w:val="47"/>
    <w:locked/>
    <w:rsid w:val="00350549"/>
    <w:pPr>
      <w:spacing w:after="0"/>
    </w:pPr>
    <w:tblPr>
      <w:tblStyleRowBandSize w:val="1"/>
      <w:tblStyleColBandSize w:val="1"/>
      <w:tblBorders>
        <w:top w:val="single" w:sz="4" w:space="0" w:color="95D8D7" w:themeColor="accent2" w:themeTint="99"/>
        <w:bottom w:val="single" w:sz="4" w:space="0" w:color="95D8D7" w:themeColor="accent2" w:themeTint="99"/>
        <w:insideH w:val="single" w:sz="4" w:space="0" w:color="95D8D7" w:themeColor="accent2"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DBF2F2" w:themeFill="accent2" w:themeFillTint="33"/>
      </w:tcPr>
    </w:tblStylePr>
    <w:tblStylePr w:type="band1Horz">
      <w:tblPr/>
      <w:tcPr>
        <w:shd w:val="clear" w:color="auto" w:fill="DBF2F2" w:themeFill="accent2" w:themeFillTint="33"/>
      </w:tcPr>
    </w:tblStylePr>
  </w:style>
  <w:style w:type="table" w:styleId="ListTable2-Accent3">
    <w:name w:val="List Table 2 Accent 3"/>
    <w:basedOn w:val="TableNormal"/>
    <w:uiPriority w:val="47"/>
    <w:locked/>
    <w:rsid w:val="00350549"/>
    <w:pPr>
      <w:spacing w:after="0"/>
    </w:pPr>
    <w:tblPr>
      <w:tblStyleRowBandSize w:val="1"/>
      <w:tblStyleColBandSize w:val="1"/>
      <w:tblBorders>
        <w:top w:val="single" w:sz="4" w:space="0" w:color="F7AD80" w:themeColor="accent3" w:themeTint="99"/>
        <w:bottom w:val="single" w:sz="4" w:space="0" w:color="F7AD80" w:themeColor="accent3" w:themeTint="99"/>
        <w:insideH w:val="single" w:sz="4" w:space="0" w:color="F7AD80" w:themeColor="accent3"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FCE3D4" w:themeFill="accent3" w:themeFillTint="33"/>
      </w:tcPr>
    </w:tblStylePr>
    <w:tblStylePr w:type="band1Horz">
      <w:tblPr/>
      <w:tcPr>
        <w:shd w:val="clear" w:color="auto" w:fill="FCE3D4" w:themeFill="accent3" w:themeFillTint="33"/>
      </w:tcPr>
    </w:tblStylePr>
  </w:style>
  <w:style w:type="table" w:styleId="ListTable2-Accent4">
    <w:name w:val="List Table 2 Accent 4"/>
    <w:basedOn w:val="TableNormal"/>
    <w:uiPriority w:val="47"/>
    <w:locked/>
    <w:rsid w:val="00350549"/>
    <w:pPr>
      <w:spacing w:after="0"/>
    </w:pPr>
    <w:tblPr>
      <w:tblStyleRowBandSize w:val="1"/>
      <w:tblStyleColBandSize w:val="1"/>
      <w:tblBorders>
        <w:top w:val="single" w:sz="4" w:space="0" w:color="F489A8" w:themeColor="accent4" w:themeTint="99"/>
        <w:bottom w:val="single" w:sz="4" w:space="0" w:color="F489A8" w:themeColor="accent4" w:themeTint="99"/>
        <w:insideH w:val="single" w:sz="4" w:space="0" w:color="F489A8" w:themeColor="accent4"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FBD7E2" w:themeFill="accent4" w:themeFillTint="33"/>
      </w:tcPr>
    </w:tblStylePr>
    <w:tblStylePr w:type="band1Horz">
      <w:tblPr/>
      <w:tcPr>
        <w:shd w:val="clear" w:color="auto" w:fill="FBD7E2" w:themeFill="accent4" w:themeFillTint="33"/>
      </w:tcPr>
    </w:tblStylePr>
  </w:style>
  <w:style w:type="table" w:styleId="ListTable2-Accent5">
    <w:name w:val="List Table 2 Accent 5"/>
    <w:basedOn w:val="TableNormal"/>
    <w:uiPriority w:val="47"/>
    <w:rsid w:val="00350549"/>
    <w:pPr>
      <w:spacing w:after="0"/>
    </w:pPr>
    <w:tblPr>
      <w:tblStyleRowBandSize w:val="1"/>
      <w:tblStyleColBandSize w:val="1"/>
      <w:tblBorders>
        <w:top w:val="single" w:sz="4" w:space="0" w:color="FDD48D" w:themeColor="accent5" w:themeTint="99"/>
        <w:bottom w:val="single" w:sz="4" w:space="0" w:color="FDD48D" w:themeColor="accent5" w:themeTint="99"/>
        <w:insideH w:val="single" w:sz="4" w:space="0" w:color="FDD48D" w:themeColor="accent5"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FEF0D8" w:themeFill="accent5" w:themeFillTint="33"/>
      </w:tcPr>
    </w:tblStylePr>
    <w:tblStylePr w:type="band1Horz">
      <w:tblPr/>
      <w:tcPr>
        <w:shd w:val="clear" w:color="auto" w:fill="FEF0D8" w:themeFill="accent5" w:themeFillTint="33"/>
      </w:tcPr>
    </w:tblStylePr>
  </w:style>
  <w:style w:type="character" w:customStyle="1" w:styleId="BodyTextChar">
    <w:name w:val="Body Text Char"/>
    <w:basedOn w:val="DefaultParagraphFont"/>
    <w:link w:val="BodyText"/>
    <w:rsid w:val="007D08A9"/>
    <w:rPr>
      <w:rFonts w:ascii="Arial" w:hAnsi="Arial"/>
      <w:sz w:val="20"/>
    </w:rPr>
  </w:style>
  <w:style w:type="paragraph" w:customStyle="1" w:styleId="Quote2">
    <w:name w:val="Quote 2"/>
    <w:basedOn w:val="Subtitle"/>
    <w:next w:val="Normal"/>
    <w:link w:val="Quote2Char"/>
    <w:uiPriority w:val="7"/>
    <w:qFormat/>
    <w:rsid w:val="00350549"/>
    <w:pPr>
      <w:spacing w:before="120"/>
      <w:ind w:left="1134" w:right="1134"/>
      <w:jc w:val="center"/>
    </w:pPr>
    <w:rPr>
      <w:rFonts w:ascii="Calibri" w:hAnsi="Calibri"/>
      <w:bCs/>
      <w:sz w:val="20"/>
      <w:szCs w:val="20"/>
      <w:lang w:eastAsia="en-AU"/>
    </w:rPr>
  </w:style>
  <w:style w:type="character" w:customStyle="1" w:styleId="Quote2Char">
    <w:name w:val="Quote 2 Char"/>
    <w:basedOn w:val="SubtitleChar"/>
    <w:link w:val="Quote2"/>
    <w:uiPriority w:val="7"/>
    <w:rsid w:val="00350549"/>
    <w:rPr>
      <w:rFonts w:ascii="Calibri" w:eastAsia="Times New Roman" w:hAnsi="Calibri" w:cs="Times New Roman"/>
      <w:bCs/>
      <w:color w:val="B7D432" w:themeColor="accent1"/>
      <w:sz w:val="20"/>
      <w:szCs w:val="20"/>
      <w:lang w:eastAsia="en-AU"/>
    </w:rPr>
  </w:style>
  <w:style w:type="paragraph" w:customStyle="1" w:styleId="Bullets1">
    <w:name w:val="Bullets 1"/>
    <w:basedOn w:val="Normal"/>
    <w:qFormat/>
    <w:rsid w:val="00350549"/>
    <w:pPr>
      <w:numPr>
        <w:numId w:val="3"/>
      </w:numPr>
      <w:spacing w:before="60" w:after="60" w:line="300" w:lineRule="auto"/>
    </w:pPr>
    <w:rPr>
      <w:rFonts w:eastAsia="Times New Roman" w:cs="Times New Roman"/>
      <w:szCs w:val="20"/>
    </w:rPr>
  </w:style>
  <w:style w:type="paragraph" w:customStyle="1" w:styleId="TableFormat">
    <w:name w:val="Table Format"/>
    <w:basedOn w:val="Body"/>
    <w:next w:val="Body"/>
    <w:uiPriority w:val="8"/>
    <w:qFormat/>
    <w:rsid w:val="00350549"/>
    <w:pPr>
      <w:spacing w:before="60" w:after="60" w:line="240" w:lineRule="auto"/>
      <w:jc w:val="right"/>
    </w:pPr>
    <w:rPr>
      <w:sz w:val="18"/>
    </w:rPr>
  </w:style>
  <w:style w:type="paragraph" w:styleId="Revision">
    <w:name w:val="Revision"/>
    <w:hidden/>
    <w:uiPriority w:val="99"/>
    <w:semiHidden/>
    <w:rsid w:val="00AD2ACB"/>
    <w:pPr>
      <w:spacing w:before="0" w:after="0"/>
    </w:pPr>
    <w:rPr>
      <w:rFonts w:ascii="Arial" w:hAnsi="Arial"/>
      <w:sz w:val="20"/>
    </w:rPr>
  </w:style>
  <w:style w:type="paragraph" w:customStyle="1" w:styleId="Body">
    <w:name w:val="Body"/>
    <w:basedOn w:val="Normal"/>
    <w:link w:val="BodyChar"/>
    <w:uiPriority w:val="1"/>
    <w:qFormat/>
    <w:rsid w:val="00350549"/>
    <w:pPr>
      <w:spacing w:before="120" w:after="120" w:line="300" w:lineRule="auto"/>
    </w:pPr>
    <w:rPr>
      <w:rFonts w:eastAsia="Times New Roman" w:cs="Arial"/>
      <w:szCs w:val="20"/>
    </w:rPr>
  </w:style>
  <w:style w:type="character" w:customStyle="1" w:styleId="BodyChar">
    <w:name w:val="Body Char"/>
    <w:aliases w:val="#List Paragraph Char,b1 Char,b + line Char,level 1 Char,Number Char,b Char,List Paragraph111 Char,F5 List Paragraph Char,Dot pt Char,CV text Char,List Paragraph Char,List Paragraph1 Char,List Paragraph11 Char,Recommendation Char,L Char,Main Ch"/>
    <w:link w:val="Body"/>
    <w:uiPriority w:val="1"/>
    <w:qFormat/>
    <w:rsid w:val="00350549"/>
    <w:rPr>
      <w:rFonts w:ascii="Arial" w:eastAsia="Times New Roman" w:hAnsi="Arial" w:cs="Arial"/>
      <w:sz w:val="20"/>
      <w:szCs w:val="20"/>
    </w:rPr>
  </w:style>
  <w:style w:type="paragraph" w:customStyle="1" w:styleId="Bullets2">
    <w:name w:val="Bullets 2"/>
    <w:basedOn w:val="Normal"/>
    <w:qFormat/>
    <w:rsid w:val="00350549"/>
    <w:pPr>
      <w:numPr>
        <w:ilvl w:val="1"/>
        <w:numId w:val="3"/>
      </w:numPr>
      <w:spacing w:before="60" w:after="60" w:line="300" w:lineRule="auto"/>
    </w:pPr>
    <w:rPr>
      <w:rFonts w:eastAsia="Times New Roman" w:cs="Times New Roman"/>
      <w:szCs w:val="20"/>
    </w:rPr>
  </w:style>
  <w:style w:type="paragraph" w:customStyle="1" w:styleId="Bullets3">
    <w:name w:val="Bullets 3"/>
    <w:basedOn w:val="Normal"/>
    <w:qFormat/>
    <w:rsid w:val="00350549"/>
    <w:pPr>
      <w:numPr>
        <w:ilvl w:val="2"/>
        <w:numId w:val="3"/>
      </w:numPr>
      <w:spacing w:before="60" w:after="60" w:line="300" w:lineRule="auto"/>
    </w:pPr>
    <w:rPr>
      <w:rFonts w:eastAsia="Times New Roman" w:cs="Times New Roman"/>
      <w:szCs w:val="20"/>
    </w:rPr>
  </w:style>
  <w:style w:type="table" w:styleId="ListTable2-Accent6">
    <w:name w:val="List Table 2 Accent 6"/>
    <w:basedOn w:val="TableNormal"/>
    <w:uiPriority w:val="47"/>
    <w:locked/>
    <w:rsid w:val="00350549"/>
    <w:pPr>
      <w:spacing w:after="0"/>
    </w:pPr>
    <w:tblPr>
      <w:tblStyleRowBandSize w:val="1"/>
      <w:tblStyleColBandSize w:val="1"/>
      <w:tblBorders>
        <w:top w:val="single" w:sz="4" w:space="0" w:color="DBCBBF" w:themeColor="accent6" w:themeTint="99"/>
        <w:bottom w:val="single" w:sz="4" w:space="0" w:color="DBCBBF" w:themeColor="accent6" w:themeTint="99"/>
        <w:insideH w:val="single" w:sz="4" w:space="0" w:color="DBCBBF" w:themeColor="accent6" w:themeTint="99"/>
      </w:tblBorders>
    </w:tblPr>
    <w:tblStylePr w:type="firstRow">
      <w:pPr>
        <w:jc w:val="left"/>
      </w:pPr>
      <w:rPr>
        <w:b/>
        <w:bCs/>
      </w:rPr>
      <w:tblPr/>
      <w:tcPr>
        <w:vAlign w:val="bottom"/>
      </w:tcPr>
    </w:tblStylePr>
    <w:tblStylePr w:type="lastRow">
      <w:rPr>
        <w:b/>
        <w:bCs/>
      </w:rPr>
    </w:tblStylePr>
    <w:tblStylePr w:type="firstCol">
      <w:rPr>
        <w:b/>
        <w:bCs/>
      </w:rPr>
    </w:tblStylePr>
    <w:tblStylePr w:type="lastCol">
      <w:rPr>
        <w:b/>
        <w:bCs/>
      </w:rPr>
    </w:tblStylePr>
    <w:tblStylePr w:type="band1Vert">
      <w:tblPr/>
      <w:tcPr>
        <w:shd w:val="clear" w:color="auto" w:fill="F3EDE9" w:themeFill="accent6" w:themeFillTint="33"/>
      </w:tcPr>
    </w:tblStylePr>
    <w:tblStylePr w:type="band1Horz">
      <w:tblPr/>
      <w:tcPr>
        <w:shd w:val="clear" w:color="auto" w:fill="F3EDE9" w:themeFill="accent6" w:themeFillTint="33"/>
      </w:tcPr>
    </w:tblStylePr>
  </w:style>
  <w:style w:type="paragraph" w:customStyle="1" w:styleId="AppendixHeading">
    <w:name w:val="Appendix Heading"/>
    <w:basedOn w:val="MajorHeading"/>
    <w:next w:val="Body"/>
    <w:link w:val="AppendixHeadingChar"/>
    <w:qFormat/>
    <w:rsid w:val="00350549"/>
    <w:pPr>
      <w:ind w:left="2552" w:hanging="2552"/>
    </w:pPr>
    <w:rPr>
      <w:rFonts w:cstheme="majorBidi"/>
    </w:rPr>
  </w:style>
  <w:style w:type="character" w:customStyle="1" w:styleId="AppendixHeadingChar">
    <w:name w:val="Appendix Heading Char"/>
    <w:basedOn w:val="Heading1Char"/>
    <w:link w:val="AppendixHeading"/>
    <w:rsid w:val="00350549"/>
    <w:rPr>
      <w:rFonts w:ascii="Arial" w:hAnsi="Arial" w:cstheme="majorBidi"/>
      <w:color w:val="B7D432" w:themeColor="accent1"/>
      <w:sz w:val="40"/>
      <w:szCs w:val="40"/>
    </w:rPr>
  </w:style>
  <w:style w:type="paragraph" w:styleId="TableofAuthorities">
    <w:name w:val="table of authorities"/>
    <w:basedOn w:val="Normal"/>
    <w:next w:val="Normal"/>
    <w:uiPriority w:val="99"/>
    <w:semiHidden/>
    <w:unhideWhenUsed/>
    <w:rsid w:val="007D08A9"/>
    <w:pPr>
      <w:ind w:left="284" w:hanging="284"/>
    </w:pPr>
    <w:rPr>
      <w:rFonts w:ascii="Arial Nova" w:hAnsi="Arial Nova"/>
    </w:rPr>
  </w:style>
  <w:style w:type="paragraph" w:styleId="Bibliography">
    <w:name w:val="Bibliography"/>
    <w:basedOn w:val="Normal"/>
    <w:next w:val="Normal"/>
    <w:uiPriority w:val="37"/>
    <w:qFormat/>
    <w:rsid w:val="00350549"/>
    <w:pPr>
      <w:spacing w:before="120" w:after="120"/>
      <w:ind w:left="284" w:hanging="284"/>
    </w:pPr>
    <w:rPr>
      <w:rFonts w:cs="Arial"/>
    </w:rPr>
  </w:style>
  <w:style w:type="table" w:styleId="GridTable7ColourfulAccent6">
    <w:name w:val="Grid Table 7 Colorful Accent 6"/>
    <w:basedOn w:val="TableNormal"/>
    <w:uiPriority w:val="52"/>
    <w:locked/>
    <w:rsid w:val="00350549"/>
    <w:pPr>
      <w:spacing w:after="0"/>
    </w:pPr>
    <w:rPr>
      <w:color w:val="A37D5D" w:themeColor="accent6" w:themeShade="BF"/>
    </w:rPr>
    <w:tblPr>
      <w:tblStyleRowBandSize w:val="1"/>
      <w:tblStyleColBandSize w:val="1"/>
      <w:tblBorders>
        <w:top w:val="single" w:sz="4" w:space="0" w:color="DBCBBF" w:themeColor="accent6" w:themeTint="99"/>
        <w:left w:val="single" w:sz="4" w:space="0" w:color="DBCBBF" w:themeColor="accent6" w:themeTint="99"/>
        <w:bottom w:val="single" w:sz="4" w:space="0" w:color="DBCBBF" w:themeColor="accent6" w:themeTint="99"/>
        <w:right w:val="single" w:sz="4" w:space="0" w:color="DBCBBF" w:themeColor="accent6" w:themeTint="99"/>
        <w:insideH w:val="single" w:sz="4" w:space="0" w:color="DBCBBF" w:themeColor="accent6" w:themeTint="99"/>
        <w:insideV w:val="single" w:sz="4" w:space="0" w:color="DBCBBF" w:themeColor="accent6" w:themeTint="99"/>
      </w:tblBorders>
    </w:tblPr>
    <w:tblStylePr w:type="firstRow">
      <w:pPr>
        <w:jc w:val="left"/>
      </w:pPr>
      <w:rPr>
        <w:b/>
        <w:bCs/>
      </w:rPr>
      <w:tblPr/>
      <w:tcPr>
        <w:tcBorders>
          <w:top w:val="nil"/>
          <w:left w:val="nil"/>
          <w:right w:val="nil"/>
          <w:insideH w:val="nil"/>
          <w:insideV w:val="nil"/>
        </w:tcBorders>
        <w:shd w:val="clear" w:color="auto" w:fill="FFFFFF" w:themeFill="background1"/>
        <w:vAlign w:val="bottom"/>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DE9" w:themeFill="accent6" w:themeFillTint="33"/>
      </w:tcPr>
    </w:tblStylePr>
    <w:tblStylePr w:type="band1Horz">
      <w:tblPr/>
      <w:tcPr>
        <w:shd w:val="clear" w:color="auto" w:fill="F3EDE9" w:themeFill="accent6" w:themeFillTint="33"/>
      </w:tcPr>
    </w:tblStylePr>
    <w:tblStylePr w:type="neCell">
      <w:tblPr/>
      <w:tcPr>
        <w:tcBorders>
          <w:bottom w:val="single" w:sz="4" w:space="0" w:color="DBCBBF" w:themeColor="accent6" w:themeTint="99"/>
        </w:tcBorders>
      </w:tcPr>
    </w:tblStylePr>
    <w:tblStylePr w:type="nwCell">
      <w:tblPr/>
      <w:tcPr>
        <w:tcBorders>
          <w:bottom w:val="single" w:sz="4" w:space="0" w:color="DBCBBF" w:themeColor="accent6" w:themeTint="99"/>
        </w:tcBorders>
      </w:tcPr>
    </w:tblStylePr>
    <w:tblStylePr w:type="seCell">
      <w:tblPr/>
      <w:tcPr>
        <w:tcBorders>
          <w:top w:val="single" w:sz="4" w:space="0" w:color="DBCBBF" w:themeColor="accent6" w:themeTint="99"/>
        </w:tcBorders>
      </w:tcPr>
    </w:tblStylePr>
    <w:tblStylePr w:type="swCell">
      <w:tblPr/>
      <w:tcPr>
        <w:tcBorders>
          <w:top w:val="single" w:sz="4" w:space="0" w:color="DBCBBF" w:themeColor="accent6" w:themeTint="99"/>
        </w:tcBorders>
      </w:tcPr>
    </w:tblStylePr>
  </w:style>
  <w:style w:type="table" w:customStyle="1" w:styleId="SRC2ndPage">
    <w:name w:val="SRC 2nd Page"/>
    <w:basedOn w:val="TableNormal"/>
    <w:uiPriority w:val="99"/>
    <w:rsid w:val="007D08A9"/>
    <w:pPr>
      <w:spacing w:before="0" w:after="0"/>
    </w:pPr>
    <w:rPr>
      <w:rFonts w:ascii="Arial" w:hAnsi="Arial"/>
    </w:rPr>
    <w:tblPr/>
    <w:tblStylePr w:type="firstRow">
      <w:pPr>
        <w:jc w:val="left"/>
      </w:pPr>
      <w:tblPr/>
      <w:tcPr>
        <w:vAlign w:val="bottom"/>
      </w:tcPr>
    </w:tblStylePr>
  </w:style>
  <w:style w:type="character" w:styleId="UnresolvedMention">
    <w:name w:val="Unresolved Mention"/>
    <w:basedOn w:val="DefaultParagraphFont"/>
    <w:uiPriority w:val="99"/>
    <w:semiHidden/>
    <w:unhideWhenUsed/>
    <w:rsid w:val="005F3B62"/>
    <w:rPr>
      <w:color w:val="605E5C"/>
      <w:shd w:val="clear" w:color="auto" w:fill="E1DFDD"/>
    </w:rPr>
  </w:style>
  <w:style w:type="paragraph" w:customStyle="1" w:styleId="Bullets-noindent">
    <w:name w:val="Bullets - no indent"/>
    <w:basedOn w:val="Body"/>
    <w:uiPriority w:val="1"/>
    <w:qFormat/>
    <w:rsid w:val="00350549"/>
    <w:pPr>
      <w:numPr>
        <w:numId w:val="2"/>
      </w:numPr>
      <w:spacing w:before="60" w:after="60"/>
    </w:pPr>
  </w:style>
  <w:style w:type="character" w:styleId="Emphasis">
    <w:name w:val="Emphasis"/>
    <w:basedOn w:val="DefaultParagraphFont"/>
    <w:uiPriority w:val="20"/>
    <w:rsid w:val="007D08A9"/>
    <w:rPr>
      <w:i/>
      <w:iCs/>
    </w:rPr>
  </w:style>
  <w:style w:type="character" w:customStyle="1" w:styleId="Heading6Char">
    <w:name w:val="Heading 6 Char"/>
    <w:basedOn w:val="DefaultParagraphFont"/>
    <w:link w:val="Heading6"/>
    <w:uiPriority w:val="9"/>
    <w:rsid w:val="00350549"/>
    <w:rPr>
      <w:rFonts w:asciiTheme="majorHAnsi" w:eastAsiaTheme="majorEastAsia" w:hAnsiTheme="majorHAnsi" w:cstheme="majorBidi"/>
      <w:i/>
      <w:iCs/>
      <w:caps/>
      <w:color w:val="5D6C16" w:themeColor="accent1" w:themeShade="80"/>
      <w:sz w:val="20"/>
    </w:rPr>
  </w:style>
  <w:style w:type="character" w:customStyle="1" w:styleId="Heading7Char">
    <w:name w:val="Heading 7 Char"/>
    <w:basedOn w:val="DefaultParagraphFont"/>
    <w:link w:val="Heading7"/>
    <w:uiPriority w:val="9"/>
    <w:rsid w:val="00350549"/>
    <w:rPr>
      <w:rFonts w:asciiTheme="majorHAnsi" w:eastAsiaTheme="majorEastAsia" w:hAnsiTheme="majorHAnsi" w:cstheme="majorBidi"/>
      <w:b/>
      <w:bCs/>
      <w:color w:val="5D6C16" w:themeColor="accent1" w:themeShade="80"/>
      <w:sz w:val="20"/>
    </w:rPr>
  </w:style>
  <w:style w:type="character" w:customStyle="1" w:styleId="Heading8Char">
    <w:name w:val="Heading 8 Char"/>
    <w:basedOn w:val="DefaultParagraphFont"/>
    <w:link w:val="Heading8"/>
    <w:uiPriority w:val="9"/>
    <w:semiHidden/>
    <w:rsid w:val="00350549"/>
    <w:rPr>
      <w:rFonts w:asciiTheme="majorHAnsi" w:eastAsiaTheme="majorEastAsia" w:hAnsiTheme="majorHAnsi" w:cstheme="majorBidi"/>
      <w:b/>
      <w:bCs/>
      <w:i/>
      <w:iCs/>
      <w:color w:val="5D6C16" w:themeColor="accent1" w:themeShade="80"/>
      <w:sz w:val="20"/>
    </w:rPr>
  </w:style>
  <w:style w:type="character" w:customStyle="1" w:styleId="Heading9Char">
    <w:name w:val="Heading 9 Char"/>
    <w:basedOn w:val="DefaultParagraphFont"/>
    <w:link w:val="Heading9"/>
    <w:uiPriority w:val="9"/>
    <w:semiHidden/>
    <w:rsid w:val="00350549"/>
    <w:rPr>
      <w:rFonts w:asciiTheme="majorHAnsi" w:eastAsiaTheme="majorEastAsia" w:hAnsiTheme="majorHAnsi" w:cstheme="majorBidi"/>
      <w:i/>
      <w:iCs/>
      <w:color w:val="5D6C16" w:themeColor="accent1" w:themeShade="80"/>
      <w:sz w:val="20"/>
    </w:rPr>
  </w:style>
  <w:style w:type="character" w:styleId="IntenseEmphasis">
    <w:name w:val="Intense Emphasis"/>
    <w:basedOn w:val="DefaultParagraphFont"/>
    <w:uiPriority w:val="21"/>
    <w:rsid w:val="007D08A9"/>
    <w:rPr>
      <w:b/>
      <w:bCs/>
      <w:i/>
      <w:iCs/>
    </w:rPr>
  </w:style>
  <w:style w:type="paragraph" w:styleId="IntenseQuote">
    <w:name w:val="Intense Quote"/>
    <w:basedOn w:val="Normal"/>
    <w:next w:val="Normal"/>
    <w:link w:val="IntenseQuoteChar"/>
    <w:uiPriority w:val="30"/>
    <w:rsid w:val="00473EE0"/>
    <w:pPr>
      <w:spacing w:before="100" w:beforeAutospacing="1" w:after="240"/>
      <w:ind w:left="720"/>
      <w:jc w:val="center"/>
    </w:pPr>
    <w:rPr>
      <w:rFonts w:asciiTheme="majorHAnsi" w:eastAsiaTheme="majorEastAsia" w:hAnsiTheme="majorHAnsi" w:cstheme="majorBidi"/>
      <w:color w:val="EE3B6F"/>
      <w:spacing w:val="-6"/>
      <w:sz w:val="32"/>
      <w:szCs w:val="32"/>
    </w:rPr>
  </w:style>
  <w:style w:type="character" w:customStyle="1" w:styleId="IntenseQuoteChar">
    <w:name w:val="Intense Quote Char"/>
    <w:basedOn w:val="DefaultParagraphFont"/>
    <w:link w:val="IntenseQuote"/>
    <w:uiPriority w:val="30"/>
    <w:rsid w:val="00473EE0"/>
    <w:rPr>
      <w:rFonts w:asciiTheme="majorHAnsi" w:eastAsiaTheme="majorEastAsia" w:hAnsiTheme="majorHAnsi" w:cstheme="majorBidi"/>
      <w:color w:val="EE3B6F"/>
      <w:spacing w:val="-6"/>
      <w:sz w:val="32"/>
      <w:szCs w:val="32"/>
    </w:rPr>
  </w:style>
  <w:style w:type="character" w:styleId="IntenseReference">
    <w:name w:val="Intense Reference"/>
    <w:basedOn w:val="DefaultParagraphFont"/>
    <w:uiPriority w:val="32"/>
    <w:rsid w:val="00B272D2"/>
    <w:rPr>
      <w:b/>
      <w:bCs/>
      <w:smallCaps/>
      <w:color w:val="EE3B6F"/>
      <w:u w:val="single"/>
    </w:rPr>
  </w:style>
  <w:style w:type="character" w:styleId="Strong">
    <w:name w:val="Strong"/>
    <w:basedOn w:val="DefaultParagraphFont"/>
    <w:uiPriority w:val="22"/>
    <w:rsid w:val="007D08A9"/>
    <w:rPr>
      <w:b/>
      <w:bCs/>
    </w:rPr>
  </w:style>
  <w:style w:type="character" w:styleId="SubtleEmphasis">
    <w:name w:val="Subtle Emphasis"/>
    <w:basedOn w:val="DefaultParagraphFont"/>
    <w:uiPriority w:val="19"/>
    <w:rsid w:val="007D08A9"/>
    <w:rPr>
      <w:i/>
      <w:iCs/>
      <w:color w:val="595959" w:themeColor="text1" w:themeTint="A6"/>
    </w:rPr>
  </w:style>
  <w:style w:type="character" w:styleId="SubtleReference">
    <w:name w:val="Subtle Reference"/>
    <w:basedOn w:val="DefaultParagraphFont"/>
    <w:uiPriority w:val="31"/>
    <w:rsid w:val="007D08A9"/>
    <w:rPr>
      <w:smallCaps/>
      <w:color w:val="595959" w:themeColor="text1" w:themeTint="A6"/>
      <w:u w:val="none" w:color="7F7F7F" w:themeColor="text1" w:themeTint="80"/>
      <w:bdr w:val="none" w:sz="0" w:space="0" w:color="auto"/>
    </w:rPr>
  </w:style>
  <w:style w:type="paragraph" w:styleId="TOCHeading">
    <w:name w:val="TOC Heading"/>
    <w:basedOn w:val="Heading1"/>
    <w:next w:val="Normal"/>
    <w:uiPriority w:val="39"/>
    <w:unhideWhenUsed/>
    <w:qFormat/>
    <w:rsid w:val="002C499A"/>
    <w:pPr>
      <w:ind w:left="1134" w:hanging="1134"/>
      <w:outlineLvl w:val="9"/>
    </w:pPr>
  </w:style>
  <w:style w:type="paragraph" w:customStyle="1" w:styleId="Appendix1">
    <w:name w:val="Appendix 1"/>
    <w:basedOn w:val="Normal"/>
    <w:next w:val="Body"/>
    <w:uiPriority w:val="99"/>
    <w:qFormat/>
    <w:rsid w:val="00EB29BD"/>
    <w:pPr>
      <w:pageBreakBefore/>
      <w:numPr>
        <w:numId w:val="1"/>
      </w:numPr>
      <w:spacing w:after="240"/>
      <w:ind w:left="2268" w:hanging="2268"/>
      <w:outlineLvl w:val="0"/>
    </w:pPr>
    <w:rPr>
      <w:color w:val="5D6C16" w:themeColor="accent1" w:themeShade="80"/>
      <w:sz w:val="40"/>
    </w:rPr>
  </w:style>
  <w:style w:type="paragraph" w:customStyle="1" w:styleId="Appendix2">
    <w:name w:val="Appendix 2"/>
    <w:basedOn w:val="Normal"/>
    <w:next w:val="Body"/>
    <w:uiPriority w:val="99"/>
    <w:qFormat/>
    <w:rsid w:val="006731AA"/>
    <w:pPr>
      <w:keepNext/>
      <w:numPr>
        <w:ilvl w:val="1"/>
        <w:numId w:val="1"/>
      </w:numPr>
      <w:spacing w:before="240" w:after="120"/>
      <w:outlineLvl w:val="1"/>
    </w:pPr>
    <w:rPr>
      <w:color w:val="8AA122" w:themeColor="accent1" w:themeShade="BF"/>
      <w:sz w:val="32"/>
      <w:szCs w:val="32"/>
    </w:rPr>
  </w:style>
  <w:style w:type="paragraph" w:customStyle="1" w:styleId="Appendix3">
    <w:name w:val="Appendix 3"/>
    <w:basedOn w:val="Normal"/>
    <w:next w:val="Body"/>
    <w:link w:val="Appendix3Char"/>
    <w:autoRedefine/>
    <w:uiPriority w:val="4"/>
    <w:qFormat/>
    <w:rsid w:val="002A2D85"/>
    <w:pPr>
      <w:keepNext/>
      <w:numPr>
        <w:ilvl w:val="2"/>
        <w:numId w:val="1"/>
      </w:numPr>
      <w:spacing w:before="240" w:after="120"/>
      <w:outlineLvl w:val="2"/>
    </w:pPr>
    <w:rPr>
      <w:color w:val="5D6C16" w:themeColor="accent1" w:themeShade="80"/>
      <w:sz w:val="28"/>
    </w:rPr>
  </w:style>
  <w:style w:type="paragraph" w:customStyle="1" w:styleId="SubHeading20">
    <w:name w:val="Sub Heading 2"/>
    <w:basedOn w:val="SubHeading1"/>
    <w:next w:val="Body"/>
    <w:link w:val="SubHeading2Char0"/>
    <w:uiPriority w:val="3"/>
    <w:qFormat/>
    <w:rsid w:val="00F275DF"/>
    <w:rPr>
      <w:sz w:val="24"/>
      <w:szCs w:val="24"/>
      <w:lang w:val="en-GB"/>
    </w:rPr>
  </w:style>
  <w:style w:type="character" w:customStyle="1" w:styleId="SubHeading2Char0">
    <w:name w:val="Sub Heading 2 Char"/>
    <w:basedOn w:val="SubHeading1Char"/>
    <w:link w:val="SubHeading20"/>
    <w:uiPriority w:val="3"/>
    <w:rsid w:val="00F275DF"/>
    <w:rPr>
      <w:rFonts w:ascii="Arial" w:hAnsi="Arial"/>
      <w:bCs/>
      <w:color w:val="5D6C16" w:themeColor="accent1" w:themeShade="80"/>
      <w:sz w:val="24"/>
      <w:szCs w:val="24"/>
      <w:lang w:val="en-GB"/>
    </w:rPr>
  </w:style>
  <w:style w:type="paragraph" w:customStyle="1" w:styleId="AppendixHeading1">
    <w:name w:val="Appendix Heading 1"/>
    <w:basedOn w:val="MajorHeading"/>
    <w:next w:val="Body"/>
    <w:link w:val="AppendixHeading1Char"/>
    <w:autoRedefine/>
    <w:qFormat/>
    <w:rsid w:val="00244416"/>
    <w:pPr>
      <w:numPr>
        <w:numId w:val="12"/>
      </w:numPr>
    </w:pPr>
    <w:rPr>
      <w:rFonts w:cstheme="majorBidi"/>
    </w:rPr>
  </w:style>
  <w:style w:type="character" w:customStyle="1" w:styleId="AppendixHeading1Char">
    <w:name w:val="Appendix Heading 1 Char"/>
    <w:basedOn w:val="Heading1Char"/>
    <w:link w:val="AppendixHeading1"/>
    <w:rsid w:val="00244416"/>
    <w:rPr>
      <w:rFonts w:ascii="Arial" w:hAnsi="Arial" w:cstheme="majorBidi"/>
      <w:color w:val="B7D432" w:themeColor="accent1"/>
      <w:sz w:val="40"/>
      <w:szCs w:val="40"/>
    </w:rPr>
  </w:style>
  <w:style w:type="table" w:customStyle="1" w:styleId="SRC1">
    <w:name w:val="SRC 1"/>
    <w:basedOn w:val="TableNormal"/>
    <w:uiPriority w:val="99"/>
    <w:rsid w:val="00244416"/>
    <w:rPr>
      <w:rFonts w:ascii="Arial" w:hAnsi="Arial"/>
      <w:szCs w:val="22"/>
    </w:rPr>
    <w:tblPr>
      <w:tblStyleRowBandSize w:val="1"/>
      <w:tblStyleColBandSize w:val="1"/>
      <w:tblBorders>
        <w:bottom w:val="single" w:sz="4" w:space="0" w:color="B7D432" w:themeColor="accent1"/>
      </w:tblBorders>
    </w:tblPr>
    <w:tblStylePr w:type="firstRow">
      <w:pPr>
        <w:wordWrap/>
        <w:spacing w:beforeLines="0" w:before="60" w:beforeAutospacing="0" w:afterLines="0" w:after="60" w:afterAutospacing="0" w:line="240" w:lineRule="auto"/>
        <w:contextualSpacing w:val="0"/>
        <w:jc w:val="left"/>
      </w:pPr>
      <w:rPr>
        <w:rFonts w:ascii="Arial" w:hAnsi="Arial"/>
        <w:b/>
        <w:color w:val="FFFFFF" w:themeColor="background1"/>
        <w:sz w:val="18"/>
      </w:rPr>
      <w:tblPr/>
      <w:tcPr>
        <w:shd w:val="clear" w:color="auto" w:fill="B7D432" w:themeFill="accent1"/>
        <w:vAlign w:val="center"/>
      </w:tcPr>
    </w:tblStylePr>
    <w:tblStylePr w:type="lastRow">
      <w:pPr>
        <w:wordWrap/>
        <w:spacing w:beforeLines="0" w:before="60" w:beforeAutospacing="0" w:afterLines="0" w:after="60" w:afterAutospacing="0" w:line="240" w:lineRule="auto"/>
        <w:contextualSpacing w:val="0"/>
        <w:jc w:val="left"/>
      </w:pPr>
      <w:rPr>
        <w:rFonts w:ascii="Arial" w:hAnsi="Arial"/>
        <w:sz w:val="18"/>
      </w:rPr>
    </w:tblStylePr>
    <w:tblStylePr w:type="firstCol">
      <w:pPr>
        <w:wordWrap/>
        <w:spacing w:beforeLines="0" w:before="60" w:beforeAutospacing="0" w:afterLines="0" w:after="60" w:afterAutospacing="0" w:line="240" w:lineRule="auto"/>
        <w:contextualSpacing w:val="0"/>
        <w:jc w:val="left"/>
      </w:pPr>
      <w:rPr>
        <w:rFonts w:ascii="Arial" w:hAnsi="Arial"/>
        <w:sz w:val="18"/>
      </w:rPr>
      <w:tblPr/>
      <w:tcPr>
        <w:vAlign w:val="center"/>
      </w:tcPr>
    </w:tblStylePr>
    <w:tblStylePr w:type="lastCol">
      <w:rPr>
        <w:rFonts w:ascii="Arial" w:hAnsi="Arial"/>
        <w:sz w:val="18"/>
      </w:rPr>
    </w:tblStylePr>
    <w:tblStylePr w:type="band1Vert">
      <w:pPr>
        <w:wordWrap/>
        <w:spacing w:beforeLines="0" w:before="60" w:beforeAutospacing="0" w:afterLines="0" w:after="60" w:afterAutospacing="0" w:line="240" w:lineRule="auto"/>
        <w:ind w:rightChars="0" w:right="113"/>
        <w:contextualSpacing w:val="0"/>
        <w:jc w:val="left"/>
        <w:outlineLvl w:val="9"/>
      </w:pPr>
      <w:rPr>
        <w:rFonts w:ascii="Arial" w:hAnsi="Arial"/>
        <w:sz w:val="18"/>
      </w:rPr>
      <w:tblPr/>
      <w:tcPr>
        <w:vAlign w:val="center"/>
      </w:tcPr>
    </w:tblStylePr>
    <w:tblStylePr w:type="band2Vert">
      <w:pPr>
        <w:wordWrap/>
        <w:spacing w:beforeLines="0" w:before="60" w:beforeAutospacing="0" w:afterLines="0" w:after="60" w:afterAutospacing="0" w:line="240" w:lineRule="auto"/>
        <w:ind w:rightChars="0" w:right="113"/>
        <w:contextualSpacing w:val="0"/>
        <w:jc w:val="left"/>
      </w:pPr>
      <w:rPr>
        <w:rFonts w:ascii="Arial" w:hAnsi="Arial"/>
        <w:sz w:val="18"/>
      </w:rPr>
      <w:tblPr/>
      <w:tcPr>
        <w:vAlign w:val="center"/>
      </w:tcPr>
    </w:tblStylePr>
    <w:tblStylePr w:type="band1Horz">
      <w:pPr>
        <w:wordWrap/>
        <w:spacing w:beforeLines="0" w:before="60" w:beforeAutospacing="0" w:afterLines="0" w:after="60" w:afterAutospacing="0" w:line="240" w:lineRule="auto"/>
        <w:ind w:rightChars="0" w:right="0"/>
        <w:contextualSpacing w:val="0"/>
        <w:mirrorIndents w:val="0"/>
        <w:jc w:val="left"/>
      </w:pPr>
      <w:rPr>
        <w:rFonts w:ascii="Arial" w:hAnsi="Arial"/>
        <w:sz w:val="18"/>
      </w:rPr>
      <w:tblPr/>
      <w:tcPr>
        <w:shd w:val="clear" w:color="auto" w:fill="F0F6D5" w:themeFill="accent1" w:themeFillTint="33"/>
        <w:vAlign w:val="center"/>
      </w:tcPr>
    </w:tblStylePr>
    <w:tblStylePr w:type="band2Horz">
      <w:pPr>
        <w:wordWrap/>
        <w:spacing w:beforeLines="0" w:before="60" w:beforeAutospacing="0" w:afterLines="0" w:after="60" w:afterAutospacing="0"/>
        <w:contextualSpacing w:val="0"/>
        <w:jc w:val="left"/>
      </w:pPr>
      <w:rPr>
        <w:rFonts w:ascii="Arial" w:hAnsi="Arial"/>
        <w:sz w:val="18"/>
      </w:rPr>
      <w:tblPr/>
      <w:tcPr>
        <w:vAlign w:val="center"/>
      </w:tcPr>
    </w:tblStylePr>
    <w:tblStylePr w:type="neCell">
      <w:rPr>
        <w:rFonts w:ascii="Arial" w:hAnsi="Arial"/>
        <w:sz w:val="18"/>
      </w:rPr>
    </w:tblStylePr>
    <w:tblStylePr w:type="nwCell">
      <w:rPr>
        <w:rFonts w:ascii="Arial" w:hAnsi="Arial"/>
        <w:sz w:val="18"/>
      </w:rPr>
    </w:tblStylePr>
    <w:tblStylePr w:type="seCell">
      <w:rPr>
        <w:rFonts w:ascii="Arial" w:hAnsi="Arial"/>
        <w:sz w:val="18"/>
      </w:rPr>
    </w:tblStylePr>
    <w:tblStylePr w:type="swCell">
      <w:rPr>
        <w:rFonts w:ascii="Arial" w:hAnsi="Arial"/>
        <w:sz w:val="18"/>
      </w:rPr>
    </w:tblStylePr>
  </w:style>
  <w:style w:type="paragraph" w:customStyle="1" w:styleId="AppendixHeading2">
    <w:name w:val="Appendix Heading 2"/>
    <w:basedOn w:val="Normal"/>
    <w:next w:val="Body"/>
    <w:uiPriority w:val="99"/>
    <w:rsid w:val="00244416"/>
    <w:pPr>
      <w:numPr>
        <w:ilvl w:val="1"/>
        <w:numId w:val="12"/>
      </w:numPr>
    </w:pPr>
    <w:rPr>
      <w:color w:val="B7D432" w:themeColor="accent1"/>
      <w:sz w:val="32"/>
      <w:szCs w:val="32"/>
    </w:rPr>
  </w:style>
  <w:style w:type="paragraph" w:customStyle="1" w:styleId="Appendixheading3">
    <w:name w:val="Appendix heading 3"/>
    <w:basedOn w:val="Heading3"/>
    <w:next w:val="Body"/>
    <w:uiPriority w:val="99"/>
    <w:qFormat/>
    <w:rsid w:val="00244416"/>
    <w:pPr>
      <w:numPr>
        <w:numId w:val="12"/>
      </w:numPr>
    </w:pPr>
  </w:style>
  <w:style w:type="paragraph" w:customStyle="1" w:styleId="NoParagraphStyle">
    <w:name w:val="[No Paragraph Style]"/>
    <w:autoRedefine/>
    <w:qFormat/>
    <w:rsid w:val="00244416"/>
    <w:pPr>
      <w:widowControl w:val="0"/>
      <w:autoSpaceDE w:val="0"/>
      <w:autoSpaceDN w:val="0"/>
      <w:adjustRightInd w:val="0"/>
      <w:spacing w:before="0" w:after="0" w:line="288" w:lineRule="auto"/>
      <w:textAlignment w:val="center"/>
    </w:pPr>
    <w:rPr>
      <w:rFonts w:ascii="Calibri" w:eastAsiaTheme="minorEastAsia" w:hAnsi="Calibri" w:cs="MinionPro-Regular"/>
      <w:b/>
      <w:bCs/>
      <w:caps/>
      <w:color w:val="FFFFFF" w:themeColor="background1"/>
      <w:sz w:val="32"/>
      <w:szCs w:val="32"/>
      <w:lang w:val="en-GB"/>
    </w:rPr>
  </w:style>
  <w:style w:type="paragraph" w:customStyle="1" w:styleId="Intropullout">
    <w:name w:val="Intro/pull out"/>
    <w:autoRedefine/>
    <w:uiPriority w:val="99"/>
    <w:qFormat/>
    <w:rsid w:val="00244416"/>
    <w:pPr>
      <w:widowControl w:val="0"/>
      <w:suppressAutoHyphens/>
      <w:autoSpaceDE w:val="0"/>
      <w:autoSpaceDN w:val="0"/>
      <w:adjustRightInd w:val="0"/>
      <w:spacing w:before="113" w:after="170" w:line="300" w:lineRule="atLeast"/>
      <w:textAlignment w:val="center"/>
    </w:pPr>
    <w:rPr>
      <w:rFonts w:ascii="Calibri" w:eastAsiaTheme="minorEastAsia" w:hAnsi="Calibri" w:cs="DINOT-Light"/>
      <w:color w:val="004459"/>
      <w:spacing w:val="-2"/>
      <w:sz w:val="23"/>
      <w:szCs w:val="23"/>
      <w:lang w:val="en-GB"/>
    </w:rPr>
  </w:style>
  <w:style w:type="paragraph" w:customStyle="1" w:styleId="Subhead2">
    <w:name w:val="Subhead 2"/>
    <w:autoRedefine/>
    <w:uiPriority w:val="99"/>
    <w:qFormat/>
    <w:rsid w:val="00244416"/>
    <w:pPr>
      <w:keepNext/>
      <w:widowControl w:val="0"/>
      <w:tabs>
        <w:tab w:val="left" w:pos="170"/>
        <w:tab w:val="left" w:pos="340"/>
        <w:tab w:val="left" w:pos="510"/>
        <w:tab w:val="left" w:pos="680"/>
      </w:tabs>
      <w:suppressAutoHyphens/>
      <w:autoSpaceDE w:val="0"/>
      <w:autoSpaceDN w:val="0"/>
      <w:adjustRightInd w:val="0"/>
      <w:spacing w:before="227" w:after="0" w:line="280" w:lineRule="atLeast"/>
      <w:textAlignment w:val="center"/>
    </w:pPr>
    <w:rPr>
      <w:rFonts w:ascii="DINOT-Medium" w:eastAsiaTheme="minorEastAsia" w:hAnsi="DINOT-Medium" w:cs="DINOT-Medium"/>
      <w:color w:val="00777B"/>
      <w:spacing w:val="-1"/>
      <w:sz w:val="20"/>
      <w:szCs w:val="20"/>
      <w:lang w:val="en-GB"/>
    </w:rPr>
  </w:style>
  <w:style w:type="paragraph" w:customStyle="1" w:styleId="dashboard">
    <w:name w:val="dashboard #"/>
    <w:qFormat/>
    <w:rsid w:val="00244416"/>
    <w:pPr>
      <w:spacing w:before="0" w:after="1920"/>
      <w:ind w:left="425"/>
    </w:pPr>
    <w:rPr>
      <w:rFonts w:asciiTheme="majorHAnsi" w:eastAsiaTheme="minorEastAsia" w:hAnsiTheme="majorHAnsi" w:cs="Times New Roman"/>
      <w:b/>
      <w:color w:val="FFFFFF"/>
      <w:sz w:val="20"/>
      <w:szCs w:val="20"/>
      <w:lang w:val="en-US"/>
    </w:rPr>
  </w:style>
  <w:style w:type="paragraph" w:customStyle="1" w:styleId="TablecolumnheadAPPX">
    <w:name w:val="Table column head APPX"/>
    <w:basedOn w:val="Normal"/>
    <w:qFormat/>
    <w:rsid w:val="00244416"/>
    <w:pPr>
      <w:widowControl w:val="0"/>
      <w:suppressAutoHyphens/>
      <w:autoSpaceDE w:val="0"/>
      <w:autoSpaceDN w:val="0"/>
      <w:adjustRightInd w:val="0"/>
      <w:spacing w:before="113" w:line="288" w:lineRule="auto"/>
      <w:textAlignment w:val="center"/>
    </w:pPr>
    <w:rPr>
      <w:rFonts w:ascii="Arial-BoldMT" w:eastAsiaTheme="minorEastAsia" w:hAnsi="Arial-BoldMT" w:cs="Arial-BoldMT"/>
      <w:b/>
      <w:bCs/>
      <w:color w:val="000000"/>
      <w:sz w:val="18"/>
      <w:lang w:val="en-GB"/>
    </w:rPr>
  </w:style>
  <w:style w:type="paragraph" w:customStyle="1" w:styleId="TableAPPXbulletALPHA">
    <w:name w:val="Table APPX bullet ALPHA"/>
    <w:basedOn w:val="Normal"/>
    <w:qFormat/>
    <w:rsid w:val="00244416"/>
    <w:pPr>
      <w:widowControl w:val="0"/>
      <w:numPr>
        <w:numId w:val="8"/>
      </w:numPr>
      <w:tabs>
        <w:tab w:val="left" w:pos="283"/>
      </w:tabs>
      <w:suppressAutoHyphens/>
      <w:autoSpaceDE w:val="0"/>
      <w:autoSpaceDN w:val="0"/>
      <w:adjustRightInd w:val="0"/>
      <w:spacing w:before="43" w:line="288" w:lineRule="auto"/>
      <w:textAlignment w:val="center"/>
    </w:pPr>
    <w:rPr>
      <w:rFonts w:ascii="ArialMT" w:eastAsiaTheme="minorEastAsia" w:hAnsi="ArialMT" w:cs="ArialMT"/>
      <w:color w:val="000000"/>
      <w:sz w:val="18"/>
      <w:lang w:val="en-GB"/>
    </w:rPr>
  </w:style>
  <w:style w:type="paragraph" w:customStyle="1" w:styleId="Body01">
    <w:name w:val="Body 01"/>
    <w:uiPriority w:val="99"/>
    <w:rsid w:val="00244416"/>
    <w:pPr>
      <w:spacing w:before="240" w:after="0" w:line="240" w:lineRule="atLeast"/>
    </w:pPr>
    <w:rPr>
      <w:rFonts w:asciiTheme="majorHAnsi" w:eastAsiaTheme="minorEastAsia" w:hAnsiTheme="majorHAnsi" w:cs="Gotham-Light"/>
      <w:color w:val="000A23"/>
      <w:spacing w:val="-2"/>
      <w:sz w:val="20"/>
      <w:lang w:val="en-GB"/>
    </w:rPr>
  </w:style>
  <w:style w:type="character" w:customStyle="1" w:styleId="Body02BOLD">
    <w:name w:val="Body 02 BOLD"/>
    <w:uiPriority w:val="1"/>
    <w:qFormat/>
    <w:rsid w:val="00244416"/>
    <w:rPr>
      <w:rFonts w:cs="Gotham-Book"/>
      <w:b/>
    </w:rPr>
  </w:style>
  <w:style w:type="paragraph" w:customStyle="1" w:styleId="Bodyruleabove">
    <w:name w:val="Body rule above"/>
    <w:basedOn w:val="Normal"/>
    <w:uiPriority w:val="99"/>
    <w:rsid w:val="00244416"/>
    <w:pPr>
      <w:widowControl w:val="0"/>
      <w:suppressAutoHyphens/>
      <w:autoSpaceDE w:val="0"/>
      <w:autoSpaceDN w:val="0"/>
      <w:adjustRightInd w:val="0"/>
      <w:spacing w:before="227" w:line="240" w:lineRule="atLeast"/>
      <w:textAlignment w:val="center"/>
    </w:pPr>
    <w:rPr>
      <w:rFonts w:ascii="Gotham-Light" w:eastAsiaTheme="minorEastAsia" w:hAnsi="Gotham-Light" w:cs="Gotham-Light"/>
      <w:color w:val="000A23"/>
      <w:spacing w:val="-2"/>
      <w:sz w:val="18"/>
      <w:lang w:val="en-GB"/>
    </w:rPr>
  </w:style>
  <w:style w:type="paragraph" w:customStyle="1" w:styleId="Bullet01">
    <w:name w:val="Bullet 01"/>
    <w:basedOn w:val="Body01"/>
    <w:uiPriority w:val="99"/>
    <w:rsid w:val="00244416"/>
    <w:pPr>
      <w:widowControl w:val="0"/>
      <w:tabs>
        <w:tab w:val="left" w:pos="170"/>
      </w:tabs>
      <w:suppressAutoHyphens/>
      <w:autoSpaceDE w:val="0"/>
      <w:autoSpaceDN w:val="0"/>
      <w:adjustRightInd w:val="0"/>
      <w:spacing w:before="57"/>
      <w:ind w:left="170" w:hanging="170"/>
      <w:textAlignment w:val="center"/>
    </w:pPr>
  </w:style>
  <w:style w:type="paragraph" w:customStyle="1" w:styleId="Documenttitle">
    <w:name w:val="Document title"/>
    <w:uiPriority w:val="99"/>
    <w:rsid w:val="00244416"/>
    <w:pPr>
      <w:widowControl w:val="0"/>
      <w:suppressAutoHyphens/>
      <w:autoSpaceDE w:val="0"/>
      <w:autoSpaceDN w:val="0"/>
      <w:adjustRightInd w:val="0"/>
      <w:spacing w:before="0" w:after="720" w:line="720" w:lineRule="atLeast"/>
      <w:ind w:left="426"/>
      <w:textAlignment w:val="center"/>
    </w:pPr>
    <w:rPr>
      <w:rFonts w:asciiTheme="majorHAnsi" w:eastAsiaTheme="minorEastAsia" w:hAnsiTheme="majorHAnsi" w:cs="CaeciliaLTStd-Heavy"/>
      <w:color w:val="FFFFFF" w:themeColor="background1"/>
      <w:spacing w:val="-6"/>
      <w:sz w:val="62"/>
      <w:szCs w:val="62"/>
      <w:lang w:val="en-GB"/>
    </w:rPr>
  </w:style>
  <w:style w:type="paragraph" w:customStyle="1" w:styleId="Intropara">
    <w:name w:val="Intro para"/>
    <w:qFormat/>
    <w:rsid w:val="00244416"/>
    <w:pPr>
      <w:spacing w:before="0" w:after="0" w:line="220" w:lineRule="exact"/>
    </w:pPr>
    <w:rPr>
      <w:rFonts w:asciiTheme="majorHAnsi" w:eastAsiaTheme="minorEastAsia" w:hAnsiTheme="majorHAnsi" w:cs="CaeciliaLTStd-Heavy"/>
      <w:sz w:val="24"/>
      <w:szCs w:val="21"/>
      <w:lang w:val="en-GB"/>
    </w:rPr>
  </w:style>
  <w:style w:type="paragraph" w:customStyle="1" w:styleId="tablesub01">
    <w:name w:val="table sub 01"/>
    <w:basedOn w:val="Bodyruleabove"/>
    <w:uiPriority w:val="99"/>
    <w:rsid w:val="00244416"/>
    <w:rPr>
      <w:rFonts w:ascii="Calibri" w:hAnsi="Calibri" w:cs="Gotham-Medium"/>
      <w:sz w:val="22"/>
    </w:rPr>
  </w:style>
  <w:style w:type="paragraph" w:customStyle="1" w:styleId="tablesubhead">
    <w:name w:val="table subhead"/>
    <w:qFormat/>
    <w:rsid w:val="00244416"/>
    <w:pPr>
      <w:spacing w:before="0" w:after="0"/>
    </w:pPr>
    <w:rPr>
      <w:rFonts w:asciiTheme="majorHAnsi" w:eastAsiaTheme="minorEastAsia" w:hAnsiTheme="majorHAnsi" w:cs="Gotham-Book"/>
      <w:b/>
      <w:spacing w:val="-4"/>
      <w:sz w:val="20"/>
      <w:lang w:val="en-GB"/>
    </w:rPr>
  </w:style>
  <w:style w:type="paragraph" w:customStyle="1" w:styleId="Tabletext">
    <w:name w:val="Table text"/>
    <w:link w:val="TabletextChar"/>
    <w:qFormat/>
    <w:rsid w:val="00244416"/>
    <w:pPr>
      <w:spacing w:before="0" w:after="0"/>
    </w:pPr>
    <w:rPr>
      <w:rFonts w:asciiTheme="majorHAnsi" w:eastAsiaTheme="minorEastAsia" w:hAnsiTheme="majorHAnsi" w:cs="Gotham-Light"/>
      <w:color w:val="000A23"/>
      <w:spacing w:val="-2"/>
      <w:sz w:val="20"/>
      <w:lang w:val="en-GB"/>
    </w:rPr>
  </w:style>
  <w:style w:type="paragraph" w:customStyle="1" w:styleId="Sub03">
    <w:name w:val="Sub 03"/>
    <w:basedOn w:val="tablesub01"/>
    <w:qFormat/>
    <w:rsid w:val="00244416"/>
  </w:style>
  <w:style w:type="paragraph" w:customStyle="1" w:styleId="Sub1">
    <w:name w:val="Sub 1"/>
    <w:basedOn w:val="Normal"/>
    <w:uiPriority w:val="99"/>
    <w:rsid w:val="00244416"/>
    <w:pPr>
      <w:widowControl w:val="0"/>
      <w:pBdr>
        <w:bottom w:val="dashSmallGap" w:sz="4" w:space="6" w:color="auto"/>
      </w:pBdr>
      <w:suppressAutoHyphens/>
      <w:autoSpaceDE w:val="0"/>
      <w:autoSpaceDN w:val="0"/>
      <w:adjustRightInd w:val="0"/>
      <w:spacing w:before="240" w:after="60" w:line="280" w:lineRule="atLeast"/>
      <w:textAlignment w:val="center"/>
    </w:pPr>
    <w:rPr>
      <w:rFonts w:ascii="Calibri" w:eastAsiaTheme="minorEastAsia" w:hAnsi="Calibri" w:cs="CaeciliaLTStd-Heavy"/>
      <w:b/>
      <w:spacing w:val="-4"/>
      <w:szCs w:val="21"/>
      <w:lang w:val="en-GB"/>
    </w:rPr>
  </w:style>
  <w:style w:type="paragraph" w:customStyle="1" w:styleId="Sub1nounderline">
    <w:name w:val="Sub 1 no underline"/>
    <w:basedOn w:val="Normal"/>
    <w:qFormat/>
    <w:rsid w:val="00244416"/>
    <w:pPr>
      <w:widowControl w:val="0"/>
      <w:suppressAutoHyphens/>
      <w:autoSpaceDE w:val="0"/>
      <w:autoSpaceDN w:val="0"/>
      <w:adjustRightInd w:val="0"/>
      <w:spacing w:before="240" w:after="60" w:line="260" w:lineRule="atLeast"/>
      <w:textAlignment w:val="center"/>
    </w:pPr>
    <w:rPr>
      <w:rFonts w:asciiTheme="majorHAnsi" w:eastAsiaTheme="minorEastAsia" w:hAnsiTheme="majorHAnsi" w:cs="Gotham-Book"/>
      <w:b/>
      <w:spacing w:val="-4"/>
      <w:szCs w:val="24"/>
      <w:lang w:val="en-GB"/>
    </w:rPr>
  </w:style>
  <w:style w:type="paragraph" w:customStyle="1" w:styleId="Tablecolumnheader">
    <w:name w:val="Table column header"/>
    <w:basedOn w:val="Sub1"/>
    <w:qFormat/>
    <w:rsid w:val="00244416"/>
    <w:pPr>
      <w:spacing w:before="100" w:beforeAutospacing="1"/>
    </w:pPr>
  </w:style>
  <w:style w:type="paragraph" w:customStyle="1" w:styleId="Programtitle">
    <w:name w:val="Program title"/>
    <w:basedOn w:val="Header"/>
    <w:next w:val="NoParagraphStyle"/>
    <w:qFormat/>
    <w:rsid w:val="00244416"/>
    <w:pPr>
      <w:tabs>
        <w:tab w:val="clear" w:pos="4513"/>
        <w:tab w:val="clear" w:pos="9026"/>
        <w:tab w:val="center" w:pos="4320"/>
        <w:tab w:val="right" w:pos="8640"/>
      </w:tabs>
      <w:spacing w:after="180"/>
    </w:pPr>
    <w:rPr>
      <w:rFonts w:eastAsiaTheme="minorEastAsia" w:cs="Arial"/>
      <w:caps/>
      <w:color w:val="FFFFFF" w:themeColor="background1"/>
      <w:sz w:val="26"/>
      <w:szCs w:val="26"/>
      <w:lang w:val="en-GB"/>
    </w:rPr>
  </w:style>
  <w:style w:type="paragraph" w:customStyle="1" w:styleId="Featuretext">
    <w:name w:val="Feature text"/>
    <w:basedOn w:val="Normal"/>
    <w:qFormat/>
    <w:rsid w:val="00244416"/>
    <w:pPr>
      <w:widowControl w:val="0"/>
      <w:tabs>
        <w:tab w:val="left" w:pos="510"/>
        <w:tab w:val="left" w:pos="680"/>
      </w:tabs>
      <w:suppressAutoHyphens/>
      <w:autoSpaceDE w:val="0"/>
      <w:autoSpaceDN w:val="0"/>
      <w:adjustRightInd w:val="0"/>
      <w:spacing w:before="57" w:line="240" w:lineRule="atLeast"/>
      <w:textAlignment w:val="center"/>
    </w:pPr>
    <w:rPr>
      <w:rFonts w:eastAsiaTheme="minorEastAsia" w:cs="VIC-Regular"/>
      <w:color w:val="00455B"/>
      <w:spacing w:val="4"/>
      <w:sz w:val="18"/>
      <w:lang w:val="en-GB"/>
    </w:rPr>
  </w:style>
  <w:style w:type="paragraph" w:customStyle="1" w:styleId="Followerdocumenttitle">
    <w:name w:val="Follower document title"/>
    <w:basedOn w:val="Normal"/>
    <w:qFormat/>
    <w:rsid w:val="00244416"/>
    <w:pPr>
      <w:keepNext/>
      <w:keepLines/>
      <w:spacing w:after="120"/>
      <w:outlineLvl w:val="0"/>
    </w:pPr>
    <w:rPr>
      <w:rFonts w:eastAsiaTheme="majorEastAsia" w:cs="Arial"/>
      <w:b/>
      <w:bCs/>
      <w:caps/>
      <w:color w:val="00455B"/>
      <w:sz w:val="22"/>
      <w:szCs w:val="32"/>
      <w:lang w:val="en-US"/>
    </w:rPr>
  </w:style>
  <w:style w:type="character" w:customStyle="1" w:styleId="Teal">
    <w:name w:val="Teal"/>
    <w:uiPriority w:val="1"/>
    <w:qFormat/>
    <w:rsid w:val="00244416"/>
    <w:rPr>
      <w:color w:val="009096"/>
    </w:rPr>
  </w:style>
  <w:style w:type="paragraph" w:customStyle="1" w:styleId="Subtitle03">
    <w:name w:val="Subtitle 03"/>
    <w:basedOn w:val="NoParagraphStyle"/>
    <w:autoRedefine/>
    <w:qFormat/>
    <w:rsid w:val="00244416"/>
    <w:pPr>
      <w:spacing w:before="80" w:line="240" w:lineRule="exact"/>
    </w:pPr>
    <w:rPr>
      <w:rFonts w:ascii="Arial" w:hAnsi="Arial" w:cs="Arial"/>
      <w:b w:val="0"/>
      <w:color w:val="000000"/>
      <w:sz w:val="19"/>
      <w:szCs w:val="19"/>
    </w:rPr>
  </w:style>
  <w:style w:type="character" w:customStyle="1" w:styleId="Italic">
    <w:name w:val="Italic"/>
    <w:basedOn w:val="DefaultParagraphFont"/>
    <w:uiPriority w:val="1"/>
    <w:qFormat/>
    <w:rsid w:val="00244416"/>
    <w:rPr>
      <w:i/>
    </w:rPr>
  </w:style>
  <w:style w:type="paragraph" w:customStyle="1" w:styleId="DocTitle-1">
    <w:name w:val="Doc Title - 1"/>
    <w:basedOn w:val="NoParagraphStyle"/>
    <w:uiPriority w:val="99"/>
    <w:rsid w:val="00244416"/>
    <w:pPr>
      <w:suppressAutoHyphens/>
      <w:spacing w:after="181" w:line="1240" w:lineRule="atLeast"/>
    </w:pPr>
    <w:rPr>
      <w:rFonts w:ascii="Arial-BoldMT" w:hAnsi="Arial-BoldMT" w:cs="Arial-BoldMT"/>
      <w:caps w:val="0"/>
      <w:color w:val="FFFFFF"/>
      <w:spacing w:val="-10"/>
      <w:sz w:val="98"/>
      <w:szCs w:val="98"/>
    </w:rPr>
  </w:style>
  <w:style w:type="paragraph" w:customStyle="1" w:styleId="DocTitle-3tier">
    <w:name w:val="Doc Title - 3 tier"/>
    <w:basedOn w:val="NoParagraphStyle"/>
    <w:uiPriority w:val="99"/>
    <w:rsid w:val="00244416"/>
    <w:pPr>
      <w:suppressAutoHyphens/>
      <w:spacing w:after="80" w:line="640" w:lineRule="atLeast"/>
    </w:pPr>
    <w:rPr>
      <w:rFonts w:ascii="Arial-BoldMT" w:hAnsi="Arial-BoldMT" w:cs="Arial-BoldMT"/>
      <w:color w:val="FFFFFF"/>
      <w:spacing w:val="2"/>
    </w:rPr>
  </w:style>
  <w:style w:type="paragraph" w:customStyle="1" w:styleId="H0ChapterTitle">
    <w:name w:val="H0 Chapter Title"/>
    <w:basedOn w:val="NoParagraphStyle"/>
    <w:uiPriority w:val="99"/>
    <w:rsid w:val="00244416"/>
    <w:pPr>
      <w:suppressAutoHyphens/>
      <w:spacing w:after="850" w:line="480" w:lineRule="atLeast"/>
    </w:pPr>
    <w:rPr>
      <w:rFonts w:ascii="Arial-Black" w:hAnsi="Arial-Black" w:cs="Arial-Black"/>
      <w:b w:val="0"/>
      <w:bCs w:val="0"/>
      <w:caps w:val="0"/>
      <w:color w:val="000000"/>
      <w:sz w:val="36"/>
      <w:szCs w:val="36"/>
    </w:rPr>
  </w:style>
  <w:style w:type="paragraph" w:customStyle="1" w:styleId="Bodycopy">
    <w:name w:val="Body copy"/>
    <w:basedOn w:val="NoParagraphStyle"/>
    <w:autoRedefine/>
    <w:uiPriority w:val="99"/>
    <w:rsid w:val="0024373A"/>
    <w:pPr>
      <w:suppressAutoHyphens/>
      <w:spacing w:before="120" w:line="276" w:lineRule="auto"/>
    </w:pPr>
    <w:rPr>
      <w:rFonts w:ascii="ArialMT" w:hAnsi="ArialMT" w:cs="ArialMT"/>
      <w:b w:val="0"/>
      <w:bCs w:val="0"/>
      <w:caps w:val="0"/>
      <w:color w:val="auto"/>
      <w:sz w:val="20"/>
      <w:szCs w:val="20"/>
    </w:rPr>
  </w:style>
  <w:style w:type="paragraph" w:customStyle="1" w:styleId="H1Bodycopyheader">
    <w:name w:val="H1 Body copy header"/>
    <w:basedOn w:val="NoParagraphStyle"/>
    <w:uiPriority w:val="99"/>
    <w:rsid w:val="00244416"/>
    <w:pPr>
      <w:keepNext/>
      <w:keepLines/>
      <w:suppressAutoHyphens/>
      <w:spacing w:before="340"/>
      <w:ind w:left="567" w:hanging="567"/>
    </w:pPr>
    <w:rPr>
      <w:rFonts w:ascii="ArialMT" w:hAnsi="ArialMT" w:cs="ArialMT"/>
      <w:b w:val="0"/>
      <w:bCs w:val="0"/>
      <w:caps w:val="0"/>
      <w:color w:val="314753"/>
      <w:sz w:val="26"/>
      <w:szCs w:val="26"/>
    </w:rPr>
  </w:style>
  <w:style w:type="paragraph" w:customStyle="1" w:styleId="TableTITLETABLES">
    <w:name w:val="Table TITLE (TABLES)"/>
    <w:basedOn w:val="NoParagraphStyle"/>
    <w:uiPriority w:val="99"/>
    <w:rsid w:val="00244416"/>
    <w:pPr>
      <w:keepNext/>
      <w:suppressAutoHyphens/>
      <w:spacing w:before="397"/>
    </w:pPr>
    <w:rPr>
      <w:rFonts w:ascii="ArialMT" w:hAnsi="ArialMT" w:cs="ArialMT"/>
      <w:b w:val="0"/>
      <w:bCs w:val="0"/>
      <w:caps w:val="0"/>
      <w:color w:val="314753"/>
      <w:sz w:val="20"/>
      <w:szCs w:val="20"/>
    </w:rPr>
  </w:style>
  <w:style w:type="paragraph" w:customStyle="1" w:styleId="TableSPACETABLES">
    <w:name w:val="Table SPACE (TABLES)"/>
    <w:basedOn w:val="NoParagraphStyle"/>
    <w:uiPriority w:val="99"/>
    <w:rsid w:val="00244416"/>
    <w:pPr>
      <w:suppressAutoHyphens/>
      <w:spacing w:before="113" w:after="227"/>
    </w:pPr>
    <w:rPr>
      <w:rFonts w:ascii="Arial-BoldMT" w:hAnsi="Arial-BoldMT" w:cs="Arial-BoldMT"/>
      <w:caps w:val="0"/>
      <w:color w:val="000000"/>
      <w:sz w:val="18"/>
      <w:szCs w:val="18"/>
      <w:lang w:val="en-US"/>
    </w:rPr>
  </w:style>
  <w:style w:type="paragraph" w:customStyle="1" w:styleId="FigTITLE">
    <w:name w:val="Fig TITLE"/>
    <w:basedOn w:val="TableTITLETABLES"/>
    <w:uiPriority w:val="99"/>
    <w:rsid w:val="00244416"/>
    <w:pPr>
      <w:spacing w:after="57"/>
    </w:pPr>
  </w:style>
  <w:style w:type="paragraph" w:customStyle="1" w:styleId="FigSPACE">
    <w:name w:val="Fig SPACE"/>
    <w:basedOn w:val="NoParagraphStyle"/>
    <w:uiPriority w:val="99"/>
    <w:rsid w:val="00244416"/>
    <w:pPr>
      <w:suppressAutoHyphens/>
      <w:spacing w:before="170" w:after="227"/>
    </w:pPr>
    <w:rPr>
      <w:rFonts w:ascii="Arial-BoldMT" w:hAnsi="Arial-BoldMT" w:cs="Arial-BoldMT"/>
      <w:caps w:val="0"/>
      <w:color w:val="000000"/>
      <w:sz w:val="18"/>
      <w:szCs w:val="18"/>
      <w:lang w:val="en-US"/>
    </w:rPr>
  </w:style>
  <w:style w:type="paragraph" w:customStyle="1" w:styleId="TableTextTABLES">
    <w:name w:val="Table Text (TABLES)"/>
    <w:basedOn w:val="NoParagraphStyle"/>
    <w:uiPriority w:val="99"/>
    <w:rsid w:val="00244416"/>
    <w:pPr>
      <w:suppressAutoHyphens/>
      <w:spacing w:before="85"/>
    </w:pPr>
    <w:rPr>
      <w:rFonts w:ascii="ArialMT" w:hAnsi="ArialMT" w:cs="ArialMT"/>
      <w:b w:val="0"/>
      <w:bCs w:val="0"/>
      <w:caps w:val="0"/>
      <w:color w:val="000000"/>
      <w:sz w:val="17"/>
      <w:szCs w:val="17"/>
    </w:rPr>
  </w:style>
  <w:style w:type="paragraph" w:customStyle="1" w:styleId="TablecolumnheadCENTRETABLES">
    <w:name w:val="Table column head CENTRE (TABLES)"/>
    <w:basedOn w:val="TableTextTABLES"/>
    <w:uiPriority w:val="99"/>
    <w:rsid w:val="00244416"/>
    <w:pPr>
      <w:spacing w:before="0" w:line="240" w:lineRule="auto"/>
      <w:jc w:val="center"/>
    </w:pPr>
    <w:rPr>
      <w:rFonts w:ascii="Arial Black" w:hAnsi="Arial Black" w:cs="Arial-BoldMT"/>
      <w:bCs/>
    </w:rPr>
  </w:style>
  <w:style w:type="paragraph" w:customStyle="1" w:styleId="Footnote">
    <w:name w:val="Footnote"/>
    <w:basedOn w:val="NoParagraphStyle"/>
    <w:uiPriority w:val="99"/>
    <w:rsid w:val="00244416"/>
    <w:pPr>
      <w:tabs>
        <w:tab w:val="left" w:pos="170"/>
      </w:tabs>
      <w:suppressAutoHyphens/>
      <w:spacing w:before="28"/>
    </w:pPr>
    <w:rPr>
      <w:rFonts w:ascii="ArialMT" w:hAnsi="ArialMT" w:cs="ArialMT"/>
      <w:b w:val="0"/>
      <w:bCs w:val="0"/>
      <w:caps w:val="0"/>
      <w:color w:val="000000"/>
      <w:sz w:val="16"/>
      <w:szCs w:val="16"/>
    </w:rPr>
  </w:style>
  <w:style w:type="character" w:customStyle="1" w:styleId="Kitalic">
    <w:name w:val="K italic"/>
    <w:uiPriority w:val="99"/>
    <w:rsid w:val="00244416"/>
  </w:style>
  <w:style w:type="paragraph" w:customStyle="1" w:styleId="TabletotalTABLES">
    <w:name w:val="Table total (TABLES)"/>
    <w:basedOn w:val="TableTextTABLES"/>
    <w:uiPriority w:val="99"/>
    <w:rsid w:val="00244416"/>
    <w:rPr>
      <w:rFonts w:ascii="Arial-BoldMT" w:hAnsi="Arial-BoldMT" w:cs="Arial-BoldMT"/>
      <w:b/>
      <w:bCs/>
    </w:rPr>
  </w:style>
  <w:style w:type="paragraph" w:customStyle="1" w:styleId="TablefooterTABLES">
    <w:name w:val="Table footer (TABLES)"/>
    <w:basedOn w:val="TableTextTABLES"/>
    <w:uiPriority w:val="99"/>
    <w:rsid w:val="00244416"/>
    <w:pPr>
      <w:tabs>
        <w:tab w:val="left" w:pos="227"/>
      </w:tabs>
      <w:spacing w:before="28"/>
    </w:pPr>
    <w:rPr>
      <w:sz w:val="14"/>
      <w:szCs w:val="14"/>
    </w:rPr>
  </w:style>
  <w:style w:type="paragraph" w:customStyle="1" w:styleId="Tablecolumnhead2TABLES">
    <w:name w:val="Table column head 2 (TABLES)"/>
    <w:basedOn w:val="TablecolumnheadCENTRETABLES"/>
    <w:uiPriority w:val="99"/>
    <w:rsid w:val="00244416"/>
    <w:pPr>
      <w:jc w:val="left"/>
    </w:pPr>
  </w:style>
  <w:style w:type="character" w:customStyle="1" w:styleId="AtleticoMED">
    <w:name w:val="Atletico MED"/>
    <w:uiPriority w:val="99"/>
    <w:rsid w:val="00244416"/>
  </w:style>
  <w:style w:type="paragraph" w:customStyle="1" w:styleId="ListingsContents">
    <w:name w:val="Listings (Contents)"/>
    <w:basedOn w:val="NoParagraphStyle"/>
    <w:uiPriority w:val="99"/>
    <w:rsid w:val="00244416"/>
    <w:pPr>
      <w:tabs>
        <w:tab w:val="left" w:pos="283"/>
        <w:tab w:val="left" w:pos="2268"/>
        <w:tab w:val="right" w:pos="7370"/>
      </w:tabs>
      <w:suppressAutoHyphens/>
      <w:spacing w:after="113"/>
    </w:pPr>
    <w:rPr>
      <w:rFonts w:ascii="ArialMT" w:hAnsi="ArialMT" w:cs="ArialMT"/>
      <w:b w:val="0"/>
      <w:bCs w:val="0"/>
      <w:caps w:val="0"/>
      <w:color w:val="000000"/>
      <w:spacing w:val="-1"/>
      <w:sz w:val="20"/>
      <w:szCs w:val="20"/>
    </w:rPr>
  </w:style>
  <w:style w:type="character" w:customStyle="1" w:styleId="KlavikaMED">
    <w:name w:val="Klavika MED"/>
    <w:uiPriority w:val="99"/>
    <w:rsid w:val="00244416"/>
  </w:style>
  <w:style w:type="paragraph" w:customStyle="1" w:styleId="Bullettier1">
    <w:name w:val="Bullet tier 1"/>
    <w:basedOn w:val="Normal"/>
    <w:uiPriority w:val="99"/>
    <w:rsid w:val="00244416"/>
    <w:pPr>
      <w:widowControl w:val="0"/>
      <w:tabs>
        <w:tab w:val="left" w:pos="170"/>
      </w:tabs>
      <w:suppressAutoHyphens/>
      <w:autoSpaceDE w:val="0"/>
      <w:autoSpaceDN w:val="0"/>
      <w:adjustRightInd w:val="0"/>
      <w:spacing w:before="40"/>
      <w:ind w:left="170" w:hanging="170"/>
      <w:textAlignment w:val="center"/>
    </w:pPr>
    <w:rPr>
      <w:rFonts w:ascii="ArialMT" w:eastAsiaTheme="minorEastAsia" w:hAnsi="ArialMT" w:cs="ArialMT"/>
      <w:color w:val="000000"/>
      <w:sz w:val="17"/>
      <w:szCs w:val="17"/>
      <w:lang w:val="en-GB"/>
    </w:rPr>
  </w:style>
  <w:style w:type="character" w:customStyle="1" w:styleId="Superscript">
    <w:name w:val="Superscript"/>
    <w:uiPriority w:val="99"/>
    <w:rsid w:val="00244416"/>
    <w:rPr>
      <w:vertAlign w:val="superscript"/>
    </w:rPr>
  </w:style>
  <w:style w:type="paragraph" w:customStyle="1" w:styleId="TableBULLETTABLES">
    <w:name w:val="Table BULLET (TABLES)"/>
    <w:basedOn w:val="TableTextTABLES"/>
    <w:uiPriority w:val="99"/>
    <w:rsid w:val="00244416"/>
    <w:pPr>
      <w:tabs>
        <w:tab w:val="left" w:pos="170"/>
      </w:tabs>
      <w:spacing w:before="57"/>
      <w:ind w:left="170" w:hanging="170"/>
    </w:pPr>
  </w:style>
  <w:style w:type="character" w:customStyle="1" w:styleId="Aunderline">
    <w:name w:val="A underline"/>
    <w:uiPriority w:val="99"/>
    <w:rsid w:val="00244416"/>
    <w:rPr>
      <w:u w:val="thick"/>
    </w:rPr>
  </w:style>
  <w:style w:type="character" w:customStyle="1" w:styleId="Aitalic">
    <w:name w:val="A italic"/>
    <w:uiPriority w:val="99"/>
    <w:rsid w:val="00244416"/>
  </w:style>
  <w:style w:type="paragraph" w:customStyle="1" w:styleId="TableTEXTAPPXTABLES">
    <w:name w:val="Table TEXT APPX (TABLES)"/>
    <w:basedOn w:val="TableTextTABLES"/>
    <w:uiPriority w:val="99"/>
    <w:rsid w:val="00244416"/>
    <w:pPr>
      <w:tabs>
        <w:tab w:val="left" w:pos="283"/>
      </w:tabs>
      <w:spacing w:before="43"/>
    </w:pPr>
  </w:style>
  <w:style w:type="paragraph" w:customStyle="1" w:styleId="Footerrunning">
    <w:name w:val="Footer (running)"/>
    <w:basedOn w:val="NoParagraphStyle"/>
    <w:uiPriority w:val="99"/>
    <w:rsid w:val="00244416"/>
    <w:pPr>
      <w:suppressAutoHyphens/>
      <w:spacing w:after="80"/>
    </w:pPr>
    <w:rPr>
      <w:rFonts w:ascii="ArialMT" w:hAnsi="ArialMT" w:cs="ArialMT"/>
      <w:b w:val="0"/>
      <w:bCs w:val="0"/>
      <w:caps w:val="0"/>
      <w:color w:val="000000"/>
      <w:spacing w:val="1"/>
      <w:sz w:val="18"/>
      <w:szCs w:val="18"/>
    </w:rPr>
  </w:style>
  <w:style w:type="character" w:customStyle="1" w:styleId="KlavikaREGDKgreen">
    <w:name w:val="Klavika REG DK green"/>
    <w:uiPriority w:val="99"/>
    <w:rsid w:val="00244416"/>
    <w:rPr>
      <w:color w:val="000000"/>
    </w:rPr>
  </w:style>
  <w:style w:type="paragraph" w:customStyle="1" w:styleId="H2Bodycopyheader">
    <w:name w:val="H2 Body copy header"/>
    <w:basedOn w:val="NoParagraphStyle"/>
    <w:uiPriority w:val="99"/>
    <w:rsid w:val="00244416"/>
    <w:pPr>
      <w:keepNext/>
      <w:keepLines/>
      <w:tabs>
        <w:tab w:val="left" w:pos="567"/>
      </w:tabs>
      <w:suppressAutoHyphens/>
      <w:spacing w:before="227"/>
      <w:ind w:left="567" w:hanging="567"/>
    </w:pPr>
    <w:rPr>
      <w:rFonts w:ascii="Arial-BoldMT" w:hAnsi="Arial-BoldMT" w:cs="Arial-BoldMT"/>
      <w:caps w:val="0"/>
      <w:color w:val="000000"/>
      <w:sz w:val="22"/>
      <w:szCs w:val="22"/>
    </w:rPr>
  </w:style>
  <w:style w:type="paragraph" w:customStyle="1" w:styleId="TableTABLES">
    <w:name w:val="Table # (TABLES)"/>
    <w:basedOn w:val="TableTextTABLES"/>
    <w:uiPriority w:val="99"/>
    <w:rsid w:val="00244416"/>
    <w:pPr>
      <w:spacing w:before="28"/>
    </w:pPr>
  </w:style>
  <w:style w:type="paragraph" w:customStyle="1" w:styleId="DocumentTitle1">
    <w:name w:val="Document Title 1"/>
    <w:basedOn w:val="NoParagraphStyle"/>
    <w:uiPriority w:val="99"/>
    <w:rsid w:val="00244416"/>
    <w:pPr>
      <w:suppressAutoHyphens/>
      <w:spacing w:after="181" w:line="1240" w:lineRule="atLeast"/>
    </w:pPr>
    <w:rPr>
      <w:rFonts w:ascii="Arial" w:hAnsi="Arial" w:cs="Arial"/>
      <w:caps w:val="0"/>
      <w:color w:val="auto"/>
      <w:spacing w:val="-10"/>
      <w:sz w:val="48"/>
      <w:szCs w:val="48"/>
    </w:rPr>
  </w:style>
  <w:style w:type="paragraph" w:customStyle="1" w:styleId="DocumentTitle3">
    <w:name w:val="Document Title 3"/>
    <w:basedOn w:val="NoParagraphStyle"/>
    <w:uiPriority w:val="99"/>
    <w:rsid w:val="00244416"/>
    <w:pPr>
      <w:suppressAutoHyphens/>
      <w:spacing w:after="80" w:line="640" w:lineRule="atLeast"/>
    </w:pPr>
    <w:rPr>
      <w:rFonts w:ascii="ArialMT" w:hAnsi="ArialMT" w:cs="ArialMT"/>
      <w:b w:val="0"/>
      <w:bCs w:val="0"/>
      <w:color w:val="000000"/>
      <w:spacing w:val="2"/>
    </w:rPr>
  </w:style>
  <w:style w:type="paragraph" w:customStyle="1" w:styleId="DocumentTitle2">
    <w:name w:val="Document Title 2"/>
    <w:basedOn w:val="Normal"/>
    <w:qFormat/>
    <w:rsid w:val="00244416"/>
    <w:rPr>
      <w:rFonts w:ascii="ArialMT" w:eastAsiaTheme="minorEastAsia" w:hAnsi="ArialMT" w:cs="ArialMT"/>
      <w:bCs/>
      <w:color w:val="000000"/>
      <w:sz w:val="48"/>
      <w:szCs w:val="48"/>
      <w:lang w:val="en-US"/>
    </w:rPr>
  </w:style>
  <w:style w:type="paragraph" w:customStyle="1" w:styleId="Tabletitle">
    <w:name w:val="Table title"/>
    <w:basedOn w:val="Normal"/>
    <w:qFormat/>
    <w:rsid w:val="00244416"/>
    <w:pPr>
      <w:keepNext/>
      <w:widowControl w:val="0"/>
      <w:suppressAutoHyphens/>
      <w:autoSpaceDE w:val="0"/>
      <w:autoSpaceDN w:val="0"/>
      <w:adjustRightInd w:val="0"/>
      <w:spacing w:before="240" w:after="120"/>
      <w:textAlignment w:val="center"/>
    </w:pPr>
    <w:rPr>
      <w:rFonts w:ascii="ArialMT" w:eastAsiaTheme="minorEastAsia" w:hAnsi="ArialMT" w:cs="ArialMT"/>
      <w:b/>
      <w:szCs w:val="20"/>
      <w:lang w:val="en-GB"/>
    </w:rPr>
  </w:style>
  <w:style w:type="character" w:customStyle="1" w:styleId="TabletextBOLD">
    <w:name w:val="Table text BOLD"/>
    <w:basedOn w:val="DefaultParagraphFont"/>
    <w:uiPriority w:val="1"/>
    <w:qFormat/>
    <w:rsid w:val="00244416"/>
    <w:rPr>
      <w:rFonts w:ascii="Arial" w:hAnsi="Arial" w:cs="Arial-BoldMT"/>
      <w:b/>
      <w:bCs/>
      <w:i w:val="0"/>
      <w:color w:val="000000"/>
      <w:sz w:val="17"/>
      <w:szCs w:val="17"/>
      <w:lang w:val="en-GB"/>
    </w:rPr>
  </w:style>
  <w:style w:type="paragraph" w:styleId="TOC4">
    <w:name w:val="toc 4"/>
    <w:basedOn w:val="Normal"/>
    <w:next w:val="Normal"/>
    <w:autoRedefine/>
    <w:uiPriority w:val="39"/>
    <w:unhideWhenUsed/>
    <w:rsid w:val="00244416"/>
    <w:pPr>
      <w:pBdr>
        <w:between w:val="double" w:sz="6" w:space="0" w:color="auto"/>
      </w:pBdr>
      <w:ind w:left="480"/>
    </w:pPr>
    <w:rPr>
      <w:rFonts w:eastAsiaTheme="minorEastAsia"/>
      <w:szCs w:val="20"/>
      <w:lang w:val="en-US"/>
    </w:rPr>
  </w:style>
  <w:style w:type="paragraph" w:styleId="TOC5">
    <w:name w:val="toc 5"/>
    <w:basedOn w:val="Normal"/>
    <w:next w:val="Normal"/>
    <w:autoRedefine/>
    <w:uiPriority w:val="39"/>
    <w:unhideWhenUsed/>
    <w:rsid w:val="00244416"/>
    <w:pPr>
      <w:pBdr>
        <w:between w:val="double" w:sz="6" w:space="0" w:color="auto"/>
      </w:pBdr>
      <w:ind w:left="720"/>
    </w:pPr>
    <w:rPr>
      <w:rFonts w:eastAsiaTheme="minorEastAsia"/>
      <w:szCs w:val="20"/>
      <w:lang w:val="en-US"/>
    </w:rPr>
  </w:style>
  <w:style w:type="paragraph" w:styleId="TOC6">
    <w:name w:val="toc 6"/>
    <w:basedOn w:val="Normal"/>
    <w:next w:val="Normal"/>
    <w:autoRedefine/>
    <w:uiPriority w:val="39"/>
    <w:unhideWhenUsed/>
    <w:rsid w:val="00244416"/>
    <w:pPr>
      <w:pBdr>
        <w:between w:val="double" w:sz="6" w:space="0" w:color="auto"/>
      </w:pBdr>
      <w:ind w:left="960"/>
    </w:pPr>
    <w:rPr>
      <w:rFonts w:eastAsiaTheme="minorEastAsia"/>
      <w:szCs w:val="20"/>
      <w:lang w:val="en-US"/>
    </w:rPr>
  </w:style>
  <w:style w:type="paragraph" w:styleId="TOC7">
    <w:name w:val="toc 7"/>
    <w:basedOn w:val="Normal"/>
    <w:next w:val="Normal"/>
    <w:autoRedefine/>
    <w:uiPriority w:val="39"/>
    <w:unhideWhenUsed/>
    <w:rsid w:val="00244416"/>
    <w:pPr>
      <w:pBdr>
        <w:between w:val="double" w:sz="6" w:space="0" w:color="auto"/>
      </w:pBdr>
      <w:ind w:left="1200"/>
    </w:pPr>
    <w:rPr>
      <w:rFonts w:eastAsiaTheme="minorEastAsia"/>
      <w:szCs w:val="20"/>
      <w:lang w:val="en-US"/>
    </w:rPr>
  </w:style>
  <w:style w:type="paragraph" w:styleId="TOC8">
    <w:name w:val="toc 8"/>
    <w:basedOn w:val="Normal"/>
    <w:next w:val="Normal"/>
    <w:autoRedefine/>
    <w:uiPriority w:val="39"/>
    <w:unhideWhenUsed/>
    <w:rsid w:val="00244416"/>
    <w:pPr>
      <w:pBdr>
        <w:between w:val="double" w:sz="6" w:space="0" w:color="auto"/>
      </w:pBdr>
      <w:ind w:left="1440"/>
    </w:pPr>
    <w:rPr>
      <w:rFonts w:eastAsiaTheme="minorEastAsia"/>
      <w:szCs w:val="20"/>
      <w:lang w:val="en-US"/>
    </w:rPr>
  </w:style>
  <w:style w:type="paragraph" w:styleId="TOC9">
    <w:name w:val="toc 9"/>
    <w:basedOn w:val="Normal"/>
    <w:next w:val="Normal"/>
    <w:autoRedefine/>
    <w:uiPriority w:val="39"/>
    <w:unhideWhenUsed/>
    <w:rsid w:val="00244416"/>
    <w:pPr>
      <w:pBdr>
        <w:between w:val="double" w:sz="6" w:space="0" w:color="auto"/>
      </w:pBdr>
      <w:ind w:left="1680"/>
    </w:pPr>
    <w:rPr>
      <w:rFonts w:eastAsiaTheme="minorEastAsia"/>
      <w:szCs w:val="20"/>
      <w:lang w:val="en-US"/>
    </w:rPr>
  </w:style>
  <w:style w:type="paragraph" w:customStyle="1" w:styleId="TablecolumnheadTABLES">
    <w:name w:val="Table column head (TABLES)"/>
    <w:basedOn w:val="TableTextTABLES"/>
    <w:uiPriority w:val="99"/>
    <w:rsid w:val="00244416"/>
    <w:pPr>
      <w:tabs>
        <w:tab w:val="left" w:pos="227"/>
      </w:tabs>
      <w:spacing w:before="57"/>
      <w:jc w:val="center"/>
    </w:pPr>
    <w:rPr>
      <w:rFonts w:ascii="Atletico-Medium" w:hAnsi="Atletico-Medium" w:cs="Atletico-Medium"/>
    </w:rPr>
  </w:style>
  <w:style w:type="character" w:customStyle="1" w:styleId="apple-converted-space">
    <w:name w:val="apple-converted-space"/>
    <w:basedOn w:val="DefaultParagraphFont"/>
    <w:rsid w:val="00244416"/>
  </w:style>
  <w:style w:type="paragraph" w:customStyle="1" w:styleId="TableTextC">
    <w:name w:val="Table Text C"/>
    <w:basedOn w:val="TableTextTABLES"/>
    <w:qFormat/>
    <w:rsid w:val="00244416"/>
    <w:pPr>
      <w:jc w:val="center"/>
    </w:pPr>
  </w:style>
  <w:style w:type="paragraph" w:styleId="BalloonText">
    <w:name w:val="Balloon Text"/>
    <w:basedOn w:val="Normal"/>
    <w:link w:val="BalloonTextChar"/>
    <w:uiPriority w:val="99"/>
    <w:semiHidden/>
    <w:unhideWhenUsed/>
    <w:rsid w:val="00244416"/>
    <w:rPr>
      <w:rFonts w:ascii="Times New Roman" w:eastAsiaTheme="minorEastAsia" w:hAnsi="Times New Roman" w:cs="Times New Roman"/>
      <w:sz w:val="18"/>
      <w:lang w:val="en-US"/>
    </w:rPr>
  </w:style>
  <w:style w:type="character" w:customStyle="1" w:styleId="BalloonTextChar">
    <w:name w:val="Balloon Text Char"/>
    <w:basedOn w:val="DefaultParagraphFont"/>
    <w:link w:val="BalloonText"/>
    <w:uiPriority w:val="99"/>
    <w:semiHidden/>
    <w:rsid w:val="00244416"/>
    <w:rPr>
      <w:rFonts w:ascii="Times New Roman" w:eastAsiaTheme="minorEastAsia" w:hAnsi="Times New Roman" w:cs="Times New Roman"/>
      <w:lang w:val="en-US"/>
    </w:rPr>
  </w:style>
  <w:style w:type="table" w:customStyle="1" w:styleId="QILTTableStylePH">
    <w:name w:val="QILT Table Style PH"/>
    <w:basedOn w:val="TableNormal"/>
    <w:uiPriority w:val="99"/>
    <w:rsid w:val="00244416"/>
    <w:pPr>
      <w:spacing w:before="0" w:after="0"/>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style>
  <w:style w:type="paragraph" w:customStyle="1" w:styleId="QNameText">
    <w:name w:val="Q Name &amp; Text"/>
    <w:basedOn w:val="Normal"/>
    <w:next w:val="Normal"/>
    <w:qFormat/>
    <w:rsid w:val="00244416"/>
    <w:pPr>
      <w:spacing w:after="120"/>
      <w:ind w:left="1134" w:hanging="1134"/>
    </w:pPr>
    <w:rPr>
      <w:szCs w:val="22"/>
    </w:rPr>
  </w:style>
  <w:style w:type="paragraph" w:customStyle="1" w:styleId="BaseDescription">
    <w:name w:val="Base Description"/>
    <w:basedOn w:val="Normal"/>
    <w:next w:val="Normal"/>
    <w:qFormat/>
    <w:rsid w:val="00244416"/>
    <w:pPr>
      <w:spacing w:before="120"/>
      <w:ind w:left="1134" w:hanging="1134"/>
    </w:pPr>
    <w:rPr>
      <w:szCs w:val="22"/>
    </w:rPr>
  </w:style>
  <w:style w:type="character" w:customStyle="1" w:styleId="s1">
    <w:name w:val="s1"/>
    <w:basedOn w:val="DefaultParagraphFont"/>
    <w:rsid w:val="00244416"/>
    <w:rPr>
      <w:spacing w:val="-2"/>
    </w:rPr>
  </w:style>
  <w:style w:type="character" w:customStyle="1" w:styleId="s2">
    <w:name w:val="s2"/>
    <w:basedOn w:val="DefaultParagraphFont"/>
    <w:rsid w:val="00244416"/>
    <w:rPr>
      <w:spacing w:val="-3"/>
    </w:rPr>
  </w:style>
  <w:style w:type="character" w:styleId="FollowedHyperlink">
    <w:name w:val="FollowedHyperlink"/>
    <w:basedOn w:val="DefaultParagraphFont"/>
    <w:uiPriority w:val="99"/>
    <w:semiHidden/>
    <w:unhideWhenUsed/>
    <w:rsid w:val="00244416"/>
    <w:rPr>
      <w:color w:val="4B7CCA" w:themeColor="followedHyperlink"/>
      <w:u w:val="single"/>
    </w:rPr>
  </w:style>
  <w:style w:type="paragraph" w:customStyle="1" w:styleId="1ResponseFrame">
    <w:name w:val="1. Response Frame"/>
    <w:basedOn w:val="Normal"/>
    <w:qFormat/>
    <w:rsid w:val="00244416"/>
    <w:pPr>
      <w:ind w:left="1701" w:hanging="567"/>
    </w:pPr>
    <w:rPr>
      <w:rFonts w:cs="Arial"/>
      <w:szCs w:val="20"/>
    </w:rPr>
  </w:style>
  <w:style w:type="paragraph" w:customStyle="1" w:styleId="Heading71">
    <w:name w:val="Heading 71"/>
    <w:basedOn w:val="Normal"/>
    <w:next w:val="Normal"/>
    <w:uiPriority w:val="9"/>
    <w:unhideWhenUsed/>
    <w:rsid w:val="00244416"/>
    <w:pPr>
      <w:keepNext/>
      <w:keepLines/>
      <w:spacing w:before="40"/>
      <w:outlineLvl w:val="6"/>
    </w:pPr>
    <w:rPr>
      <w:rFonts w:eastAsia="Times New Roman" w:cs="Arial"/>
      <w:i/>
      <w:iCs/>
      <w:color w:val="1F688D"/>
      <w:szCs w:val="22"/>
    </w:rPr>
  </w:style>
  <w:style w:type="paragraph" w:customStyle="1" w:styleId="CentreSubHeading2">
    <w:name w:val="Centre Sub Heading 2"/>
    <w:basedOn w:val="Normal"/>
    <w:next w:val="Normal"/>
    <w:rsid w:val="00244416"/>
    <w:pPr>
      <w:tabs>
        <w:tab w:val="center" w:pos="4678"/>
      </w:tabs>
      <w:spacing w:after="60" w:line="300" w:lineRule="auto"/>
      <w:jc w:val="center"/>
    </w:pPr>
    <w:rPr>
      <w:rFonts w:ascii="Arial Bold" w:eastAsia="Calibri" w:hAnsi="Arial Bold" w:cs="Arial"/>
      <w:b/>
      <w:color w:val="1F688D"/>
      <w:sz w:val="22"/>
      <w:szCs w:val="22"/>
    </w:rPr>
  </w:style>
  <w:style w:type="paragraph" w:customStyle="1" w:styleId="FigureNote">
    <w:name w:val="Figure Note"/>
    <w:basedOn w:val="Normal"/>
    <w:link w:val="FigureNoteChar"/>
    <w:qFormat/>
    <w:rsid w:val="00244416"/>
    <w:pPr>
      <w:spacing w:before="120"/>
      <w:jc w:val="both"/>
    </w:pPr>
    <w:rPr>
      <w:rFonts w:eastAsia="Calibri" w:cs="Times New Roman"/>
      <w:sz w:val="16"/>
      <w:szCs w:val="22"/>
      <w:lang w:val="en-GB"/>
    </w:rPr>
  </w:style>
  <w:style w:type="character" w:customStyle="1" w:styleId="FigureNoteChar">
    <w:name w:val="Figure Note Char"/>
    <w:basedOn w:val="DefaultParagraphFont"/>
    <w:link w:val="FigureNote"/>
    <w:rsid w:val="00244416"/>
    <w:rPr>
      <w:rFonts w:ascii="Arial" w:eastAsia="Calibri" w:hAnsi="Arial" w:cs="Times New Roman"/>
      <w:sz w:val="16"/>
      <w:szCs w:val="22"/>
      <w:lang w:val="en-GB"/>
    </w:rPr>
  </w:style>
  <w:style w:type="paragraph" w:customStyle="1" w:styleId="Quote1">
    <w:name w:val="Quote1"/>
    <w:basedOn w:val="Normal"/>
    <w:next w:val="Normal"/>
    <w:uiPriority w:val="29"/>
    <w:qFormat/>
    <w:rsid w:val="00244416"/>
    <w:pPr>
      <w:spacing w:before="120" w:after="120" w:line="300" w:lineRule="auto"/>
      <w:ind w:left="567" w:right="567"/>
    </w:pPr>
    <w:rPr>
      <w:rFonts w:eastAsia="Calibri"/>
      <w:i/>
      <w:iCs/>
      <w:color w:val="404040"/>
      <w:szCs w:val="22"/>
    </w:rPr>
  </w:style>
  <w:style w:type="paragraph" w:customStyle="1" w:styleId="Subtitle1">
    <w:name w:val="Subtitle1"/>
    <w:basedOn w:val="Title"/>
    <w:next w:val="Body"/>
    <w:uiPriority w:val="11"/>
    <w:qFormat/>
    <w:rsid w:val="00244416"/>
    <w:pPr>
      <w:ind w:left="0"/>
    </w:pPr>
    <w:rPr>
      <w:rFonts w:eastAsiaTheme="minorEastAsia" w:cstheme="minorBidi"/>
      <w:b/>
      <w:color w:val="000000"/>
      <w:sz w:val="44"/>
      <w:szCs w:val="44"/>
      <w:lang w:val="en-US"/>
    </w:rPr>
  </w:style>
  <w:style w:type="table" w:customStyle="1" w:styleId="SRC21">
    <w:name w:val="SRC 21"/>
    <w:basedOn w:val="TableNormal"/>
    <w:next w:val="TableGrid"/>
    <w:uiPriority w:val="39"/>
    <w:rsid w:val="00244416"/>
    <w:pPr>
      <w:spacing w:before="0" w:after="0"/>
    </w:pPr>
    <w:rPr>
      <w:rFonts w:ascii="Arial" w:eastAsia="Calibri" w:hAnsi="Arial"/>
      <w:szCs w:val="22"/>
    </w:rPr>
    <w:tblPr>
      <w:tblStyleRowBandSize w:val="1"/>
      <w:tblStyleColBandSize w:val="1"/>
      <w:tblBorders>
        <w:bottom w:val="single" w:sz="4" w:space="0" w:color="1F698E"/>
      </w:tblBorders>
    </w:tblPr>
    <w:tblStylePr w:type="firstRow">
      <w:pPr>
        <w:wordWrap/>
        <w:spacing w:beforeLines="0" w:before="60" w:beforeAutospacing="0" w:afterLines="0" w:after="60" w:afterAutospacing="0" w:line="240" w:lineRule="auto"/>
        <w:contextualSpacing w:val="0"/>
        <w:jc w:val="center"/>
      </w:pPr>
      <w:rPr>
        <w:rFonts w:ascii="Arial" w:hAnsi="Arial"/>
        <w:b/>
        <w:color w:val="FFFFFF"/>
        <w:sz w:val="18"/>
      </w:rPr>
      <w:tblPr/>
      <w:tcPr>
        <w:tcBorders>
          <w:top w:val="nil"/>
          <w:left w:val="nil"/>
          <w:bottom w:val="nil"/>
          <w:right w:val="nil"/>
          <w:insideH w:val="nil"/>
          <w:insideV w:val="nil"/>
          <w:tl2br w:val="nil"/>
          <w:tr2bl w:val="nil"/>
        </w:tcBorders>
        <w:shd w:val="clear" w:color="auto" w:fill="1F698E"/>
      </w:tcPr>
    </w:tblStylePr>
    <w:tblStylePr w:type="lastRow">
      <w:pPr>
        <w:wordWrap/>
        <w:spacing w:beforeLines="0" w:before="60" w:beforeAutospacing="0" w:afterLines="0" w:after="60" w:afterAutospacing="0" w:line="240" w:lineRule="auto"/>
        <w:contextualSpacing w:val="0"/>
      </w:pPr>
      <w:tblPr/>
      <w:tcPr>
        <w:tcBorders>
          <w:top w:val="nil"/>
          <w:left w:val="nil"/>
          <w:bottom w:val="single" w:sz="6" w:space="0" w:color="1F698E"/>
          <w:right w:val="nil"/>
          <w:insideH w:val="nil"/>
          <w:insideV w:val="nil"/>
          <w:tl2br w:val="nil"/>
          <w:tr2bl w:val="nil"/>
        </w:tcBorders>
      </w:tcPr>
    </w:tblStylePr>
    <w:tblStylePr w:type="firstCol">
      <w:pPr>
        <w:jc w:val="left"/>
      </w:pPr>
      <w:rPr>
        <w:rFonts w:ascii="Arial" w:hAnsi="Arial"/>
        <w:sz w:val="18"/>
      </w:rPr>
      <w:tblPr/>
      <w:tcPr>
        <w:tcBorders>
          <w:top w:val="nil"/>
          <w:left w:val="nil"/>
          <w:bottom w:val="nil"/>
          <w:right w:val="nil"/>
          <w:insideH w:val="nil"/>
          <w:insideV w:val="nil"/>
          <w:tl2br w:val="nil"/>
          <w:tr2bl w:val="nil"/>
        </w:tcBorders>
      </w:tcPr>
    </w:tblStylePr>
    <w:tblStylePr w:type="lastCol">
      <w:pPr>
        <w:jc w:val="right"/>
      </w:pPr>
      <w:tblPr/>
      <w:tcPr>
        <w:tcBorders>
          <w:bottom w:val="nil"/>
        </w:tcBorders>
        <w:vAlign w:val="center"/>
      </w:tcPr>
    </w:tblStylePr>
    <w:tblStylePr w:type="band1Vert">
      <w:pPr>
        <w:jc w:val="right"/>
      </w:pPr>
      <w:tblPr/>
      <w:tcPr>
        <w:tcBorders>
          <w:top w:val="nil"/>
          <w:left w:val="nil"/>
          <w:bottom w:val="nil"/>
          <w:right w:val="nil"/>
          <w:insideH w:val="nil"/>
          <w:insideV w:val="nil"/>
          <w:tl2br w:val="nil"/>
          <w:tr2bl w:val="nil"/>
        </w:tcBorders>
      </w:tcPr>
    </w:tblStylePr>
    <w:tblStylePr w:type="band2Vert">
      <w:pPr>
        <w:jc w:val="right"/>
      </w:pPr>
      <w:tblPr/>
      <w:tcPr>
        <w:tcBorders>
          <w:top w:val="nil"/>
          <w:left w:val="nil"/>
          <w:bottom w:val="nil"/>
          <w:right w:val="nil"/>
          <w:insideH w:val="nil"/>
          <w:insideV w:val="nil"/>
          <w:tl2br w:val="nil"/>
          <w:tr2bl w:val="nil"/>
        </w:tcBorders>
      </w:tcPr>
    </w:tblStylePr>
    <w:tblStylePr w:type="band1Horz">
      <w:pPr>
        <w:wordWrap/>
        <w:spacing w:beforeLines="0" w:before="60" w:beforeAutospacing="0" w:afterLines="0" w:after="60" w:afterAutospacing="0" w:line="240" w:lineRule="auto"/>
        <w:contextualSpacing w:val="0"/>
        <w:jc w:val="right"/>
      </w:p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7E4F3"/>
      </w:tcPr>
    </w:tblStylePr>
    <w:tblStylePr w:type="band2Horz">
      <w:pPr>
        <w:wordWrap/>
        <w:spacing w:beforeLines="0" w:before="60" w:beforeAutospacing="0" w:afterLines="0" w:after="60" w:afterAutospacing="0" w:line="240" w:lineRule="auto"/>
        <w:contextualSpacing w:val="0"/>
        <w:jc w:val="right"/>
      </w:pPr>
      <w:rPr>
        <w:rFonts w:ascii="Arial" w:hAnsi="Arial"/>
        <w:sz w:val="18"/>
      </w:rPr>
      <w:tblPr/>
      <w:tcPr>
        <w:tcBorders>
          <w:top w:val="nil"/>
          <w:left w:val="nil"/>
          <w:bottom w:val="nil"/>
          <w:right w:val="nil"/>
          <w:insideH w:val="nil"/>
          <w:insideV w:val="nil"/>
          <w:tl2br w:val="nil"/>
          <w:tr2bl w:val="nil"/>
        </w:tcBorders>
        <w:vAlign w:val="center"/>
      </w:tcPr>
    </w:tblStylePr>
  </w:style>
  <w:style w:type="table" w:customStyle="1" w:styleId="ListTable4-Accent51">
    <w:name w:val="List Table 4 - Accent 51"/>
    <w:basedOn w:val="TableNormal"/>
    <w:next w:val="ListTable4-Accent5"/>
    <w:uiPriority w:val="49"/>
    <w:rsid w:val="00244416"/>
    <w:pPr>
      <w:spacing w:before="0" w:after="0"/>
    </w:pPr>
    <w:rPr>
      <w:rFonts w:eastAsia="Calibri"/>
      <w:sz w:val="22"/>
      <w:szCs w:val="22"/>
    </w:rPr>
    <w:tblPr>
      <w:tblStyleRowBandSize w:val="1"/>
      <w:tblStyleColBandSize w:val="1"/>
      <w:tblBorders>
        <w:top w:val="single" w:sz="4" w:space="0" w:color="83A4B3"/>
        <w:left w:val="single" w:sz="4" w:space="0" w:color="83A4B3"/>
        <w:bottom w:val="single" w:sz="4" w:space="0" w:color="83A4B3"/>
        <w:right w:val="single" w:sz="4" w:space="0" w:color="83A4B3"/>
        <w:insideH w:val="single" w:sz="4" w:space="0" w:color="83A4B3"/>
      </w:tblBorders>
    </w:tblPr>
    <w:tblStylePr w:type="firstRow">
      <w:rPr>
        <w:b/>
        <w:bCs/>
        <w:color w:val="FFFFFF"/>
      </w:rPr>
      <w:tblPr/>
      <w:tcPr>
        <w:tcBorders>
          <w:top w:val="single" w:sz="4" w:space="0" w:color="44626F"/>
          <w:left w:val="single" w:sz="4" w:space="0" w:color="44626F"/>
          <w:bottom w:val="single" w:sz="4" w:space="0" w:color="44626F"/>
          <w:right w:val="single" w:sz="4" w:space="0" w:color="44626F"/>
          <w:insideH w:val="nil"/>
        </w:tcBorders>
        <w:shd w:val="clear" w:color="auto" w:fill="44626F"/>
      </w:tcPr>
    </w:tblStylePr>
    <w:tblStylePr w:type="lastRow">
      <w:rPr>
        <w:b/>
        <w:bCs/>
      </w:rPr>
      <w:tblPr/>
      <w:tcPr>
        <w:tcBorders>
          <w:top w:val="double" w:sz="4" w:space="0" w:color="83A4B3"/>
        </w:tcBorders>
      </w:tcPr>
    </w:tblStylePr>
    <w:tblStylePr w:type="firstCol">
      <w:rPr>
        <w:b/>
        <w:bCs/>
      </w:rPr>
    </w:tblStylePr>
    <w:tblStylePr w:type="lastCol">
      <w:rPr>
        <w:b/>
        <w:bCs/>
      </w:rPr>
    </w:tblStylePr>
    <w:tblStylePr w:type="band1Vert">
      <w:tblPr/>
      <w:tcPr>
        <w:shd w:val="clear" w:color="auto" w:fill="D5E0E5"/>
      </w:tcPr>
    </w:tblStylePr>
    <w:tblStylePr w:type="band1Horz">
      <w:tblPr/>
      <w:tcPr>
        <w:shd w:val="clear" w:color="auto" w:fill="D5E0E5"/>
      </w:tcPr>
    </w:tblStylePr>
  </w:style>
  <w:style w:type="table" w:customStyle="1" w:styleId="GridTable2-Accent11">
    <w:name w:val="Grid Table 2 - Accent 11"/>
    <w:basedOn w:val="TableNormal"/>
    <w:next w:val="GridTable2-Accent1"/>
    <w:uiPriority w:val="47"/>
    <w:rsid w:val="00244416"/>
    <w:pPr>
      <w:spacing w:before="0" w:after="0"/>
    </w:pPr>
    <w:rPr>
      <w:rFonts w:eastAsia="Calibri"/>
      <w:sz w:val="22"/>
      <w:szCs w:val="22"/>
    </w:rPr>
    <w:tblPr>
      <w:tblStyleRowBandSize w:val="1"/>
      <w:tblStyleColBandSize w:val="1"/>
      <w:tblBorders>
        <w:top w:val="single" w:sz="2" w:space="0" w:color="58AFDA"/>
        <w:bottom w:val="single" w:sz="2" w:space="0" w:color="58AFDA"/>
        <w:insideH w:val="single" w:sz="2" w:space="0" w:color="58AFDA"/>
        <w:insideV w:val="single" w:sz="2" w:space="0" w:color="58AFDA"/>
      </w:tblBorders>
    </w:tblPr>
    <w:tblStylePr w:type="firstRow">
      <w:rPr>
        <w:b/>
        <w:bCs/>
      </w:rPr>
      <w:tblPr/>
      <w:tcPr>
        <w:tcBorders>
          <w:top w:val="nil"/>
          <w:bottom w:val="single" w:sz="12" w:space="0" w:color="58AFDA"/>
          <w:insideH w:val="nil"/>
          <w:insideV w:val="nil"/>
        </w:tcBorders>
        <w:shd w:val="clear" w:color="auto" w:fill="FFFFFF"/>
      </w:tcPr>
    </w:tblStylePr>
    <w:tblStylePr w:type="lastRow">
      <w:rPr>
        <w:b/>
        <w:bCs/>
      </w:rPr>
      <w:tblPr/>
      <w:tcPr>
        <w:tcBorders>
          <w:top w:val="double" w:sz="2" w:space="0" w:color="58AFD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7E4F3"/>
      </w:tcPr>
    </w:tblStylePr>
    <w:tblStylePr w:type="band1Horz">
      <w:tblPr/>
      <w:tcPr>
        <w:shd w:val="clear" w:color="auto" w:fill="C7E4F3"/>
      </w:tcPr>
    </w:tblStylePr>
  </w:style>
  <w:style w:type="table" w:customStyle="1" w:styleId="GridTable2-Accent21">
    <w:name w:val="Grid Table 2 - Accent 21"/>
    <w:basedOn w:val="TableNormal"/>
    <w:next w:val="GridTable2-Accent2"/>
    <w:uiPriority w:val="47"/>
    <w:rsid w:val="00244416"/>
    <w:pPr>
      <w:spacing w:before="0" w:after="0"/>
    </w:pPr>
    <w:rPr>
      <w:rFonts w:eastAsia="Calibri"/>
      <w:sz w:val="22"/>
      <w:szCs w:val="22"/>
    </w:rPr>
    <w:tblPr>
      <w:tblStyleRowBandSize w:val="1"/>
      <w:tblStyleColBandSize w:val="1"/>
      <w:tblBorders>
        <w:top w:val="single" w:sz="2" w:space="0" w:color="9BD9F0"/>
        <w:bottom w:val="single" w:sz="2" w:space="0" w:color="9BD9F0"/>
        <w:insideH w:val="single" w:sz="2" w:space="0" w:color="9BD9F0"/>
        <w:insideV w:val="single" w:sz="2" w:space="0" w:color="9BD9F0"/>
      </w:tblBorders>
    </w:tblPr>
    <w:tblStylePr w:type="firstRow">
      <w:rPr>
        <w:b/>
        <w:bCs/>
      </w:rPr>
      <w:tblPr/>
      <w:tcPr>
        <w:tcBorders>
          <w:top w:val="nil"/>
          <w:bottom w:val="single" w:sz="12" w:space="0" w:color="9BD9F0"/>
          <w:insideH w:val="nil"/>
          <w:insideV w:val="nil"/>
        </w:tcBorders>
        <w:shd w:val="clear" w:color="auto" w:fill="FFFFFF"/>
      </w:tcPr>
    </w:tblStylePr>
    <w:tblStylePr w:type="lastRow">
      <w:rPr>
        <w:b/>
        <w:bCs/>
      </w:rPr>
      <w:tblPr/>
      <w:tcPr>
        <w:tcBorders>
          <w:top w:val="double" w:sz="2" w:space="0" w:color="9BD9F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F2FA"/>
      </w:tcPr>
    </w:tblStylePr>
    <w:tblStylePr w:type="band1Horz">
      <w:tblPr/>
      <w:tcPr>
        <w:shd w:val="clear" w:color="auto" w:fill="DDF2FA"/>
      </w:tcPr>
    </w:tblStylePr>
  </w:style>
  <w:style w:type="table" w:customStyle="1" w:styleId="GridTable2-Accent31">
    <w:name w:val="Grid Table 2 - Accent 31"/>
    <w:basedOn w:val="TableNormal"/>
    <w:next w:val="GridTable2-Accent3"/>
    <w:uiPriority w:val="47"/>
    <w:rsid w:val="00244416"/>
    <w:pPr>
      <w:spacing w:before="0" w:after="0"/>
    </w:pPr>
    <w:rPr>
      <w:rFonts w:eastAsia="Calibri"/>
      <w:sz w:val="22"/>
      <w:szCs w:val="22"/>
    </w:rPr>
    <w:tblPr>
      <w:tblStyleRowBandSize w:val="1"/>
      <w:tblStyleColBandSize w:val="1"/>
      <w:tblBorders>
        <w:top w:val="single" w:sz="2" w:space="0" w:color="D9F4FA"/>
        <w:bottom w:val="single" w:sz="2" w:space="0" w:color="D9F4FA"/>
        <w:insideH w:val="single" w:sz="2" w:space="0" w:color="D9F4FA"/>
        <w:insideV w:val="single" w:sz="2" w:space="0" w:color="D9F4FA"/>
      </w:tblBorders>
    </w:tblPr>
    <w:tblStylePr w:type="firstRow">
      <w:rPr>
        <w:b/>
        <w:bCs/>
      </w:rPr>
      <w:tblPr/>
      <w:tcPr>
        <w:tcBorders>
          <w:top w:val="nil"/>
          <w:bottom w:val="single" w:sz="12" w:space="0" w:color="D9F4FA"/>
          <w:insideH w:val="nil"/>
          <w:insideV w:val="nil"/>
        </w:tcBorders>
        <w:shd w:val="clear" w:color="auto" w:fill="FFFFFF"/>
      </w:tcPr>
    </w:tblStylePr>
    <w:tblStylePr w:type="lastRow">
      <w:rPr>
        <w:b/>
        <w:bCs/>
      </w:rPr>
      <w:tblPr/>
      <w:tcPr>
        <w:tcBorders>
          <w:top w:val="double" w:sz="2" w:space="0" w:color="D9F4F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FBFD"/>
      </w:tcPr>
    </w:tblStylePr>
    <w:tblStylePr w:type="band1Horz">
      <w:tblPr/>
      <w:tcPr>
        <w:shd w:val="clear" w:color="auto" w:fill="F2FBFD"/>
      </w:tcPr>
    </w:tblStylePr>
  </w:style>
  <w:style w:type="table" w:customStyle="1" w:styleId="GridTable3-Accent11">
    <w:name w:val="Grid Table 3 - Accent 11"/>
    <w:basedOn w:val="TableNormal"/>
    <w:next w:val="GridTable3-Accent1"/>
    <w:uiPriority w:val="48"/>
    <w:rsid w:val="00244416"/>
    <w:pPr>
      <w:spacing w:before="0" w:after="0"/>
    </w:pPr>
    <w:rPr>
      <w:rFonts w:eastAsia="Calibri"/>
      <w:sz w:val="22"/>
      <w:szCs w:val="22"/>
    </w:rPr>
    <w:tblPr>
      <w:tblStyleRowBandSize w:val="1"/>
      <w:tblStyleColBandSize w:val="1"/>
      <w:tblBorders>
        <w:top w:val="single" w:sz="4" w:space="0" w:color="58AFDA"/>
        <w:left w:val="single" w:sz="4" w:space="0" w:color="58AFDA"/>
        <w:bottom w:val="single" w:sz="4" w:space="0" w:color="58AFDA"/>
        <w:right w:val="single" w:sz="4" w:space="0" w:color="58AFDA"/>
        <w:insideH w:val="single" w:sz="4" w:space="0" w:color="58AFDA"/>
        <w:insideV w:val="single" w:sz="4" w:space="0" w:color="58AFD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7E4F3"/>
      </w:tcPr>
    </w:tblStylePr>
    <w:tblStylePr w:type="band1Horz">
      <w:tblPr/>
      <w:tcPr>
        <w:shd w:val="clear" w:color="auto" w:fill="C7E4F3"/>
      </w:tcPr>
    </w:tblStylePr>
    <w:tblStylePr w:type="neCell">
      <w:tblPr/>
      <w:tcPr>
        <w:tcBorders>
          <w:bottom w:val="single" w:sz="4" w:space="0" w:color="58AFDA"/>
        </w:tcBorders>
      </w:tcPr>
    </w:tblStylePr>
    <w:tblStylePr w:type="nwCell">
      <w:tblPr/>
      <w:tcPr>
        <w:tcBorders>
          <w:bottom w:val="single" w:sz="4" w:space="0" w:color="58AFDA"/>
        </w:tcBorders>
      </w:tcPr>
    </w:tblStylePr>
    <w:tblStylePr w:type="seCell">
      <w:tblPr/>
      <w:tcPr>
        <w:tcBorders>
          <w:top w:val="single" w:sz="4" w:space="0" w:color="58AFDA"/>
        </w:tcBorders>
      </w:tcPr>
    </w:tblStylePr>
    <w:tblStylePr w:type="swCell">
      <w:tblPr/>
      <w:tcPr>
        <w:tcBorders>
          <w:top w:val="single" w:sz="4" w:space="0" w:color="58AFDA"/>
        </w:tcBorders>
      </w:tcPr>
    </w:tblStylePr>
  </w:style>
  <w:style w:type="table" w:customStyle="1" w:styleId="GridTable3-Accent21">
    <w:name w:val="Grid Table 3 - Accent 21"/>
    <w:basedOn w:val="TableNormal"/>
    <w:next w:val="GridTable3-Accent2"/>
    <w:uiPriority w:val="48"/>
    <w:rsid w:val="00244416"/>
    <w:pPr>
      <w:spacing w:before="0" w:after="0"/>
    </w:pPr>
    <w:rPr>
      <w:rFonts w:eastAsia="Calibri"/>
      <w:sz w:val="22"/>
      <w:szCs w:val="22"/>
    </w:rPr>
    <w:tblPr>
      <w:tblStyleRowBandSize w:val="1"/>
      <w:tblStyleColBandSize w:val="1"/>
      <w:tblBorders>
        <w:top w:val="single" w:sz="4" w:space="0" w:color="9BD9F0"/>
        <w:left w:val="single" w:sz="4" w:space="0" w:color="9BD9F0"/>
        <w:bottom w:val="single" w:sz="4" w:space="0" w:color="9BD9F0"/>
        <w:right w:val="single" w:sz="4" w:space="0" w:color="9BD9F0"/>
        <w:insideH w:val="single" w:sz="4" w:space="0" w:color="9BD9F0"/>
        <w:insideV w:val="single" w:sz="4" w:space="0" w:color="9BD9F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F2FA"/>
      </w:tcPr>
    </w:tblStylePr>
    <w:tblStylePr w:type="band1Horz">
      <w:tblPr/>
      <w:tcPr>
        <w:shd w:val="clear" w:color="auto" w:fill="DDF2FA"/>
      </w:tcPr>
    </w:tblStylePr>
    <w:tblStylePr w:type="neCell">
      <w:tblPr/>
      <w:tcPr>
        <w:tcBorders>
          <w:bottom w:val="single" w:sz="4" w:space="0" w:color="9BD9F0"/>
        </w:tcBorders>
      </w:tcPr>
    </w:tblStylePr>
    <w:tblStylePr w:type="nwCell">
      <w:tblPr/>
      <w:tcPr>
        <w:tcBorders>
          <w:bottom w:val="single" w:sz="4" w:space="0" w:color="9BD9F0"/>
        </w:tcBorders>
      </w:tcPr>
    </w:tblStylePr>
    <w:tblStylePr w:type="seCell">
      <w:tblPr/>
      <w:tcPr>
        <w:tcBorders>
          <w:top w:val="single" w:sz="4" w:space="0" w:color="9BD9F0"/>
        </w:tcBorders>
      </w:tcPr>
    </w:tblStylePr>
    <w:tblStylePr w:type="swCell">
      <w:tblPr/>
      <w:tcPr>
        <w:tcBorders>
          <w:top w:val="single" w:sz="4" w:space="0" w:color="9BD9F0"/>
        </w:tcBorders>
      </w:tcPr>
    </w:tblStylePr>
  </w:style>
  <w:style w:type="table" w:customStyle="1" w:styleId="GridTable3-Accent61">
    <w:name w:val="Grid Table 3 - Accent 61"/>
    <w:basedOn w:val="TableNormal"/>
    <w:next w:val="GridTable3-Accent6"/>
    <w:uiPriority w:val="48"/>
    <w:rsid w:val="00244416"/>
    <w:pPr>
      <w:spacing w:before="0" w:after="0"/>
    </w:pPr>
    <w:rPr>
      <w:rFonts w:eastAsia="Calibri"/>
      <w:sz w:val="22"/>
      <w:szCs w:val="22"/>
    </w:rPr>
    <w:tblPr>
      <w:tblStyleRowBandSize w:val="1"/>
      <w:tblStyleColBandSize w:val="1"/>
      <w:tblBorders>
        <w:top w:val="single" w:sz="4" w:space="0" w:color="4B7CCA"/>
        <w:left w:val="single" w:sz="4" w:space="0" w:color="4B7CCA"/>
        <w:bottom w:val="single" w:sz="4" w:space="0" w:color="4B7CCA"/>
        <w:right w:val="single" w:sz="4" w:space="0" w:color="4B7CCA"/>
        <w:insideH w:val="single" w:sz="4" w:space="0" w:color="4B7CCA"/>
        <w:insideV w:val="single" w:sz="4" w:space="0" w:color="4B7CC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3D3ED"/>
      </w:tcPr>
    </w:tblStylePr>
    <w:tblStylePr w:type="band1Horz">
      <w:tblPr/>
      <w:tcPr>
        <w:shd w:val="clear" w:color="auto" w:fill="C3D3ED"/>
      </w:tcPr>
    </w:tblStylePr>
    <w:tblStylePr w:type="neCell">
      <w:tblPr/>
      <w:tcPr>
        <w:tcBorders>
          <w:bottom w:val="single" w:sz="4" w:space="0" w:color="4B7CCA"/>
        </w:tcBorders>
      </w:tcPr>
    </w:tblStylePr>
    <w:tblStylePr w:type="nwCell">
      <w:tblPr/>
      <w:tcPr>
        <w:tcBorders>
          <w:bottom w:val="single" w:sz="4" w:space="0" w:color="4B7CCA"/>
        </w:tcBorders>
      </w:tcPr>
    </w:tblStylePr>
    <w:tblStylePr w:type="seCell">
      <w:tblPr/>
      <w:tcPr>
        <w:tcBorders>
          <w:top w:val="single" w:sz="4" w:space="0" w:color="4B7CCA"/>
        </w:tcBorders>
      </w:tcPr>
    </w:tblStylePr>
    <w:tblStylePr w:type="swCell">
      <w:tblPr/>
      <w:tcPr>
        <w:tcBorders>
          <w:top w:val="single" w:sz="4" w:space="0" w:color="4B7CCA"/>
        </w:tcBorders>
      </w:tcPr>
    </w:tblStylePr>
  </w:style>
  <w:style w:type="table" w:customStyle="1" w:styleId="GridTable4-Accent21">
    <w:name w:val="Grid Table 4 - Accent 21"/>
    <w:basedOn w:val="TableNormal"/>
    <w:next w:val="GridTable4-Accent2"/>
    <w:uiPriority w:val="49"/>
    <w:rsid w:val="00244416"/>
    <w:pPr>
      <w:spacing w:before="0" w:after="0"/>
    </w:pPr>
    <w:rPr>
      <w:rFonts w:eastAsia="Calibri"/>
      <w:sz w:val="22"/>
      <w:szCs w:val="22"/>
    </w:rPr>
    <w:tblPr>
      <w:tblStyleRowBandSize w:val="1"/>
      <w:tblStyleColBandSize w:val="1"/>
      <w:tblBorders>
        <w:top w:val="single" w:sz="4" w:space="0" w:color="9BD9F0"/>
        <w:left w:val="single" w:sz="4" w:space="0" w:color="9BD9F0"/>
        <w:bottom w:val="single" w:sz="4" w:space="0" w:color="9BD9F0"/>
        <w:right w:val="single" w:sz="4" w:space="0" w:color="9BD9F0"/>
        <w:insideH w:val="single" w:sz="4" w:space="0" w:color="9BD9F0"/>
        <w:insideV w:val="single" w:sz="4" w:space="0" w:color="9BD9F0"/>
      </w:tblBorders>
    </w:tblPr>
    <w:tblStylePr w:type="firstRow">
      <w:rPr>
        <w:b/>
        <w:bCs/>
        <w:color w:val="FFFFFF"/>
      </w:rPr>
      <w:tblPr/>
      <w:tcPr>
        <w:tcBorders>
          <w:top w:val="single" w:sz="4" w:space="0" w:color="5AC0E7"/>
          <w:left w:val="single" w:sz="4" w:space="0" w:color="5AC0E7"/>
          <w:bottom w:val="single" w:sz="4" w:space="0" w:color="5AC0E7"/>
          <w:right w:val="single" w:sz="4" w:space="0" w:color="5AC0E7"/>
          <w:insideH w:val="nil"/>
          <w:insideV w:val="nil"/>
        </w:tcBorders>
        <w:shd w:val="clear" w:color="auto" w:fill="5AC0E7"/>
      </w:tcPr>
    </w:tblStylePr>
    <w:tblStylePr w:type="lastRow">
      <w:rPr>
        <w:b/>
        <w:bCs/>
      </w:rPr>
      <w:tblPr/>
      <w:tcPr>
        <w:tcBorders>
          <w:top w:val="double" w:sz="4" w:space="0" w:color="5AC0E7"/>
        </w:tcBorders>
      </w:tcPr>
    </w:tblStylePr>
    <w:tblStylePr w:type="firstCol">
      <w:rPr>
        <w:b/>
        <w:bCs/>
      </w:rPr>
    </w:tblStylePr>
    <w:tblStylePr w:type="lastCol">
      <w:rPr>
        <w:b/>
        <w:bCs/>
      </w:rPr>
    </w:tblStylePr>
    <w:tblStylePr w:type="band1Vert">
      <w:tblPr/>
      <w:tcPr>
        <w:shd w:val="clear" w:color="auto" w:fill="DDF2FA"/>
      </w:tcPr>
    </w:tblStylePr>
    <w:tblStylePr w:type="band1Horz">
      <w:tblPr/>
      <w:tcPr>
        <w:shd w:val="clear" w:color="auto" w:fill="DDF2FA"/>
      </w:tcPr>
    </w:tblStylePr>
  </w:style>
  <w:style w:type="table" w:customStyle="1" w:styleId="TableGridLight1">
    <w:name w:val="Table Grid Light1"/>
    <w:basedOn w:val="TableNormal"/>
    <w:next w:val="TableGridLight"/>
    <w:uiPriority w:val="40"/>
    <w:rsid w:val="00244416"/>
    <w:pPr>
      <w:spacing w:before="0" w:after="0"/>
    </w:pPr>
    <w:rPr>
      <w:rFonts w:eastAsia="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4-Accent21">
    <w:name w:val="List Table 4 - Accent 21"/>
    <w:basedOn w:val="TableNormal"/>
    <w:next w:val="ListTable4-Accent2"/>
    <w:uiPriority w:val="49"/>
    <w:rsid w:val="00244416"/>
    <w:pPr>
      <w:spacing w:before="0" w:after="0"/>
    </w:pPr>
    <w:rPr>
      <w:rFonts w:eastAsia="Calibri"/>
      <w:sz w:val="22"/>
      <w:szCs w:val="22"/>
    </w:rPr>
    <w:tblPr>
      <w:tblStyleRowBandSize w:val="1"/>
      <w:tblStyleColBandSize w:val="1"/>
      <w:tblBorders>
        <w:top w:val="single" w:sz="4" w:space="0" w:color="9BD9F0"/>
        <w:left w:val="single" w:sz="4" w:space="0" w:color="9BD9F0"/>
        <w:bottom w:val="single" w:sz="4" w:space="0" w:color="9BD9F0"/>
        <w:right w:val="single" w:sz="4" w:space="0" w:color="9BD9F0"/>
        <w:insideH w:val="single" w:sz="4" w:space="0" w:color="9BD9F0"/>
      </w:tblBorders>
    </w:tblPr>
    <w:tblStylePr w:type="firstRow">
      <w:rPr>
        <w:b/>
        <w:bCs/>
        <w:color w:val="FFFFFF"/>
      </w:rPr>
      <w:tblPr/>
      <w:tcPr>
        <w:tcBorders>
          <w:top w:val="single" w:sz="4" w:space="0" w:color="5AC0E7"/>
          <w:left w:val="single" w:sz="4" w:space="0" w:color="5AC0E7"/>
          <w:bottom w:val="single" w:sz="4" w:space="0" w:color="5AC0E7"/>
          <w:right w:val="single" w:sz="4" w:space="0" w:color="5AC0E7"/>
          <w:insideH w:val="nil"/>
        </w:tcBorders>
        <w:shd w:val="clear" w:color="auto" w:fill="5AC0E7"/>
      </w:tcPr>
    </w:tblStylePr>
    <w:tblStylePr w:type="lastRow">
      <w:rPr>
        <w:b/>
        <w:bCs/>
      </w:rPr>
      <w:tblPr/>
      <w:tcPr>
        <w:tcBorders>
          <w:top w:val="double" w:sz="4" w:space="0" w:color="9BD9F0"/>
        </w:tcBorders>
      </w:tcPr>
    </w:tblStylePr>
    <w:tblStylePr w:type="firstCol">
      <w:rPr>
        <w:b/>
        <w:bCs/>
      </w:rPr>
    </w:tblStylePr>
    <w:tblStylePr w:type="lastCol">
      <w:rPr>
        <w:b/>
        <w:bCs/>
      </w:rPr>
    </w:tblStylePr>
    <w:tblStylePr w:type="band1Vert">
      <w:tblPr/>
      <w:tcPr>
        <w:shd w:val="clear" w:color="auto" w:fill="DDF2FA"/>
      </w:tcPr>
    </w:tblStylePr>
    <w:tblStylePr w:type="band1Horz">
      <w:tblPr/>
      <w:tcPr>
        <w:shd w:val="clear" w:color="auto" w:fill="DDF2FA"/>
      </w:tcPr>
    </w:tblStylePr>
  </w:style>
  <w:style w:type="table" w:customStyle="1" w:styleId="ListTable4-Accent11">
    <w:name w:val="List Table 4 - Accent 11"/>
    <w:basedOn w:val="TableNormal"/>
    <w:next w:val="ListTable4-Accent1"/>
    <w:uiPriority w:val="49"/>
    <w:rsid w:val="00244416"/>
    <w:pPr>
      <w:spacing w:before="0" w:after="0"/>
    </w:pPr>
    <w:rPr>
      <w:rFonts w:eastAsia="Calibri"/>
      <w:sz w:val="22"/>
      <w:szCs w:val="22"/>
    </w:rPr>
    <w:tblPr>
      <w:tblStyleRowBandSize w:val="1"/>
      <w:tblStyleColBandSize w:val="1"/>
      <w:tblBorders>
        <w:top w:val="single" w:sz="4" w:space="0" w:color="58AFDA"/>
        <w:left w:val="single" w:sz="4" w:space="0" w:color="58AFDA"/>
        <w:bottom w:val="single" w:sz="4" w:space="0" w:color="58AFDA"/>
        <w:right w:val="single" w:sz="4" w:space="0" w:color="58AFDA"/>
        <w:insideH w:val="single" w:sz="4" w:space="0" w:color="58AFDA"/>
      </w:tblBorders>
    </w:tblPr>
    <w:tblStylePr w:type="firstRow">
      <w:rPr>
        <w:b/>
        <w:bCs/>
        <w:color w:val="FFFFFF"/>
      </w:rPr>
      <w:tblPr/>
      <w:tcPr>
        <w:tcBorders>
          <w:top w:val="single" w:sz="4" w:space="0" w:color="1F698E"/>
          <w:left w:val="single" w:sz="4" w:space="0" w:color="1F698E"/>
          <w:bottom w:val="single" w:sz="4" w:space="0" w:color="1F698E"/>
          <w:right w:val="single" w:sz="4" w:space="0" w:color="1F698E"/>
          <w:insideH w:val="nil"/>
        </w:tcBorders>
        <w:shd w:val="clear" w:color="auto" w:fill="1F698E"/>
      </w:tcPr>
    </w:tblStylePr>
    <w:tblStylePr w:type="lastRow">
      <w:rPr>
        <w:b/>
        <w:bCs/>
      </w:rPr>
      <w:tblPr/>
      <w:tcPr>
        <w:tcBorders>
          <w:top w:val="double" w:sz="4" w:space="0" w:color="58AFDA"/>
        </w:tcBorders>
      </w:tcPr>
    </w:tblStylePr>
    <w:tblStylePr w:type="firstCol">
      <w:rPr>
        <w:b/>
        <w:bCs/>
      </w:rPr>
    </w:tblStylePr>
    <w:tblStylePr w:type="lastCol">
      <w:rPr>
        <w:b/>
        <w:bCs/>
      </w:rPr>
    </w:tblStylePr>
    <w:tblStylePr w:type="band1Vert">
      <w:tblPr/>
      <w:tcPr>
        <w:shd w:val="clear" w:color="auto" w:fill="C7E4F3"/>
      </w:tcPr>
    </w:tblStylePr>
    <w:tblStylePr w:type="band1Horz">
      <w:tblPr/>
      <w:tcPr>
        <w:shd w:val="clear" w:color="auto" w:fill="C7E4F3"/>
      </w:tcPr>
    </w:tblStylePr>
  </w:style>
  <w:style w:type="table" w:customStyle="1" w:styleId="GridTable41">
    <w:name w:val="Grid Table 41"/>
    <w:basedOn w:val="TableNormal"/>
    <w:next w:val="GridTable4"/>
    <w:uiPriority w:val="49"/>
    <w:rsid w:val="00244416"/>
    <w:pPr>
      <w:spacing w:before="0" w:after="0"/>
    </w:pPr>
    <w:rPr>
      <w:rFonts w:eastAsia="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244416"/>
    <w:pPr>
      <w:spacing w:before="0" w:after="0"/>
    </w:pPr>
    <w:rPr>
      <w:rFonts w:eastAsia="Calibri"/>
      <w:sz w:val="22"/>
      <w:szCs w:val="22"/>
    </w:rPr>
    <w:tblPr>
      <w:tblStyleRowBandSize w:val="1"/>
      <w:tblStyleColBandSize w:val="1"/>
      <w:tblBorders>
        <w:top w:val="single" w:sz="4" w:space="0" w:color="58AFDA"/>
        <w:left w:val="single" w:sz="4" w:space="0" w:color="58AFDA"/>
        <w:bottom w:val="single" w:sz="4" w:space="0" w:color="58AFDA"/>
        <w:right w:val="single" w:sz="4" w:space="0" w:color="58AFDA"/>
        <w:insideH w:val="single" w:sz="4" w:space="0" w:color="58AFDA"/>
        <w:insideV w:val="single" w:sz="4" w:space="0" w:color="58AFDA"/>
      </w:tblBorders>
    </w:tblPr>
    <w:tblStylePr w:type="firstRow">
      <w:rPr>
        <w:b/>
        <w:bCs/>
        <w:color w:val="FFFFFF"/>
      </w:rPr>
      <w:tblPr/>
      <w:tcPr>
        <w:tcBorders>
          <w:top w:val="single" w:sz="4" w:space="0" w:color="1F698E"/>
          <w:left w:val="single" w:sz="4" w:space="0" w:color="1F698E"/>
          <w:bottom w:val="single" w:sz="4" w:space="0" w:color="1F698E"/>
          <w:right w:val="single" w:sz="4" w:space="0" w:color="1F698E"/>
          <w:insideH w:val="nil"/>
          <w:insideV w:val="nil"/>
        </w:tcBorders>
        <w:shd w:val="clear" w:color="auto" w:fill="1F698E"/>
      </w:tcPr>
    </w:tblStylePr>
    <w:tblStylePr w:type="lastRow">
      <w:rPr>
        <w:b/>
        <w:bCs/>
      </w:rPr>
      <w:tblPr/>
      <w:tcPr>
        <w:tcBorders>
          <w:top w:val="double" w:sz="4" w:space="0" w:color="1F698E"/>
        </w:tcBorders>
      </w:tcPr>
    </w:tblStylePr>
    <w:tblStylePr w:type="firstCol">
      <w:rPr>
        <w:b/>
        <w:bCs/>
      </w:rPr>
    </w:tblStylePr>
    <w:tblStylePr w:type="lastCol">
      <w:rPr>
        <w:b/>
        <w:bCs/>
      </w:rPr>
    </w:tblStylePr>
    <w:tblStylePr w:type="band1Vert">
      <w:tblPr/>
      <w:tcPr>
        <w:shd w:val="clear" w:color="auto" w:fill="C7E4F3"/>
      </w:tcPr>
    </w:tblStylePr>
    <w:tblStylePr w:type="band1Horz">
      <w:tblPr/>
      <w:tcPr>
        <w:shd w:val="clear" w:color="auto" w:fill="C7E4F3"/>
      </w:tcPr>
    </w:tblStylePr>
  </w:style>
  <w:style w:type="table" w:customStyle="1" w:styleId="GridTable4-Accent31">
    <w:name w:val="Grid Table 4 - Accent 31"/>
    <w:basedOn w:val="TableNormal"/>
    <w:next w:val="GridTable4-Accent3"/>
    <w:uiPriority w:val="49"/>
    <w:rsid w:val="00244416"/>
    <w:pPr>
      <w:spacing w:before="0" w:after="0"/>
    </w:pPr>
    <w:rPr>
      <w:rFonts w:eastAsia="Calibri"/>
      <w:sz w:val="22"/>
      <w:szCs w:val="22"/>
    </w:rPr>
    <w:tblPr>
      <w:tblStyleRowBandSize w:val="1"/>
      <w:tblStyleColBandSize w:val="1"/>
      <w:tblBorders>
        <w:top w:val="single" w:sz="4" w:space="0" w:color="D9F4FA"/>
        <w:left w:val="single" w:sz="4" w:space="0" w:color="D9F4FA"/>
        <w:bottom w:val="single" w:sz="4" w:space="0" w:color="D9F4FA"/>
        <w:right w:val="single" w:sz="4" w:space="0" w:color="D9F4FA"/>
        <w:insideH w:val="single" w:sz="4" w:space="0" w:color="D9F4FA"/>
        <w:insideV w:val="single" w:sz="4" w:space="0" w:color="D9F4FA"/>
      </w:tblBorders>
    </w:tblPr>
    <w:tblStylePr w:type="firstRow">
      <w:rPr>
        <w:b/>
        <w:bCs/>
        <w:color w:val="FFFFFF"/>
      </w:rPr>
      <w:tblPr/>
      <w:tcPr>
        <w:tcBorders>
          <w:top w:val="single" w:sz="4" w:space="0" w:color="C0EDF8"/>
          <w:left w:val="single" w:sz="4" w:space="0" w:color="C0EDF8"/>
          <w:bottom w:val="single" w:sz="4" w:space="0" w:color="C0EDF8"/>
          <w:right w:val="single" w:sz="4" w:space="0" w:color="C0EDF8"/>
          <w:insideH w:val="nil"/>
          <w:insideV w:val="nil"/>
        </w:tcBorders>
        <w:shd w:val="clear" w:color="auto" w:fill="C0EDF8"/>
      </w:tcPr>
    </w:tblStylePr>
    <w:tblStylePr w:type="lastRow">
      <w:rPr>
        <w:b/>
        <w:bCs/>
      </w:rPr>
      <w:tblPr/>
      <w:tcPr>
        <w:tcBorders>
          <w:top w:val="double" w:sz="4" w:space="0" w:color="C0EDF8"/>
        </w:tcBorders>
      </w:tcPr>
    </w:tblStylePr>
    <w:tblStylePr w:type="firstCol">
      <w:rPr>
        <w:b/>
        <w:bCs/>
      </w:rPr>
    </w:tblStylePr>
    <w:tblStylePr w:type="lastCol">
      <w:rPr>
        <w:b/>
        <w:bCs/>
      </w:rPr>
    </w:tblStylePr>
    <w:tblStylePr w:type="band1Vert">
      <w:tblPr/>
      <w:tcPr>
        <w:shd w:val="clear" w:color="auto" w:fill="F2FBFD"/>
      </w:tcPr>
    </w:tblStylePr>
    <w:tblStylePr w:type="band1Horz">
      <w:tblPr/>
      <w:tcPr>
        <w:shd w:val="clear" w:color="auto" w:fill="F2FBFD"/>
      </w:tcPr>
    </w:tblStylePr>
  </w:style>
  <w:style w:type="table" w:customStyle="1" w:styleId="GridTable4-Accent41">
    <w:name w:val="Grid Table 4 - Accent 41"/>
    <w:basedOn w:val="TableNormal"/>
    <w:next w:val="GridTable4-Accent4"/>
    <w:uiPriority w:val="49"/>
    <w:rsid w:val="00244416"/>
    <w:pPr>
      <w:spacing w:before="0" w:after="0"/>
    </w:pPr>
    <w:rPr>
      <w:rFonts w:eastAsia="Calibri"/>
      <w:sz w:val="22"/>
      <w:szCs w:val="22"/>
    </w:rPr>
    <w:tblPr>
      <w:tblStyleRowBandSize w:val="1"/>
      <w:tblStyleColBandSize w:val="1"/>
      <w:tblBorders>
        <w:top w:val="single" w:sz="4" w:space="0" w:color="68E9C9"/>
        <w:left w:val="single" w:sz="4" w:space="0" w:color="68E9C9"/>
        <w:bottom w:val="single" w:sz="4" w:space="0" w:color="68E9C9"/>
        <w:right w:val="single" w:sz="4" w:space="0" w:color="68E9C9"/>
        <w:insideH w:val="single" w:sz="4" w:space="0" w:color="68E9C9"/>
        <w:insideV w:val="single" w:sz="4" w:space="0" w:color="68E9C9"/>
      </w:tblBorders>
    </w:tblPr>
    <w:tblStylePr w:type="firstRow">
      <w:rPr>
        <w:b/>
        <w:bCs/>
        <w:color w:val="FFFFFF"/>
      </w:rPr>
      <w:tblPr/>
      <w:tcPr>
        <w:tcBorders>
          <w:top w:val="single" w:sz="4" w:space="0" w:color="1CC49B"/>
          <w:left w:val="single" w:sz="4" w:space="0" w:color="1CC49B"/>
          <w:bottom w:val="single" w:sz="4" w:space="0" w:color="1CC49B"/>
          <w:right w:val="single" w:sz="4" w:space="0" w:color="1CC49B"/>
          <w:insideH w:val="nil"/>
          <w:insideV w:val="nil"/>
        </w:tcBorders>
        <w:shd w:val="clear" w:color="auto" w:fill="1CC49B"/>
      </w:tcPr>
    </w:tblStylePr>
    <w:tblStylePr w:type="lastRow">
      <w:rPr>
        <w:b/>
        <w:bCs/>
      </w:rPr>
      <w:tblPr/>
      <w:tcPr>
        <w:tcBorders>
          <w:top w:val="double" w:sz="4" w:space="0" w:color="1CC49B"/>
        </w:tcBorders>
      </w:tcPr>
    </w:tblStylePr>
    <w:tblStylePr w:type="firstCol">
      <w:rPr>
        <w:b/>
        <w:bCs/>
      </w:rPr>
    </w:tblStylePr>
    <w:tblStylePr w:type="lastCol">
      <w:rPr>
        <w:b/>
        <w:bCs/>
      </w:rPr>
    </w:tblStylePr>
    <w:tblStylePr w:type="band1Vert">
      <w:tblPr/>
      <w:tcPr>
        <w:shd w:val="clear" w:color="auto" w:fill="CCF7ED"/>
      </w:tcPr>
    </w:tblStylePr>
    <w:tblStylePr w:type="band1Horz">
      <w:tblPr/>
      <w:tcPr>
        <w:shd w:val="clear" w:color="auto" w:fill="CCF7ED"/>
      </w:tcPr>
    </w:tblStylePr>
  </w:style>
  <w:style w:type="table" w:customStyle="1" w:styleId="GridTable4-Accent51">
    <w:name w:val="Grid Table 4 - Accent 51"/>
    <w:basedOn w:val="TableNormal"/>
    <w:next w:val="GridTable4-Accent5"/>
    <w:uiPriority w:val="49"/>
    <w:rsid w:val="00244416"/>
    <w:pPr>
      <w:spacing w:before="0" w:after="0"/>
    </w:pPr>
    <w:rPr>
      <w:rFonts w:eastAsia="Calibri"/>
      <w:sz w:val="22"/>
      <w:szCs w:val="22"/>
    </w:rPr>
    <w:tblPr>
      <w:tblStyleRowBandSize w:val="1"/>
      <w:tblStyleColBandSize w:val="1"/>
      <w:tblBorders>
        <w:top w:val="single" w:sz="4" w:space="0" w:color="83A4B3"/>
        <w:left w:val="single" w:sz="4" w:space="0" w:color="83A4B3"/>
        <w:bottom w:val="single" w:sz="4" w:space="0" w:color="83A4B3"/>
        <w:right w:val="single" w:sz="4" w:space="0" w:color="83A4B3"/>
        <w:insideH w:val="single" w:sz="4" w:space="0" w:color="83A4B3"/>
        <w:insideV w:val="single" w:sz="4" w:space="0" w:color="83A4B3"/>
      </w:tblBorders>
    </w:tblPr>
    <w:tblStylePr w:type="firstRow">
      <w:rPr>
        <w:b/>
        <w:bCs/>
        <w:color w:val="FFFFFF"/>
      </w:rPr>
      <w:tblPr/>
      <w:tcPr>
        <w:tcBorders>
          <w:top w:val="single" w:sz="4" w:space="0" w:color="44626F"/>
          <w:left w:val="single" w:sz="4" w:space="0" w:color="44626F"/>
          <w:bottom w:val="single" w:sz="4" w:space="0" w:color="44626F"/>
          <w:right w:val="single" w:sz="4" w:space="0" w:color="44626F"/>
          <w:insideH w:val="nil"/>
          <w:insideV w:val="nil"/>
        </w:tcBorders>
        <w:shd w:val="clear" w:color="auto" w:fill="44626F"/>
      </w:tcPr>
    </w:tblStylePr>
    <w:tblStylePr w:type="lastRow">
      <w:rPr>
        <w:b/>
        <w:bCs/>
      </w:rPr>
      <w:tblPr/>
      <w:tcPr>
        <w:tcBorders>
          <w:top w:val="double" w:sz="4" w:space="0" w:color="44626F"/>
        </w:tcBorders>
      </w:tcPr>
    </w:tblStylePr>
    <w:tblStylePr w:type="firstCol">
      <w:rPr>
        <w:b/>
        <w:bCs/>
      </w:rPr>
    </w:tblStylePr>
    <w:tblStylePr w:type="lastCol">
      <w:rPr>
        <w:b/>
        <w:bCs/>
      </w:rPr>
    </w:tblStylePr>
    <w:tblStylePr w:type="band1Vert">
      <w:tblPr/>
      <w:tcPr>
        <w:shd w:val="clear" w:color="auto" w:fill="D5E0E5"/>
      </w:tcPr>
    </w:tblStylePr>
    <w:tblStylePr w:type="band1Horz">
      <w:tblPr/>
      <w:tcPr>
        <w:shd w:val="clear" w:color="auto" w:fill="D5E0E5"/>
      </w:tcPr>
    </w:tblStylePr>
  </w:style>
  <w:style w:type="table" w:customStyle="1" w:styleId="GridTable4-Accent61">
    <w:name w:val="Grid Table 4 - Accent 61"/>
    <w:basedOn w:val="TableNormal"/>
    <w:next w:val="GridTable4-Accent6"/>
    <w:uiPriority w:val="49"/>
    <w:rsid w:val="00244416"/>
    <w:pPr>
      <w:spacing w:before="0" w:after="0"/>
    </w:pPr>
    <w:rPr>
      <w:rFonts w:eastAsia="Calibri"/>
      <w:sz w:val="22"/>
      <w:szCs w:val="22"/>
    </w:rPr>
    <w:tblPr>
      <w:tblStyleRowBandSize w:val="1"/>
      <w:tblStyleColBandSize w:val="1"/>
      <w:tblBorders>
        <w:top w:val="single" w:sz="4" w:space="0" w:color="4B7CCA"/>
        <w:left w:val="single" w:sz="4" w:space="0" w:color="4B7CCA"/>
        <w:bottom w:val="single" w:sz="4" w:space="0" w:color="4B7CCA"/>
        <w:right w:val="single" w:sz="4" w:space="0" w:color="4B7CCA"/>
        <w:insideH w:val="single" w:sz="4" w:space="0" w:color="4B7CCA"/>
        <w:insideV w:val="single" w:sz="4" w:space="0" w:color="4B7CCA"/>
      </w:tblBorders>
    </w:tblPr>
    <w:tblStylePr w:type="firstRow">
      <w:rPr>
        <w:b/>
        <w:bCs/>
        <w:color w:val="FFFFFF"/>
      </w:rPr>
      <w:tblPr/>
      <w:tcPr>
        <w:tcBorders>
          <w:top w:val="single" w:sz="4" w:space="0" w:color="1C365F"/>
          <w:left w:val="single" w:sz="4" w:space="0" w:color="1C365F"/>
          <w:bottom w:val="single" w:sz="4" w:space="0" w:color="1C365F"/>
          <w:right w:val="single" w:sz="4" w:space="0" w:color="1C365F"/>
          <w:insideH w:val="nil"/>
          <w:insideV w:val="nil"/>
        </w:tcBorders>
        <w:shd w:val="clear" w:color="auto" w:fill="1C365F"/>
      </w:tcPr>
    </w:tblStylePr>
    <w:tblStylePr w:type="lastRow">
      <w:rPr>
        <w:b/>
        <w:bCs/>
      </w:rPr>
      <w:tblPr/>
      <w:tcPr>
        <w:tcBorders>
          <w:top w:val="double" w:sz="4" w:space="0" w:color="1C365F"/>
        </w:tcBorders>
      </w:tcPr>
    </w:tblStylePr>
    <w:tblStylePr w:type="firstCol">
      <w:rPr>
        <w:b/>
        <w:bCs/>
      </w:rPr>
    </w:tblStylePr>
    <w:tblStylePr w:type="lastCol">
      <w:rPr>
        <w:b/>
        <w:bCs/>
      </w:rPr>
    </w:tblStylePr>
    <w:tblStylePr w:type="band1Vert">
      <w:tblPr/>
      <w:tcPr>
        <w:shd w:val="clear" w:color="auto" w:fill="C3D3ED"/>
      </w:tcPr>
    </w:tblStylePr>
    <w:tblStylePr w:type="band1Horz">
      <w:tblPr/>
      <w:tcPr>
        <w:shd w:val="clear" w:color="auto" w:fill="C3D3ED"/>
      </w:tcPr>
    </w:tblStylePr>
  </w:style>
  <w:style w:type="table" w:customStyle="1" w:styleId="GridTable5Dark1">
    <w:name w:val="Grid Table 5 Dark1"/>
    <w:basedOn w:val="TableNormal"/>
    <w:next w:val="GridTable5Dark"/>
    <w:uiPriority w:val="50"/>
    <w:rsid w:val="00244416"/>
    <w:pPr>
      <w:spacing w:before="0" w:after="0"/>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21">
    <w:name w:val="Grid Table 5 Dark - Accent 21"/>
    <w:basedOn w:val="TableNormal"/>
    <w:next w:val="GridTable5Dark-Accent2"/>
    <w:uiPriority w:val="50"/>
    <w:rsid w:val="00244416"/>
    <w:pPr>
      <w:spacing w:before="0" w:after="0"/>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F2F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AC0E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AC0E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AC0E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AC0E7"/>
      </w:tcPr>
    </w:tblStylePr>
    <w:tblStylePr w:type="band1Vert">
      <w:tblPr/>
      <w:tcPr>
        <w:shd w:val="clear" w:color="auto" w:fill="BCE5F5"/>
      </w:tcPr>
    </w:tblStylePr>
    <w:tblStylePr w:type="band1Horz">
      <w:tblPr/>
      <w:tcPr>
        <w:shd w:val="clear" w:color="auto" w:fill="BCE5F5"/>
      </w:tcPr>
    </w:tblStylePr>
  </w:style>
  <w:style w:type="table" w:customStyle="1" w:styleId="GridTable5Dark-Accent31">
    <w:name w:val="Grid Table 5 Dark - Accent 31"/>
    <w:basedOn w:val="TableNormal"/>
    <w:next w:val="GridTable5Dark-Accent3"/>
    <w:uiPriority w:val="50"/>
    <w:rsid w:val="00244416"/>
    <w:pPr>
      <w:spacing w:before="0" w:after="0"/>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BF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EDF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EDF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EDF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EDF8"/>
      </w:tcPr>
    </w:tblStylePr>
    <w:tblStylePr w:type="band1Vert">
      <w:tblPr/>
      <w:tcPr>
        <w:shd w:val="clear" w:color="auto" w:fill="E5F7FC"/>
      </w:tcPr>
    </w:tblStylePr>
    <w:tblStylePr w:type="band1Horz">
      <w:tblPr/>
      <w:tcPr>
        <w:shd w:val="clear" w:color="auto" w:fill="E5F7FC"/>
      </w:tcPr>
    </w:tblStylePr>
  </w:style>
  <w:style w:type="table" w:customStyle="1" w:styleId="GridTable5Dark-Accent41">
    <w:name w:val="Grid Table 5 Dark - Accent 41"/>
    <w:basedOn w:val="TableNormal"/>
    <w:next w:val="GridTable5Dark-Accent4"/>
    <w:uiPriority w:val="50"/>
    <w:rsid w:val="00244416"/>
    <w:pPr>
      <w:spacing w:before="0" w:after="0"/>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F7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CC49B"/>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CC49B"/>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CC49B"/>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CC49B"/>
      </w:tcPr>
    </w:tblStylePr>
    <w:tblStylePr w:type="band1Vert">
      <w:tblPr/>
      <w:tcPr>
        <w:shd w:val="clear" w:color="auto" w:fill="9AF0DB"/>
      </w:tcPr>
    </w:tblStylePr>
    <w:tblStylePr w:type="band1Horz">
      <w:tblPr/>
      <w:tcPr>
        <w:shd w:val="clear" w:color="auto" w:fill="9AF0DB"/>
      </w:tcPr>
    </w:tblStylePr>
  </w:style>
  <w:style w:type="table" w:customStyle="1" w:styleId="GridTable5Dark-Accent51">
    <w:name w:val="Grid Table 5 Dark - Accent 51"/>
    <w:basedOn w:val="TableNormal"/>
    <w:next w:val="GridTable5Dark-Accent5"/>
    <w:uiPriority w:val="50"/>
    <w:rsid w:val="00244416"/>
    <w:pPr>
      <w:spacing w:before="0" w:after="0"/>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5E0E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626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626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626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626F"/>
      </w:tcPr>
    </w:tblStylePr>
    <w:tblStylePr w:type="band1Vert">
      <w:tblPr/>
      <w:tcPr>
        <w:shd w:val="clear" w:color="auto" w:fill="ACC2CC"/>
      </w:tcPr>
    </w:tblStylePr>
    <w:tblStylePr w:type="band1Horz">
      <w:tblPr/>
      <w:tcPr>
        <w:shd w:val="clear" w:color="auto" w:fill="ACC2CC"/>
      </w:tcPr>
    </w:tblStylePr>
  </w:style>
  <w:style w:type="table" w:customStyle="1" w:styleId="GridTable5Dark-Accent61">
    <w:name w:val="Grid Table 5 Dark - Accent 61"/>
    <w:basedOn w:val="TableNormal"/>
    <w:next w:val="GridTable5Dark-Accent6"/>
    <w:uiPriority w:val="50"/>
    <w:rsid w:val="00244416"/>
    <w:pPr>
      <w:spacing w:before="0" w:after="0"/>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3D3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C365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C365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C365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C365F"/>
      </w:tcPr>
    </w:tblStylePr>
    <w:tblStylePr w:type="band1Vert">
      <w:tblPr/>
      <w:tcPr>
        <w:shd w:val="clear" w:color="auto" w:fill="87A7DB"/>
      </w:tcPr>
    </w:tblStylePr>
    <w:tblStylePr w:type="band1Horz">
      <w:tblPr/>
      <w:tcPr>
        <w:shd w:val="clear" w:color="auto" w:fill="87A7DB"/>
      </w:tcPr>
    </w:tblStylePr>
  </w:style>
  <w:style w:type="table" w:customStyle="1" w:styleId="GridTable6Colorful1">
    <w:name w:val="Grid Table 6 Colorful1"/>
    <w:basedOn w:val="TableNormal"/>
    <w:next w:val="GridTable6Colourful"/>
    <w:uiPriority w:val="51"/>
    <w:rsid w:val="00244416"/>
    <w:pPr>
      <w:spacing w:before="0" w:after="0"/>
    </w:pPr>
    <w:rPr>
      <w:rFonts w:eastAsia="Calibri"/>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urfulAccent1"/>
    <w:uiPriority w:val="51"/>
    <w:rsid w:val="00244416"/>
    <w:pPr>
      <w:spacing w:before="0" w:after="0"/>
    </w:pPr>
    <w:rPr>
      <w:rFonts w:eastAsia="Calibri"/>
      <w:color w:val="174E6A"/>
      <w:sz w:val="22"/>
      <w:szCs w:val="22"/>
    </w:rPr>
    <w:tblPr>
      <w:tblStyleRowBandSize w:val="1"/>
      <w:tblStyleColBandSize w:val="1"/>
      <w:tblBorders>
        <w:top w:val="single" w:sz="4" w:space="0" w:color="58AFDA"/>
        <w:left w:val="single" w:sz="4" w:space="0" w:color="58AFDA"/>
        <w:bottom w:val="single" w:sz="4" w:space="0" w:color="58AFDA"/>
        <w:right w:val="single" w:sz="4" w:space="0" w:color="58AFDA"/>
        <w:insideH w:val="single" w:sz="4" w:space="0" w:color="58AFDA"/>
        <w:insideV w:val="single" w:sz="4" w:space="0" w:color="58AFDA"/>
      </w:tblBorders>
    </w:tblPr>
    <w:tblStylePr w:type="firstRow">
      <w:rPr>
        <w:b/>
        <w:bCs/>
      </w:rPr>
      <w:tblPr/>
      <w:tcPr>
        <w:tcBorders>
          <w:bottom w:val="single" w:sz="12" w:space="0" w:color="58AFDA"/>
        </w:tcBorders>
      </w:tcPr>
    </w:tblStylePr>
    <w:tblStylePr w:type="lastRow">
      <w:rPr>
        <w:b/>
        <w:bCs/>
      </w:rPr>
      <w:tblPr/>
      <w:tcPr>
        <w:tcBorders>
          <w:top w:val="double" w:sz="4" w:space="0" w:color="58AFDA"/>
        </w:tcBorders>
      </w:tcPr>
    </w:tblStylePr>
    <w:tblStylePr w:type="firstCol">
      <w:rPr>
        <w:b/>
        <w:bCs/>
      </w:rPr>
    </w:tblStylePr>
    <w:tblStylePr w:type="lastCol">
      <w:rPr>
        <w:b/>
        <w:bCs/>
      </w:rPr>
    </w:tblStylePr>
    <w:tblStylePr w:type="band1Vert">
      <w:tblPr/>
      <w:tcPr>
        <w:shd w:val="clear" w:color="auto" w:fill="C7E4F3"/>
      </w:tcPr>
    </w:tblStylePr>
    <w:tblStylePr w:type="band1Horz">
      <w:tblPr/>
      <w:tcPr>
        <w:shd w:val="clear" w:color="auto" w:fill="C7E4F3"/>
      </w:tcPr>
    </w:tblStylePr>
  </w:style>
  <w:style w:type="table" w:customStyle="1" w:styleId="GridTable6Colorful-Accent21">
    <w:name w:val="Grid Table 6 Colorful - Accent 21"/>
    <w:basedOn w:val="TableNormal"/>
    <w:next w:val="GridTable6ColourfulAccent2"/>
    <w:uiPriority w:val="51"/>
    <w:rsid w:val="00244416"/>
    <w:pPr>
      <w:spacing w:before="0" w:after="0"/>
    </w:pPr>
    <w:rPr>
      <w:rFonts w:eastAsia="Calibri"/>
      <w:color w:val="1E9FD1"/>
      <w:sz w:val="22"/>
      <w:szCs w:val="22"/>
    </w:rPr>
    <w:tblPr>
      <w:tblStyleRowBandSize w:val="1"/>
      <w:tblStyleColBandSize w:val="1"/>
      <w:tblBorders>
        <w:top w:val="single" w:sz="4" w:space="0" w:color="9BD9F0"/>
        <w:left w:val="single" w:sz="4" w:space="0" w:color="9BD9F0"/>
        <w:bottom w:val="single" w:sz="4" w:space="0" w:color="9BD9F0"/>
        <w:right w:val="single" w:sz="4" w:space="0" w:color="9BD9F0"/>
        <w:insideH w:val="single" w:sz="4" w:space="0" w:color="9BD9F0"/>
        <w:insideV w:val="single" w:sz="4" w:space="0" w:color="9BD9F0"/>
      </w:tblBorders>
    </w:tblPr>
    <w:tblStylePr w:type="firstRow">
      <w:rPr>
        <w:b/>
        <w:bCs/>
      </w:rPr>
      <w:tblPr/>
      <w:tcPr>
        <w:tcBorders>
          <w:bottom w:val="single" w:sz="12" w:space="0" w:color="9BD9F0"/>
        </w:tcBorders>
      </w:tcPr>
    </w:tblStylePr>
    <w:tblStylePr w:type="lastRow">
      <w:rPr>
        <w:b/>
        <w:bCs/>
      </w:rPr>
      <w:tblPr/>
      <w:tcPr>
        <w:tcBorders>
          <w:top w:val="double" w:sz="4" w:space="0" w:color="9BD9F0"/>
        </w:tcBorders>
      </w:tcPr>
    </w:tblStylePr>
    <w:tblStylePr w:type="firstCol">
      <w:rPr>
        <w:b/>
        <w:bCs/>
      </w:rPr>
    </w:tblStylePr>
    <w:tblStylePr w:type="lastCol">
      <w:rPr>
        <w:b/>
        <w:bCs/>
      </w:rPr>
    </w:tblStylePr>
    <w:tblStylePr w:type="band1Vert">
      <w:tblPr/>
      <w:tcPr>
        <w:shd w:val="clear" w:color="auto" w:fill="DDF2FA"/>
      </w:tcPr>
    </w:tblStylePr>
    <w:tblStylePr w:type="band1Horz">
      <w:tblPr/>
      <w:tcPr>
        <w:shd w:val="clear" w:color="auto" w:fill="DDF2FA"/>
      </w:tcPr>
    </w:tblStylePr>
  </w:style>
  <w:style w:type="table" w:customStyle="1" w:styleId="GridTable6Colorful-Accent31">
    <w:name w:val="Grid Table 6 Colorful - Accent 31"/>
    <w:basedOn w:val="TableNormal"/>
    <w:next w:val="GridTable6ColourfulAccent3"/>
    <w:uiPriority w:val="51"/>
    <w:rsid w:val="00244416"/>
    <w:pPr>
      <w:spacing w:before="0" w:after="0"/>
    </w:pPr>
    <w:rPr>
      <w:rFonts w:eastAsia="Calibri"/>
      <w:color w:val="5CD0ED"/>
      <w:sz w:val="22"/>
      <w:szCs w:val="22"/>
    </w:rPr>
    <w:tblPr>
      <w:tblStyleRowBandSize w:val="1"/>
      <w:tblStyleColBandSize w:val="1"/>
      <w:tblBorders>
        <w:top w:val="single" w:sz="4" w:space="0" w:color="D9F4FA"/>
        <w:left w:val="single" w:sz="4" w:space="0" w:color="D9F4FA"/>
        <w:bottom w:val="single" w:sz="4" w:space="0" w:color="D9F4FA"/>
        <w:right w:val="single" w:sz="4" w:space="0" w:color="D9F4FA"/>
        <w:insideH w:val="single" w:sz="4" w:space="0" w:color="D9F4FA"/>
        <w:insideV w:val="single" w:sz="4" w:space="0" w:color="D9F4FA"/>
      </w:tblBorders>
    </w:tblPr>
    <w:tblStylePr w:type="firstRow">
      <w:rPr>
        <w:b/>
        <w:bCs/>
      </w:rPr>
      <w:tblPr/>
      <w:tcPr>
        <w:tcBorders>
          <w:bottom w:val="single" w:sz="12" w:space="0" w:color="D9F4FA"/>
        </w:tcBorders>
      </w:tcPr>
    </w:tblStylePr>
    <w:tblStylePr w:type="lastRow">
      <w:rPr>
        <w:b/>
        <w:bCs/>
      </w:rPr>
      <w:tblPr/>
      <w:tcPr>
        <w:tcBorders>
          <w:top w:val="double" w:sz="4" w:space="0" w:color="D9F4FA"/>
        </w:tcBorders>
      </w:tcPr>
    </w:tblStylePr>
    <w:tblStylePr w:type="firstCol">
      <w:rPr>
        <w:b/>
        <w:bCs/>
      </w:rPr>
    </w:tblStylePr>
    <w:tblStylePr w:type="lastCol">
      <w:rPr>
        <w:b/>
        <w:bCs/>
      </w:rPr>
    </w:tblStylePr>
    <w:tblStylePr w:type="band1Vert">
      <w:tblPr/>
      <w:tcPr>
        <w:shd w:val="clear" w:color="auto" w:fill="F2FBFD"/>
      </w:tcPr>
    </w:tblStylePr>
    <w:tblStylePr w:type="band1Horz">
      <w:tblPr/>
      <w:tcPr>
        <w:shd w:val="clear" w:color="auto" w:fill="F2FBFD"/>
      </w:tcPr>
    </w:tblStylePr>
  </w:style>
  <w:style w:type="table" w:customStyle="1" w:styleId="GridTable6Colorful-Accent41">
    <w:name w:val="Grid Table 6 Colorful - Accent 41"/>
    <w:basedOn w:val="TableNormal"/>
    <w:next w:val="GridTable6ColourfulAccent4"/>
    <w:uiPriority w:val="51"/>
    <w:rsid w:val="00244416"/>
    <w:pPr>
      <w:spacing w:before="0" w:after="0"/>
    </w:pPr>
    <w:rPr>
      <w:rFonts w:eastAsia="Calibri"/>
      <w:color w:val="159273"/>
      <w:sz w:val="22"/>
      <w:szCs w:val="22"/>
    </w:rPr>
    <w:tblPr>
      <w:tblStyleRowBandSize w:val="1"/>
      <w:tblStyleColBandSize w:val="1"/>
      <w:tblBorders>
        <w:top w:val="single" w:sz="4" w:space="0" w:color="68E9C9"/>
        <w:left w:val="single" w:sz="4" w:space="0" w:color="68E9C9"/>
        <w:bottom w:val="single" w:sz="4" w:space="0" w:color="68E9C9"/>
        <w:right w:val="single" w:sz="4" w:space="0" w:color="68E9C9"/>
        <w:insideH w:val="single" w:sz="4" w:space="0" w:color="68E9C9"/>
        <w:insideV w:val="single" w:sz="4" w:space="0" w:color="68E9C9"/>
      </w:tblBorders>
    </w:tblPr>
    <w:tblStylePr w:type="firstRow">
      <w:rPr>
        <w:b/>
        <w:bCs/>
      </w:rPr>
      <w:tblPr/>
      <w:tcPr>
        <w:tcBorders>
          <w:bottom w:val="single" w:sz="12" w:space="0" w:color="68E9C9"/>
        </w:tcBorders>
      </w:tcPr>
    </w:tblStylePr>
    <w:tblStylePr w:type="lastRow">
      <w:rPr>
        <w:b/>
        <w:bCs/>
      </w:rPr>
      <w:tblPr/>
      <w:tcPr>
        <w:tcBorders>
          <w:top w:val="double" w:sz="4" w:space="0" w:color="68E9C9"/>
        </w:tcBorders>
      </w:tcPr>
    </w:tblStylePr>
    <w:tblStylePr w:type="firstCol">
      <w:rPr>
        <w:b/>
        <w:bCs/>
      </w:rPr>
    </w:tblStylePr>
    <w:tblStylePr w:type="lastCol">
      <w:rPr>
        <w:b/>
        <w:bCs/>
      </w:rPr>
    </w:tblStylePr>
    <w:tblStylePr w:type="band1Vert">
      <w:tblPr/>
      <w:tcPr>
        <w:shd w:val="clear" w:color="auto" w:fill="CCF7ED"/>
      </w:tcPr>
    </w:tblStylePr>
    <w:tblStylePr w:type="band1Horz">
      <w:tblPr/>
      <w:tcPr>
        <w:shd w:val="clear" w:color="auto" w:fill="CCF7ED"/>
      </w:tcPr>
    </w:tblStylePr>
  </w:style>
  <w:style w:type="table" w:customStyle="1" w:styleId="GridTable6Colorful-Accent51">
    <w:name w:val="Grid Table 6 Colorful - Accent 51"/>
    <w:basedOn w:val="TableNormal"/>
    <w:next w:val="GridTable6ColourfulAccent5"/>
    <w:uiPriority w:val="51"/>
    <w:rsid w:val="00244416"/>
    <w:pPr>
      <w:spacing w:before="0" w:after="0"/>
    </w:pPr>
    <w:rPr>
      <w:rFonts w:eastAsia="Calibri"/>
      <w:color w:val="334953"/>
      <w:sz w:val="22"/>
      <w:szCs w:val="22"/>
    </w:rPr>
    <w:tblPr>
      <w:tblStyleRowBandSize w:val="1"/>
      <w:tblStyleColBandSize w:val="1"/>
      <w:tblBorders>
        <w:top w:val="single" w:sz="4" w:space="0" w:color="83A4B3"/>
        <w:left w:val="single" w:sz="4" w:space="0" w:color="83A4B3"/>
        <w:bottom w:val="single" w:sz="4" w:space="0" w:color="83A4B3"/>
        <w:right w:val="single" w:sz="4" w:space="0" w:color="83A4B3"/>
        <w:insideH w:val="single" w:sz="4" w:space="0" w:color="83A4B3"/>
        <w:insideV w:val="single" w:sz="4" w:space="0" w:color="83A4B3"/>
      </w:tblBorders>
    </w:tblPr>
    <w:tblStylePr w:type="firstRow">
      <w:rPr>
        <w:b/>
        <w:bCs/>
      </w:rPr>
      <w:tblPr/>
      <w:tcPr>
        <w:tcBorders>
          <w:bottom w:val="single" w:sz="12" w:space="0" w:color="83A4B3"/>
        </w:tcBorders>
      </w:tcPr>
    </w:tblStylePr>
    <w:tblStylePr w:type="lastRow">
      <w:rPr>
        <w:b/>
        <w:bCs/>
      </w:rPr>
      <w:tblPr/>
      <w:tcPr>
        <w:tcBorders>
          <w:top w:val="double" w:sz="4" w:space="0" w:color="83A4B3"/>
        </w:tcBorders>
      </w:tcPr>
    </w:tblStylePr>
    <w:tblStylePr w:type="firstCol">
      <w:rPr>
        <w:b/>
        <w:bCs/>
      </w:rPr>
    </w:tblStylePr>
    <w:tblStylePr w:type="lastCol">
      <w:rPr>
        <w:b/>
        <w:bCs/>
      </w:rPr>
    </w:tblStylePr>
    <w:tblStylePr w:type="band1Vert">
      <w:tblPr/>
      <w:tcPr>
        <w:shd w:val="clear" w:color="auto" w:fill="D5E0E5"/>
      </w:tcPr>
    </w:tblStylePr>
    <w:tblStylePr w:type="band1Horz">
      <w:tblPr/>
      <w:tcPr>
        <w:shd w:val="clear" w:color="auto" w:fill="D5E0E5"/>
      </w:tcPr>
    </w:tblStylePr>
  </w:style>
  <w:style w:type="table" w:customStyle="1" w:styleId="GridTable6Colorful-Accent61">
    <w:name w:val="Grid Table 6 Colorful - Accent 61"/>
    <w:basedOn w:val="TableNormal"/>
    <w:next w:val="GridTable6ColourfulAccent6"/>
    <w:uiPriority w:val="51"/>
    <w:rsid w:val="00244416"/>
    <w:pPr>
      <w:spacing w:before="0" w:after="0"/>
    </w:pPr>
    <w:rPr>
      <w:rFonts w:eastAsia="Calibri"/>
      <w:color w:val="152847"/>
      <w:sz w:val="22"/>
      <w:szCs w:val="22"/>
    </w:rPr>
    <w:tblPr>
      <w:tblStyleRowBandSize w:val="1"/>
      <w:tblStyleColBandSize w:val="1"/>
      <w:tblBorders>
        <w:top w:val="single" w:sz="4" w:space="0" w:color="4B7CCA"/>
        <w:left w:val="single" w:sz="4" w:space="0" w:color="4B7CCA"/>
        <w:bottom w:val="single" w:sz="4" w:space="0" w:color="4B7CCA"/>
        <w:right w:val="single" w:sz="4" w:space="0" w:color="4B7CCA"/>
        <w:insideH w:val="single" w:sz="4" w:space="0" w:color="4B7CCA"/>
        <w:insideV w:val="single" w:sz="4" w:space="0" w:color="4B7CCA"/>
      </w:tblBorders>
    </w:tblPr>
    <w:tblStylePr w:type="firstRow">
      <w:rPr>
        <w:b/>
        <w:bCs/>
      </w:rPr>
      <w:tblPr/>
      <w:tcPr>
        <w:tcBorders>
          <w:bottom w:val="single" w:sz="12" w:space="0" w:color="4B7CCA"/>
        </w:tcBorders>
      </w:tcPr>
    </w:tblStylePr>
    <w:tblStylePr w:type="lastRow">
      <w:rPr>
        <w:b/>
        <w:bCs/>
      </w:rPr>
      <w:tblPr/>
      <w:tcPr>
        <w:tcBorders>
          <w:top w:val="double" w:sz="4" w:space="0" w:color="4B7CCA"/>
        </w:tcBorders>
      </w:tcPr>
    </w:tblStylePr>
    <w:tblStylePr w:type="firstCol">
      <w:rPr>
        <w:b/>
        <w:bCs/>
      </w:rPr>
    </w:tblStylePr>
    <w:tblStylePr w:type="lastCol">
      <w:rPr>
        <w:b/>
        <w:bCs/>
      </w:rPr>
    </w:tblStylePr>
    <w:tblStylePr w:type="band1Vert">
      <w:tblPr/>
      <w:tcPr>
        <w:shd w:val="clear" w:color="auto" w:fill="C3D3ED"/>
      </w:tcPr>
    </w:tblStylePr>
    <w:tblStylePr w:type="band1Horz">
      <w:tblPr/>
      <w:tcPr>
        <w:shd w:val="clear" w:color="auto" w:fill="C3D3ED"/>
      </w:tcPr>
    </w:tblStylePr>
  </w:style>
  <w:style w:type="table" w:customStyle="1" w:styleId="GridTable7Colorful1">
    <w:name w:val="Grid Table 7 Colorful1"/>
    <w:basedOn w:val="TableNormal"/>
    <w:next w:val="GridTable7Colourful"/>
    <w:uiPriority w:val="52"/>
    <w:rsid w:val="00244416"/>
    <w:pPr>
      <w:spacing w:before="0" w:after="0"/>
    </w:pPr>
    <w:rPr>
      <w:rFonts w:eastAsia="Calibri"/>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urfulAccent1"/>
    <w:uiPriority w:val="52"/>
    <w:rsid w:val="00244416"/>
    <w:pPr>
      <w:spacing w:before="0" w:after="0"/>
    </w:pPr>
    <w:rPr>
      <w:rFonts w:eastAsia="Calibri"/>
      <w:color w:val="174E6A"/>
      <w:sz w:val="22"/>
      <w:szCs w:val="22"/>
    </w:rPr>
    <w:tblPr>
      <w:tblStyleRowBandSize w:val="1"/>
      <w:tblStyleColBandSize w:val="1"/>
      <w:tblBorders>
        <w:top w:val="single" w:sz="4" w:space="0" w:color="58AFDA"/>
        <w:left w:val="single" w:sz="4" w:space="0" w:color="58AFDA"/>
        <w:bottom w:val="single" w:sz="4" w:space="0" w:color="58AFDA"/>
        <w:right w:val="single" w:sz="4" w:space="0" w:color="58AFDA"/>
        <w:insideH w:val="single" w:sz="4" w:space="0" w:color="58AFDA"/>
        <w:insideV w:val="single" w:sz="4" w:space="0" w:color="58AFD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7E4F3"/>
      </w:tcPr>
    </w:tblStylePr>
    <w:tblStylePr w:type="band1Horz">
      <w:tblPr/>
      <w:tcPr>
        <w:shd w:val="clear" w:color="auto" w:fill="C7E4F3"/>
      </w:tcPr>
    </w:tblStylePr>
    <w:tblStylePr w:type="neCell">
      <w:tblPr/>
      <w:tcPr>
        <w:tcBorders>
          <w:bottom w:val="single" w:sz="4" w:space="0" w:color="58AFDA"/>
        </w:tcBorders>
      </w:tcPr>
    </w:tblStylePr>
    <w:tblStylePr w:type="nwCell">
      <w:tblPr/>
      <w:tcPr>
        <w:tcBorders>
          <w:bottom w:val="single" w:sz="4" w:space="0" w:color="58AFDA"/>
        </w:tcBorders>
      </w:tcPr>
    </w:tblStylePr>
    <w:tblStylePr w:type="seCell">
      <w:tblPr/>
      <w:tcPr>
        <w:tcBorders>
          <w:top w:val="single" w:sz="4" w:space="0" w:color="58AFDA"/>
        </w:tcBorders>
      </w:tcPr>
    </w:tblStylePr>
    <w:tblStylePr w:type="swCell">
      <w:tblPr/>
      <w:tcPr>
        <w:tcBorders>
          <w:top w:val="single" w:sz="4" w:space="0" w:color="58AFDA"/>
        </w:tcBorders>
      </w:tcPr>
    </w:tblStylePr>
  </w:style>
  <w:style w:type="table" w:customStyle="1" w:styleId="GridTable7Colorful-Accent21">
    <w:name w:val="Grid Table 7 Colorful - Accent 21"/>
    <w:basedOn w:val="TableNormal"/>
    <w:next w:val="GridTable7ColourfulAccent2"/>
    <w:uiPriority w:val="52"/>
    <w:rsid w:val="00244416"/>
    <w:pPr>
      <w:spacing w:before="0" w:after="0"/>
    </w:pPr>
    <w:rPr>
      <w:rFonts w:eastAsia="Calibri"/>
      <w:color w:val="1E9FD1"/>
      <w:sz w:val="22"/>
      <w:szCs w:val="22"/>
    </w:rPr>
    <w:tblPr>
      <w:tblStyleRowBandSize w:val="1"/>
      <w:tblStyleColBandSize w:val="1"/>
      <w:tblBorders>
        <w:top w:val="single" w:sz="4" w:space="0" w:color="9BD9F0"/>
        <w:left w:val="single" w:sz="4" w:space="0" w:color="9BD9F0"/>
        <w:bottom w:val="single" w:sz="4" w:space="0" w:color="9BD9F0"/>
        <w:right w:val="single" w:sz="4" w:space="0" w:color="9BD9F0"/>
        <w:insideH w:val="single" w:sz="4" w:space="0" w:color="9BD9F0"/>
        <w:insideV w:val="single" w:sz="4" w:space="0" w:color="9BD9F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F2FA"/>
      </w:tcPr>
    </w:tblStylePr>
    <w:tblStylePr w:type="band1Horz">
      <w:tblPr/>
      <w:tcPr>
        <w:shd w:val="clear" w:color="auto" w:fill="DDF2FA"/>
      </w:tcPr>
    </w:tblStylePr>
    <w:tblStylePr w:type="neCell">
      <w:tblPr/>
      <w:tcPr>
        <w:tcBorders>
          <w:bottom w:val="single" w:sz="4" w:space="0" w:color="9BD9F0"/>
        </w:tcBorders>
      </w:tcPr>
    </w:tblStylePr>
    <w:tblStylePr w:type="nwCell">
      <w:tblPr/>
      <w:tcPr>
        <w:tcBorders>
          <w:bottom w:val="single" w:sz="4" w:space="0" w:color="9BD9F0"/>
        </w:tcBorders>
      </w:tcPr>
    </w:tblStylePr>
    <w:tblStylePr w:type="seCell">
      <w:tblPr/>
      <w:tcPr>
        <w:tcBorders>
          <w:top w:val="single" w:sz="4" w:space="0" w:color="9BD9F0"/>
        </w:tcBorders>
      </w:tcPr>
    </w:tblStylePr>
    <w:tblStylePr w:type="swCell">
      <w:tblPr/>
      <w:tcPr>
        <w:tcBorders>
          <w:top w:val="single" w:sz="4" w:space="0" w:color="9BD9F0"/>
        </w:tcBorders>
      </w:tcPr>
    </w:tblStylePr>
  </w:style>
  <w:style w:type="table" w:customStyle="1" w:styleId="GridTable7Colorful-Accent31">
    <w:name w:val="Grid Table 7 Colorful - Accent 31"/>
    <w:basedOn w:val="TableNormal"/>
    <w:next w:val="GridTable7ColourfulAccent3"/>
    <w:uiPriority w:val="52"/>
    <w:rsid w:val="00244416"/>
    <w:pPr>
      <w:spacing w:before="0" w:after="0"/>
    </w:pPr>
    <w:rPr>
      <w:rFonts w:eastAsia="Calibri"/>
      <w:color w:val="5CD0ED"/>
      <w:sz w:val="22"/>
      <w:szCs w:val="22"/>
    </w:rPr>
    <w:tblPr>
      <w:tblStyleRowBandSize w:val="1"/>
      <w:tblStyleColBandSize w:val="1"/>
      <w:tblBorders>
        <w:top w:val="single" w:sz="4" w:space="0" w:color="D9F4FA"/>
        <w:left w:val="single" w:sz="4" w:space="0" w:color="D9F4FA"/>
        <w:bottom w:val="single" w:sz="4" w:space="0" w:color="D9F4FA"/>
        <w:right w:val="single" w:sz="4" w:space="0" w:color="D9F4FA"/>
        <w:insideH w:val="single" w:sz="4" w:space="0" w:color="D9F4FA"/>
        <w:insideV w:val="single" w:sz="4" w:space="0" w:color="D9F4F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FBFD"/>
      </w:tcPr>
    </w:tblStylePr>
    <w:tblStylePr w:type="band1Horz">
      <w:tblPr/>
      <w:tcPr>
        <w:shd w:val="clear" w:color="auto" w:fill="F2FBFD"/>
      </w:tcPr>
    </w:tblStylePr>
    <w:tblStylePr w:type="neCell">
      <w:tblPr/>
      <w:tcPr>
        <w:tcBorders>
          <w:bottom w:val="single" w:sz="4" w:space="0" w:color="D9F4FA"/>
        </w:tcBorders>
      </w:tcPr>
    </w:tblStylePr>
    <w:tblStylePr w:type="nwCell">
      <w:tblPr/>
      <w:tcPr>
        <w:tcBorders>
          <w:bottom w:val="single" w:sz="4" w:space="0" w:color="D9F4FA"/>
        </w:tcBorders>
      </w:tcPr>
    </w:tblStylePr>
    <w:tblStylePr w:type="seCell">
      <w:tblPr/>
      <w:tcPr>
        <w:tcBorders>
          <w:top w:val="single" w:sz="4" w:space="0" w:color="D9F4FA"/>
        </w:tcBorders>
      </w:tcPr>
    </w:tblStylePr>
    <w:tblStylePr w:type="swCell">
      <w:tblPr/>
      <w:tcPr>
        <w:tcBorders>
          <w:top w:val="single" w:sz="4" w:space="0" w:color="D9F4FA"/>
        </w:tcBorders>
      </w:tcPr>
    </w:tblStylePr>
  </w:style>
  <w:style w:type="table" w:customStyle="1" w:styleId="GridTable7Colorful-Accent41">
    <w:name w:val="Grid Table 7 Colorful - Accent 41"/>
    <w:basedOn w:val="TableNormal"/>
    <w:next w:val="GridTable7ColourfulAccent4"/>
    <w:uiPriority w:val="52"/>
    <w:rsid w:val="00244416"/>
    <w:pPr>
      <w:spacing w:before="0" w:after="0"/>
    </w:pPr>
    <w:rPr>
      <w:rFonts w:eastAsia="Calibri"/>
      <w:color w:val="159273"/>
      <w:sz w:val="22"/>
      <w:szCs w:val="22"/>
    </w:rPr>
    <w:tblPr>
      <w:tblStyleRowBandSize w:val="1"/>
      <w:tblStyleColBandSize w:val="1"/>
      <w:tblBorders>
        <w:top w:val="single" w:sz="4" w:space="0" w:color="68E9C9"/>
        <w:left w:val="single" w:sz="4" w:space="0" w:color="68E9C9"/>
        <w:bottom w:val="single" w:sz="4" w:space="0" w:color="68E9C9"/>
        <w:right w:val="single" w:sz="4" w:space="0" w:color="68E9C9"/>
        <w:insideH w:val="single" w:sz="4" w:space="0" w:color="68E9C9"/>
        <w:insideV w:val="single" w:sz="4" w:space="0" w:color="68E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F7ED"/>
      </w:tcPr>
    </w:tblStylePr>
    <w:tblStylePr w:type="band1Horz">
      <w:tblPr/>
      <w:tcPr>
        <w:shd w:val="clear" w:color="auto" w:fill="CCF7ED"/>
      </w:tcPr>
    </w:tblStylePr>
    <w:tblStylePr w:type="neCell">
      <w:tblPr/>
      <w:tcPr>
        <w:tcBorders>
          <w:bottom w:val="single" w:sz="4" w:space="0" w:color="68E9C9"/>
        </w:tcBorders>
      </w:tcPr>
    </w:tblStylePr>
    <w:tblStylePr w:type="nwCell">
      <w:tblPr/>
      <w:tcPr>
        <w:tcBorders>
          <w:bottom w:val="single" w:sz="4" w:space="0" w:color="68E9C9"/>
        </w:tcBorders>
      </w:tcPr>
    </w:tblStylePr>
    <w:tblStylePr w:type="seCell">
      <w:tblPr/>
      <w:tcPr>
        <w:tcBorders>
          <w:top w:val="single" w:sz="4" w:space="0" w:color="68E9C9"/>
        </w:tcBorders>
      </w:tcPr>
    </w:tblStylePr>
    <w:tblStylePr w:type="swCell">
      <w:tblPr/>
      <w:tcPr>
        <w:tcBorders>
          <w:top w:val="single" w:sz="4" w:space="0" w:color="68E9C9"/>
        </w:tcBorders>
      </w:tcPr>
    </w:tblStylePr>
  </w:style>
  <w:style w:type="table" w:customStyle="1" w:styleId="GridTable7Colorful-Accent51">
    <w:name w:val="Grid Table 7 Colorful - Accent 51"/>
    <w:basedOn w:val="TableNormal"/>
    <w:next w:val="GridTable7ColourfulAccent5"/>
    <w:uiPriority w:val="52"/>
    <w:rsid w:val="00244416"/>
    <w:pPr>
      <w:spacing w:before="0" w:after="0"/>
    </w:pPr>
    <w:rPr>
      <w:rFonts w:eastAsia="Calibri"/>
      <w:color w:val="334953"/>
      <w:sz w:val="22"/>
      <w:szCs w:val="22"/>
    </w:rPr>
    <w:tblPr>
      <w:tblStyleRowBandSize w:val="1"/>
      <w:tblStyleColBandSize w:val="1"/>
      <w:tblBorders>
        <w:top w:val="single" w:sz="4" w:space="0" w:color="83A4B3"/>
        <w:left w:val="single" w:sz="4" w:space="0" w:color="83A4B3"/>
        <w:bottom w:val="single" w:sz="4" w:space="0" w:color="83A4B3"/>
        <w:right w:val="single" w:sz="4" w:space="0" w:color="83A4B3"/>
        <w:insideH w:val="single" w:sz="4" w:space="0" w:color="83A4B3"/>
        <w:insideV w:val="single" w:sz="4" w:space="0" w:color="83A4B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5E0E5"/>
      </w:tcPr>
    </w:tblStylePr>
    <w:tblStylePr w:type="band1Horz">
      <w:tblPr/>
      <w:tcPr>
        <w:shd w:val="clear" w:color="auto" w:fill="D5E0E5"/>
      </w:tcPr>
    </w:tblStylePr>
    <w:tblStylePr w:type="neCell">
      <w:tblPr/>
      <w:tcPr>
        <w:tcBorders>
          <w:bottom w:val="single" w:sz="4" w:space="0" w:color="83A4B3"/>
        </w:tcBorders>
      </w:tcPr>
    </w:tblStylePr>
    <w:tblStylePr w:type="nwCell">
      <w:tblPr/>
      <w:tcPr>
        <w:tcBorders>
          <w:bottom w:val="single" w:sz="4" w:space="0" w:color="83A4B3"/>
        </w:tcBorders>
      </w:tcPr>
    </w:tblStylePr>
    <w:tblStylePr w:type="seCell">
      <w:tblPr/>
      <w:tcPr>
        <w:tcBorders>
          <w:top w:val="single" w:sz="4" w:space="0" w:color="83A4B3"/>
        </w:tcBorders>
      </w:tcPr>
    </w:tblStylePr>
    <w:tblStylePr w:type="swCell">
      <w:tblPr/>
      <w:tcPr>
        <w:tcBorders>
          <w:top w:val="single" w:sz="4" w:space="0" w:color="83A4B3"/>
        </w:tcBorders>
      </w:tcPr>
    </w:tblStylePr>
  </w:style>
  <w:style w:type="table" w:customStyle="1" w:styleId="ListTable7Colorful-Accent61">
    <w:name w:val="List Table 7 Colorful - Accent 61"/>
    <w:basedOn w:val="TableNormal"/>
    <w:next w:val="ListTable7ColourfulAccent6"/>
    <w:uiPriority w:val="52"/>
    <w:rsid w:val="00244416"/>
    <w:pPr>
      <w:spacing w:before="0" w:after="0"/>
    </w:pPr>
    <w:rPr>
      <w:rFonts w:eastAsia="Calibri"/>
      <w:color w:val="152847"/>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1C365F"/>
        </w:tcBorders>
        <w:shd w:val="clear" w:color="auto" w:fill="FFFFFF"/>
      </w:tcPr>
    </w:tblStylePr>
    <w:tblStylePr w:type="lastRow">
      <w:rPr>
        <w:rFonts w:ascii="Calibri Light" w:eastAsia="Times New Roman" w:hAnsi="Calibri Light" w:cs="Times New Roman"/>
        <w:i/>
        <w:iCs/>
        <w:sz w:val="26"/>
      </w:rPr>
      <w:tblPr/>
      <w:tcPr>
        <w:tcBorders>
          <w:top w:val="single" w:sz="4" w:space="0" w:color="1C365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1C365F"/>
        </w:tcBorders>
        <w:shd w:val="clear" w:color="auto" w:fill="FFFFFF"/>
      </w:tcPr>
    </w:tblStylePr>
    <w:tblStylePr w:type="lastCol">
      <w:rPr>
        <w:rFonts w:ascii="Calibri Light" w:eastAsia="Times New Roman" w:hAnsi="Calibri Light" w:cs="Times New Roman"/>
        <w:i/>
        <w:iCs/>
        <w:sz w:val="26"/>
      </w:rPr>
      <w:tblPr/>
      <w:tcPr>
        <w:tcBorders>
          <w:left w:val="single" w:sz="4" w:space="0" w:color="1C365F"/>
        </w:tcBorders>
        <w:shd w:val="clear" w:color="auto" w:fill="FFFFFF"/>
      </w:tcPr>
    </w:tblStylePr>
    <w:tblStylePr w:type="band1Vert">
      <w:tblPr/>
      <w:tcPr>
        <w:shd w:val="clear" w:color="auto" w:fill="C3D3ED"/>
      </w:tcPr>
    </w:tblStylePr>
    <w:tblStylePr w:type="band1Horz">
      <w:tblPr/>
      <w:tcPr>
        <w:shd w:val="clear" w:color="auto" w:fill="C3D3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urfulAccent5"/>
    <w:uiPriority w:val="52"/>
    <w:rsid w:val="00244416"/>
    <w:pPr>
      <w:spacing w:before="0" w:after="0"/>
    </w:pPr>
    <w:rPr>
      <w:rFonts w:eastAsia="Calibri"/>
      <w:color w:val="334953"/>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626F"/>
        </w:tcBorders>
        <w:shd w:val="clear" w:color="auto" w:fill="FFFFFF"/>
      </w:tcPr>
    </w:tblStylePr>
    <w:tblStylePr w:type="lastRow">
      <w:rPr>
        <w:rFonts w:ascii="Calibri Light" w:eastAsia="Times New Roman" w:hAnsi="Calibri Light" w:cs="Times New Roman"/>
        <w:i/>
        <w:iCs/>
        <w:sz w:val="26"/>
      </w:rPr>
      <w:tblPr/>
      <w:tcPr>
        <w:tcBorders>
          <w:top w:val="single" w:sz="4" w:space="0" w:color="44626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626F"/>
        </w:tcBorders>
        <w:shd w:val="clear" w:color="auto" w:fill="FFFFFF"/>
      </w:tcPr>
    </w:tblStylePr>
    <w:tblStylePr w:type="lastCol">
      <w:rPr>
        <w:rFonts w:ascii="Calibri Light" w:eastAsia="Times New Roman" w:hAnsi="Calibri Light" w:cs="Times New Roman"/>
        <w:i/>
        <w:iCs/>
        <w:sz w:val="26"/>
      </w:rPr>
      <w:tblPr/>
      <w:tcPr>
        <w:tcBorders>
          <w:left w:val="single" w:sz="4" w:space="0" w:color="44626F"/>
        </w:tcBorders>
        <w:shd w:val="clear" w:color="auto" w:fill="FFFFFF"/>
      </w:tcPr>
    </w:tblStylePr>
    <w:tblStylePr w:type="band1Vert">
      <w:tblPr/>
      <w:tcPr>
        <w:shd w:val="clear" w:color="auto" w:fill="D5E0E5"/>
      </w:tcPr>
    </w:tblStylePr>
    <w:tblStylePr w:type="band1Horz">
      <w:tblPr/>
      <w:tcPr>
        <w:shd w:val="clear" w:color="auto" w:fill="D5E0E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urfulAccent4"/>
    <w:uiPriority w:val="52"/>
    <w:rsid w:val="00244416"/>
    <w:pPr>
      <w:spacing w:before="0" w:after="0"/>
    </w:pPr>
    <w:rPr>
      <w:rFonts w:eastAsia="Calibri"/>
      <w:color w:val="159273"/>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1CC49B"/>
        </w:tcBorders>
        <w:shd w:val="clear" w:color="auto" w:fill="FFFFFF"/>
      </w:tcPr>
    </w:tblStylePr>
    <w:tblStylePr w:type="lastRow">
      <w:rPr>
        <w:rFonts w:ascii="Calibri Light" w:eastAsia="Times New Roman" w:hAnsi="Calibri Light" w:cs="Times New Roman"/>
        <w:i/>
        <w:iCs/>
        <w:sz w:val="26"/>
      </w:rPr>
      <w:tblPr/>
      <w:tcPr>
        <w:tcBorders>
          <w:top w:val="single" w:sz="4" w:space="0" w:color="1CC49B"/>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1CC49B"/>
        </w:tcBorders>
        <w:shd w:val="clear" w:color="auto" w:fill="FFFFFF"/>
      </w:tcPr>
    </w:tblStylePr>
    <w:tblStylePr w:type="lastCol">
      <w:rPr>
        <w:rFonts w:ascii="Calibri Light" w:eastAsia="Times New Roman" w:hAnsi="Calibri Light" w:cs="Times New Roman"/>
        <w:i/>
        <w:iCs/>
        <w:sz w:val="26"/>
      </w:rPr>
      <w:tblPr/>
      <w:tcPr>
        <w:tcBorders>
          <w:left w:val="single" w:sz="4" w:space="0" w:color="1CC49B"/>
        </w:tcBorders>
        <w:shd w:val="clear" w:color="auto" w:fill="FFFFFF"/>
      </w:tcPr>
    </w:tblStylePr>
    <w:tblStylePr w:type="band1Vert">
      <w:tblPr/>
      <w:tcPr>
        <w:shd w:val="clear" w:color="auto" w:fill="CCF7ED"/>
      </w:tcPr>
    </w:tblStylePr>
    <w:tblStylePr w:type="band1Horz">
      <w:tblPr/>
      <w:tcPr>
        <w:shd w:val="clear" w:color="auto" w:fill="CCF7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urfulAccent3"/>
    <w:uiPriority w:val="52"/>
    <w:rsid w:val="00244416"/>
    <w:pPr>
      <w:spacing w:before="0" w:after="0"/>
    </w:pPr>
    <w:rPr>
      <w:rFonts w:eastAsia="Calibri"/>
      <w:color w:val="5CD0ED"/>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C0EDF8"/>
        </w:tcBorders>
        <w:shd w:val="clear" w:color="auto" w:fill="FFFFFF"/>
      </w:tcPr>
    </w:tblStylePr>
    <w:tblStylePr w:type="lastRow">
      <w:rPr>
        <w:rFonts w:ascii="Calibri Light" w:eastAsia="Times New Roman" w:hAnsi="Calibri Light" w:cs="Times New Roman"/>
        <w:i/>
        <w:iCs/>
        <w:sz w:val="26"/>
      </w:rPr>
      <w:tblPr/>
      <w:tcPr>
        <w:tcBorders>
          <w:top w:val="single" w:sz="4" w:space="0" w:color="C0EDF8"/>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C0EDF8"/>
        </w:tcBorders>
        <w:shd w:val="clear" w:color="auto" w:fill="FFFFFF"/>
      </w:tcPr>
    </w:tblStylePr>
    <w:tblStylePr w:type="lastCol">
      <w:rPr>
        <w:rFonts w:ascii="Calibri Light" w:eastAsia="Times New Roman" w:hAnsi="Calibri Light" w:cs="Times New Roman"/>
        <w:i/>
        <w:iCs/>
        <w:sz w:val="26"/>
      </w:rPr>
      <w:tblPr/>
      <w:tcPr>
        <w:tcBorders>
          <w:left w:val="single" w:sz="4" w:space="0" w:color="C0EDF8"/>
        </w:tcBorders>
        <w:shd w:val="clear" w:color="auto" w:fill="FFFFFF"/>
      </w:tcPr>
    </w:tblStylePr>
    <w:tblStylePr w:type="band1Vert">
      <w:tblPr/>
      <w:tcPr>
        <w:shd w:val="clear" w:color="auto" w:fill="F2FBFD"/>
      </w:tcPr>
    </w:tblStylePr>
    <w:tblStylePr w:type="band1Horz">
      <w:tblPr/>
      <w:tcPr>
        <w:shd w:val="clear" w:color="auto" w:fill="F2FBF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next w:val="PlainTable1"/>
    <w:uiPriority w:val="41"/>
    <w:rsid w:val="00244416"/>
    <w:pPr>
      <w:spacing w:before="0" w:after="0"/>
    </w:pPr>
    <w:rPr>
      <w:rFonts w:eastAsia="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7Char1">
    <w:name w:val="Heading 7 Char1"/>
    <w:basedOn w:val="DefaultParagraphFont"/>
    <w:uiPriority w:val="9"/>
    <w:semiHidden/>
    <w:rsid w:val="00244416"/>
    <w:rPr>
      <w:rFonts w:asciiTheme="majorHAnsi" w:eastAsiaTheme="majorEastAsia" w:hAnsiTheme="majorHAnsi" w:cstheme="majorBidi"/>
      <w:i/>
      <w:iCs/>
      <w:color w:val="5C6B16" w:themeColor="accent1" w:themeShade="7F"/>
      <w:sz w:val="20"/>
    </w:rPr>
  </w:style>
  <w:style w:type="character" w:customStyle="1" w:styleId="SubtitleChar1">
    <w:name w:val="Subtitle Char1"/>
    <w:basedOn w:val="DefaultParagraphFont"/>
    <w:uiPriority w:val="11"/>
    <w:rsid w:val="00244416"/>
    <w:rPr>
      <w:color w:val="5A5A5A" w:themeColor="text1" w:themeTint="A5"/>
      <w:spacing w:val="15"/>
      <w:sz w:val="22"/>
      <w:szCs w:val="22"/>
    </w:rPr>
  </w:style>
  <w:style w:type="character" w:customStyle="1" w:styleId="QuoteChar1">
    <w:name w:val="Quote Char1"/>
    <w:basedOn w:val="DefaultParagraphFont"/>
    <w:uiPriority w:val="29"/>
    <w:rsid w:val="00244416"/>
    <w:rPr>
      <w:rFonts w:ascii="Arial" w:hAnsi="Arial"/>
      <w:i/>
      <w:iCs/>
      <w:color w:val="404040" w:themeColor="text1" w:themeTint="BF"/>
      <w:sz w:val="20"/>
    </w:rPr>
  </w:style>
  <w:style w:type="paragraph" w:customStyle="1" w:styleId="zz">
    <w:name w:val="zz"/>
    <w:basedOn w:val="BodyText"/>
    <w:link w:val="zzChar"/>
    <w:qFormat/>
    <w:rsid w:val="00244416"/>
    <w:pPr>
      <w:tabs>
        <w:tab w:val="left" w:pos="284"/>
      </w:tabs>
      <w:spacing w:before="120" w:after="170"/>
      <w:jc w:val="center"/>
    </w:pPr>
    <w:rPr>
      <w:rFonts w:cs="Arial"/>
      <w:b/>
      <w:bCs/>
      <w:szCs w:val="20"/>
      <w:lang w:val="en-GB" w:eastAsia="en-GB"/>
    </w:rPr>
  </w:style>
  <w:style w:type="character" w:customStyle="1" w:styleId="zzChar">
    <w:name w:val="zz Char"/>
    <w:basedOn w:val="BodyTextChar"/>
    <w:link w:val="zz"/>
    <w:rsid w:val="00244416"/>
    <w:rPr>
      <w:rFonts w:ascii="Arial" w:hAnsi="Arial" w:cs="Arial"/>
      <w:b/>
      <w:bCs/>
      <w:sz w:val="20"/>
      <w:szCs w:val="20"/>
      <w:lang w:val="en-GB" w:eastAsia="en-GB"/>
    </w:rPr>
  </w:style>
  <w:style w:type="paragraph" w:customStyle="1" w:styleId="Z">
    <w:name w:val="Z"/>
    <w:basedOn w:val="Tabletext"/>
    <w:link w:val="ZChar"/>
    <w:qFormat/>
    <w:rsid w:val="00244416"/>
    <w:rPr>
      <w:rFonts w:ascii="Arial" w:hAnsi="Arial" w:cs="Arial"/>
      <w:sz w:val="18"/>
      <w:szCs w:val="20"/>
    </w:rPr>
  </w:style>
  <w:style w:type="character" w:customStyle="1" w:styleId="ZChar">
    <w:name w:val="Z Char"/>
    <w:basedOn w:val="DefaultParagraphFont"/>
    <w:link w:val="Z"/>
    <w:rsid w:val="00244416"/>
    <w:rPr>
      <w:rFonts w:ascii="Arial" w:eastAsiaTheme="minorEastAsia" w:hAnsi="Arial" w:cs="Arial"/>
      <w:color w:val="000A23"/>
      <w:spacing w:val="-2"/>
      <w:szCs w:val="20"/>
      <w:lang w:val="en-GB"/>
    </w:rPr>
  </w:style>
  <w:style w:type="character" w:customStyle="1" w:styleId="TabletextChar">
    <w:name w:val="Table text Char"/>
    <w:basedOn w:val="DefaultParagraphFont"/>
    <w:link w:val="Tabletext"/>
    <w:rsid w:val="00244416"/>
    <w:rPr>
      <w:rFonts w:asciiTheme="majorHAnsi" w:eastAsiaTheme="minorEastAsia" w:hAnsiTheme="majorHAnsi" w:cs="Gotham-Light"/>
      <w:color w:val="000A23"/>
      <w:spacing w:val="-2"/>
      <w:sz w:val="20"/>
      <w:lang w:val="en-GB"/>
    </w:rPr>
  </w:style>
  <w:style w:type="table" w:customStyle="1" w:styleId="TableGrid1">
    <w:name w:val="Table Grid1"/>
    <w:basedOn w:val="TableNormal"/>
    <w:next w:val="TableGrid"/>
    <w:uiPriority w:val="39"/>
    <w:rsid w:val="00244416"/>
    <w:pPr>
      <w:spacing w:before="0" w:after="0"/>
    </w:pPr>
    <w:rPr>
      <w:rFonts w:eastAsia="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44416"/>
    <w:rPr>
      <w:rFonts w:ascii="Segoe UI" w:hAnsi="Segoe UI" w:cs="Segoe UI" w:hint="default"/>
      <w:sz w:val="18"/>
      <w:szCs w:val="18"/>
    </w:rPr>
  </w:style>
  <w:style w:type="paragraph" w:styleId="EndnoteText">
    <w:name w:val="endnote text"/>
    <w:basedOn w:val="Normal"/>
    <w:link w:val="EndnoteTextChar"/>
    <w:uiPriority w:val="99"/>
    <w:semiHidden/>
    <w:unhideWhenUsed/>
    <w:rsid w:val="00244416"/>
    <w:rPr>
      <w:rFonts w:eastAsiaTheme="minorEastAsia"/>
      <w:szCs w:val="20"/>
      <w:lang w:val="en-US"/>
    </w:rPr>
  </w:style>
  <w:style w:type="character" w:customStyle="1" w:styleId="EndnoteTextChar">
    <w:name w:val="Endnote Text Char"/>
    <w:basedOn w:val="DefaultParagraphFont"/>
    <w:link w:val="EndnoteText"/>
    <w:uiPriority w:val="99"/>
    <w:semiHidden/>
    <w:rsid w:val="00244416"/>
    <w:rPr>
      <w:rFonts w:ascii="Arial" w:eastAsiaTheme="minorEastAsia" w:hAnsi="Arial"/>
      <w:sz w:val="20"/>
      <w:szCs w:val="20"/>
      <w:lang w:val="en-US"/>
    </w:rPr>
  </w:style>
  <w:style w:type="character" w:styleId="EndnoteReference">
    <w:name w:val="endnote reference"/>
    <w:basedOn w:val="DefaultParagraphFont"/>
    <w:uiPriority w:val="99"/>
    <w:semiHidden/>
    <w:unhideWhenUsed/>
    <w:rsid w:val="00244416"/>
    <w:rPr>
      <w:vertAlign w:val="superscript"/>
    </w:rPr>
  </w:style>
  <w:style w:type="paragraph" w:customStyle="1" w:styleId="BasicParagraph">
    <w:name w:val="[Basic Paragraph]"/>
    <w:basedOn w:val="NoParagraphStyle"/>
    <w:uiPriority w:val="99"/>
    <w:rsid w:val="00244416"/>
    <w:pPr>
      <w:widowControl/>
      <w:spacing w:line="240" w:lineRule="atLeast"/>
    </w:pPr>
    <w:rPr>
      <w:rFonts w:ascii="Public Sans ExtraLight" w:hAnsi="Public Sans ExtraLight" w:cs="Public Sans ExtraLight"/>
      <w:b w:val="0"/>
      <w:bCs w:val="0"/>
      <w:caps w:val="0"/>
      <w:color w:val="000000"/>
      <w:sz w:val="18"/>
      <w:szCs w:val="18"/>
      <w:lang w:val="en-US"/>
    </w:rPr>
  </w:style>
  <w:style w:type="character" w:customStyle="1" w:styleId="Tableandchartdescription">
    <w:name w:val="Table and chart description"/>
    <w:basedOn w:val="DefaultParagraphFont"/>
    <w:uiPriority w:val="99"/>
    <w:rsid w:val="00244416"/>
    <w:rPr>
      <w:rFonts w:ascii="Quicksand SemiBold" w:hAnsi="Quicksand SemiBold" w:cs="Quicksand SemiBold"/>
      <w:sz w:val="18"/>
      <w:szCs w:val="18"/>
    </w:rPr>
  </w:style>
  <w:style w:type="paragraph" w:customStyle="1" w:styleId="BodytextDocumentstyles">
    <w:name w:val="Body text (Document styles)"/>
    <w:basedOn w:val="NoParagraphStyle"/>
    <w:uiPriority w:val="99"/>
    <w:rsid w:val="00244416"/>
    <w:pPr>
      <w:widowControl/>
      <w:suppressAutoHyphens/>
      <w:spacing w:line="260" w:lineRule="atLeast"/>
    </w:pPr>
    <w:rPr>
      <w:rFonts w:ascii="Lato" w:hAnsi="Lato" w:cs="Lato"/>
      <w:b w:val="0"/>
      <w:bCs w:val="0"/>
      <w:caps w:val="0"/>
      <w:color w:val="000000"/>
      <w:sz w:val="18"/>
      <w:szCs w:val="18"/>
      <w:lang w:val="en-US"/>
    </w:rPr>
  </w:style>
  <w:style w:type="character" w:styleId="Mention">
    <w:name w:val="Mention"/>
    <w:basedOn w:val="DefaultParagraphFont"/>
    <w:uiPriority w:val="99"/>
    <w:unhideWhenUsed/>
    <w:rsid w:val="00244416"/>
    <w:rPr>
      <w:color w:val="2B579A"/>
      <w:shd w:val="clear" w:color="auto" w:fill="E1DFDD"/>
    </w:rPr>
  </w:style>
  <w:style w:type="numbering" w:customStyle="1" w:styleId="CurrentList1">
    <w:name w:val="Current List1"/>
    <w:uiPriority w:val="99"/>
    <w:rsid w:val="00244416"/>
    <w:pPr>
      <w:numPr>
        <w:numId w:val="11"/>
      </w:numPr>
    </w:pPr>
  </w:style>
  <w:style w:type="character" w:customStyle="1" w:styleId="Appendix3Char">
    <w:name w:val="Appendix 3 Char"/>
    <w:basedOn w:val="Heading3Char"/>
    <w:link w:val="Appendix3"/>
    <w:uiPriority w:val="4"/>
    <w:rsid w:val="002A2D85"/>
    <w:rPr>
      <w:rFonts w:ascii="Arial" w:eastAsiaTheme="majorEastAsia" w:hAnsi="Arial" w:cs="Arial"/>
      <w:color w:val="5D6C16" w:themeColor="accent1" w:themeShade="80"/>
      <w:sz w:val="28"/>
      <w:szCs w:val="28"/>
    </w:rPr>
  </w:style>
  <w:style w:type="paragraph" w:customStyle="1" w:styleId="Sourcenote">
    <w:name w:val="Source note"/>
    <w:basedOn w:val="Normal"/>
    <w:next w:val="Normal"/>
    <w:uiPriority w:val="4"/>
    <w:qFormat/>
    <w:rsid w:val="00066C5E"/>
    <w:rPr>
      <w:color w:val="FF0000"/>
      <w:sz w:val="16"/>
    </w:rPr>
  </w:style>
  <w:style w:type="paragraph" w:customStyle="1" w:styleId="Note">
    <w:name w:val="Note"/>
    <w:basedOn w:val="Normal"/>
    <w:qFormat/>
    <w:rsid w:val="00E94A5D"/>
    <w:pPr>
      <w:widowControl w:val="0"/>
      <w:suppressAutoHyphens/>
      <w:autoSpaceDE w:val="0"/>
      <w:autoSpaceDN w:val="0"/>
      <w:adjustRightInd w:val="0"/>
      <w:textAlignment w:val="center"/>
    </w:pPr>
    <w:rPr>
      <w:rFonts w:cs="Times New Roman"/>
      <w:sz w:val="16"/>
      <w:szCs w:val="15"/>
      <w:lang w:val="en-GB" w:eastAsia="en-GB"/>
    </w:rPr>
  </w:style>
  <w:style w:type="paragraph" w:customStyle="1" w:styleId="Default">
    <w:name w:val="Default"/>
    <w:rsid w:val="00E5099D"/>
    <w:pPr>
      <w:autoSpaceDE w:val="0"/>
      <w:autoSpaceDN w:val="0"/>
      <w:adjustRightInd w:val="0"/>
      <w:spacing w:before="0" w:after="0"/>
    </w:pPr>
    <w:rPr>
      <w:rFonts w:ascii="Arial" w:hAnsi="Arial" w:cs="Arial"/>
      <w:color w:val="000000"/>
      <w:sz w:val="24"/>
      <w:szCs w:val="24"/>
    </w:rPr>
  </w:style>
  <w:style w:type="paragraph" w:customStyle="1" w:styleId="InterviewerNote">
    <w:name w:val="Interviewer Note"/>
    <w:basedOn w:val="Normal"/>
    <w:next w:val="Normal"/>
    <w:qFormat/>
    <w:rsid w:val="008E041B"/>
    <w:pPr>
      <w:ind w:left="1134"/>
    </w:pPr>
    <w:rPr>
      <w:szCs w:val="22"/>
    </w:rPr>
  </w:style>
  <w:style w:type="paragraph" w:customStyle="1" w:styleId="2Questionstem">
    <w:name w:val="2 Question stem"/>
    <w:basedOn w:val="Normal"/>
    <w:next w:val="Normal"/>
    <w:qFormat/>
    <w:rsid w:val="008E041B"/>
    <w:pPr>
      <w:ind w:left="993" w:hanging="710"/>
    </w:pPr>
    <w:rPr>
      <w:rFonts w:eastAsiaTheme="minorEastAsia" w:cs="Arial"/>
      <w:lang w:eastAsia="en-AU"/>
    </w:rPr>
  </w:style>
  <w:style w:type="character" w:customStyle="1" w:styleId="normaltextrun">
    <w:name w:val="normaltextrun"/>
    <w:basedOn w:val="DefaultParagraphFont"/>
    <w:rsid w:val="008E041B"/>
  </w:style>
  <w:style w:type="paragraph" w:styleId="Date">
    <w:name w:val="Date"/>
    <w:basedOn w:val="Normal"/>
    <w:next w:val="Normal"/>
    <w:link w:val="DateChar"/>
    <w:uiPriority w:val="99"/>
    <w:semiHidden/>
    <w:unhideWhenUsed/>
    <w:rsid w:val="00CF70E6"/>
  </w:style>
  <w:style w:type="character" w:customStyle="1" w:styleId="DateChar">
    <w:name w:val="Date Char"/>
    <w:basedOn w:val="DefaultParagraphFont"/>
    <w:link w:val="Date"/>
    <w:uiPriority w:val="99"/>
    <w:semiHidden/>
    <w:rsid w:val="00CF70E6"/>
    <w:rPr>
      <w:rFonts w:ascii="Arial" w:hAnsi="Arial"/>
      <w:sz w:val="20"/>
    </w:rPr>
  </w:style>
  <w:style w:type="paragraph" w:customStyle="1" w:styleId="Calloutbox">
    <w:name w:val="Call out box"/>
    <w:basedOn w:val="Body"/>
    <w:uiPriority w:val="4"/>
    <w:qFormat/>
    <w:rsid w:val="002B54C5"/>
    <w:pPr>
      <w:keepNext/>
      <w:keepLines/>
      <w:framePr w:wrap="notBeside" w:vAnchor="text" w:hAnchor="text" w:y="1"/>
      <w:pBdr>
        <w:top w:val="double" w:sz="6" w:space="1" w:color="8AA122" w:themeColor="accent1" w:themeShade="BF"/>
        <w:left w:val="double" w:sz="6" w:space="4" w:color="8AA122" w:themeColor="accent1" w:themeShade="BF"/>
        <w:bottom w:val="double" w:sz="6" w:space="1" w:color="8AA122" w:themeColor="accent1" w:themeShade="BF"/>
        <w:right w:val="double" w:sz="6" w:space="4" w:color="8AA122" w:themeColor="accent1" w:themeShade="BF"/>
      </w:pBdr>
      <w:shd w:val="clear" w:color="auto" w:fill="FFFFFF" w:themeFill="background1"/>
      <w:spacing w:before="200" w:after="200" w:line="360" w:lineRule="auto"/>
      <w:ind w:left="3402" w:right="3402"/>
      <w:contextualSpacing/>
    </w:pPr>
    <w:rPr>
      <w:color w:val="000000" w:themeColor="text1"/>
    </w:rPr>
  </w:style>
  <w:style w:type="paragraph" w:customStyle="1" w:styleId="Heading3nonumbers">
    <w:name w:val="Heading 3 (no numbers)"/>
    <w:basedOn w:val="Heading3"/>
    <w:uiPriority w:val="4"/>
    <w:qFormat/>
    <w:rsid w:val="00820F84"/>
    <w:pPr>
      <w:numPr>
        <w:ilvl w:val="0"/>
        <w:numId w:val="0"/>
      </w:numPr>
    </w:pPr>
    <w:rPr>
      <w:color w:val="CB530B" w:themeColor="accent3" w:themeShade="BF"/>
    </w:rPr>
  </w:style>
  <w:style w:type="paragraph" w:customStyle="1" w:styleId="Footnotesingledigits">
    <w:name w:val="Footnote single digits"/>
    <w:basedOn w:val="FootnoteText"/>
    <w:uiPriority w:val="4"/>
    <w:qFormat/>
    <w:rsid w:val="00F275DF"/>
    <w:pPr>
      <w:ind w:left="113" w:hanging="113"/>
    </w:pPr>
  </w:style>
  <w:style w:type="paragraph" w:customStyle="1" w:styleId="Infographictitle">
    <w:name w:val="Infographic title"/>
    <w:basedOn w:val="Normal"/>
    <w:uiPriority w:val="4"/>
    <w:qFormat/>
    <w:rsid w:val="00AA0B58"/>
    <w:pPr>
      <w:keepNext/>
      <w:keepLines/>
      <w:spacing w:before="120" w:after="160" w:line="259" w:lineRule="auto"/>
      <w:ind w:left="1701"/>
    </w:pPr>
    <w:rPr>
      <w:rFonts w:cs="Arial"/>
      <w:b/>
      <w:bCs/>
      <w:color w:val="A12248"/>
      <w:sz w:val="22"/>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8870">
      <w:bodyDiv w:val="1"/>
      <w:marLeft w:val="0"/>
      <w:marRight w:val="0"/>
      <w:marTop w:val="0"/>
      <w:marBottom w:val="0"/>
      <w:divBdr>
        <w:top w:val="none" w:sz="0" w:space="0" w:color="auto"/>
        <w:left w:val="none" w:sz="0" w:space="0" w:color="auto"/>
        <w:bottom w:val="none" w:sz="0" w:space="0" w:color="auto"/>
        <w:right w:val="none" w:sz="0" w:space="0" w:color="auto"/>
      </w:divBdr>
    </w:div>
    <w:div w:id="303781288">
      <w:bodyDiv w:val="1"/>
      <w:marLeft w:val="0"/>
      <w:marRight w:val="0"/>
      <w:marTop w:val="0"/>
      <w:marBottom w:val="0"/>
      <w:divBdr>
        <w:top w:val="none" w:sz="0" w:space="0" w:color="auto"/>
        <w:left w:val="none" w:sz="0" w:space="0" w:color="auto"/>
        <w:bottom w:val="none" w:sz="0" w:space="0" w:color="auto"/>
        <w:right w:val="none" w:sz="0" w:space="0" w:color="auto"/>
      </w:divBdr>
    </w:div>
    <w:div w:id="401951540">
      <w:bodyDiv w:val="1"/>
      <w:marLeft w:val="0"/>
      <w:marRight w:val="0"/>
      <w:marTop w:val="0"/>
      <w:marBottom w:val="0"/>
      <w:divBdr>
        <w:top w:val="none" w:sz="0" w:space="0" w:color="auto"/>
        <w:left w:val="none" w:sz="0" w:space="0" w:color="auto"/>
        <w:bottom w:val="none" w:sz="0" w:space="0" w:color="auto"/>
        <w:right w:val="none" w:sz="0" w:space="0" w:color="auto"/>
      </w:divBdr>
    </w:div>
    <w:div w:id="442577017">
      <w:bodyDiv w:val="1"/>
      <w:marLeft w:val="0"/>
      <w:marRight w:val="0"/>
      <w:marTop w:val="0"/>
      <w:marBottom w:val="0"/>
      <w:divBdr>
        <w:top w:val="none" w:sz="0" w:space="0" w:color="auto"/>
        <w:left w:val="none" w:sz="0" w:space="0" w:color="auto"/>
        <w:bottom w:val="none" w:sz="0" w:space="0" w:color="auto"/>
        <w:right w:val="none" w:sz="0" w:space="0" w:color="auto"/>
      </w:divBdr>
    </w:div>
    <w:div w:id="481432887">
      <w:bodyDiv w:val="1"/>
      <w:marLeft w:val="0"/>
      <w:marRight w:val="0"/>
      <w:marTop w:val="0"/>
      <w:marBottom w:val="0"/>
      <w:divBdr>
        <w:top w:val="none" w:sz="0" w:space="0" w:color="auto"/>
        <w:left w:val="none" w:sz="0" w:space="0" w:color="auto"/>
        <w:bottom w:val="none" w:sz="0" w:space="0" w:color="auto"/>
        <w:right w:val="none" w:sz="0" w:space="0" w:color="auto"/>
      </w:divBdr>
    </w:div>
    <w:div w:id="519124507">
      <w:bodyDiv w:val="1"/>
      <w:marLeft w:val="0"/>
      <w:marRight w:val="0"/>
      <w:marTop w:val="0"/>
      <w:marBottom w:val="0"/>
      <w:divBdr>
        <w:top w:val="none" w:sz="0" w:space="0" w:color="auto"/>
        <w:left w:val="none" w:sz="0" w:space="0" w:color="auto"/>
        <w:bottom w:val="none" w:sz="0" w:space="0" w:color="auto"/>
        <w:right w:val="none" w:sz="0" w:space="0" w:color="auto"/>
      </w:divBdr>
    </w:div>
    <w:div w:id="551043413">
      <w:bodyDiv w:val="1"/>
      <w:marLeft w:val="0"/>
      <w:marRight w:val="0"/>
      <w:marTop w:val="0"/>
      <w:marBottom w:val="0"/>
      <w:divBdr>
        <w:top w:val="none" w:sz="0" w:space="0" w:color="auto"/>
        <w:left w:val="none" w:sz="0" w:space="0" w:color="auto"/>
        <w:bottom w:val="none" w:sz="0" w:space="0" w:color="auto"/>
        <w:right w:val="none" w:sz="0" w:space="0" w:color="auto"/>
      </w:divBdr>
    </w:div>
    <w:div w:id="601769837">
      <w:bodyDiv w:val="1"/>
      <w:marLeft w:val="0"/>
      <w:marRight w:val="0"/>
      <w:marTop w:val="0"/>
      <w:marBottom w:val="0"/>
      <w:divBdr>
        <w:top w:val="none" w:sz="0" w:space="0" w:color="auto"/>
        <w:left w:val="none" w:sz="0" w:space="0" w:color="auto"/>
        <w:bottom w:val="none" w:sz="0" w:space="0" w:color="auto"/>
        <w:right w:val="none" w:sz="0" w:space="0" w:color="auto"/>
      </w:divBdr>
    </w:div>
    <w:div w:id="629629615">
      <w:bodyDiv w:val="1"/>
      <w:marLeft w:val="0"/>
      <w:marRight w:val="0"/>
      <w:marTop w:val="0"/>
      <w:marBottom w:val="0"/>
      <w:divBdr>
        <w:top w:val="none" w:sz="0" w:space="0" w:color="auto"/>
        <w:left w:val="none" w:sz="0" w:space="0" w:color="auto"/>
        <w:bottom w:val="none" w:sz="0" w:space="0" w:color="auto"/>
        <w:right w:val="none" w:sz="0" w:space="0" w:color="auto"/>
      </w:divBdr>
    </w:div>
    <w:div w:id="684939974">
      <w:bodyDiv w:val="1"/>
      <w:marLeft w:val="0"/>
      <w:marRight w:val="0"/>
      <w:marTop w:val="0"/>
      <w:marBottom w:val="0"/>
      <w:divBdr>
        <w:top w:val="none" w:sz="0" w:space="0" w:color="auto"/>
        <w:left w:val="none" w:sz="0" w:space="0" w:color="auto"/>
        <w:bottom w:val="none" w:sz="0" w:space="0" w:color="auto"/>
        <w:right w:val="none" w:sz="0" w:space="0" w:color="auto"/>
      </w:divBdr>
    </w:div>
    <w:div w:id="941496873">
      <w:bodyDiv w:val="1"/>
      <w:marLeft w:val="0"/>
      <w:marRight w:val="0"/>
      <w:marTop w:val="0"/>
      <w:marBottom w:val="0"/>
      <w:divBdr>
        <w:top w:val="none" w:sz="0" w:space="0" w:color="auto"/>
        <w:left w:val="none" w:sz="0" w:space="0" w:color="auto"/>
        <w:bottom w:val="none" w:sz="0" w:space="0" w:color="auto"/>
        <w:right w:val="none" w:sz="0" w:space="0" w:color="auto"/>
      </w:divBdr>
    </w:div>
    <w:div w:id="945774356">
      <w:bodyDiv w:val="1"/>
      <w:marLeft w:val="0"/>
      <w:marRight w:val="0"/>
      <w:marTop w:val="0"/>
      <w:marBottom w:val="0"/>
      <w:divBdr>
        <w:top w:val="none" w:sz="0" w:space="0" w:color="auto"/>
        <w:left w:val="none" w:sz="0" w:space="0" w:color="auto"/>
        <w:bottom w:val="none" w:sz="0" w:space="0" w:color="auto"/>
        <w:right w:val="none" w:sz="0" w:space="0" w:color="auto"/>
      </w:divBdr>
    </w:div>
    <w:div w:id="1020931898">
      <w:bodyDiv w:val="1"/>
      <w:marLeft w:val="0"/>
      <w:marRight w:val="0"/>
      <w:marTop w:val="0"/>
      <w:marBottom w:val="0"/>
      <w:divBdr>
        <w:top w:val="none" w:sz="0" w:space="0" w:color="auto"/>
        <w:left w:val="none" w:sz="0" w:space="0" w:color="auto"/>
        <w:bottom w:val="none" w:sz="0" w:space="0" w:color="auto"/>
        <w:right w:val="none" w:sz="0" w:space="0" w:color="auto"/>
      </w:divBdr>
    </w:div>
    <w:div w:id="1026176363">
      <w:bodyDiv w:val="1"/>
      <w:marLeft w:val="0"/>
      <w:marRight w:val="0"/>
      <w:marTop w:val="0"/>
      <w:marBottom w:val="0"/>
      <w:divBdr>
        <w:top w:val="none" w:sz="0" w:space="0" w:color="auto"/>
        <w:left w:val="none" w:sz="0" w:space="0" w:color="auto"/>
        <w:bottom w:val="none" w:sz="0" w:space="0" w:color="auto"/>
        <w:right w:val="none" w:sz="0" w:space="0" w:color="auto"/>
      </w:divBdr>
    </w:div>
    <w:div w:id="1079058212">
      <w:bodyDiv w:val="1"/>
      <w:marLeft w:val="0"/>
      <w:marRight w:val="0"/>
      <w:marTop w:val="0"/>
      <w:marBottom w:val="0"/>
      <w:divBdr>
        <w:top w:val="none" w:sz="0" w:space="0" w:color="auto"/>
        <w:left w:val="none" w:sz="0" w:space="0" w:color="auto"/>
        <w:bottom w:val="none" w:sz="0" w:space="0" w:color="auto"/>
        <w:right w:val="none" w:sz="0" w:space="0" w:color="auto"/>
      </w:divBdr>
    </w:div>
    <w:div w:id="1117454572">
      <w:bodyDiv w:val="1"/>
      <w:marLeft w:val="0"/>
      <w:marRight w:val="0"/>
      <w:marTop w:val="0"/>
      <w:marBottom w:val="0"/>
      <w:divBdr>
        <w:top w:val="none" w:sz="0" w:space="0" w:color="auto"/>
        <w:left w:val="none" w:sz="0" w:space="0" w:color="auto"/>
        <w:bottom w:val="none" w:sz="0" w:space="0" w:color="auto"/>
        <w:right w:val="none" w:sz="0" w:space="0" w:color="auto"/>
      </w:divBdr>
    </w:div>
    <w:div w:id="1236933475">
      <w:bodyDiv w:val="1"/>
      <w:marLeft w:val="0"/>
      <w:marRight w:val="0"/>
      <w:marTop w:val="0"/>
      <w:marBottom w:val="0"/>
      <w:divBdr>
        <w:top w:val="none" w:sz="0" w:space="0" w:color="auto"/>
        <w:left w:val="none" w:sz="0" w:space="0" w:color="auto"/>
        <w:bottom w:val="none" w:sz="0" w:space="0" w:color="auto"/>
        <w:right w:val="none" w:sz="0" w:space="0" w:color="auto"/>
      </w:divBdr>
    </w:div>
    <w:div w:id="1400251943">
      <w:bodyDiv w:val="1"/>
      <w:marLeft w:val="0"/>
      <w:marRight w:val="0"/>
      <w:marTop w:val="0"/>
      <w:marBottom w:val="0"/>
      <w:divBdr>
        <w:top w:val="none" w:sz="0" w:space="0" w:color="auto"/>
        <w:left w:val="none" w:sz="0" w:space="0" w:color="auto"/>
        <w:bottom w:val="none" w:sz="0" w:space="0" w:color="auto"/>
        <w:right w:val="none" w:sz="0" w:space="0" w:color="auto"/>
      </w:divBdr>
    </w:div>
    <w:div w:id="1530560140">
      <w:bodyDiv w:val="1"/>
      <w:marLeft w:val="0"/>
      <w:marRight w:val="0"/>
      <w:marTop w:val="0"/>
      <w:marBottom w:val="0"/>
      <w:divBdr>
        <w:top w:val="none" w:sz="0" w:space="0" w:color="auto"/>
        <w:left w:val="none" w:sz="0" w:space="0" w:color="auto"/>
        <w:bottom w:val="none" w:sz="0" w:space="0" w:color="auto"/>
        <w:right w:val="none" w:sz="0" w:space="0" w:color="auto"/>
      </w:divBdr>
    </w:div>
    <w:div w:id="1611088750">
      <w:bodyDiv w:val="1"/>
      <w:marLeft w:val="0"/>
      <w:marRight w:val="0"/>
      <w:marTop w:val="0"/>
      <w:marBottom w:val="0"/>
      <w:divBdr>
        <w:top w:val="none" w:sz="0" w:space="0" w:color="auto"/>
        <w:left w:val="none" w:sz="0" w:space="0" w:color="auto"/>
        <w:bottom w:val="none" w:sz="0" w:space="0" w:color="auto"/>
        <w:right w:val="none" w:sz="0" w:space="0" w:color="auto"/>
      </w:divBdr>
    </w:div>
    <w:div w:id="1674452135">
      <w:bodyDiv w:val="1"/>
      <w:marLeft w:val="0"/>
      <w:marRight w:val="0"/>
      <w:marTop w:val="0"/>
      <w:marBottom w:val="0"/>
      <w:divBdr>
        <w:top w:val="none" w:sz="0" w:space="0" w:color="auto"/>
        <w:left w:val="none" w:sz="0" w:space="0" w:color="auto"/>
        <w:bottom w:val="none" w:sz="0" w:space="0" w:color="auto"/>
        <w:right w:val="none" w:sz="0" w:space="0" w:color="auto"/>
      </w:divBdr>
    </w:div>
    <w:div w:id="1705977860">
      <w:bodyDiv w:val="1"/>
      <w:marLeft w:val="0"/>
      <w:marRight w:val="0"/>
      <w:marTop w:val="0"/>
      <w:marBottom w:val="0"/>
      <w:divBdr>
        <w:top w:val="none" w:sz="0" w:space="0" w:color="auto"/>
        <w:left w:val="none" w:sz="0" w:space="0" w:color="auto"/>
        <w:bottom w:val="none" w:sz="0" w:space="0" w:color="auto"/>
        <w:right w:val="none" w:sz="0" w:space="0" w:color="auto"/>
      </w:divBdr>
    </w:div>
    <w:div w:id="1709186254">
      <w:bodyDiv w:val="1"/>
      <w:marLeft w:val="0"/>
      <w:marRight w:val="0"/>
      <w:marTop w:val="0"/>
      <w:marBottom w:val="0"/>
      <w:divBdr>
        <w:top w:val="none" w:sz="0" w:space="0" w:color="auto"/>
        <w:left w:val="none" w:sz="0" w:space="0" w:color="auto"/>
        <w:bottom w:val="none" w:sz="0" w:space="0" w:color="auto"/>
        <w:right w:val="none" w:sz="0" w:space="0" w:color="auto"/>
      </w:divBdr>
    </w:div>
    <w:div w:id="1773893477">
      <w:bodyDiv w:val="1"/>
      <w:marLeft w:val="0"/>
      <w:marRight w:val="0"/>
      <w:marTop w:val="0"/>
      <w:marBottom w:val="0"/>
      <w:divBdr>
        <w:top w:val="none" w:sz="0" w:space="0" w:color="auto"/>
        <w:left w:val="none" w:sz="0" w:space="0" w:color="auto"/>
        <w:bottom w:val="none" w:sz="0" w:space="0" w:color="auto"/>
        <w:right w:val="none" w:sz="0" w:space="0" w:color="auto"/>
      </w:divBdr>
    </w:div>
    <w:div w:id="1830752156">
      <w:bodyDiv w:val="1"/>
      <w:marLeft w:val="0"/>
      <w:marRight w:val="0"/>
      <w:marTop w:val="0"/>
      <w:marBottom w:val="0"/>
      <w:divBdr>
        <w:top w:val="none" w:sz="0" w:space="0" w:color="auto"/>
        <w:left w:val="none" w:sz="0" w:space="0" w:color="auto"/>
        <w:bottom w:val="none" w:sz="0" w:space="0" w:color="auto"/>
        <w:right w:val="none" w:sz="0" w:space="0" w:color="auto"/>
      </w:divBdr>
    </w:div>
    <w:div w:id="1947538097">
      <w:bodyDiv w:val="1"/>
      <w:marLeft w:val="0"/>
      <w:marRight w:val="0"/>
      <w:marTop w:val="0"/>
      <w:marBottom w:val="0"/>
      <w:divBdr>
        <w:top w:val="none" w:sz="0" w:space="0" w:color="auto"/>
        <w:left w:val="none" w:sz="0" w:space="0" w:color="auto"/>
        <w:bottom w:val="none" w:sz="0" w:space="0" w:color="auto"/>
        <w:right w:val="none" w:sz="0" w:space="0" w:color="auto"/>
      </w:divBdr>
    </w:div>
    <w:div w:id="2063013985">
      <w:bodyDiv w:val="1"/>
      <w:marLeft w:val="0"/>
      <w:marRight w:val="0"/>
      <w:marTop w:val="0"/>
      <w:marBottom w:val="0"/>
      <w:divBdr>
        <w:top w:val="none" w:sz="0" w:space="0" w:color="auto"/>
        <w:left w:val="none" w:sz="0" w:space="0" w:color="auto"/>
        <w:bottom w:val="none" w:sz="0" w:space="0" w:color="auto"/>
        <w:right w:val="none" w:sz="0" w:space="0" w:color="auto"/>
      </w:divBdr>
    </w:div>
    <w:div w:id="212677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mailto:qilt@srcentre.com.au" TargetMode="External"/><Relationship Id="rId42" Type="http://schemas.openxmlformats.org/officeDocument/2006/relationships/hyperlink" Target="file:///\\EDU.application.enet\l" TargetMode="External"/><Relationship Id="rId47" Type="http://schemas.openxmlformats.org/officeDocument/2006/relationships/footer" Target="footer6.xml"/><Relationship Id="rId63" Type="http://schemas.openxmlformats.org/officeDocument/2006/relationships/footer" Target="footer14.xml"/><Relationship Id="rId68" Type="http://schemas.openxmlformats.org/officeDocument/2006/relationships/header" Target="header5.xml"/><Relationship Id="rId84" Type="http://schemas.openxmlformats.org/officeDocument/2006/relationships/image" Target="media/image41.png"/><Relationship Id="rId89" Type="http://schemas.openxmlformats.org/officeDocument/2006/relationships/header" Target="header8.xml"/><Relationship Id="rId16" Type="http://schemas.openxmlformats.org/officeDocument/2006/relationships/image" Target="media/image6.svg"/><Relationship Id="rId11" Type="http://schemas.openxmlformats.org/officeDocument/2006/relationships/image" Target="media/image1.png"/><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1.png"/><Relationship Id="rId58" Type="http://schemas.openxmlformats.org/officeDocument/2006/relationships/header" Target="header3.xml"/><Relationship Id="rId74" Type="http://schemas.openxmlformats.org/officeDocument/2006/relationships/image" Target="media/image36.png"/><Relationship Id="rId79" Type="http://schemas.openxmlformats.org/officeDocument/2006/relationships/footer" Target="footer21.xml"/><Relationship Id="rId5" Type="http://schemas.openxmlformats.org/officeDocument/2006/relationships/numbering" Target="numbering.xml"/><Relationship Id="rId90" Type="http://schemas.openxmlformats.org/officeDocument/2006/relationships/footer" Target="footer27.xml"/><Relationship Id="rId22" Type="http://schemas.openxmlformats.org/officeDocument/2006/relationships/image" Target="media/image9.png"/><Relationship Id="rId27" Type="http://schemas.openxmlformats.org/officeDocument/2006/relationships/image" Target="media/image15.png"/><Relationship Id="rId43" Type="http://schemas.openxmlformats.org/officeDocument/2006/relationships/footer" Target="footer4.xml"/><Relationship Id="rId48" Type="http://schemas.openxmlformats.org/officeDocument/2006/relationships/image" Target="media/image28.png"/><Relationship Id="rId64" Type="http://schemas.openxmlformats.org/officeDocument/2006/relationships/footer" Target="footer15.xml"/><Relationship Id="rId69" Type="http://schemas.openxmlformats.org/officeDocument/2006/relationships/footer" Target="footer16.xml"/><Relationship Id="rId8" Type="http://schemas.openxmlformats.org/officeDocument/2006/relationships/webSettings" Target="webSettings.xml"/><Relationship Id="rId51" Type="http://schemas.openxmlformats.org/officeDocument/2006/relationships/footer" Target="footer8.xml"/><Relationship Id="rId72" Type="http://schemas.openxmlformats.org/officeDocument/2006/relationships/image" Target="media/image35.png"/><Relationship Id="rId80" Type="http://schemas.openxmlformats.org/officeDocument/2006/relationships/image" Target="media/image39.png"/><Relationship Id="rId85" Type="http://schemas.openxmlformats.org/officeDocument/2006/relationships/footer" Target="footer24.xm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footer" Target="footer5.xml"/><Relationship Id="rId59" Type="http://schemas.openxmlformats.org/officeDocument/2006/relationships/footer" Target="footer11.xml"/><Relationship Id="rId67" Type="http://schemas.openxmlformats.org/officeDocument/2006/relationships/header" Target="header4.xml"/><Relationship Id="rId20" Type="http://schemas.openxmlformats.org/officeDocument/2006/relationships/hyperlink" Target="https://www.qilt.edu.au/surveys/graduate-outcomes-survey---longitudinal-(gos-l)" TargetMode="External"/><Relationship Id="rId41" Type="http://schemas.openxmlformats.org/officeDocument/2006/relationships/image" Target="media/image25.png"/><Relationship Id="rId54" Type="http://schemas.openxmlformats.org/officeDocument/2006/relationships/footer" Target="footer9.xml"/><Relationship Id="rId62" Type="http://schemas.openxmlformats.org/officeDocument/2006/relationships/image" Target="media/image32.png"/><Relationship Id="rId70" Type="http://schemas.openxmlformats.org/officeDocument/2006/relationships/header" Target="header6.xml"/><Relationship Id="rId75" Type="http://schemas.openxmlformats.org/officeDocument/2006/relationships/footer" Target="footer19.xml"/><Relationship Id="rId83" Type="http://schemas.openxmlformats.org/officeDocument/2006/relationships/footer" Target="footer23.xml"/><Relationship Id="rId88" Type="http://schemas.openxmlformats.org/officeDocument/2006/relationships/header" Target="header7.xml"/><Relationship Id="rId91"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yperlink" Target="https://www.qilt.edu.au/surveys/graduate-outcomes-survey-(gos)" TargetMode="External"/><Relationship Id="rId36" Type="http://schemas.openxmlformats.org/officeDocument/2006/relationships/image" Target="media/image21.png"/><Relationship Id="rId49" Type="http://schemas.openxmlformats.org/officeDocument/2006/relationships/footer" Target="footer7.xml"/><Relationship Id="rId57" Type="http://schemas.openxmlformats.org/officeDocument/2006/relationships/footer" Target="footer10.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6.png"/><Relationship Id="rId52" Type="http://schemas.openxmlformats.org/officeDocument/2006/relationships/image" Target="media/image30.png"/><Relationship Id="rId60" Type="http://schemas.openxmlformats.org/officeDocument/2006/relationships/footer" Target="footer12.xml"/><Relationship Id="rId65" Type="http://schemas.openxmlformats.org/officeDocument/2006/relationships/image" Target="media/image33.png"/><Relationship Id="rId73" Type="http://schemas.openxmlformats.org/officeDocument/2006/relationships/footer" Target="footer18.xml"/><Relationship Id="rId78" Type="http://schemas.openxmlformats.org/officeDocument/2006/relationships/footer" Target="footer20.xml"/><Relationship Id="rId81" Type="http://schemas.openxmlformats.org/officeDocument/2006/relationships/footer" Target="footer22.xml"/><Relationship Id="rId86" Type="http://schemas.openxmlformats.org/officeDocument/2006/relationships/footer" Target="footer25.xm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sv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29.png"/><Relationship Id="rId55" Type="http://schemas.openxmlformats.org/officeDocument/2006/relationships/header" Target="header1.xml"/><Relationship Id="rId76" Type="http://schemas.openxmlformats.org/officeDocument/2006/relationships/image" Target="media/image37.png"/><Relationship Id="rId7" Type="http://schemas.openxmlformats.org/officeDocument/2006/relationships/settings" Target="settings.xml"/><Relationship Id="rId71" Type="http://schemas.openxmlformats.org/officeDocument/2006/relationships/footer" Target="footer17.xml"/><Relationship Id="rId92" Type="http://schemas.openxmlformats.org/officeDocument/2006/relationships/header" Target="header9.xml"/><Relationship Id="rId2" Type="http://schemas.openxmlformats.org/officeDocument/2006/relationships/customXml" Target="../customXml/item2.xml"/><Relationship Id="rId29" Type="http://schemas.openxmlformats.org/officeDocument/2006/relationships/hyperlink" Target="https://www.qilt.edu.au/surveys/graduate-outcomes-survey---longitudinal-(gos-l)" TargetMode="External"/><Relationship Id="rId24" Type="http://schemas.openxmlformats.org/officeDocument/2006/relationships/image" Target="media/image11.png"/><Relationship Id="rId40" Type="http://schemas.openxmlformats.org/officeDocument/2006/relationships/footer" Target="footer3.xml"/><Relationship Id="rId45" Type="http://schemas.openxmlformats.org/officeDocument/2006/relationships/image" Target="media/image27.png"/><Relationship Id="rId66" Type="http://schemas.openxmlformats.org/officeDocument/2006/relationships/image" Target="media/image34.png"/><Relationship Id="rId87" Type="http://schemas.openxmlformats.org/officeDocument/2006/relationships/footer" Target="footer26.xml"/><Relationship Id="rId61" Type="http://schemas.openxmlformats.org/officeDocument/2006/relationships/footer" Target="footer13.xml"/><Relationship Id="rId82" Type="http://schemas.openxmlformats.org/officeDocument/2006/relationships/image" Target="media/image40.png"/><Relationship Id="rId19" Type="http://schemas.openxmlformats.org/officeDocument/2006/relationships/footer" Target="footer1.xml"/><Relationship Id="rId14" Type="http://schemas.openxmlformats.org/officeDocument/2006/relationships/image" Target="media/image4.svg"/><Relationship Id="rId30" Type="http://schemas.openxmlformats.org/officeDocument/2006/relationships/hyperlink" Target="https://www.qilt.edu.au/surveys/Data-Visualisation/gos-l" TargetMode="External"/><Relationship Id="rId35" Type="http://schemas.openxmlformats.org/officeDocument/2006/relationships/image" Target="media/image20.png"/><Relationship Id="rId56" Type="http://schemas.openxmlformats.org/officeDocument/2006/relationships/header" Target="header2.xml"/><Relationship Id="rId77" Type="http://schemas.openxmlformats.org/officeDocument/2006/relationships/image" Target="media/image38.png"/></Relationships>
</file>

<file path=word/_rels/footer2.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3.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4.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5.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6.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7.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8.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9.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0.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2.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3.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4.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5.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6.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8.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19.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0.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1.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2.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3.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4.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5.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6.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er28.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footnotes.xml.rels><?xml version="1.0" encoding="UTF-8" standalone="yes"?>
<Relationships xmlns="http://schemas.openxmlformats.org/package/2006/relationships"><Relationship Id="rId8" Type="http://schemas.openxmlformats.org/officeDocument/2006/relationships/hyperlink" Target="https://www.qilt.edu.au/surveys/graduate-outcomes-survey-(gos)/" TargetMode="External"/><Relationship Id="rId3" Type="http://schemas.openxmlformats.org/officeDocument/2006/relationships/hyperlink" Target="https://www.abs.gov.au/statistics/labour/earnings-and-working-conditions/average-weekly-earnings-australia/latest-release" TargetMode="External"/><Relationship Id="rId7" Type="http://schemas.openxmlformats.org/officeDocument/2006/relationships/hyperlink" Target="https://www.qilt.edu.au/docs/default-source/default-document-library/construction-of-confidence-intervals-in-qilt-surveys.pdf?sfvrsn=8d01d58b_1" TargetMode="External"/><Relationship Id="rId2" Type="http://schemas.openxmlformats.org/officeDocument/2006/relationships/hyperlink" Target="https://www.abs.gov.au/statistics/economy/price-indexes-and-inflation/wage-price-index-australia/latest-release" TargetMode="External"/><Relationship Id="rId1" Type="http://schemas.openxmlformats.org/officeDocument/2006/relationships/hyperlink" Target="https://www.abs.gov.au/statistics/labour/employment-and-unemployment/labour-force-australia/latest-release" TargetMode="External"/><Relationship Id="rId6" Type="http://schemas.openxmlformats.org/officeDocument/2006/relationships/hyperlink" Target="https://www.qilt.edu.au/data/study-areas" TargetMode="External"/><Relationship Id="rId5" Type="http://schemas.openxmlformats.org/officeDocument/2006/relationships/hyperlink" Target="https://www.abs.gov.au/statistics/classifications/australian-standard-classification-education-asced/2001/field-education-structure-and-definitions/structure/broad-and-narrow-fields" TargetMode="External"/><Relationship Id="rId10" Type="http://schemas.openxmlformats.org/officeDocument/2006/relationships/hyperlink" Target="https://www.tcsisupport.gov.au/element/658" TargetMode="External"/><Relationship Id="rId4" Type="http://schemas.openxmlformats.org/officeDocument/2006/relationships/hyperlink" Target="https://www.qilt.edu.au/surveys/graduate-outcomes-survey---longitudinal-(gos-l)/graduate-outcomes-survey-l-questionnaire/" TargetMode="External"/><Relationship Id="rId9" Type="http://schemas.openxmlformats.org/officeDocument/2006/relationships/hyperlink" Target="https://www.qilt.edu.au/surveys/graduate-outcomes-survey---longitudinal-(gos-l)" TargetMode="External"/></Relationships>
</file>

<file path=word/theme/theme1.xml><?xml version="1.0" encoding="utf-8"?>
<a:theme xmlns:a="http://schemas.openxmlformats.org/drawingml/2006/main" name="QILT">
  <a:themeElements>
    <a:clrScheme name="GOS-L">
      <a:dk1>
        <a:srgbClr val="000000"/>
      </a:dk1>
      <a:lt1>
        <a:sysClr val="window" lastClr="FFFFFF"/>
      </a:lt1>
      <a:dk2>
        <a:srgbClr val="007A7D"/>
      </a:dk2>
      <a:lt2>
        <a:srgbClr val="E6ECEE"/>
      </a:lt2>
      <a:accent1>
        <a:srgbClr val="B7D432"/>
      </a:accent1>
      <a:accent2>
        <a:srgbClr val="4FBFBE"/>
      </a:accent2>
      <a:accent3>
        <a:srgbClr val="F3772C"/>
      </a:accent3>
      <a:accent4>
        <a:srgbClr val="EE3B6F"/>
      </a:accent4>
      <a:accent5>
        <a:srgbClr val="FCB942"/>
      </a:accent5>
      <a:accent6>
        <a:srgbClr val="C3AA95"/>
      </a:accent6>
      <a:hlink>
        <a:srgbClr val="1C365F"/>
      </a:hlink>
      <a:folHlink>
        <a:srgbClr val="4B7CC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98A18D3684994C9C52717DA600DB9E" ma:contentTypeVersion="20" ma:contentTypeDescription="Create a new document." ma:contentTypeScope="" ma:versionID="bb6e8cf81ba922e863fe1d116891fa63">
  <xsd:schema xmlns:xsd="http://www.w3.org/2001/XMLSchema" xmlns:xs="http://www.w3.org/2001/XMLSchema" xmlns:p="http://schemas.microsoft.com/office/2006/metadata/properties" xmlns:ns1="http://schemas.microsoft.com/sharepoint/v3" xmlns:ns2="ae4e7071-5663-40f4-b82b-2f0fff1265cc" xmlns:ns3="1d7fd805-69e4-4ade-a468-cc546b9d58af" targetNamespace="http://schemas.microsoft.com/office/2006/metadata/properties" ma:root="true" ma:fieldsID="c0078e2d2f75fa7cb1cb871e4499068b" ns1:_="" ns2:_="" ns3:_="">
    <xsd:import namespace="http://schemas.microsoft.com/sharepoint/v3"/>
    <xsd:import namespace="ae4e7071-5663-40f4-b82b-2f0fff1265cc"/>
    <xsd:import namespace="1d7fd805-69e4-4ade-a468-cc546b9d5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4e7071-5663-40f4-b82b-2f0fff126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be075d-681b-45a2-8aaf-45aedbdf89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Notes" ma:index="27" nillable="true" ma:displayName="Notes" ma:description="Comprehensive vers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7fd805-69e4-4ade-a468-cc546b9d58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07664-34f3-4f09-9e94-c8b34590142c}" ma:internalName="TaxCatchAll" ma:showField="CatchAllData" ma:web="1d7fd805-69e4-4ade-a468-cc546b9d5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4e7071-5663-40f4-b82b-2f0fff1265cc">
      <Terms xmlns="http://schemas.microsoft.com/office/infopath/2007/PartnerControls"/>
    </lcf76f155ced4ddcb4097134ff3c332f>
    <_ip_UnifiedCompliancePolicyProperties xmlns="http://schemas.microsoft.com/sharepoint/v3" xsi:nil="true"/>
    <TaxCatchAll xmlns="1d7fd805-69e4-4ade-a468-cc546b9d58af" xsi:nil="true"/>
    <Notes xmlns="ae4e7071-5663-40f4-b82b-2f0fff1265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BB0DB-B90C-4F93-96E1-C91738CED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e7071-5663-40f4-b82b-2f0fff1265cc"/>
    <ds:schemaRef ds:uri="1d7fd805-69e4-4ade-a468-cc546b9d5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3D5EBD-7E86-44B8-BC01-55F77E4327E4}">
  <ds:schemaRefs>
    <ds:schemaRef ds:uri="http://schemas.microsoft.com/office/2006/metadata/properties"/>
    <ds:schemaRef ds:uri="http://schemas.microsoft.com/office/infopath/2007/PartnerControls"/>
    <ds:schemaRef ds:uri="http://schemas.microsoft.com/sharepoint/v3"/>
    <ds:schemaRef ds:uri="ae4e7071-5663-40f4-b82b-2f0fff1265cc"/>
    <ds:schemaRef ds:uri="1d7fd805-69e4-4ade-a468-cc546b9d58af"/>
  </ds:schemaRefs>
</ds:datastoreItem>
</file>

<file path=customXml/itemProps3.xml><?xml version="1.0" encoding="utf-8"?>
<ds:datastoreItem xmlns:ds="http://schemas.openxmlformats.org/officeDocument/2006/customXml" ds:itemID="{6339B6D6-8B2B-448D-8749-230D669FEB6C}">
  <ds:schemaRefs>
    <ds:schemaRef ds:uri="http://schemas.microsoft.com/sharepoint/v3/contenttype/forms"/>
  </ds:schemaRefs>
</ds:datastoreItem>
</file>

<file path=customXml/itemProps4.xml><?xml version="1.0" encoding="utf-8"?>
<ds:datastoreItem xmlns:ds="http://schemas.openxmlformats.org/officeDocument/2006/customXml" ds:itemID="{D2A16E2B-E189-4249-ADF6-291BADB85185}">
  <ds:schemaRefs>
    <ds:schemaRef ds:uri="http://schemas.openxmlformats.org/officeDocument/2006/bibliography"/>
  </ds:schemaRefs>
</ds:datastoreItem>
</file>

<file path=docMetadata/LabelInfo.xml><?xml version="1.0" encoding="utf-8"?>
<clbl:labelList xmlns:clbl="http://schemas.microsoft.com/office/2020/mipLabelMetadata">
  <clbl:label id="{530eb4d8-2b68-4bf4-88c4-05d960b8514d}" enabled="0" method="" siteId="{530eb4d8-2b68-4bf4-88c4-05d960b8514d}" removed="1"/>
</clbl:labelList>
</file>

<file path=docProps/app.xml><?xml version="1.0" encoding="utf-8"?>
<Properties xmlns="http://schemas.openxmlformats.org/officeDocument/2006/extended-properties" xmlns:vt="http://schemas.openxmlformats.org/officeDocument/2006/docPropsVTypes">
  <Template>Normal</Template>
  <TotalTime>0</TotalTime>
  <Pages>68</Pages>
  <Words>17638</Words>
  <Characters>100537</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2026 GOS-L National Report - Accessible</vt:lpstr>
    </vt:vector>
  </TitlesOfParts>
  <Manager/>
  <Company>The Social Reserarch Centre Pty Ltd</Company>
  <LinksUpToDate>false</LinksUpToDate>
  <CharactersWithSpaces>117940</CharactersWithSpaces>
  <SharedDoc>false</SharedDoc>
  <HyperlinkBase/>
  <HLinks>
    <vt:vector size="648" baseType="variant">
      <vt:variant>
        <vt:i4>6553636</vt:i4>
      </vt:variant>
      <vt:variant>
        <vt:i4>678</vt:i4>
      </vt:variant>
      <vt:variant>
        <vt:i4>0</vt:i4>
      </vt:variant>
      <vt:variant>
        <vt:i4>5</vt:i4>
      </vt:variant>
      <vt:variant>
        <vt:lpwstr>https://www.qilt.edu.au/surveys/graduate-outcomes-survey-(gos)</vt:lpwstr>
      </vt:variant>
      <vt:variant>
        <vt:lpwstr/>
      </vt:variant>
      <vt:variant>
        <vt:i4>7077954</vt:i4>
      </vt:variant>
      <vt:variant>
        <vt:i4>621</vt:i4>
      </vt:variant>
      <vt:variant>
        <vt:i4>0</vt:i4>
      </vt:variant>
      <vt:variant>
        <vt:i4>5</vt:i4>
      </vt:variant>
      <vt:variant>
        <vt:lpwstr/>
      </vt:variant>
      <vt:variant>
        <vt:lpwstr>_Gender_pay_gap</vt:lpwstr>
      </vt:variant>
      <vt:variant>
        <vt:i4>65575</vt:i4>
      </vt:variant>
      <vt:variant>
        <vt:i4>597</vt:i4>
      </vt:variant>
      <vt:variant>
        <vt:i4>0</vt:i4>
      </vt:variant>
      <vt:variant>
        <vt:i4>5</vt:i4>
      </vt:variant>
      <vt:variant>
        <vt:lpwstr/>
      </vt:variant>
      <vt:variant>
        <vt:lpwstr>_Reasons_for_not</vt:lpwstr>
      </vt:variant>
      <vt:variant>
        <vt:i4>5832825</vt:i4>
      </vt:variant>
      <vt:variant>
        <vt:i4>576</vt:i4>
      </vt:variant>
      <vt:variant>
        <vt:i4>0</vt:i4>
      </vt:variant>
      <vt:variant>
        <vt:i4>5</vt:i4>
      </vt:variant>
      <vt:variant>
        <vt:lpwstr/>
      </vt:variant>
      <vt:variant>
        <vt:lpwstr>_Median__annual</vt:lpwstr>
      </vt:variant>
      <vt:variant>
        <vt:i4>7077935</vt:i4>
      </vt:variant>
      <vt:variant>
        <vt:i4>567</vt:i4>
      </vt:variant>
      <vt:variant>
        <vt:i4>0</vt:i4>
      </vt:variant>
      <vt:variant>
        <vt:i4>5</vt:i4>
      </vt:variant>
      <vt:variant>
        <vt:lpwstr>/l</vt:lpwstr>
      </vt:variant>
      <vt:variant>
        <vt:lpwstr/>
      </vt:variant>
      <vt:variant>
        <vt:i4>2621469</vt:i4>
      </vt:variant>
      <vt:variant>
        <vt:i4>537</vt:i4>
      </vt:variant>
      <vt:variant>
        <vt:i4>0</vt:i4>
      </vt:variant>
      <vt:variant>
        <vt:i4>5</vt:i4>
      </vt:variant>
      <vt:variant>
        <vt:lpwstr/>
      </vt:variant>
      <vt:variant>
        <vt:lpwstr>_Domestic_graduate_skills</vt:lpwstr>
      </vt:variant>
      <vt:variant>
        <vt:i4>3670064</vt:i4>
      </vt:variant>
      <vt:variant>
        <vt:i4>525</vt:i4>
      </vt:variant>
      <vt:variant>
        <vt:i4>0</vt:i4>
      </vt:variant>
      <vt:variant>
        <vt:i4>5</vt:i4>
      </vt:variant>
      <vt:variant>
        <vt:lpwstr>https://app.powerbi.com/view?r=eyJrIjoiNzA0NWI5ZWItNzA3Yy00N2ViLTgyOGMtMTNmNTY3MzVhMmU1IiwidCI6Ijg2MjA5Yjg0LTBjODMtNDNjNS05MmJlLWE1ZjUwZDY4ZTNmNiJ9</vt:lpwstr>
      </vt:variant>
      <vt:variant>
        <vt:lpwstr/>
      </vt:variant>
      <vt:variant>
        <vt:i4>6553709</vt:i4>
      </vt:variant>
      <vt:variant>
        <vt:i4>522</vt:i4>
      </vt:variant>
      <vt:variant>
        <vt:i4>0</vt:i4>
      </vt:variant>
      <vt:variant>
        <vt:i4>5</vt:i4>
      </vt:variant>
      <vt:variant>
        <vt:lpwstr>https://www.qilt.edu.au/surveys/graduate-outcomes-survey---longitudinal-(gos-l)</vt:lpwstr>
      </vt:variant>
      <vt:variant>
        <vt:lpwstr/>
      </vt:variant>
      <vt:variant>
        <vt:i4>6553636</vt:i4>
      </vt:variant>
      <vt:variant>
        <vt:i4>519</vt:i4>
      </vt:variant>
      <vt:variant>
        <vt:i4>0</vt:i4>
      </vt:variant>
      <vt:variant>
        <vt:i4>5</vt:i4>
      </vt:variant>
      <vt:variant>
        <vt:lpwstr>https://www.qilt.edu.au/surveys/graduate-outcomes-survey-(gos)</vt:lpwstr>
      </vt:variant>
      <vt:variant>
        <vt:lpwstr/>
      </vt:variant>
      <vt:variant>
        <vt:i4>1835064</vt:i4>
      </vt:variant>
      <vt:variant>
        <vt:i4>512</vt:i4>
      </vt:variant>
      <vt:variant>
        <vt:i4>0</vt:i4>
      </vt:variant>
      <vt:variant>
        <vt:i4>5</vt:i4>
      </vt:variant>
      <vt:variant>
        <vt:lpwstr/>
      </vt:variant>
      <vt:variant>
        <vt:lpwstr>_Toc223688171</vt:lpwstr>
      </vt:variant>
      <vt:variant>
        <vt:i4>1835064</vt:i4>
      </vt:variant>
      <vt:variant>
        <vt:i4>506</vt:i4>
      </vt:variant>
      <vt:variant>
        <vt:i4>0</vt:i4>
      </vt:variant>
      <vt:variant>
        <vt:i4>5</vt:i4>
      </vt:variant>
      <vt:variant>
        <vt:lpwstr/>
      </vt:variant>
      <vt:variant>
        <vt:lpwstr>_Toc223688170</vt:lpwstr>
      </vt:variant>
      <vt:variant>
        <vt:i4>1900600</vt:i4>
      </vt:variant>
      <vt:variant>
        <vt:i4>500</vt:i4>
      </vt:variant>
      <vt:variant>
        <vt:i4>0</vt:i4>
      </vt:variant>
      <vt:variant>
        <vt:i4>5</vt:i4>
      </vt:variant>
      <vt:variant>
        <vt:lpwstr/>
      </vt:variant>
      <vt:variant>
        <vt:lpwstr>_Toc223688169</vt:lpwstr>
      </vt:variant>
      <vt:variant>
        <vt:i4>1900600</vt:i4>
      </vt:variant>
      <vt:variant>
        <vt:i4>494</vt:i4>
      </vt:variant>
      <vt:variant>
        <vt:i4>0</vt:i4>
      </vt:variant>
      <vt:variant>
        <vt:i4>5</vt:i4>
      </vt:variant>
      <vt:variant>
        <vt:lpwstr/>
      </vt:variant>
      <vt:variant>
        <vt:lpwstr>_Toc223688168</vt:lpwstr>
      </vt:variant>
      <vt:variant>
        <vt:i4>1900600</vt:i4>
      </vt:variant>
      <vt:variant>
        <vt:i4>488</vt:i4>
      </vt:variant>
      <vt:variant>
        <vt:i4>0</vt:i4>
      </vt:variant>
      <vt:variant>
        <vt:i4>5</vt:i4>
      </vt:variant>
      <vt:variant>
        <vt:lpwstr/>
      </vt:variant>
      <vt:variant>
        <vt:lpwstr>_Toc223688167</vt:lpwstr>
      </vt:variant>
      <vt:variant>
        <vt:i4>1900600</vt:i4>
      </vt:variant>
      <vt:variant>
        <vt:i4>482</vt:i4>
      </vt:variant>
      <vt:variant>
        <vt:i4>0</vt:i4>
      </vt:variant>
      <vt:variant>
        <vt:i4>5</vt:i4>
      </vt:variant>
      <vt:variant>
        <vt:lpwstr/>
      </vt:variant>
      <vt:variant>
        <vt:lpwstr>_Toc223688166</vt:lpwstr>
      </vt:variant>
      <vt:variant>
        <vt:i4>1900600</vt:i4>
      </vt:variant>
      <vt:variant>
        <vt:i4>476</vt:i4>
      </vt:variant>
      <vt:variant>
        <vt:i4>0</vt:i4>
      </vt:variant>
      <vt:variant>
        <vt:i4>5</vt:i4>
      </vt:variant>
      <vt:variant>
        <vt:lpwstr/>
      </vt:variant>
      <vt:variant>
        <vt:lpwstr>_Toc223688165</vt:lpwstr>
      </vt:variant>
      <vt:variant>
        <vt:i4>1900600</vt:i4>
      </vt:variant>
      <vt:variant>
        <vt:i4>470</vt:i4>
      </vt:variant>
      <vt:variant>
        <vt:i4>0</vt:i4>
      </vt:variant>
      <vt:variant>
        <vt:i4>5</vt:i4>
      </vt:variant>
      <vt:variant>
        <vt:lpwstr/>
      </vt:variant>
      <vt:variant>
        <vt:lpwstr>_Toc223688164</vt:lpwstr>
      </vt:variant>
      <vt:variant>
        <vt:i4>1900600</vt:i4>
      </vt:variant>
      <vt:variant>
        <vt:i4>464</vt:i4>
      </vt:variant>
      <vt:variant>
        <vt:i4>0</vt:i4>
      </vt:variant>
      <vt:variant>
        <vt:i4>5</vt:i4>
      </vt:variant>
      <vt:variant>
        <vt:lpwstr/>
      </vt:variant>
      <vt:variant>
        <vt:lpwstr>_Toc223688163</vt:lpwstr>
      </vt:variant>
      <vt:variant>
        <vt:i4>1900600</vt:i4>
      </vt:variant>
      <vt:variant>
        <vt:i4>458</vt:i4>
      </vt:variant>
      <vt:variant>
        <vt:i4>0</vt:i4>
      </vt:variant>
      <vt:variant>
        <vt:i4>5</vt:i4>
      </vt:variant>
      <vt:variant>
        <vt:lpwstr/>
      </vt:variant>
      <vt:variant>
        <vt:lpwstr>_Toc223688162</vt:lpwstr>
      </vt:variant>
      <vt:variant>
        <vt:i4>1900600</vt:i4>
      </vt:variant>
      <vt:variant>
        <vt:i4>452</vt:i4>
      </vt:variant>
      <vt:variant>
        <vt:i4>0</vt:i4>
      </vt:variant>
      <vt:variant>
        <vt:i4>5</vt:i4>
      </vt:variant>
      <vt:variant>
        <vt:lpwstr/>
      </vt:variant>
      <vt:variant>
        <vt:lpwstr>_Toc223688161</vt:lpwstr>
      </vt:variant>
      <vt:variant>
        <vt:i4>1900600</vt:i4>
      </vt:variant>
      <vt:variant>
        <vt:i4>446</vt:i4>
      </vt:variant>
      <vt:variant>
        <vt:i4>0</vt:i4>
      </vt:variant>
      <vt:variant>
        <vt:i4>5</vt:i4>
      </vt:variant>
      <vt:variant>
        <vt:lpwstr/>
      </vt:variant>
      <vt:variant>
        <vt:lpwstr>_Toc223688160</vt:lpwstr>
      </vt:variant>
      <vt:variant>
        <vt:i4>1966136</vt:i4>
      </vt:variant>
      <vt:variant>
        <vt:i4>440</vt:i4>
      </vt:variant>
      <vt:variant>
        <vt:i4>0</vt:i4>
      </vt:variant>
      <vt:variant>
        <vt:i4>5</vt:i4>
      </vt:variant>
      <vt:variant>
        <vt:lpwstr/>
      </vt:variant>
      <vt:variant>
        <vt:lpwstr>_Toc223688159</vt:lpwstr>
      </vt:variant>
      <vt:variant>
        <vt:i4>1966136</vt:i4>
      </vt:variant>
      <vt:variant>
        <vt:i4>434</vt:i4>
      </vt:variant>
      <vt:variant>
        <vt:i4>0</vt:i4>
      </vt:variant>
      <vt:variant>
        <vt:i4>5</vt:i4>
      </vt:variant>
      <vt:variant>
        <vt:lpwstr/>
      </vt:variant>
      <vt:variant>
        <vt:lpwstr>_Toc223688158</vt:lpwstr>
      </vt:variant>
      <vt:variant>
        <vt:i4>1966136</vt:i4>
      </vt:variant>
      <vt:variant>
        <vt:i4>428</vt:i4>
      </vt:variant>
      <vt:variant>
        <vt:i4>0</vt:i4>
      </vt:variant>
      <vt:variant>
        <vt:i4>5</vt:i4>
      </vt:variant>
      <vt:variant>
        <vt:lpwstr/>
      </vt:variant>
      <vt:variant>
        <vt:lpwstr>_Toc223688157</vt:lpwstr>
      </vt:variant>
      <vt:variant>
        <vt:i4>1966136</vt:i4>
      </vt:variant>
      <vt:variant>
        <vt:i4>422</vt:i4>
      </vt:variant>
      <vt:variant>
        <vt:i4>0</vt:i4>
      </vt:variant>
      <vt:variant>
        <vt:i4>5</vt:i4>
      </vt:variant>
      <vt:variant>
        <vt:lpwstr/>
      </vt:variant>
      <vt:variant>
        <vt:lpwstr>_Toc223688156</vt:lpwstr>
      </vt:variant>
      <vt:variant>
        <vt:i4>1966136</vt:i4>
      </vt:variant>
      <vt:variant>
        <vt:i4>416</vt:i4>
      </vt:variant>
      <vt:variant>
        <vt:i4>0</vt:i4>
      </vt:variant>
      <vt:variant>
        <vt:i4>5</vt:i4>
      </vt:variant>
      <vt:variant>
        <vt:lpwstr/>
      </vt:variant>
      <vt:variant>
        <vt:lpwstr>_Toc223688155</vt:lpwstr>
      </vt:variant>
      <vt:variant>
        <vt:i4>1966136</vt:i4>
      </vt:variant>
      <vt:variant>
        <vt:i4>410</vt:i4>
      </vt:variant>
      <vt:variant>
        <vt:i4>0</vt:i4>
      </vt:variant>
      <vt:variant>
        <vt:i4>5</vt:i4>
      </vt:variant>
      <vt:variant>
        <vt:lpwstr/>
      </vt:variant>
      <vt:variant>
        <vt:lpwstr>_Toc223688154</vt:lpwstr>
      </vt:variant>
      <vt:variant>
        <vt:i4>1966136</vt:i4>
      </vt:variant>
      <vt:variant>
        <vt:i4>404</vt:i4>
      </vt:variant>
      <vt:variant>
        <vt:i4>0</vt:i4>
      </vt:variant>
      <vt:variant>
        <vt:i4>5</vt:i4>
      </vt:variant>
      <vt:variant>
        <vt:lpwstr/>
      </vt:variant>
      <vt:variant>
        <vt:lpwstr>_Toc223688153</vt:lpwstr>
      </vt:variant>
      <vt:variant>
        <vt:i4>1966136</vt:i4>
      </vt:variant>
      <vt:variant>
        <vt:i4>398</vt:i4>
      </vt:variant>
      <vt:variant>
        <vt:i4>0</vt:i4>
      </vt:variant>
      <vt:variant>
        <vt:i4>5</vt:i4>
      </vt:variant>
      <vt:variant>
        <vt:lpwstr/>
      </vt:variant>
      <vt:variant>
        <vt:lpwstr>_Toc223688152</vt:lpwstr>
      </vt:variant>
      <vt:variant>
        <vt:i4>1966136</vt:i4>
      </vt:variant>
      <vt:variant>
        <vt:i4>389</vt:i4>
      </vt:variant>
      <vt:variant>
        <vt:i4>0</vt:i4>
      </vt:variant>
      <vt:variant>
        <vt:i4>5</vt:i4>
      </vt:variant>
      <vt:variant>
        <vt:lpwstr/>
      </vt:variant>
      <vt:variant>
        <vt:lpwstr>_Toc223688151</vt:lpwstr>
      </vt:variant>
      <vt:variant>
        <vt:i4>1966136</vt:i4>
      </vt:variant>
      <vt:variant>
        <vt:i4>383</vt:i4>
      </vt:variant>
      <vt:variant>
        <vt:i4>0</vt:i4>
      </vt:variant>
      <vt:variant>
        <vt:i4>5</vt:i4>
      </vt:variant>
      <vt:variant>
        <vt:lpwstr/>
      </vt:variant>
      <vt:variant>
        <vt:lpwstr>_Toc223688150</vt:lpwstr>
      </vt:variant>
      <vt:variant>
        <vt:i4>2031672</vt:i4>
      </vt:variant>
      <vt:variant>
        <vt:i4>377</vt:i4>
      </vt:variant>
      <vt:variant>
        <vt:i4>0</vt:i4>
      </vt:variant>
      <vt:variant>
        <vt:i4>5</vt:i4>
      </vt:variant>
      <vt:variant>
        <vt:lpwstr/>
      </vt:variant>
      <vt:variant>
        <vt:lpwstr>_Toc223688149</vt:lpwstr>
      </vt:variant>
      <vt:variant>
        <vt:i4>2031672</vt:i4>
      </vt:variant>
      <vt:variant>
        <vt:i4>371</vt:i4>
      </vt:variant>
      <vt:variant>
        <vt:i4>0</vt:i4>
      </vt:variant>
      <vt:variant>
        <vt:i4>5</vt:i4>
      </vt:variant>
      <vt:variant>
        <vt:lpwstr/>
      </vt:variant>
      <vt:variant>
        <vt:lpwstr>_Toc223688148</vt:lpwstr>
      </vt:variant>
      <vt:variant>
        <vt:i4>2031672</vt:i4>
      </vt:variant>
      <vt:variant>
        <vt:i4>365</vt:i4>
      </vt:variant>
      <vt:variant>
        <vt:i4>0</vt:i4>
      </vt:variant>
      <vt:variant>
        <vt:i4>5</vt:i4>
      </vt:variant>
      <vt:variant>
        <vt:lpwstr/>
      </vt:variant>
      <vt:variant>
        <vt:lpwstr>_Toc223688147</vt:lpwstr>
      </vt:variant>
      <vt:variant>
        <vt:i4>2031672</vt:i4>
      </vt:variant>
      <vt:variant>
        <vt:i4>359</vt:i4>
      </vt:variant>
      <vt:variant>
        <vt:i4>0</vt:i4>
      </vt:variant>
      <vt:variant>
        <vt:i4>5</vt:i4>
      </vt:variant>
      <vt:variant>
        <vt:lpwstr/>
      </vt:variant>
      <vt:variant>
        <vt:lpwstr>_Toc223688146</vt:lpwstr>
      </vt:variant>
      <vt:variant>
        <vt:i4>2031672</vt:i4>
      </vt:variant>
      <vt:variant>
        <vt:i4>353</vt:i4>
      </vt:variant>
      <vt:variant>
        <vt:i4>0</vt:i4>
      </vt:variant>
      <vt:variant>
        <vt:i4>5</vt:i4>
      </vt:variant>
      <vt:variant>
        <vt:lpwstr/>
      </vt:variant>
      <vt:variant>
        <vt:lpwstr>_Toc223688145</vt:lpwstr>
      </vt:variant>
      <vt:variant>
        <vt:i4>2031672</vt:i4>
      </vt:variant>
      <vt:variant>
        <vt:i4>347</vt:i4>
      </vt:variant>
      <vt:variant>
        <vt:i4>0</vt:i4>
      </vt:variant>
      <vt:variant>
        <vt:i4>5</vt:i4>
      </vt:variant>
      <vt:variant>
        <vt:lpwstr/>
      </vt:variant>
      <vt:variant>
        <vt:lpwstr>_Toc223688144</vt:lpwstr>
      </vt:variant>
      <vt:variant>
        <vt:i4>2031672</vt:i4>
      </vt:variant>
      <vt:variant>
        <vt:i4>341</vt:i4>
      </vt:variant>
      <vt:variant>
        <vt:i4>0</vt:i4>
      </vt:variant>
      <vt:variant>
        <vt:i4>5</vt:i4>
      </vt:variant>
      <vt:variant>
        <vt:lpwstr/>
      </vt:variant>
      <vt:variant>
        <vt:lpwstr>_Toc223688143</vt:lpwstr>
      </vt:variant>
      <vt:variant>
        <vt:i4>2031672</vt:i4>
      </vt:variant>
      <vt:variant>
        <vt:i4>335</vt:i4>
      </vt:variant>
      <vt:variant>
        <vt:i4>0</vt:i4>
      </vt:variant>
      <vt:variant>
        <vt:i4>5</vt:i4>
      </vt:variant>
      <vt:variant>
        <vt:lpwstr/>
      </vt:variant>
      <vt:variant>
        <vt:lpwstr>_Toc223688142</vt:lpwstr>
      </vt:variant>
      <vt:variant>
        <vt:i4>2031672</vt:i4>
      </vt:variant>
      <vt:variant>
        <vt:i4>329</vt:i4>
      </vt:variant>
      <vt:variant>
        <vt:i4>0</vt:i4>
      </vt:variant>
      <vt:variant>
        <vt:i4>5</vt:i4>
      </vt:variant>
      <vt:variant>
        <vt:lpwstr/>
      </vt:variant>
      <vt:variant>
        <vt:lpwstr>_Toc223688141</vt:lpwstr>
      </vt:variant>
      <vt:variant>
        <vt:i4>2031672</vt:i4>
      </vt:variant>
      <vt:variant>
        <vt:i4>323</vt:i4>
      </vt:variant>
      <vt:variant>
        <vt:i4>0</vt:i4>
      </vt:variant>
      <vt:variant>
        <vt:i4>5</vt:i4>
      </vt:variant>
      <vt:variant>
        <vt:lpwstr/>
      </vt:variant>
      <vt:variant>
        <vt:lpwstr>_Toc223688140</vt:lpwstr>
      </vt:variant>
      <vt:variant>
        <vt:i4>1572920</vt:i4>
      </vt:variant>
      <vt:variant>
        <vt:i4>317</vt:i4>
      </vt:variant>
      <vt:variant>
        <vt:i4>0</vt:i4>
      </vt:variant>
      <vt:variant>
        <vt:i4>5</vt:i4>
      </vt:variant>
      <vt:variant>
        <vt:lpwstr/>
      </vt:variant>
      <vt:variant>
        <vt:lpwstr>_Toc223688139</vt:lpwstr>
      </vt:variant>
      <vt:variant>
        <vt:i4>1572920</vt:i4>
      </vt:variant>
      <vt:variant>
        <vt:i4>311</vt:i4>
      </vt:variant>
      <vt:variant>
        <vt:i4>0</vt:i4>
      </vt:variant>
      <vt:variant>
        <vt:i4>5</vt:i4>
      </vt:variant>
      <vt:variant>
        <vt:lpwstr/>
      </vt:variant>
      <vt:variant>
        <vt:lpwstr>_Toc223688138</vt:lpwstr>
      </vt:variant>
      <vt:variant>
        <vt:i4>1572920</vt:i4>
      </vt:variant>
      <vt:variant>
        <vt:i4>305</vt:i4>
      </vt:variant>
      <vt:variant>
        <vt:i4>0</vt:i4>
      </vt:variant>
      <vt:variant>
        <vt:i4>5</vt:i4>
      </vt:variant>
      <vt:variant>
        <vt:lpwstr/>
      </vt:variant>
      <vt:variant>
        <vt:lpwstr>_Toc223688137</vt:lpwstr>
      </vt:variant>
      <vt:variant>
        <vt:i4>1572920</vt:i4>
      </vt:variant>
      <vt:variant>
        <vt:i4>299</vt:i4>
      </vt:variant>
      <vt:variant>
        <vt:i4>0</vt:i4>
      </vt:variant>
      <vt:variant>
        <vt:i4>5</vt:i4>
      </vt:variant>
      <vt:variant>
        <vt:lpwstr/>
      </vt:variant>
      <vt:variant>
        <vt:lpwstr>_Toc223688136</vt:lpwstr>
      </vt:variant>
      <vt:variant>
        <vt:i4>1572920</vt:i4>
      </vt:variant>
      <vt:variant>
        <vt:i4>293</vt:i4>
      </vt:variant>
      <vt:variant>
        <vt:i4>0</vt:i4>
      </vt:variant>
      <vt:variant>
        <vt:i4>5</vt:i4>
      </vt:variant>
      <vt:variant>
        <vt:lpwstr/>
      </vt:variant>
      <vt:variant>
        <vt:lpwstr>_Toc223688135</vt:lpwstr>
      </vt:variant>
      <vt:variant>
        <vt:i4>1572920</vt:i4>
      </vt:variant>
      <vt:variant>
        <vt:i4>287</vt:i4>
      </vt:variant>
      <vt:variant>
        <vt:i4>0</vt:i4>
      </vt:variant>
      <vt:variant>
        <vt:i4>5</vt:i4>
      </vt:variant>
      <vt:variant>
        <vt:lpwstr/>
      </vt:variant>
      <vt:variant>
        <vt:lpwstr>_Toc223688134</vt:lpwstr>
      </vt:variant>
      <vt:variant>
        <vt:i4>1572920</vt:i4>
      </vt:variant>
      <vt:variant>
        <vt:i4>281</vt:i4>
      </vt:variant>
      <vt:variant>
        <vt:i4>0</vt:i4>
      </vt:variant>
      <vt:variant>
        <vt:i4>5</vt:i4>
      </vt:variant>
      <vt:variant>
        <vt:lpwstr/>
      </vt:variant>
      <vt:variant>
        <vt:lpwstr>_Toc223688133</vt:lpwstr>
      </vt:variant>
      <vt:variant>
        <vt:i4>1572920</vt:i4>
      </vt:variant>
      <vt:variant>
        <vt:i4>275</vt:i4>
      </vt:variant>
      <vt:variant>
        <vt:i4>0</vt:i4>
      </vt:variant>
      <vt:variant>
        <vt:i4>5</vt:i4>
      </vt:variant>
      <vt:variant>
        <vt:lpwstr/>
      </vt:variant>
      <vt:variant>
        <vt:lpwstr>_Toc223688132</vt:lpwstr>
      </vt:variant>
      <vt:variant>
        <vt:i4>1572920</vt:i4>
      </vt:variant>
      <vt:variant>
        <vt:i4>269</vt:i4>
      </vt:variant>
      <vt:variant>
        <vt:i4>0</vt:i4>
      </vt:variant>
      <vt:variant>
        <vt:i4>5</vt:i4>
      </vt:variant>
      <vt:variant>
        <vt:lpwstr/>
      </vt:variant>
      <vt:variant>
        <vt:lpwstr>_Toc223688131</vt:lpwstr>
      </vt:variant>
      <vt:variant>
        <vt:i4>1572920</vt:i4>
      </vt:variant>
      <vt:variant>
        <vt:i4>263</vt:i4>
      </vt:variant>
      <vt:variant>
        <vt:i4>0</vt:i4>
      </vt:variant>
      <vt:variant>
        <vt:i4>5</vt:i4>
      </vt:variant>
      <vt:variant>
        <vt:lpwstr/>
      </vt:variant>
      <vt:variant>
        <vt:lpwstr>_Toc223688130</vt:lpwstr>
      </vt:variant>
      <vt:variant>
        <vt:i4>1638456</vt:i4>
      </vt:variant>
      <vt:variant>
        <vt:i4>257</vt:i4>
      </vt:variant>
      <vt:variant>
        <vt:i4>0</vt:i4>
      </vt:variant>
      <vt:variant>
        <vt:i4>5</vt:i4>
      </vt:variant>
      <vt:variant>
        <vt:lpwstr/>
      </vt:variant>
      <vt:variant>
        <vt:lpwstr>_Toc223688129</vt:lpwstr>
      </vt:variant>
      <vt:variant>
        <vt:i4>1638456</vt:i4>
      </vt:variant>
      <vt:variant>
        <vt:i4>251</vt:i4>
      </vt:variant>
      <vt:variant>
        <vt:i4>0</vt:i4>
      </vt:variant>
      <vt:variant>
        <vt:i4>5</vt:i4>
      </vt:variant>
      <vt:variant>
        <vt:lpwstr/>
      </vt:variant>
      <vt:variant>
        <vt:lpwstr>_Toc223688128</vt:lpwstr>
      </vt:variant>
      <vt:variant>
        <vt:i4>1638456</vt:i4>
      </vt:variant>
      <vt:variant>
        <vt:i4>242</vt:i4>
      </vt:variant>
      <vt:variant>
        <vt:i4>0</vt:i4>
      </vt:variant>
      <vt:variant>
        <vt:i4>5</vt:i4>
      </vt:variant>
      <vt:variant>
        <vt:lpwstr/>
      </vt:variant>
      <vt:variant>
        <vt:lpwstr>_Toc223688127</vt:lpwstr>
      </vt:variant>
      <vt:variant>
        <vt:i4>1638456</vt:i4>
      </vt:variant>
      <vt:variant>
        <vt:i4>236</vt:i4>
      </vt:variant>
      <vt:variant>
        <vt:i4>0</vt:i4>
      </vt:variant>
      <vt:variant>
        <vt:i4>5</vt:i4>
      </vt:variant>
      <vt:variant>
        <vt:lpwstr/>
      </vt:variant>
      <vt:variant>
        <vt:lpwstr>_Toc223688126</vt:lpwstr>
      </vt:variant>
      <vt:variant>
        <vt:i4>1638456</vt:i4>
      </vt:variant>
      <vt:variant>
        <vt:i4>230</vt:i4>
      </vt:variant>
      <vt:variant>
        <vt:i4>0</vt:i4>
      </vt:variant>
      <vt:variant>
        <vt:i4>5</vt:i4>
      </vt:variant>
      <vt:variant>
        <vt:lpwstr/>
      </vt:variant>
      <vt:variant>
        <vt:lpwstr>_Toc223688125</vt:lpwstr>
      </vt:variant>
      <vt:variant>
        <vt:i4>1638456</vt:i4>
      </vt:variant>
      <vt:variant>
        <vt:i4>224</vt:i4>
      </vt:variant>
      <vt:variant>
        <vt:i4>0</vt:i4>
      </vt:variant>
      <vt:variant>
        <vt:i4>5</vt:i4>
      </vt:variant>
      <vt:variant>
        <vt:lpwstr/>
      </vt:variant>
      <vt:variant>
        <vt:lpwstr>_Toc223688124</vt:lpwstr>
      </vt:variant>
      <vt:variant>
        <vt:i4>1638456</vt:i4>
      </vt:variant>
      <vt:variant>
        <vt:i4>218</vt:i4>
      </vt:variant>
      <vt:variant>
        <vt:i4>0</vt:i4>
      </vt:variant>
      <vt:variant>
        <vt:i4>5</vt:i4>
      </vt:variant>
      <vt:variant>
        <vt:lpwstr/>
      </vt:variant>
      <vt:variant>
        <vt:lpwstr>_Toc223688123</vt:lpwstr>
      </vt:variant>
      <vt:variant>
        <vt:i4>1638456</vt:i4>
      </vt:variant>
      <vt:variant>
        <vt:i4>212</vt:i4>
      </vt:variant>
      <vt:variant>
        <vt:i4>0</vt:i4>
      </vt:variant>
      <vt:variant>
        <vt:i4>5</vt:i4>
      </vt:variant>
      <vt:variant>
        <vt:lpwstr/>
      </vt:variant>
      <vt:variant>
        <vt:lpwstr>_Toc223688122</vt:lpwstr>
      </vt:variant>
      <vt:variant>
        <vt:i4>1638456</vt:i4>
      </vt:variant>
      <vt:variant>
        <vt:i4>206</vt:i4>
      </vt:variant>
      <vt:variant>
        <vt:i4>0</vt:i4>
      </vt:variant>
      <vt:variant>
        <vt:i4>5</vt:i4>
      </vt:variant>
      <vt:variant>
        <vt:lpwstr/>
      </vt:variant>
      <vt:variant>
        <vt:lpwstr>_Toc223688121</vt:lpwstr>
      </vt:variant>
      <vt:variant>
        <vt:i4>1638456</vt:i4>
      </vt:variant>
      <vt:variant>
        <vt:i4>200</vt:i4>
      </vt:variant>
      <vt:variant>
        <vt:i4>0</vt:i4>
      </vt:variant>
      <vt:variant>
        <vt:i4>5</vt:i4>
      </vt:variant>
      <vt:variant>
        <vt:lpwstr/>
      </vt:variant>
      <vt:variant>
        <vt:lpwstr>_Toc223688120</vt:lpwstr>
      </vt:variant>
      <vt:variant>
        <vt:i4>1703992</vt:i4>
      </vt:variant>
      <vt:variant>
        <vt:i4>194</vt:i4>
      </vt:variant>
      <vt:variant>
        <vt:i4>0</vt:i4>
      </vt:variant>
      <vt:variant>
        <vt:i4>5</vt:i4>
      </vt:variant>
      <vt:variant>
        <vt:lpwstr/>
      </vt:variant>
      <vt:variant>
        <vt:lpwstr>_Toc223688119</vt:lpwstr>
      </vt:variant>
      <vt:variant>
        <vt:i4>1703992</vt:i4>
      </vt:variant>
      <vt:variant>
        <vt:i4>188</vt:i4>
      </vt:variant>
      <vt:variant>
        <vt:i4>0</vt:i4>
      </vt:variant>
      <vt:variant>
        <vt:i4>5</vt:i4>
      </vt:variant>
      <vt:variant>
        <vt:lpwstr/>
      </vt:variant>
      <vt:variant>
        <vt:lpwstr>_Toc223688118</vt:lpwstr>
      </vt:variant>
      <vt:variant>
        <vt:i4>1703992</vt:i4>
      </vt:variant>
      <vt:variant>
        <vt:i4>182</vt:i4>
      </vt:variant>
      <vt:variant>
        <vt:i4>0</vt:i4>
      </vt:variant>
      <vt:variant>
        <vt:i4>5</vt:i4>
      </vt:variant>
      <vt:variant>
        <vt:lpwstr/>
      </vt:variant>
      <vt:variant>
        <vt:lpwstr>_Toc223688117</vt:lpwstr>
      </vt:variant>
      <vt:variant>
        <vt:i4>1703992</vt:i4>
      </vt:variant>
      <vt:variant>
        <vt:i4>176</vt:i4>
      </vt:variant>
      <vt:variant>
        <vt:i4>0</vt:i4>
      </vt:variant>
      <vt:variant>
        <vt:i4>5</vt:i4>
      </vt:variant>
      <vt:variant>
        <vt:lpwstr/>
      </vt:variant>
      <vt:variant>
        <vt:lpwstr>_Toc223688116</vt:lpwstr>
      </vt:variant>
      <vt:variant>
        <vt:i4>1703992</vt:i4>
      </vt:variant>
      <vt:variant>
        <vt:i4>170</vt:i4>
      </vt:variant>
      <vt:variant>
        <vt:i4>0</vt:i4>
      </vt:variant>
      <vt:variant>
        <vt:i4>5</vt:i4>
      </vt:variant>
      <vt:variant>
        <vt:lpwstr/>
      </vt:variant>
      <vt:variant>
        <vt:lpwstr>_Toc223688115</vt:lpwstr>
      </vt:variant>
      <vt:variant>
        <vt:i4>1703992</vt:i4>
      </vt:variant>
      <vt:variant>
        <vt:i4>164</vt:i4>
      </vt:variant>
      <vt:variant>
        <vt:i4>0</vt:i4>
      </vt:variant>
      <vt:variant>
        <vt:i4>5</vt:i4>
      </vt:variant>
      <vt:variant>
        <vt:lpwstr/>
      </vt:variant>
      <vt:variant>
        <vt:lpwstr>_Toc223688114</vt:lpwstr>
      </vt:variant>
      <vt:variant>
        <vt:i4>1703992</vt:i4>
      </vt:variant>
      <vt:variant>
        <vt:i4>158</vt:i4>
      </vt:variant>
      <vt:variant>
        <vt:i4>0</vt:i4>
      </vt:variant>
      <vt:variant>
        <vt:i4>5</vt:i4>
      </vt:variant>
      <vt:variant>
        <vt:lpwstr/>
      </vt:variant>
      <vt:variant>
        <vt:lpwstr>_Toc223688113</vt:lpwstr>
      </vt:variant>
      <vt:variant>
        <vt:i4>1703992</vt:i4>
      </vt:variant>
      <vt:variant>
        <vt:i4>152</vt:i4>
      </vt:variant>
      <vt:variant>
        <vt:i4>0</vt:i4>
      </vt:variant>
      <vt:variant>
        <vt:i4>5</vt:i4>
      </vt:variant>
      <vt:variant>
        <vt:lpwstr/>
      </vt:variant>
      <vt:variant>
        <vt:lpwstr>_Toc223688112</vt:lpwstr>
      </vt:variant>
      <vt:variant>
        <vt:i4>1703992</vt:i4>
      </vt:variant>
      <vt:variant>
        <vt:i4>146</vt:i4>
      </vt:variant>
      <vt:variant>
        <vt:i4>0</vt:i4>
      </vt:variant>
      <vt:variant>
        <vt:i4>5</vt:i4>
      </vt:variant>
      <vt:variant>
        <vt:lpwstr/>
      </vt:variant>
      <vt:variant>
        <vt:lpwstr>_Toc223688111</vt:lpwstr>
      </vt:variant>
      <vt:variant>
        <vt:i4>1703992</vt:i4>
      </vt:variant>
      <vt:variant>
        <vt:i4>140</vt:i4>
      </vt:variant>
      <vt:variant>
        <vt:i4>0</vt:i4>
      </vt:variant>
      <vt:variant>
        <vt:i4>5</vt:i4>
      </vt:variant>
      <vt:variant>
        <vt:lpwstr/>
      </vt:variant>
      <vt:variant>
        <vt:lpwstr>_Toc223688110</vt:lpwstr>
      </vt:variant>
      <vt:variant>
        <vt:i4>1769528</vt:i4>
      </vt:variant>
      <vt:variant>
        <vt:i4>134</vt:i4>
      </vt:variant>
      <vt:variant>
        <vt:i4>0</vt:i4>
      </vt:variant>
      <vt:variant>
        <vt:i4>5</vt:i4>
      </vt:variant>
      <vt:variant>
        <vt:lpwstr/>
      </vt:variant>
      <vt:variant>
        <vt:lpwstr>_Toc223688109</vt:lpwstr>
      </vt:variant>
      <vt:variant>
        <vt:i4>1769528</vt:i4>
      </vt:variant>
      <vt:variant>
        <vt:i4>128</vt:i4>
      </vt:variant>
      <vt:variant>
        <vt:i4>0</vt:i4>
      </vt:variant>
      <vt:variant>
        <vt:i4>5</vt:i4>
      </vt:variant>
      <vt:variant>
        <vt:lpwstr/>
      </vt:variant>
      <vt:variant>
        <vt:lpwstr>_Toc223688108</vt:lpwstr>
      </vt:variant>
      <vt:variant>
        <vt:i4>1769528</vt:i4>
      </vt:variant>
      <vt:variant>
        <vt:i4>122</vt:i4>
      </vt:variant>
      <vt:variant>
        <vt:i4>0</vt:i4>
      </vt:variant>
      <vt:variant>
        <vt:i4>5</vt:i4>
      </vt:variant>
      <vt:variant>
        <vt:lpwstr/>
      </vt:variant>
      <vt:variant>
        <vt:lpwstr>_Toc223688107</vt:lpwstr>
      </vt:variant>
      <vt:variant>
        <vt:i4>1769528</vt:i4>
      </vt:variant>
      <vt:variant>
        <vt:i4>116</vt:i4>
      </vt:variant>
      <vt:variant>
        <vt:i4>0</vt:i4>
      </vt:variant>
      <vt:variant>
        <vt:i4>5</vt:i4>
      </vt:variant>
      <vt:variant>
        <vt:lpwstr/>
      </vt:variant>
      <vt:variant>
        <vt:lpwstr>_Toc223688106</vt:lpwstr>
      </vt:variant>
      <vt:variant>
        <vt:i4>1769528</vt:i4>
      </vt:variant>
      <vt:variant>
        <vt:i4>110</vt:i4>
      </vt:variant>
      <vt:variant>
        <vt:i4>0</vt:i4>
      </vt:variant>
      <vt:variant>
        <vt:i4>5</vt:i4>
      </vt:variant>
      <vt:variant>
        <vt:lpwstr/>
      </vt:variant>
      <vt:variant>
        <vt:lpwstr>_Toc223688105</vt:lpwstr>
      </vt:variant>
      <vt:variant>
        <vt:i4>1769528</vt:i4>
      </vt:variant>
      <vt:variant>
        <vt:i4>104</vt:i4>
      </vt:variant>
      <vt:variant>
        <vt:i4>0</vt:i4>
      </vt:variant>
      <vt:variant>
        <vt:i4>5</vt:i4>
      </vt:variant>
      <vt:variant>
        <vt:lpwstr/>
      </vt:variant>
      <vt:variant>
        <vt:lpwstr>_Toc223688104</vt:lpwstr>
      </vt:variant>
      <vt:variant>
        <vt:i4>1769528</vt:i4>
      </vt:variant>
      <vt:variant>
        <vt:i4>98</vt:i4>
      </vt:variant>
      <vt:variant>
        <vt:i4>0</vt:i4>
      </vt:variant>
      <vt:variant>
        <vt:i4>5</vt:i4>
      </vt:variant>
      <vt:variant>
        <vt:lpwstr/>
      </vt:variant>
      <vt:variant>
        <vt:lpwstr>_Toc223688103</vt:lpwstr>
      </vt:variant>
      <vt:variant>
        <vt:i4>1769528</vt:i4>
      </vt:variant>
      <vt:variant>
        <vt:i4>92</vt:i4>
      </vt:variant>
      <vt:variant>
        <vt:i4>0</vt:i4>
      </vt:variant>
      <vt:variant>
        <vt:i4>5</vt:i4>
      </vt:variant>
      <vt:variant>
        <vt:lpwstr/>
      </vt:variant>
      <vt:variant>
        <vt:lpwstr>_Toc223688102</vt:lpwstr>
      </vt:variant>
      <vt:variant>
        <vt:i4>1769528</vt:i4>
      </vt:variant>
      <vt:variant>
        <vt:i4>86</vt:i4>
      </vt:variant>
      <vt:variant>
        <vt:i4>0</vt:i4>
      </vt:variant>
      <vt:variant>
        <vt:i4>5</vt:i4>
      </vt:variant>
      <vt:variant>
        <vt:lpwstr/>
      </vt:variant>
      <vt:variant>
        <vt:lpwstr>_Toc223688101</vt:lpwstr>
      </vt:variant>
      <vt:variant>
        <vt:i4>1769528</vt:i4>
      </vt:variant>
      <vt:variant>
        <vt:i4>80</vt:i4>
      </vt:variant>
      <vt:variant>
        <vt:i4>0</vt:i4>
      </vt:variant>
      <vt:variant>
        <vt:i4>5</vt:i4>
      </vt:variant>
      <vt:variant>
        <vt:lpwstr/>
      </vt:variant>
      <vt:variant>
        <vt:lpwstr>_Toc223688100</vt:lpwstr>
      </vt:variant>
      <vt:variant>
        <vt:i4>1179705</vt:i4>
      </vt:variant>
      <vt:variant>
        <vt:i4>74</vt:i4>
      </vt:variant>
      <vt:variant>
        <vt:i4>0</vt:i4>
      </vt:variant>
      <vt:variant>
        <vt:i4>5</vt:i4>
      </vt:variant>
      <vt:variant>
        <vt:lpwstr/>
      </vt:variant>
      <vt:variant>
        <vt:lpwstr>_Toc223688099</vt:lpwstr>
      </vt:variant>
      <vt:variant>
        <vt:i4>1179705</vt:i4>
      </vt:variant>
      <vt:variant>
        <vt:i4>68</vt:i4>
      </vt:variant>
      <vt:variant>
        <vt:i4>0</vt:i4>
      </vt:variant>
      <vt:variant>
        <vt:i4>5</vt:i4>
      </vt:variant>
      <vt:variant>
        <vt:lpwstr/>
      </vt:variant>
      <vt:variant>
        <vt:lpwstr>_Toc223688098</vt:lpwstr>
      </vt:variant>
      <vt:variant>
        <vt:i4>1179705</vt:i4>
      </vt:variant>
      <vt:variant>
        <vt:i4>62</vt:i4>
      </vt:variant>
      <vt:variant>
        <vt:i4>0</vt:i4>
      </vt:variant>
      <vt:variant>
        <vt:i4>5</vt:i4>
      </vt:variant>
      <vt:variant>
        <vt:lpwstr/>
      </vt:variant>
      <vt:variant>
        <vt:lpwstr>_Toc223688097</vt:lpwstr>
      </vt:variant>
      <vt:variant>
        <vt:i4>1179705</vt:i4>
      </vt:variant>
      <vt:variant>
        <vt:i4>56</vt:i4>
      </vt:variant>
      <vt:variant>
        <vt:i4>0</vt:i4>
      </vt:variant>
      <vt:variant>
        <vt:i4>5</vt:i4>
      </vt:variant>
      <vt:variant>
        <vt:lpwstr/>
      </vt:variant>
      <vt:variant>
        <vt:lpwstr>_Toc223688096</vt:lpwstr>
      </vt:variant>
      <vt:variant>
        <vt:i4>1179705</vt:i4>
      </vt:variant>
      <vt:variant>
        <vt:i4>50</vt:i4>
      </vt:variant>
      <vt:variant>
        <vt:i4>0</vt:i4>
      </vt:variant>
      <vt:variant>
        <vt:i4>5</vt:i4>
      </vt:variant>
      <vt:variant>
        <vt:lpwstr/>
      </vt:variant>
      <vt:variant>
        <vt:lpwstr>_Toc223688095</vt:lpwstr>
      </vt:variant>
      <vt:variant>
        <vt:i4>1179705</vt:i4>
      </vt:variant>
      <vt:variant>
        <vt:i4>44</vt:i4>
      </vt:variant>
      <vt:variant>
        <vt:i4>0</vt:i4>
      </vt:variant>
      <vt:variant>
        <vt:i4>5</vt:i4>
      </vt:variant>
      <vt:variant>
        <vt:lpwstr/>
      </vt:variant>
      <vt:variant>
        <vt:lpwstr>_Toc223688094</vt:lpwstr>
      </vt:variant>
      <vt:variant>
        <vt:i4>1179705</vt:i4>
      </vt:variant>
      <vt:variant>
        <vt:i4>38</vt:i4>
      </vt:variant>
      <vt:variant>
        <vt:i4>0</vt:i4>
      </vt:variant>
      <vt:variant>
        <vt:i4>5</vt:i4>
      </vt:variant>
      <vt:variant>
        <vt:lpwstr/>
      </vt:variant>
      <vt:variant>
        <vt:lpwstr>_Toc223688093</vt:lpwstr>
      </vt:variant>
      <vt:variant>
        <vt:i4>1179705</vt:i4>
      </vt:variant>
      <vt:variant>
        <vt:i4>32</vt:i4>
      </vt:variant>
      <vt:variant>
        <vt:i4>0</vt:i4>
      </vt:variant>
      <vt:variant>
        <vt:i4>5</vt:i4>
      </vt:variant>
      <vt:variant>
        <vt:lpwstr/>
      </vt:variant>
      <vt:variant>
        <vt:lpwstr>_Toc223688092</vt:lpwstr>
      </vt:variant>
      <vt:variant>
        <vt:i4>1179705</vt:i4>
      </vt:variant>
      <vt:variant>
        <vt:i4>26</vt:i4>
      </vt:variant>
      <vt:variant>
        <vt:i4>0</vt:i4>
      </vt:variant>
      <vt:variant>
        <vt:i4>5</vt:i4>
      </vt:variant>
      <vt:variant>
        <vt:lpwstr/>
      </vt:variant>
      <vt:variant>
        <vt:lpwstr>_Toc223688091</vt:lpwstr>
      </vt:variant>
      <vt:variant>
        <vt:i4>1179705</vt:i4>
      </vt:variant>
      <vt:variant>
        <vt:i4>20</vt:i4>
      </vt:variant>
      <vt:variant>
        <vt:i4>0</vt:i4>
      </vt:variant>
      <vt:variant>
        <vt:i4>5</vt:i4>
      </vt:variant>
      <vt:variant>
        <vt:lpwstr/>
      </vt:variant>
      <vt:variant>
        <vt:lpwstr>_Toc223688090</vt:lpwstr>
      </vt:variant>
      <vt:variant>
        <vt:i4>1245241</vt:i4>
      </vt:variant>
      <vt:variant>
        <vt:i4>14</vt:i4>
      </vt:variant>
      <vt:variant>
        <vt:i4>0</vt:i4>
      </vt:variant>
      <vt:variant>
        <vt:i4>5</vt:i4>
      </vt:variant>
      <vt:variant>
        <vt:lpwstr/>
      </vt:variant>
      <vt:variant>
        <vt:lpwstr>_Toc223688089</vt:lpwstr>
      </vt:variant>
      <vt:variant>
        <vt:i4>1245241</vt:i4>
      </vt:variant>
      <vt:variant>
        <vt:i4>8</vt:i4>
      </vt:variant>
      <vt:variant>
        <vt:i4>0</vt:i4>
      </vt:variant>
      <vt:variant>
        <vt:i4>5</vt:i4>
      </vt:variant>
      <vt:variant>
        <vt:lpwstr/>
      </vt:variant>
      <vt:variant>
        <vt:lpwstr>_Toc223688088</vt:lpwstr>
      </vt:variant>
      <vt:variant>
        <vt:i4>5636148</vt:i4>
      </vt:variant>
      <vt:variant>
        <vt:i4>3</vt:i4>
      </vt:variant>
      <vt:variant>
        <vt:i4>0</vt:i4>
      </vt:variant>
      <vt:variant>
        <vt:i4>5</vt:i4>
      </vt:variant>
      <vt:variant>
        <vt:lpwstr>mailto:qilt@srcentre.com.au</vt:lpwstr>
      </vt:variant>
      <vt:variant>
        <vt:lpwstr/>
      </vt:variant>
      <vt:variant>
        <vt:i4>6553709</vt:i4>
      </vt:variant>
      <vt:variant>
        <vt:i4>0</vt:i4>
      </vt:variant>
      <vt:variant>
        <vt:i4>0</vt:i4>
      </vt:variant>
      <vt:variant>
        <vt:i4>5</vt:i4>
      </vt:variant>
      <vt:variant>
        <vt:lpwstr>https://www.qilt.edu.au/surveys/graduate-outcomes-survey---longitudinal-(gos-l)</vt:lpwstr>
      </vt:variant>
      <vt:variant>
        <vt:lpwstr/>
      </vt:variant>
      <vt:variant>
        <vt:i4>6160393</vt:i4>
      </vt:variant>
      <vt:variant>
        <vt:i4>27</vt:i4>
      </vt:variant>
      <vt:variant>
        <vt:i4>0</vt:i4>
      </vt:variant>
      <vt:variant>
        <vt:i4>5</vt:i4>
      </vt:variant>
      <vt:variant>
        <vt:lpwstr>https://www.abs.gov.au/statistics/detailed-methodology-information/concepts-sources-methods/labour-statistics-concepts-sources-and-methods/2023/concepts-and-sources</vt:lpwstr>
      </vt:variant>
      <vt:variant>
        <vt:lpwstr/>
      </vt:variant>
      <vt:variant>
        <vt:i4>3866740</vt:i4>
      </vt:variant>
      <vt:variant>
        <vt:i4>24</vt:i4>
      </vt:variant>
      <vt:variant>
        <vt:i4>0</vt:i4>
      </vt:variant>
      <vt:variant>
        <vt:i4>5</vt:i4>
      </vt:variant>
      <vt:variant>
        <vt:lpwstr>https://www.tcsisupport.gov.au/element/346</vt:lpwstr>
      </vt:variant>
      <vt:variant>
        <vt:lpwstr/>
      </vt:variant>
      <vt:variant>
        <vt:i4>6553709</vt:i4>
      </vt:variant>
      <vt:variant>
        <vt:i4>21</vt:i4>
      </vt:variant>
      <vt:variant>
        <vt:i4>0</vt:i4>
      </vt:variant>
      <vt:variant>
        <vt:i4>5</vt:i4>
      </vt:variant>
      <vt:variant>
        <vt:lpwstr>https://www.qilt.edu.au/surveys/graduate-outcomes-survey---longitudinal-(gos-l)</vt:lpwstr>
      </vt:variant>
      <vt:variant>
        <vt:lpwstr/>
      </vt:variant>
      <vt:variant>
        <vt:i4>589943</vt:i4>
      </vt:variant>
      <vt:variant>
        <vt:i4>18</vt:i4>
      </vt:variant>
      <vt:variant>
        <vt:i4>0</vt:i4>
      </vt:variant>
      <vt:variant>
        <vt:i4>5</vt:i4>
      </vt:variant>
      <vt:variant>
        <vt:lpwstr>https://www.qilt.edu.au/docs/default-source/default-document-library/construction-of-confidence-intervals-in-qilt-surveys.pdf?sfvrsn=8d01d58b_1</vt:lpwstr>
      </vt:variant>
      <vt:variant>
        <vt:lpwstr/>
      </vt:variant>
      <vt:variant>
        <vt:i4>196701</vt:i4>
      </vt:variant>
      <vt:variant>
        <vt:i4>15</vt:i4>
      </vt:variant>
      <vt:variant>
        <vt:i4>0</vt:i4>
      </vt:variant>
      <vt:variant>
        <vt:i4>5</vt:i4>
      </vt:variant>
      <vt:variant>
        <vt:lpwstr>https://www.qilt.edu.au/data/study-areas</vt:lpwstr>
      </vt:variant>
      <vt:variant>
        <vt:lpwstr/>
      </vt:variant>
      <vt:variant>
        <vt:i4>1966096</vt:i4>
      </vt:variant>
      <vt:variant>
        <vt:i4>12</vt:i4>
      </vt:variant>
      <vt:variant>
        <vt:i4>0</vt:i4>
      </vt:variant>
      <vt:variant>
        <vt:i4>5</vt:i4>
      </vt:variant>
      <vt:variant>
        <vt:lpwstr>https://www.qilt.edu.au/surveys/graduate-outcomes-survey---longitudinal-(gos-l)/graduate-outcomes-survey-l-questionnaire/</vt:lpwstr>
      </vt:variant>
      <vt:variant>
        <vt:lpwstr/>
      </vt:variant>
      <vt:variant>
        <vt:i4>4522052</vt:i4>
      </vt:variant>
      <vt:variant>
        <vt:i4>9</vt:i4>
      </vt:variant>
      <vt:variant>
        <vt:i4>0</vt:i4>
      </vt:variant>
      <vt:variant>
        <vt:i4>5</vt:i4>
      </vt:variant>
      <vt:variant>
        <vt:lpwstr>https://www.abs.gov.au/statistics/labour/earnings-and-working-conditions/average-weekly-earnings-australia/latest-release</vt:lpwstr>
      </vt:variant>
      <vt:variant>
        <vt:lpwstr/>
      </vt:variant>
      <vt:variant>
        <vt:i4>6488160</vt:i4>
      </vt:variant>
      <vt:variant>
        <vt:i4>6</vt:i4>
      </vt:variant>
      <vt:variant>
        <vt:i4>0</vt:i4>
      </vt:variant>
      <vt:variant>
        <vt:i4>5</vt:i4>
      </vt:variant>
      <vt:variant>
        <vt:lpwstr>https://www.abs.gov.au/statistics/economy/price-indexes-and-inflation/wage-price-index-australia/latest-release</vt:lpwstr>
      </vt:variant>
      <vt:variant>
        <vt:lpwstr/>
      </vt:variant>
      <vt:variant>
        <vt:i4>2359338</vt:i4>
      </vt:variant>
      <vt:variant>
        <vt:i4>3</vt:i4>
      </vt:variant>
      <vt:variant>
        <vt:i4>0</vt:i4>
      </vt:variant>
      <vt:variant>
        <vt:i4>5</vt:i4>
      </vt:variant>
      <vt:variant>
        <vt:lpwstr>https://www.abs.gov.au/statistics/labour/employment-and-unemployment/labour-force-australia/latest-release</vt:lpwstr>
      </vt:variant>
      <vt:variant>
        <vt:lpwstr/>
      </vt:variant>
      <vt:variant>
        <vt:i4>1966096</vt:i4>
      </vt:variant>
      <vt:variant>
        <vt:i4>0</vt:i4>
      </vt:variant>
      <vt:variant>
        <vt:i4>0</vt:i4>
      </vt:variant>
      <vt:variant>
        <vt:i4>5</vt:i4>
      </vt:variant>
      <vt:variant>
        <vt:lpwstr>https://www.qilt.edu.au/surveys/graduate-outcomes-survey---longitudinal-(gos-l)/graduate-outcomes-survey-l-questionnaire/</vt:lpwstr>
      </vt:variant>
      <vt:variant>
        <vt:lpwstr/>
      </vt:variant>
      <vt:variant>
        <vt:i4>8126540</vt:i4>
      </vt:variant>
      <vt:variant>
        <vt:i4>6</vt:i4>
      </vt:variant>
      <vt:variant>
        <vt:i4>0</vt:i4>
      </vt:variant>
      <vt:variant>
        <vt:i4>5</vt:i4>
      </vt:variant>
      <vt:variant>
        <vt:lpwstr> \l </vt:lpwstr>
      </vt:variant>
      <vt:variant>
        <vt:lpwstr/>
      </vt:variant>
      <vt:variant>
        <vt:i4>5308439</vt:i4>
      </vt:variant>
      <vt:variant>
        <vt:i4>3</vt:i4>
      </vt:variant>
      <vt:variant>
        <vt:i4>0</vt:i4>
      </vt:variant>
      <vt:variant>
        <vt:i4>5</vt:i4>
      </vt:variant>
      <vt:variant>
        <vt:lpwstr>https://www.abs.gov.au/statistics/economy/price-indexes-and-inflation/wage-price-index-australia/dec-2025</vt:lpwstr>
      </vt:variant>
      <vt:variant>
        <vt:lpwstr/>
      </vt:variant>
      <vt:variant>
        <vt:i4>2359338</vt:i4>
      </vt:variant>
      <vt:variant>
        <vt:i4>0</vt:i4>
      </vt:variant>
      <vt:variant>
        <vt:i4>0</vt:i4>
      </vt:variant>
      <vt:variant>
        <vt:i4>5</vt:i4>
      </vt:variant>
      <vt:variant>
        <vt:lpwstr>https://www.abs.gov.au/statistics/labour/employment-and-unemployment/labour-force-australia/latest-release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GOS-L National Report - Accessible version</dc:title>
  <dc:subject/>
  <dc:creator>team@srcentre.com.au</dc:creator>
  <cp:keywords/>
  <dc:description/>
  <cp:lastModifiedBy>Julian van der Zee</cp:lastModifiedBy>
  <cp:revision>2</cp:revision>
  <cp:lastPrinted>2025-10-19T05:40:00Z</cp:lastPrinted>
  <dcterms:created xsi:type="dcterms:W3CDTF">2026-10-28T02:03:00Z</dcterms:created>
  <dcterms:modified xsi:type="dcterms:W3CDTF">2026-10-28T02:03:00Z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0x010100BB98A18D3684994C9C52717DA600DB9E</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2025-07-02T05:18:48Z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ec0e4c57-7f07-412e-828d-6dcbf97863eb</vt:lpwstr>
  </property>
  <property fmtid="{D5CDD505-2E9C-101B-9397-08002B2CF9AE}" pid="10" name="MSIP_Label_79d889eb-932f-4752-8739-64d25806ef64_ContentBits">
    <vt:lpwstr>0</vt:lpwstr>
  </property>
  <property fmtid="{D5CDD505-2E9C-101B-9397-08002B2CF9AE}" pid="11" name="MSIP_Label_79d889eb-932f-4752-8739-64d25806ef64_Tag">
    <vt:lpwstr>10, 0, 1, 1</vt:lpwstr>
  </property>
  <property fmtid="{D5CDD505-2E9C-101B-9397-08002B2CF9AE}" pid="12" name="docLang">
    <vt:lpwstr>en</vt:lpwstr>
  </property>
</Properties>
</file>